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4"/>
          <w:szCs w:val="34"/>
        </w:rPr>
        <w:t xml:space="preserve">VELOOP Rewards - Referral &amp; Engagement Analytics</w:t>
      </w:r>
    </w:p>
    <w:p>
      <w:pPr>
        <w:spacing w:after="120"/>
      </w:pPr>
      <w:r>
        <w:rPr>
          <w:i/>
          <w:iCs/>
          <w:sz w:val="22"/>
          <w:szCs w:val="22"/>
        </w:rPr>
        <w:t xml:space="preserve">Work Package E | Version 0.2 (revised 10 October 2026; first issued 28 September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20"/>
              <w:left w:type="dxa" w:w="150"/>
              <w:bottom w:type="dxa" w:w="120"/>
              <w:right w:type="dxa" w:w="150"/>
            </w:tcMar>
          </w:tcPr>
          <w:p>
            <w:r>
              <w:rPr>
                <w:i/>
                <w:iCs/>
                <w:color w:val="7A5B00"/>
                <w:sz w:val="20"/>
                <w:szCs w:val="20"/>
              </w:rPr>
              <w:t xml:space="preserve">All events, fields and definitions below are PROPOSED unless stated otherwise. None are confirmed to exist in VELOOP's production systems.</w:t>
            </w:r>
          </w:p>
        </w:tc>
      </w:tr>
    </w:tbl>
    <w:p>
      <w:pPr>
        <w:pStyle w:val="Heading1"/>
        <w:spacing w:after="140" w:before="280"/>
      </w:pPr>
      <w:r>
        <w:t xml:space="preserve">1. Referral funnel (E1)</w:t>
      </w:r>
    </w:p>
    <w:p>
      <w:pPr>
        <w:spacing w:after="120"/>
      </w:pPr>
      <w:r>
        <w:rPr>
          <w:sz w:val="22"/>
          <w:szCs w:val="22"/>
        </w:rPr>
        <w:t xml:space="preserve">The brief is explicit that registration must not be assumed to equal successful referral conversion. This specification models the referral funnel as four distinct, separately-timestamped states, each requiring the previous one to have happened first: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5000"/>
      </w:tblGrid>
      <w:tr>
        <w:trPr>
          <w:tblHeader/>
        </w:trPr>
        <w:tc>
          <w:tcPr>
            <w:tcW w:type="dxa" w:w="2000"/>
            <w:shd w:fill="1F3864" w:val="clear"/>
            <w:tcMar>
              <w:top w:type="dxa" w:w="80"/>
              <w:left w:type="dxa" w:w="100"/>
              <w:bottom w:type="dxa" w:w="80"/>
              <w:right w:type="dxa" w:w="100"/>
            </w:tcMar>
            <w:vAlign w:val="center"/>
          </w:tcPr>
          <w:p>
            <w:r>
              <w:rPr>
                <w:b/>
                <w:bCs/>
                <w:color w:val="FFFFFF"/>
                <w:sz w:val="18"/>
                <w:szCs w:val="18"/>
              </w:rPr>
              <w:t xml:space="preserve">Stage</w:t>
            </w:r>
          </w:p>
        </w:tc>
        <w:tc>
          <w:tcPr>
            <w:tcW w:type="dxa" w:w="3200"/>
            <w:shd w:fill="1F3864" w:val="clear"/>
            <w:tcMar>
              <w:top w:type="dxa" w:w="80"/>
              <w:left w:type="dxa" w:w="100"/>
              <w:bottom w:type="dxa" w:w="80"/>
              <w:right w:type="dxa" w:w="100"/>
            </w:tcMar>
            <w:vAlign w:val="center"/>
          </w:tcPr>
          <w:p>
            <w:r>
              <w:rPr>
                <w:b/>
                <w:bCs/>
                <w:color w:val="FFFFFF"/>
                <w:sz w:val="18"/>
                <w:szCs w:val="18"/>
              </w:rPr>
              <w:t xml:space="preserve">Event</w:t>
            </w:r>
          </w:p>
        </w:tc>
        <w:tc>
          <w:tcPr>
            <w:tcW w:type="dxa" w:w="5000"/>
            <w:shd w:fill="1F3864" w:val="clear"/>
            <w:tcMar>
              <w:top w:type="dxa" w:w="80"/>
              <w:left w:type="dxa" w:w="100"/>
              <w:bottom w:type="dxa" w:w="80"/>
              <w:right w:type="dxa" w:w="100"/>
            </w:tcMar>
            <w:vAlign w:val="center"/>
          </w:tcPr>
          <w:p>
            <w:r>
              <w:rPr>
                <w:b/>
                <w:bCs/>
                <w:color w:val="FFFFFF"/>
                <w:sz w:val="18"/>
                <w:szCs w:val="18"/>
              </w:rPr>
              <w:t xml:space="preserve">What it proves</w:t>
            </w:r>
          </w:p>
        </w:tc>
      </w:tr>
      <w:tr>
        <w:tc>
          <w:tcPr>
            <w:tcW w:type="dxa" w:w="2000"/>
            <w:tcMar>
              <w:top w:type="dxa" w:w="80"/>
              <w:left w:type="dxa" w:w="100"/>
              <w:bottom w:type="dxa" w:w="80"/>
              <w:right w:type="dxa" w:w="100"/>
            </w:tcMar>
            <w:vAlign w:val="center"/>
          </w:tcPr>
          <w:p>
            <w:r>
              <w:rPr>
                <w:sz w:val="18"/>
                <w:szCs w:val="18"/>
              </w:rPr>
              <w:t xml:space="preserve">Created</w:t>
            </w:r>
          </w:p>
        </w:tc>
        <w:tc>
          <w:tcPr>
            <w:tcW w:type="dxa" w:w="3200"/>
            <w:tcMar>
              <w:top w:type="dxa" w:w="80"/>
              <w:left w:type="dxa" w:w="100"/>
              <w:bottom w:type="dxa" w:w="80"/>
              <w:right w:type="dxa" w:w="100"/>
            </w:tcMar>
            <w:vAlign w:val="center"/>
          </w:tcPr>
          <w:p>
            <w:r>
              <w:rPr>
                <w:sz w:val="18"/>
                <w:szCs w:val="18"/>
              </w:rPr>
              <w:t xml:space="preserve">referral_created</w:t>
            </w:r>
          </w:p>
        </w:tc>
        <w:tc>
          <w:tcPr>
            <w:tcW w:type="dxa" w:w="5000"/>
            <w:tcMar>
              <w:top w:type="dxa" w:w="80"/>
              <w:left w:type="dxa" w:w="100"/>
              <w:bottom w:type="dxa" w:w="80"/>
              <w:right w:type="dxa" w:w="100"/>
            </w:tcMar>
            <w:vAlign w:val="center"/>
          </w:tcPr>
          <w:p>
            <w:r>
              <w:rPr>
                <w:sz w:val="18"/>
                <w:szCs w:val="18"/>
              </w:rPr>
              <w:t xml:space="preserve">A referral relationship exists (code shared or applied)</w:t>
            </w:r>
          </w:p>
        </w:tc>
      </w:tr>
      <w:tr>
        <w:tc>
          <w:tcPr>
            <w:tcW w:type="dxa" w:w="2000"/>
            <w:shd w:fill="F2F2F2" w:val="clear"/>
            <w:tcMar>
              <w:top w:type="dxa" w:w="80"/>
              <w:left w:type="dxa" w:w="100"/>
              <w:bottom w:type="dxa" w:w="80"/>
              <w:right w:type="dxa" w:w="100"/>
            </w:tcMar>
            <w:vAlign w:val="center"/>
          </w:tcPr>
          <w:p>
            <w:r>
              <w:rPr>
                <w:sz w:val="18"/>
                <w:szCs w:val="18"/>
              </w:rPr>
              <w:t xml:space="preserve">Registered</w:t>
            </w:r>
          </w:p>
        </w:tc>
        <w:tc>
          <w:tcPr>
            <w:tcW w:type="dxa" w:w="3200"/>
            <w:shd w:fill="F2F2F2" w:val="clear"/>
            <w:tcMar>
              <w:top w:type="dxa" w:w="80"/>
              <w:left w:type="dxa" w:w="100"/>
              <w:bottom w:type="dxa" w:w="80"/>
              <w:right w:type="dxa" w:w="100"/>
            </w:tcMar>
            <w:vAlign w:val="center"/>
          </w:tcPr>
          <w:p>
            <w:r>
              <w:rPr>
                <w:sz w:val="18"/>
                <w:szCs w:val="18"/>
              </w:rPr>
              <w:t xml:space="preserve">referral_registered</w:t>
            </w:r>
          </w:p>
        </w:tc>
        <w:tc>
          <w:tcPr>
            <w:tcW w:type="dxa" w:w="5000"/>
            <w:shd w:fill="F2F2F2" w:val="clear"/>
            <w:tcMar>
              <w:top w:type="dxa" w:w="80"/>
              <w:left w:type="dxa" w:w="100"/>
              <w:bottom w:type="dxa" w:w="80"/>
              <w:right w:type="dxa" w:w="100"/>
            </w:tcMar>
            <w:vAlign w:val="center"/>
          </w:tcPr>
          <w:p>
            <w:r>
              <w:rPr>
                <w:sz w:val="18"/>
                <w:szCs w:val="18"/>
              </w:rPr>
              <w:t xml:space="preserve">The referred person created an account</w:t>
            </w:r>
          </w:p>
        </w:tc>
      </w:tr>
      <w:tr>
        <w:tc>
          <w:tcPr>
            <w:tcW w:type="dxa" w:w="2000"/>
            <w:tcMar>
              <w:top w:type="dxa" w:w="80"/>
              <w:left w:type="dxa" w:w="100"/>
              <w:bottom w:type="dxa" w:w="80"/>
              <w:right w:type="dxa" w:w="100"/>
            </w:tcMar>
            <w:vAlign w:val="center"/>
          </w:tcPr>
          <w:p>
            <w:r>
              <w:rPr>
                <w:sz w:val="18"/>
                <w:szCs w:val="18"/>
              </w:rPr>
              <w:t xml:space="preserve">Activated</w:t>
            </w:r>
          </w:p>
        </w:tc>
        <w:tc>
          <w:tcPr>
            <w:tcW w:type="dxa" w:w="3200"/>
            <w:tcMar>
              <w:top w:type="dxa" w:w="80"/>
              <w:left w:type="dxa" w:w="100"/>
              <w:bottom w:type="dxa" w:w="80"/>
              <w:right w:type="dxa" w:w="100"/>
            </w:tcMar>
            <w:vAlign w:val="center"/>
          </w:tcPr>
          <w:p>
            <w:r>
              <w:rPr>
                <w:sz w:val="18"/>
                <w:szCs w:val="18"/>
              </w:rPr>
              <w:t xml:space="preserve">referral_activated</w:t>
            </w:r>
          </w:p>
        </w:tc>
        <w:tc>
          <w:tcPr>
            <w:tcW w:type="dxa" w:w="5000"/>
            <w:tcMar>
              <w:top w:type="dxa" w:w="80"/>
              <w:left w:type="dxa" w:w="100"/>
              <w:bottom w:type="dxa" w:w="80"/>
              <w:right w:type="dxa" w:w="100"/>
            </w:tcMar>
            <w:vAlign w:val="center"/>
          </w:tcPr>
          <w:p>
            <w:r>
              <w:rPr>
                <w:sz w:val="18"/>
                <w:szCs w:val="18"/>
              </w:rPr>
              <w:t xml:space="preserve">The referred person met the approved activation definition</w:t>
            </w:r>
          </w:p>
        </w:tc>
      </w:tr>
      <w:tr>
        <w:tc>
          <w:tcPr>
            <w:tcW w:type="dxa" w:w="2000"/>
            <w:shd w:fill="F2F2F2" w:val="clear"/>
            <w:tcMar>
              <w:top w:type="dxa" w:w="80"/>
              <w:left w:type="dxa" w:w="100"/>
              <w:bottom w:type="dxa" w:w="80"/>
              <w:right w:type="dxa" w:w="100"/>
            </w:tcMar>
            <w:vAlign w:val="center"/>
          </w:tcPr>
          <w:p>
            <w:r>
              <w:rPr>
                <w:sz w:val="18"/>
                <w:szCs w:val="18"/>
              </w:rPr>
              <w:t xml:space="preserve">Converted</w:t>
            </w:r>
          </w:p>
        </w:tc>
        <w:tc>
          <w:tcPr>
            <w:tcW w:type="dxa" w:w="3200"/>
            <w:shd w:fill="F2F2F2" w:val="clear"/>
            <w:tcMar>
              <w:top w:type="dxa" w:w="80"/>
              <w:left w:type="dxa" w:w="100"/>
              <w:bottom w:type="dxa" w:w="80"/>
              <w:right w:type="dxa" w:w="100"/>
            </w:tcMar>
            <w:vAlign w:val="center"/>
          </w:tcPr>
          <w:p>
            <w:r>
              <w:rPr>
                <w:sz w:val="18"/>
                <w:szCs w:val="18"/>
              </w:rPr>
              <w:t xml:space="preserve">referral_converted</w:t>
            </w:r>
          </w:p>
        </w:tc>
        <w:tc>
          <w:tcPr>
            <w:tcW w:type="dxa" w:w="5000"/>
            <w:shd w:fill="F2F2F2" w:val="clear"/>
            <w:tcMar>
              <w:top w:type="dxa" w:w="80"/>
              <w:left w:type="dxa" w:w="100"/>
              <w:bottom w:type="dxa" w:w="80"/>
              <w:right w:type="dxa" w:w="100"/>
            </w:tcMar>
            <w:vAlign w:val="center"/>
          </w:tcPr>
          <w:p>
            <w:r>
              <w:rPr>
                <w:sz w:val="18"/>
                <w:szCs w:val="18"/>
              </w:rPr>
              <w:t xml:space="preserve">The referral met the approved conversion definition</w:t>
            </w:r>
          </w:p>
        </w:tc>
      </w:tr>
    </w:tbl>
    <w:p>
      <w:pPr>
        <w:spacing w:after="120"/>
      </w:pPr>
      <w:r>
        <w:rPr>
          <w:sz w:val="22"/>
          <w:szCs w:val="22"/>
        </w:rPr>
        <w:t xml:space="preserve">Activation and conversion are deliberately left as configurable rules (activation_rule_version, conversion_rule_version properties) rather than hard-coded logic, because what counts as 'activated' or 'converted' is a Product decision that has not yet been made (Assumptions A013, A014) - this specification does not invent one.</w:t>
      </w:r>
    </w:p>
    <w:p>
      <w:pPr>
        <w:pStyle w:val="Heading1"/>
        <w:spacing w:after="140" w:before="280"/>
      </w:pPr>
      <w:r>
        <w:t xml:space="preserve">2. Referral data requirements (E1)</w:t>
      </w:r>
    </w:p>
    <w:p>
      <w:pPr>
        <w:spacing w:after="120"/>
      </w:pPr>
      <w:r>
        <w:rPr>
          <w:sz w:val="22"/>
          <w:szCs w:val="22"/>
        </w:rPr>
        <w:t xml:space="preserve">A referral_id entity is proposed, holding referring_user_id, referred_user_id, referral_code_used, and the four stage timestamps (created_at, registered_at, activated_at, converted_at). This is the field that does not currently exist in the supplied sample data: the Users sheet shows a referral_source_detail category ('Friend/Family') for 119 users, but no field identifying who referred them. This is recorded as Data Quality issue DQ14 and Analytics Gap G03, and is the single blocking issue for this whole work package - none of the four referral KPIs in the catalogue (F01-F04, F06) can be computed until this link exists.</w:t>
      </w:r>
    </w:p>
    <w:p>
      <w:pPr>
        <w:pStyle w:val="Heading1"/>
        <w:spacing w:after="140" w:before="280"/>
      </w:pPr>
      <w:r>
        <w:t xml:space="preserve">3. Engagement measurement (E2)</w:t>
      </w:r>
    </w:p>
    <w:p>
      <w:pPr>
        <w:spacing w:after="120"/>
      </w:pPr>
      <w:r>
        <w:rPr>
          <w:sz w:val="22"/>
          <w:szCs w:val="22"/>
        </w:rPr>
        <w:t xml:space="preserve">Engagement is measured across five dimensions, each with its own proposed event or derived metric:</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7600"/>
      </w:tblGrid>
      <w:tr>
        <w:trPr>
          <w:tblHeader/>
        </w:trPr>
        <w:tc>
          <w:tcPr>
            <w:tcW w:type="dxa" w:w="2600"/>
            <w:shd w:fill="1F3864" w:val="clear"/>
            <w:tcMar>
              <w:top w:type="dxa" w:w="80"/>
              <w:left w:type="dxa" w:w="100"/>
              <w:bottom w:type="dxa" w:w="80"/>
              <w:right w:type="dxa" w:w="100"/>
            </w:tcMar>
            <w:vAlign w:val="center"/>
          </w:tcPr>
          <w:p>
            <w:r>
              <w:rPr>
                <w:b/>
                <w:bCs/>
                <w:color w:val="FFFFFF"/>
                <w:sz w:val="18"/>
                <w:szCs w:val="18"/>
              </w:rPr>
              <w:t xml:space="preserve">Dimension</w:t>
            </w:r>
          </w:p>
        </w:tc>
        <w:tc>
          <w:tcPr>
            <w:tcW w:type="dxa" w:w="7600"/>
            <w:shd w:fill="1F3864" w:val="clear"/>
            <w:tcMar>
              <w:top w:type="dxa" w:w="80"/>
              <w:left w:type="dxa" w:w="100"/>
              <w:bottom w:type="dxa" w:w="80"/>
              <w:right w:type="dxa" w:w="100"/>
            </w:tcMar>
            <w:vAlign w:val="center"/>
          </w:tcPr>
          <w:p>
            <w:r>
              <w:rPr>
                <w:b/>
                <w:bCs/>
                <w:color w:val="FFFFFF"/>
                <w:sz w:val="18"/>
                <w:szCs w:val="18"/>
              </w:rPr>
              <w:t xml:space="preserve">How it is measured</w:t>
            </w:r>
          </w:p>
        </w:tc>
      </w:tr>
      <w:tr>
        <w:tc>
          <w:tcPr>
            <w:tcW w:type="dxa" w:w="2600"/>
            <w:tcMar>
              <w:top w:type="dxa" w:w="80"/>
              <w:left w:type="dxa" w:w="100"/>
              <w:bottom w:type="dxa" w:w="80"/>
              <w:right w:type="dxa" w:w="100"/>
            </w:tcMar>
            <w:vAlign w:val="center"/>
          </w:tcPr>
          <w:p>
            <w:r>
              <w:rPr>
                <w:sz w:val="18"/>
                <w:szCs w:val="18"/>
              </w:rPr>
              <w:t xml:space="preserve">Feature adoption</w:t>
            </w:r>
          </w:p>
        </w:tc>
        <w:tc>
          <w:tcPr>
            <w:tcW w:type="dxa" w:w="7600"/>
            <w:tcMar>
              <w:top w:type="dxa" w:w="80"/>
              <w:left w:type="dxa" w:w="100"/>
              <w:bottom w:type="dxa" w:w="80"/>
              <w:right w:type="dxa" w:w="100"/>
            </w:tcMar>
            <w:vAlign w:val="center"/>
          </w:tcPr>
          <w:p>
            <w:r>
              <w:rPr>
                <w:sz w:val="18"/>
                <w:szCs w:val="18"/>
              </w:rPr>
              <w:t xml:space="preserve">feature_opened events; KPI E07, share of active users who used a given feature</w:t>
            </w:r>
          </w:p>
        </w:tc>
      </w:tr>
      <w:tr>
        <w:tc>
          <w:tcPr>
            <w:tcW w:type="dxa" w:w="2600"/>
            <w:shd w:fill="F2F2F2" w:val="clear"/>
            <w:tcMar>
              <w:top w:type="dxa" w:w="80"/>
              <w:left w:type="dxa" w:w="100"/>
              <w:bottom w:type="dxa" w:w="80"/>
              <w:right w:type="dxa" w:w="100"/>
            </w:tcMar>
            <w:vAlign w:val="center"/>
          </w:tcPr>
          <w:p>
            <w:r>
              <w:rPr>
                <w:sz w:val="18"/>
                <w:szCs w:val="18"/>
              </w:rPr>
              <w:t xml:space="preserve">Repeat usage</w:t>
            </w:r>
          </w:p>
        </w:tc>
        <w:tc>
          <w:tcPr>
            <w:tcW w:type="dxa" w:w="7600"/>
            <w:shd w:fill="F2F2F2" w:val="clear"/>
            <w:tcMar>
              <w:top w:type="dxa" w:w="80"/>
              <w:left w:type="dxa" w:w="100"/>
              <w:bottom w:type="dxa" w:w="80"/>
              <w:right w:type="dxa" w:w="100"/>
            </w:tcMar>
            <w:vAlign w:val="center"/>
          </w:tcPr>
          <w:p>
            <w:r>
              <w:rPr>
                <w:sz w:val="18"/>
                <w:szCs w:val="18"/>
              </w:rPr>
              <w:t xml:space="preserve">Users with task starts on 2+ distinct days; KPI E06</w:t>
            </w:r>
          </w:p>
        </w:tc>
      </w:tr>
      <w:tr>
        <w:tc>
          <w:tcPr>
            <w:tcW w:type="dxa" w:w="2600"/>
            <w:tcMar>
              <w:top w:type="dxa" w:w="80"/>
              <w:left w:type="dxa" w:w="100"/>
              <w:bottom w:type="dxa" w:w="80"/>
              <w:right w:type="dxa" w:w="100"/>
            </w:tcMar>
            <w:vAlign w:val="center"/>
          </w:tcPr>
          <w:p>
            <w:r>
              <w:rPr>
                <w:sz w:val="18"/>
                <w:szCs w:val="18"/>
              </w:rPr>
              <w:t xml:space="preserve">Task activity</w:t>
            </w:r>
          </w:p>
        </w:tc>
        <w:tc>
          <w:tcPr>
            <w:tcW w:type="dxa" w:w="7600"/>
            <w:tcMar>
              <w:top w:type="dxa" w:w="80"/>
              <w:left w:type="dxa" w:w="100"/>
              <w:bottom w:type="dxa" w:w="80"/>
              <w:right w:type="dxa" w:w="100"/>
            </w:tcMar>
            <w:vAlign w:val="center"/>
          </w:tcPr>
          <w:p>
            <w:r>
              <w:rPr>
                <w:sz w:val="18"/>
                <w:szCs w:val="18"/>
              </w:rPr>
              <w:t xml:space="preserve">task_started / task_completed event pair; KPIs E02-E05</w:t>
            </w:r>
          </w:p>
        </w:tc>
      </w:tr>
      <w:tr>
        <w:tc>
          <w:tcPr>
            <w:tcW w:type="dxa" w:w="2600"/>
            <w:shd w:fill="F2F2F2" w:val="clear"/>
            <w:tcMar>
              <w:top w:type="dxa" w:w="80"/>
              <w:left w:type="dxa" w:w="100"/>
              <w:bottom w:type="dxa" w:w="80"/>
              <w:right w:type="dxa" w:w="100"/>
            </w:tcMar>
            <w:vAlign w:val="center"/>
          </w:tcPr>
          <w:p>
            <w:r>
              <w:rPr>
                <w:sz w:val="18"/>
                <w:szCs w:val="18"/>
              </w:rPr>
              <w:t xml:space="preserve">Daily activity</w:t>
            </w:r>
          </w:p>
        </w:tc>
        <w:tc>
          <w:tcPr>
            <w:tcW w:type="dxa" w:w="7600"/>
            <w:shd w:fill="F2F2F2" w:val="clear"/>
            <w:tcMar>
              <w:top w:type="dxa" w:w="80"/>
              <w:left w:type="dxa" w:w="100"/>
              <w:bottom w:type="dxa" w:w="80"/>
              <w:right w:type="dxa" w:w="100"/>
            </w:tcMar>
            <w:vAlign w:val="center"/>
          </w:tcPr>
          <w:p>
            <w:r>
              <w:rPr>
                <w:sz w:val="18"/>
                <w:szCs w:val="18"/>
              </w:rPr>
              <w:t xml:space="preserve">daily_reward_claimed and streak_updated events; KPIs E09-E10</w:t>
            </w:r>
          </w:p>
        </w:tc>
      </w:tr>
      <w:tr>
        <w:tc>
          <w:tcPr>
            <w:tcW w:type="dxa" w:w="2600"/>
            <w:tcMar>
              <w:top w:type="dxa" w:w="80"/>
              <w:left w:type="dxa" w:w="100"/>
              <w:bottom w:type="dxa" w:w="80"/>
              <w:right w:type="dxa" w:w="100"/>
            </w:tcMar>
            <w:vAlign w:val="center"/>
          </w:tcPr>
          <w:p>
            <w:r>
              <w:rPr>
                <w:sz w:val="18"/>
                <w:szCs w:val="18"/>
              </w:rPr>
              <w:t xml:space="preserve">Active / returning users</w:t>
            </w:r>
          </w:p>
        </w:tc>
        <w:tc>
          <w:tcPr>
            <w:tcW w:type="dxa" w:w="7600"/>
            <w:tcMar>
              <w:top w:type="dxa" w:w="80"/>
              <w:left w:type="dxa" w:w="100"/>
              <w:bottom w:type="dxa" w:w="80"/>
              <w:right w:type="dxa" w:w="100"/>
            </w:tcMar>
            <w:vAlign w:val="center"/>
          </w:tcPr>
          <w:p>
            <w:r>
              <w:rPr>
                <w:sz w:val="18"/>
                <w:szCs w:val="18"/>
              </w:rPr>
              <w:t xml:space="preserve">Derived from a written 'qualifying activity' definition, not a static flag; KPIs U02-U05</w:t>
            </w:r>
          </w:p>
        </w:tc>
      </w:tr>
    </w:tbl>
    <w:p>
      <w:pPr>
        <w:spacing w:after="120"/>
      </w:pPr>
      <w:r>
        <w:rPr>
          <w:sz w:val="22"/>
          <w:szCs w:val="22"/>
        </w:rPr>
        <w:t xml:space="preserve">The last row is worth stating plainly: this specification deliberately avoids reusing the is_active_7d / is_active_30d style of flag found in the simulated Users sample, because profiling that sample showed the flag disagreeing with account_status for 95 users. Active-user metrics here are designed to be computed from actual qualifying-event history once it exists, not stored as an independently-set field that can drift out of sync.</w:t>
      </w:r>
    </w:p>
    <w:p>
      <w:pPr>
        <w:pStyle w:val="Heading1"/>
        <w:spacing w:after="140" w:before="280"/>
      </w:pPr>
      <w:r>
        <w:t xml:space="preserve">4. Related deliverables</w:t>
      </w:r>
    </w:p>
    <w:p>
      <w:pPr>
        <w:pStyle w:val="ListParagraph"/>
        <w:numPr>
          <w:ilvl w:val="0"/>
          <w:numId w:val="1"/>
        </w:numPr>
        <w:spacing w:after="60"/>
      </w:pPr>
      <w:r>
        <w:t xml:space="preserve">Event definitions: Event Tracking Plan, Referrals and Engagement groups</w:t>
      </w:r>
    </w:p>
    <w:p>
      <w:pPr>
        <w:pStyle w:val="ListParagraph"/>
        <w:numPr>
          <w:ilvl w:val="0"/>
          <w:numId w:val="1"/>
        </w:numPr>
        <w:spacing w:after="60"/>
      </w:pPr>
      <w:r>
        <w:t xml:space="preserve">Field definitions: Data Dictionary, Referrals entity</w:t>
      </w:r>
    </w:p>
    <w:p>
      <w:pPr>
        <w:pStyle w:val="ListParagraph"/>
        <w:numPr>
          <w:ilvl w:val="0"/>
          <w:numId w:val="1"/>
        </w:numPr>
        <w:spacing w:after="60"/>
      </w:pPr>
      <w:r>
        <w:t xml:space="preserve">KPIs: KPI Catalogue, F01-F06 (referral) and E01-E10 (engagement)</w:t>
      </w:r>
    </w:p>
    <w:p>
      <w:pPr>
        <w:pStyle w:val="ListParagraph"/>
        <w:numPr>
          <w:ilvl w:val="0"/>
          <w:numId w:val="1"/>
        </w:numPr>
        <w:spacing w:after="60"/>
      </w:pPr>
      <w:r>
        <w:t xml:space="preserve">Open questions: Assumption Register A013, A014, A016, A030</w:t>
      </w:r>
    </w:p>
    <w:p>
      <w:pPr>
        <w:pStyle w:val="ListParagraph"/>
        <w:numPr>
          <w:ilvl w:val="0"/>
          <w:numId w:val="1"/>
        </w:numPr>
        <w:spacing w:after="60"/>
      </w:pPr>
      <w:r>
        <w:t xml:space="preserve">Related data quality finding: DQ14 (missing referrer link) in the Simulated Data Profiling and Data Quality Audit workbook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2026-10-10T09:41:49.112Z</dcterms:created>
  <dcterms:modified xsi:type="dcterms:W3CDTF">2026-10-10T09:41:49.112Z</dcterms:modified>
</cp:coreProperties>
</file>

<file path=docProps/custom.xml><?xml version="1.0" encoding="utf-8"?>
<Properties xmlns="http://schemas.openxmlformats.org/officeDocument/2006/custom-properties" xmlns:vt="http://schemas.openxmlformats.org/officeDocument/2006/docPropsVTypes"/>
</file>