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VELOOP Rewards - Data Pipeline &amp; Operating Model Proposal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Work Package O | Version 0.2 (revised 10 October 2026; first issued 28 September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i/>
                <w:iCs/>
                <w:color w:val="7A5B00"/>
                <w:sz w:val="20"/>
                <w:szCs w:val="20"/>
              </w:rPr>
              <w:t xml:space="preserve">This is a PROPOSED architecture pattern, not a description of VELOOP's actual infrastructure. Assumption A005 records that the real technology stack is unverified.</w:t>
            </w:r>
          </w:p>
        </w:tc>
      </w:tr>
    </w:tbl>
    <w:p>
      <w:pPr>
        <w:pStyle w:val="Heading1"/>
        <w:spacing w:after="140" w:before="280"/>
      </w:pPr>
      <w:r>
        <w:t xml:space="preserve">1. Design principle</w:t>
      </w:r>
    </w:p>
    <w:p>
      <w:pPr>
        <w:spacing w:after="120"/>
      </w:pPr>
      <w:r>
        <w:rPr>
          <w:sz w:val="22"/>
          <w:szCs w:val="22"/>
        </w:rPr>
        <w:t xml:space="preserve">The brief specifically warns against recommending expensive infrastructure merely because it sounds professional. This proposal follows a standard, well-understood event pipeline pattern that scales from a small developing product to a much larger one without requiring a redesign - the same nine stages apply whether daily event volume is in the thousands or the millions; only the technology used to implement each stage needs to change with scale.</w:t>
      </w:r>
    </w:p>
    <w:p>
      <w:pPr>
        <w:pStyle w:val="Heading1"/>
        <w:spacing w:after="140" w:before="280"/>
      </w:pPr>
      <w:r>
        <w:t xml:space="preserve">2. Architecture diagram</w:t>
      </w:r>
    </w:p>
    <w:p>
      <w:pPr>
        <w:jc w:val="center"/>
      </w:pPr>
      <w:r>
        <w:drawing>
          <wp:inline distT="0" distB="0" distL="0" distR="0">
            <wp:extent cx="4095750" cy="649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A93"/>
          <w:sz w:val="17"/>
          <w:szCs w:val="17"/>
        </w:rPr>
        <w:t xml:space="preserve">Figure 1 - Proposed VELOOP data pipeline, nine stages, with the Data Quality Control Framework rules (QC01-QC22) mapped to the stage where each runs.</w:t>
      </w:r>
    </w:p>
    <w:p>
      <w:pPr>
        <w:pStyle w:val="Heading1"/>
        <w:spacing w:after="140" w:before="280"/>
      </w:pPr>
      <w:r>
        <w:t xml:space="preserve">3. Pipeline stages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 here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 VELOOP Application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Web app emits events as users interact with tasks, rewards, wallet, withdrawals, referrals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 Event producers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Frontend and backend emit structured events with the envelope: event_id, event_name, timestamp, user_id, schema_version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 Collection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Events are received by an ingestion endpoint; malformed or unparseable events are rejected at this point (QC01, QC02, QC05); application-level rules QC03, QC08, QC11 and QC12 run before events reach this stage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 Raw data storage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Every accepted event is stored as-is, unmodified, for replay and audit purposes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 Validation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Allowed values, referential integrity, and state-transition checks run against the raw layer (QC04, QC06, QC07, QC09, QC10, QC13-QC16); invalid records are quarantined, not silently dropped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 Transformation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 events are deduplicated (by event_id / transaction_id), joined to reference data (Users, Tasks, Feature Registry), and shaped into the entities in the Logical Data Model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7. Analytical data layer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Clean, modeled tables - matching the Data Dictionary - that the KPI Catalogue's formulas are written against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8. BI / Dashboard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7 dashboards in the Dashboard Blueprint read from the analytical layer only, never from raw or partially-validated data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9. Business reporting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Scheduled and ad hoc reports for Product, Finance, Operations and Growth stakeholders, built on the same analytical layer</w:t>
            </w:r>
          </w:p>
        </w:tc>
      </w:tr>
    </w:tbl>
    <w:p>
      <w:pPr>
        <w:pStyle w:val="Heading1"/>
        <w:spacing w:after="140" w:before="280"/>
      </w:pPr>
      <w:r>
        <w:t xml:space="preserve">4. Source systems and event producers</w:t>
      </w:r>
    </w:p>
    <w:p>
      <w:pPr>
        <w:spacing w:after="120"/>
      </w:pPr>
      <w:r>
        <w:rPr>
          <w:sz w:val="22"/>
          <w:szCs w:val="22"/>
        </w:rPr>
        <w:t xml:space="preserve">Event producers are the VELOOP web application's frontend (for user-initiated actions like task_viewed, feature_opened) and backend services (for validated, business-meaning events like task_completed, reward_credited, wallet_transaction_created). Third-party providers (ad networks, survey/offer/game providers) are treated as external event sources feeding in through the external_callback_received event, kept structurally separate from VELOOP's own event stream so a provider outage or error does not get misread as a VELOOP-caused failure.</w:t>
      </w:r>
    </w:p>
    <w:p>
      <w:pPr>
        <w:pStyle w:val="Heading1"/>
        <w:spacing w:after="140" w:before="280"/>
      </w:pPr>
      <w:r>
        <w:t xml:space="preserve">5. Collection and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Collection: a single ingestion endpoint (or small number of endpoints by domain) receiving the event envelope described in the Event Tracking Plan; rejects malformed structure before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layer: an append-only store retaining every accepted event exactly as received, enabling reprocessing if a downstream transformation bug is found later without needing to re-instrument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checks: the 22 controls in the Data Quality Control Framework are applied at the layer indicated for each rule (application, collection, raw, transformation, or analytics layer) - not all in one place, since catching a problem earlier is always cheaper than catching it later.</w:t>
      </w:r>
    </w:p>
    <w:p>
      <w:pPr>
        <w:pStyle w:val="Heading1"/>
        <w:spacing w:after="140" w:before="280"/>
      </w:pPr>
      <w:r>
        <w:t xml:space="preserve">6. Transformation and analytical layer</w:t>
      </w:r>
    </w:p>
    <w:p>
      <w:pPr>
        <w:spacing w:after="120"/>
      </w:pPr>
      <w:r>
        <w:rPr>
          <w:sz w:val="22"/>
          <w:szCs w:val="22"/>
        </w:rPr>
        <w:t xml:space="preserve">Transformation is where the raw event stream becomes the entities defined in the Logical Data Model: Users, Tasks, Task_Activity, Rewards, Wallet_Transactions, Withdrawals, Referrals, Feature_Events, plus the Feature_Registry lookup. This is also where deduplication happens - using event_id for general events and the transaction_id / idempotency_key pair for wallet entries - and where the reconciliation checks (QC17, QC18) run before the analytical layer is refreshed.</w:t>
      </w:r>
    </w:p>
    <w:p>
      <w:pPr>
        <w:pStyle w:val="Heading1"/>
        <w:spacing w:after="140" w:before="280"/>
      </w:pPr>
      <w:r>
        <w:t xml:space="preserve">7. Refresh, monitoring and failure handling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Proposed approach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Refresh frequency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By KPI need: Critical operational metrics (withdrawal queue, DAU) refresh daily or better; strategic KPIs (MAU, retention) refresh daily on a rolling window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Freshness monitoring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Dashboard shows last successful refresh time; a stale refresh is visibly flagged (QC20)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Volume monitoring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Daily event counts compared to trailing average, to catch a broken or disconnected event producer early (QC19)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Failure handling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Rejected and quarantined records are logged with a reason, not silently dropped, so a spike in rejections is itself a signal worth investigating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Ownership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Engineering owns event emission and schema; Data Analyst owns the transformation and analytical layer; both share responsibility for the reconciliation checks</w:t>
            </w:r>
          </w:p>
        </w:tc>
      </w:tr>
    </w:tbl>
    <w:p>
      <w:pPr>
        <w:pStyle w:val="Heading1"/>
        <w:spacing w:after="140" w:before="280"/>
      </w:pPr>
      <w:r>
        <w:t xml:space="preserve">8. What this proposal deliberately avoids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vendor or product names are recommended, since the actual technology stack is unverified (Assumption A005) and a developing product's infrastructure choice should follow team capability and budget, not this document.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numeric performance targets (uptime %, refresh latency in seconds) are invented, in keeping with the brief's prohibition on fabricated company statistics.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22909ed7b683c5b8508ce64fe39358a5f09c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2026-10-10T09:41:49.292Z</dcterms:created>
  <dcterms:modified xsi:type="dcterms:W3CDTF">2026-10-10T09:41:49.293Z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