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LedgerCrew AI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Product Requirements Document (PRD)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Version 1.0  ·  17 September 2026  ·  Status: In development (hackathon build)</w:t>
      </w:r>
    </w:p>
    <w:p>
      <w:pPr>
        <w:pStyle w:val="Heading1"/>
        <w:spacing w:after="150" w:before="320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LedgerCrew AI is a multi-agent AI SaaS back-office for Indian micro, small, and medium enterprises (MSMEs). Five specialist AI agents — Intake, Compliance, Collections, Guardrail, and Cash-flow — read invoices, draft GST filings, chase overdue payments, and forecast cash flow, coordinated by an Orchestrator that surfaces a daily business brief. The product targets a hackathon submission first, with a real, monetizable SaaS as the underlying goal.</w:t>
      </w:r>
    </w:p>
    <w:p>
      <w:pPr>
        <w:pStyle w:val="Heading1"/>
        <w:spacing w:after="150" w:before="320"/>
      </w:pPr>
      <w:r>
        <w:t xml:space="preserve">2. Problem Statement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India has 60M+ MSMEs, nearly all of whom file GST on a recurring schedule and manage invoicing and collections manually. Business owners lose hours every month to three recurring tasks: sorting invoices and receipts for GST compliance, following up with clients who pay late, and estimating whether upcoming cash flow covers near-term obligations like payroll. Existing invoicing tools digitize the paperwork but leave the manual follow-through — compliance checks, collections messaging, forecasting — to the owner.</w:t>
      </w:r>
    </w:p>
    <w:p>
      <w:pPr>
        <w:pStyle w:val="Heading1"/>
        <w:spacing w:after="150" w:before="320"/>
      </w:pPr>
      <w:r>
        <w:t xml:space="preserve">3. Goals &amp; Objectives</w:t>
      </w:r>
    </w:p>
    <w:p>
      <w:pPr>
        <w:pStyle w:val="Heading2"/>
        <w:spacing w:after="110" w:before="220"/>
      </w:pPr>
      <w:r>
        <w:t xml:space="preserve">Business goals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Win the target hackathon by demonstrating a working, judge-appealing, technically credible multi-agent product.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Lay the foundation for a real, monetizable SaaS (freemium → paid tiers) rather than a throwaway demo.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entirely on free-tier infrastructure through the current development phase.</w:t>
      </w:r>
    </w:p>
    <w:p>
      <w:pPr>
        <w:pStyle w:val="Heading2"/>
        <w:spacing w:after="110" w:before="220"/>
      </w:pPr>
      <w:r>
        <w:t xml:space="preserve">User goals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Spend less time on GST paperwork and more time running the business.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Get paid faster without the discomfort of writing collections messages personally.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Know, at a glance, whether cash on hand will cover upcoming obligations.</w:t>
      </w:r>
    </w:p>
    <w:p>
      <w:pPr>
        <w:pStyle w:val="Heading2"/>
        <w:spacing w:after="110" w:before="220"/>
      </w:pPr>
      <w:r>
        <w:t xml:space="preserve">Non-goals (for this phase)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Full production-grade multi-tenant deployment with paying customers.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Real WhatsApp Business API integration (a sandbox stands in for now).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fully populated cross-business trust score (seed/demo data only until real usage exists).</w:t>
      </w:r>
    </w:p>
    <w:p>
      <w:pPr>
        <w:pStyle w:val="Heading1"/>
        <w:spacing w:after="150" w:before="320"/>
      </w:pPr>
      <w:r>
        <w:t xml:space="preserve">4. Target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c>
          <w:tcPr>
            <w:tcW w:type="dxa" w:w="26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38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Freelancer / solo consultant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Invoices a handful of clients monthly, files GST personally, no accounting staff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invoicing + reminders without hiring help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 business owner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a shop, studio, or small trading business with a few employees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GST compliance confidence + payroll cash-flow visibility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Growing MSME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10–50 employees, multiple concurrent clients/vendors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Scale collections and compliance without adding back-office headcount</w:t>
            </w:r>
          </w:p>
        </w:tc>
      </w:tr>
    </w:tbl>
    <w:p>
      <w:pPr>
        <w:pStyle w:val="Heading1"/>
        <w:spacing w:after="150" w:before="320"/>
      </w:pPr>
      <w:r>
        <w:t xml:space="preserve">5. Agent Architecture (Core System)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</w:t>
            </w:r>
          </w:p>
        </w:tc>
        <w:tc>
          <w:tcPr>
            <w:tcW w:type="dxa" w:w="75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Intake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OCR-extracts vendor, amount, date, GST/HSN fields from uploaded invoices/receipts (photo, PDF, or WhatsApp forward)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Classifies transactions, flags GST mismatches, drafts a filing-ready GSTR-1/3B return; owns tax-deadline reminders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Drafts staged payment reminders (polite → firm → final) as invoices age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Guardrail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Reviews every Collections draft before it sends, catching harassment-toned or risky messaging (generator + critic pattern)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Cash-flow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Forecasts 30/60/90-day cash position, flags crunch risk; owns payment-date reminders (e.g. payroll)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7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 agent execution order, holds shared state, produces the daily Business Brief; reasoning is visibly streamed, not hidden</w:t>
            </w:r>
          </w:p>
        </w:tc>
      </w:tr>
    </w:tbl>
    <w:p>
      <w:pPr>
        <w:pStyle w:val="Heading1"/>
        <w:spacing w:after="150" w:before="320"/>
      </w:pPr>
      <w:r>
        <w:t xml:space="preserve">6. Feature Requirements</w:t>
      </w:r>
    </w:p>
    <w:p>
      <w:pPr>
        <w:pBdr>
          <w:left w:val="single" w:color="B8791E" w:sz="12"/>
        </w:pBdr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555555"/>
        </w:rPr>
        <w:t xml:space="preserve">Priority key: P0 = required for the core demo/MVP, P1 = strongly desired, P2 = stretch/roadmap.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1200"/>
        <w:gridCol w:w="1800"/>
      </w:tblGrid>
      <w:tr>
        <w:tc>
          <w:tcPr>
            <w:tcW w:type="dxa" w:w="23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Invoice OCR intake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Extract structured data from uploaded invoice images/PDFs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not built; 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GST compliance drafting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Auto-classify + draft GSTR-1/3B filing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not built; 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Staged collections reminders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Multi-stage reminder drafting as invoices age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not built; 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Guardrail tone review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Second-agent review before any reminder sends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not built; 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Cash-flow forecasting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30/60/90-day projection with risk flags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not built; 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agent reasoning panel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Real-time visibility into what each agent is doing/deciding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built (demo data)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Financial calendar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Tax deadlines, escalations, and payment dates in one view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Ask-your-crew chat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Conversational Q&amp;A over the business's own data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built (canned responses)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WhatsApp-native intake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Forward an invoice photo via WhatsApp, zero-onboarding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built — planned via Twilio Sandbox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Multilingual voice interface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Ask/answer business questions by voice in Hindi/Bengali/Tamil etc.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Cross-business trust score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Aggregated, anonymized client payment-reliability score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built (seed data only, clearly labeled)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Resource center + GST QnA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Plain-language help plus direct links to official government portals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Privacy policy page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handling disclosure incl. sub-processors and DPDP Act rights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1"/>
        <w:spacing w:after="150" w:before="320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Multi-tenancy: </w:t>
      </w:r>
      <w:r>
        <w:rPr>
          <w:rFonts w:ascii="Calibri" w:cs="Calibri" w:eastAsia="Calibri" w:hAnsi="Calibri"/>
        </w:rPr>
        <w:t xml:space="preserve">Row-Level Security per business in Supabase from day one; no cross-tenant data leakage.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Free-tier operation: </w:t>
      </w:r>
      <w:r>
        <w:rPr>
          <w:rFonts w:ascii="Calibri" w:cs="Calibri" w:eastAsia="Calibri" w:hAnsi="Calibri"/>
        </w:rPr>
        <w:t xml:space="preserve">Entire stack (Supabase, Vercel, LangGraph/CrewAI, Groq/Gemini free tiers, Resend, Twilio Sandbox, Groq Whisper, Web Speech API) must run within free-tier limits through the current phase.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Resilience: </w:t>
      </w:r>
      <w:r>
        <w:rPr>
          <w:rFonts w:ascii="Calibri" w:cs="Calibri" w:eastAsia="Calibri" w:hAnsi="Calibri"/>
        </w:rPr>
        <w:t xml:space="preserve">Every agent has retry/fallback behavior; low-confidence extraction routes to manual review instead of failing silently.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Security: </w:t>
      </w:r>
      <w:r>
        <w:rPr>
          <w:rFonts w:ascii="Calibri" w:cs="Calibri" w:eastAsia="Calibri" w:hAnsi="Calibri"/>
        </w:rPr>
        <w:t xml:space="preserve">Defense against prompt injection from untrusted uploaded documents; rate-limit handling that degrades gracefully rather than erroring out.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Auditability: </w:t>
      </w:r>
      <w:r>
        <w:rPr>
          <w:rFonts w:ascii="Calibri" w:cs="Calibri" w:eastAsia="Calibri" w:hAnsi="Calibri"/>
        </w:rPr>
        <w:t xml:space="preserve">Every agent decision is logged; this log doubles as the data source for the reasoning panel and the “show your work” calculation proof.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Human control: </w:t>
      </w:r>
      <w:r>
        <w:rPr>
          <w:rFonts w:ascii="Calibri" w:cs="Calibri" w:eastAsia="Calibri" w:hAnsi="Calibri"/>
        </w:rPr>
        <w:t xml:space="preserve">A per-business toggle between fully autonomous sends and approve-before-send for Collections output.</w:t>
      </w:r>
    </w:p>
    <w:p>
      <w:pPr>
        <w:pStyle w:val="Heading1"/>
        <w:spacing w:after="150" w:before="320"/>
      </w:pPr>
      <w:r>
        <w:t xml:space="preserve">8. Design &amp; UX Requirements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Visual language: “ledger + crew” — paper-ledger heritage fused with a mission-control feel for the agent crew. Typography: Fraunces (serif display), IBM Plex Sans (UI body), IBM Plex Mono (tabular data). Color-coding is consistent system-wide: amber = in-progress/needs action, green = done/on-track, red = overdue/escalation. Full token values and component rules are maintained in the separate Design System documentation.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Thirteen pages are planned in total; as of this document, Landing, Login, Dashboard, Ledger, Crew, Privacy, and Resources are built, with Collections partially built (timeline view exists, case-list view does not). Onboarding, Invoice Detail, Compliance/GST Center, Cash-flow deep-dive, Trust Score directory, Settings, and Billing remain to be designed.</w:t>
      </w:r>
    </w:p>
    <w:p>
      <w:pPr>
        <w:pStyle w:val="Heading1"/>
        <w:spacing w:after="150" w:before="320"/>
      </w:pPr>
      <w:r>
        <w:t xml:space="preserve">9. Success Metrics</w:t>
      </w:r>
    </w:p>
    <w:p>
      <w:pPr>
        <w:pStyle w:val="Heading2"/>
        <w:spacing w:after="110" w:before="220"/>
      </w:pPr>
      <w:r>
        <w:t xml:space="preserve">Hackathon-stage metrics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Judge scoring on innovation, technical execution, and market feasibility (per the target hackathon's rubric).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working end-to-end demo: upload/forward an invoice → agents process it → visible reasoning → an accurate GST/cash-flow outcome.</w:t>
      </w:r>
    </w:p>
    <w:p>
      <w:pPr>
        <w:pStyle w:val="Heading2"/>
        <w:spacing w:after="110" w:before="220"/>
      </w:pPr>
      <w:r>
        <w:t xml:space="preserve">Product-stage metrics (post-hackathon)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Time saved per user per month on invoicing/GST/collections admin (self-reported initially).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Percentage of invoices with a Collections sequence resulting in faster payment.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GST filings completed on time via the Compliance draft.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Free-to-paid conversion rate once monetization is live.</w:t>
      </w:r>
    </w:p>
    <w:p>
      <w:pPr>
        <w:pStyle w:val="Heading1"/>
        <w:spacing w:after="150" w:before="320"/>
      </w:pPr>
      <w:r>
        <w:t xml:space="preserve">10. Risks &amp; Assumptions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200"/>
      </w:tblGrid>
      <w:tr>
        <w:tc>
          <w:tcPr>
            <w:tcW w:type="dxa" w:w="43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200"/>
            <w:shd w:fill="EAE2C9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real users yet to validate the trust score or real-world accuracy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Dogfooding + outreach to existing audience/community planned before claiming real traction; seed data always clearly labeled as such, never presented as real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WhatsApp Business API requires Meta verification + template approval (days, not hours)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Twilio's WhatsApp Sandbox for the demo; treat real API onboarding as a post-hackathon task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Free-tier limits (Supabase 500MB DB, LLM rate limits) could be hit under real load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Acceptable at pilot scale (tens of users); a scale-up plan is defined for when limits are approached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injection via malicious/malformed uploaded documents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Sanitize/validate all extracted fields before they reach downstream agents; never execute raw document text as instructions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free project auto-pauses after 7 days of inactivity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Scheduled Edge Function heartbeat to keep the project warm during active development/judging</w:t>
            </w:r>
          </w:p>
        </w:tc>
      </w:tr>
    </w:tbl>
    <w:p>
      <w:pPr>
        <w:pStyle w:val="Heading1"/>
        <w:spacing w:after="150" w:before="320"/>
      </w:pPr>
      <w:r>
        <w:t xml:space="preserve">11. Milestones / Phased Plan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Phase 1 — Core reliability: </w:t>
      </w:r>
      <w:r>
        <w:rPr>
          <w:rFonts w:ascii="Calibri" w:cs="Calibri" w:eastAsia="Calibri" w:hAnsi="Calibri"/>
        </w:rPr>
        <w:t xml:space="preserve">Make the 5-agent loop work end-to-end on real, messy invoice inputs before adding anything new.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Phase 2 — Real users: </w:t>
      </w:r>
      <w:r>
        <w:rPr>
          <w:rFonts w:ascii="Calibri" w:cs="Calibri" w:eastAsia="Calibri" w:hAnsi="Calibri"/>
        </w:rPr>
        <w:t xml:space="preserve">Acquire a handful of genuine beta users (dogfooding, existing audience, community, personal network) to replace seeded data with real signal.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Phase 3 — Hardening: </w:t>
      </w:r>
      <w:r>
        <w:rPr>
          <w:rFonts w:ascii="Calibri" w:cs="Calibri" w:eastAsia="Calibri" w:hAnsi="Calibri"/>
        </w:rPr>
        <w:t xml:space="preserve">Prompt-injection defenses, RLS audit, rate-limit fallback handling, a basic automated test suite.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Phase 4 — Polish: </w:t>
      </w:r>
      <w:r>
        <w:rPr>
          <w:rFonts w:ascii="Calibri" w:cs="Calibri" w:eastAsia="Calibri" w:hAnsi="Calibri"/>
        </w:rPr>
        <w:t xml:space="preserve">Onboarding flow, empty/loading states, a demo video.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Phase 5 — Scale story: </w:t>
      </w:r>
      <w:r>
        <w:rPr>
          <w:rFonts w:ascii="Calibri" w:cs="Calibri" w:eastAsia="Calibri" w:hAnsi="Calibri"/>
        </w:rPr>
        <w:t xml:space="preserve">A concrete, one-line answer for what happens (technically and financially) beyond free-tier limits.</w:t>
      </w:r>
    </w:p>
    <w:p>
      <w:pPr>
        <w:pStyle w:val="Heading1"/>
        <w:spacing w:after="150" w:before="320"/>
      </w:pPr>
      <w:r>
        <w:t xml:space="preserve">12. Open Questions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Which specific hackathon rubric/deadline is this being submitted against, and does that change any priority above?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What is the target price point and packaging for the paid tier beyond the initial ₹499/month placeholder shown on the landing page?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Should the cross-business trust score be opt-in or opt-out by default once real users exist?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2026-09-20T06:54:37.173Z</dcterms:created>
  <dcterms:modified xsi:type="dcterms:W3CDTF">2026-09-20T06:54:37.182Z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