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0D1C76" w:rsidRDefault="000D1C76" w:rsidP="000D1C76">
      <w:pPr>
        <w:pStyle w:val="ListParagraph"/>
        <w:tabs>
          <w:tab w:val="left" w:pos="2229"/>
        </w:tabs>
        <w:autoSpaceDE w:val="0"/>
        <w:autoSpaceDN w:val="0"/>
        <w:adjustRightInd w:val="0"/>
        <w:spacing w:after="0"/>
        <w:rPr>
          <w:b/>
        </w:rPr>
      </w:pPr>
      <w:r w:rsidRPr="000D1C76">
        <w:rPr>
          <w:b/>
        </w:rPr>
        <w:tab/>
        <w:t>Mean = 33.338%</w:t>
      </w:r>
    </w:p>
    <w:p w:rsidR="000D1C76" w:rsidRPr="000D1C76" w:rsidRDefault="000D1C76" w:rsidP="000D1C76">
      <w:pPr>
        <w:pStyle w:val="ListParagraph"/>
        <w:tabs>
          <w:tab w:val="left" w:pos="2229"/>
        </w:tabs>
        <w:autoSpaceDE w:val="0"/>
        <w:autoSpaceDN w:val="0"/>
        <w:adjustRightInd w:val="0"/>
        <w:spacing w:after="0"/>
        <w:rPr>
          <w:b/>
        </w:rPr>
      </w:pPr>
      <w:r w:rsidRPr="000D1C76">
        <w:rPr>
          <w:b/>
        </w:rPr>
        <w:tab/>
        <w:t>Variance = 285.909%</w:t>
      </w:r>
    </w:p>
    <w:p w:rsidR="000D1C76" w:rsidRPr="000D1C76" w:rsidRDefault="000D1C76" w:rsidP="000D1C76">
      <w:pPr>
        <w:pStyle w:val="ListParagraph"/>
        <w:tabs>
          <w:tab w:val="left" w:pos="2229"/>
        </w:tabs>
        <w:autoSpaceDE w:val="0"/>
        <w:autoSpaceDN w:val="0"/>
        <w:adjustRightInd w:val="0"/>
        <w:spacing w:after="0"/>
        <w:rPr>
          <w:b/>
        </w:rPr>
      </w:pPr>
      <w:r w:rsidRPr="000D1C76">
        <w:rPr>
          <w:b/>
        </w:rPr>
        <w:t xml:space="preserve">                              Standard Deviation = 16.909%</w:t>
      </w:r>
    </w:p>
    <w:p w:rsidR="000D1C76" w:rsidRPr="000D1C76" w:rsidRDefault="000D1C76" w:rsidP="000D1C76">
      <w:pPr>
        <w:pStyle w:val="ListParagraph"/>
        <w:tabs>
          <w:tab w:val="left" w:pos="2229"/>
        </w:tabs>
        <w:autoSpaceDE w:val="0"/>
        <w:autoSpaceDN w:val="0"/>
        <w:adjustRightInd w:val="0"/>
        <w:spacing w:after="0"/>
        <w:rPr>
          <w:b/>
        </w:rPr>
      </w:pPr>
      <w:r w:rsidRPr="000D1C76">
        <w:rPr>
          <w:b/>
        </w:rPr>
        <w:t xml:space="preserve">                              There is one outlier present in the data, which is Morgan Stanley (91.36%).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03386" w:rsidRPr="00E03386" w:rsidRDefault="00E03386" w:rsidP="00E03386">
      <w:pPr>
        <w:autoSpaceDE w:val="0"/>
        <w:autoSpaceDN w:val="0"/>
        <w:adjustRightInd w:val="0"/>
        <w:spacing w:after="0"/>
        <w:ind w:left="1440"/>
        <w:rPr>
          <w:b/>
        </w:rPr>
      </w:pPr>
      <w:r w:rsidRPr="00E03386">
        <w:rPr>
          <w:b/>
        </w:rPr>
        <w:t>Upper quartile = 12</w:t>
      </w:r>
    </w:p>
    <w:p w:rsidR="00E03386" w:rsidRPr="00E03386" w:rsidRDefault="00E03386" w:rsidP="00E03386">
      <w:pPr>
        <w:autoSpaceDE w:val="0"/>
        <w:autoSpaceDN w:val="0"/>
        <w:adjustRightInd w:val="0"/>
        <w:spacing w:after="0"/>
        <w:ind w:left="1440"/>
        <w:rPr>
          <w:b/>
        </w:rPr>
      </w:pPr>
      <w:r w:rsidRPr="00E03386">
        <w:rPr>
          <w:b/>
        </w:rPr>
        <w:t>Lower quartile = 5</w:t>
      </w:r>
    </w:p>
    <w:p w:rsidR="00E03386" w:rsidRDefault="00E03386" w:rsidP="00E03386">
      <w:pPr>
        <w:autoSpaceDE w:val="0"/>
        <w:autoSpaceDN w:val="0"/>
        <w:adjustRightInd w:val="0"/>
        <w:spacing w:after="0"/>
        <w:ind w:left="1440"/>
        <w:rPr>
          <w:b/>
        </w:rPr>
      </w:pPr>
      <w:r w:rsidRPr="00E03386">
        <w:rPr>
          <w:b/>
        </w:rPr>
        <w:t>IQR = 12-5 = 7</w:t>
      </w:r>
    </w:p>
    <w:p w:rsidR="000D1C76" w:rsidRDefault="00AA50AB" w:rsidP="0065106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3360F5">
        <w:rPr>
          <w:b/>
        </w:rPr>
        <w:t>Most of the data l</w:t>
      </w:r>
      <w:r w:rsidR="00813316">
        <w:rPr>
          <w:b/>
        </w:rPr>
        <w:t>ies between IQR</w:t>
      </w:r>
      <w:r w:rsidRPr="003360F5">
        <w:rPr>
          <w:b/>
        </w:rPr>
        <w:t>.</w:t>
      </w:r>
    </w:p>
    <w:p w:rsidR="003360F5" w:rsidRPr="003360F5" w:rsidRDefault="003360F5" w:rsidP="0065106B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26118D" w:rsidRDefault="000E22B2" w:rsidP="001B7C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26118D" w:rsidRDefault="0026118D" w:rsidP="0026118D">
      <w:pPr>
        <w:autoSpaceDE w:val="0"/>
        <w:autoSpaceDN w:val="0"/>
        <w:adjustRightInd w:val="0"/>
        <w:spacing w:after="0"/>
        <w:ind w:left="1440"/>
      </w:pPr>
      <w:r w:rsidRPr="0026118D">
        <w:rPr>
          <w:b/>
        </w:rPr>
        <w:t>Positively</w:t>
      </w:r>
      <w:r>
        <w:t xml:space="preserve"> </w:t>
      </w:r>
      <w:r w:rsidRPr="0026118D">
        <w:rPr>
          <w:b/>
        </w:rPr>
        <w:t>skewed</w:t>
      </w:r>
    </w:p>
    <w:p w:rsidR="000D1C76" w:rsidRDefault="000D1C76" w:rsidP="0065106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1B7C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AA50AB" w:rsidRDefault="0065106B" w:rsidP="0065106B">
      <w:pPr>
        <w:autoSpaceDE w:val="0"/>
        <w:autoSpaceDN w:val="0"/>
        <w:adjustRightInd w:val="0"/>
        <w:spacing w:after="0"/>
        <w:ind w:left="1440"/>
        <w:rPr>
          <w:b/>
        </w:rPr>
      </w:pPr>
      <w:r w:rsidRPr="00AA50AB">
        <w:rPr>
          <w:b/>
        </w:rPr>
        <w:t>The boxplot shown above, we can easily infer that the data point with value 25 is an outlier as it is present outside the whiskers.</w:t>
      </w:r>
      <w:r w:rsidR="00AA50AB" w:rsidRPr="00AA50AB">
        <w:rPr>
          <w:b/>
        </w:rPr>
        <w:t xml:space="preserve"> If the value happens to be 2.5, present on the whiskers, ther</w:t>
      </w:r>
      <w:r w:rsidR="00AA50AB">
        <w:rPr>
          <w:b/>
        </w:rPr>
        <w:t>e</w:t>
      </w:r>
      <w:r w:rsidR="00AA50AB" w:rsidRPr="00AA50AB">
        <w:rPr>
          <w:b/>
        </w:rPr>
        <w:t xml:space="preserve"> will be a slight difference in the mean and median. </w:t>
      </w:r>
      <w:r w:rsidR="007C320F">
        <w:rPr>
          <w:b/>
        </w:rPr>
        <w:t>To get the actual values we have to analyze the data.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360F5" w:rsidRDefault="003360F5" w:rsidP="003360F5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The mode can lie in the range </w:t>
      </w:r>
      <w:r w:rsidRPr="003360F5">
        <w:rPr>
          <w:b/>
        </w:rPr>
        <w:t>3 to 10, since most of the data is present there.</w:t>
      </w:r>
    </w:p>
    <w:p w:rsidR="007C320F" w:rsidRPr="003360F5" w:rsidRDefault="007C320F" w:rsidP="003360F5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3360F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7C320F" w:rsidRDefault="003360F5" w:rsidP="003360F5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3360F5">
        <w:rPr>
          <w:b/>
        </w:rPr>
        <w:t>Positively Skewed (Right Skewed)</w:t>
      </w:r>
    </w:p>
    <w:p w:rsidR="000E22B2" w:rsidRPr="003360F5" w:rsidRDefault="000E22B2" w:rsidP="003360F5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3360F5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360F5" w:rsidRPr="003360F5" w:rsidRDefault="003360F5" w:rsidP="003360F5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 xml:space="preserve">Both </w:t>
      </w:r>
      <w:r w:rsidRPr="003360F5">
        <w:rPr>
          <w:b/>
        </w:rPr>
        <w:t>the plots are positively skewed and has an outlier present with a value 25.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C320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C320F" w:rsidRDefault="007C320F" w:rsidP="007C320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7C320F" w:rsidRPr="000E22B2" w:rsidRDefault="007C320F" w:rsidP="007C320F">
      <w:pPr>
        <w:pStyle w:val="ListParagraph"/>
        <w:autoSpaceDE w:val="0"/>
        <w:autoSpaceDN w:val="0"/>
        <w:adjustRightInd w:val="0"/>
        <w:spacing w:after="0"/>
      </w:pPr>
    </w:p>
    <w:p w:rsidR="00955A37" w:rsidRPr="00321031" w:rsidRDefault="00955A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lastRenderedPageBreak/>
        <w:t>Probability of occurring</w:t>
      </w:r>
      <w:r w:rsidR="00E86F4F" w:rsidRPr="00321031">
        <w:rPr>
          <w:rFonts w:cs="BaskervilleBE-Regular"/>
          <w:b/>
        </w:rPr>
        <w:t xml:space="preserve"> misdirected calls (p): </w:t>
      </w:r>
      <w:r w:rsidRPr="00321031">
        <w:rPr>
          <w:rFonts w:cs="BaskervilleBE-Regular"/>
          <w:b/>
        </w:rPr>
        <w:t xml:space="preserve"> = 1/200.</w:t>
      </w:r>
    </w:p>
    <w:p w:rsidR="005329A3" w:rsidRPr="00321031" w:rsidRDefault="005329A3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t>Probability of not occurring</w:t>
      </w:r>
      <w:r w:rsidR="00E86F4F" w:rsidRPr="00321031">
        <w:rPr>
          <w:rFonts w:cs="BaskervilleBE-Regular"/>
          <w:b/>
        </w:rPr>
        <w:t xml:space="preserve"> misdirected calls (q):</w:t>
      </w:r>
      <w:r w:rsidRPr="00321031">
        <w:rPr>
          <w:rFonts w:cs="BaskervilleBE-Regular"/>
          <w:b/>
        </w:rPr>
        <w:t xml:space="preserve"> 1-1/200 = 199/200</w:t>
      </w:r>
    </w:p>
    <w:p w:rsidR="00E86F4F" w:rsidRPr="00321031" w:rsidRDefault="00E86F4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t>Number of calls (n) = 5</w:t>
      </w:r>
    </w:p>
    <w:p w:rsidR="00462B5F" w:rsidRPr="00321031" w:rsidRDefault="00462B5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proofErr w:type="gramStart"/>
      <w:r w:rsidRPr="00321031">
        <w:rPr>
          <w:rFonts w:cs="BaskervilleBE-Regular"/>
          <w:b/>
        </w:rPr>
        <w:t>P(</w:t>
      </w:r>
      <w:proofErr w:type="gramEnd"/>
      <w:r w:rsidRPr="00321031">
        <w:rPr>
          <w:rFonts w:cs="BaskervilleBE-Regular"/>
          <w:b/>
        </w:rPr>
        <w:t>at least one in five attempted telephone calls reaches the wrong number</w:t>
      </w:r>
      <w:r w:rsidR="00AA51DF" w:rsidRPr="00321031">
        <w:rPr>
          <w:rFonts w:cs="BaskervilleBE-Regular"/>
          <w:b/>
        </w:rPr>
        <w:t>)</w:t>
      </w:r>
    </w:p>
    <w:p w:rsidR="00AA51DF" w:rsidRPr="00321031" w:rsidRDefault="00AA51D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t xml:space="preserve">                  = 1 – zero call reaches the wrong number</w:t>
      </w:r>
    </w:p>
    <w:p w:rsidR="00AA51DF" w:rsidRPr="00321031" w:rsidRDefault="00AA51DF" w:rsidP="00AA51DF">
      <w:pPr>
        <w:pStyle w:val="ListParagraph"/>
        <w:tabs>
          <w:tab w:val="left" w:pos="1624"/>
        </w:tabs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t xml:space="preserve"> </w:t>
      </w:r>
      <w:r w:rsidRPr="00321031">
        <w:rPr>
          <w:rFonts w:cs="BaskervilleBE-Regular"/>
          <w:b/>
        </w:rPr>
        <w:tab/>
        <w:t xml:space="preserve">= 1 – </w:t>
      </w:r>
      <w:r w:rsidRPr="00321031">
        <w:rPr>
          <w:rFonts w:cs="BaskervilleBE-Regular"/>
          <w:b/>
          <w:vertAlign w:val="superscript"/>
        </w:rPr>
        <w:t>5</w:t>
      </w:r>
      <w:r w:rsidRPr="00321031">
        <w:rPr>
          <w:rFonts w:cs="BaskervilleBE-Regular"/>
          <w:b/>
        </w:rPr>
        <w:t>C</w:t>
      </w:r>
      <w:r w:rsidRPr="00321031">
        <w:rPr>
          <w:rFonts w:cs="BaskervilleBE-Regular"/>
          <w:b/>
          <w:vertAlign w:val="subscript"/>
        </w:rPr>
        <w:t>0</w:t>
      </w:r>
      <w:r w:rsidRPr="00321031">
        <w:rPr>
          <w:rFonts w:cs="BaskervilleBE-Regular"/>
          <w:b/>
        </w:rPr>
        <w:t xml:space="preserve"> (1/200)</w:t>
      </w:r>
      <w:r w:rsidRPr="00321031">
        <w:rPr>
          <w:rFonts w:cs="BaskervilleBE-Regular"/>
          <w:b/>
          <w:vertAlign w:val="superscript"/>
        </w:rPr>
        <w:t>0</w:t>
      </w:r>
      <w:r w:rsidRPr="00321031">
        <w:rPr>
          <w:rFonts w:cs="BaskervilleBE-Regular"/>
          <w:b/>
        </w:rPr>
        <w:t xml:space="preserve"> (199/200)</w:t>
      </w:r>
      <w:r w:rsidRPr="00321031">
        <w:rPr>
          <w:rFonts w:cs="BaskervilleBE-Regular"/>
          <w:b/>
          <w:vertAlign w:val="superscript"/>
        </w:rPr>
        <w:t>5-0</w:t>
      </w:r>
    </w:p>
    <w:p w:rsidR="00AA51DF" w:rsidRPr="00321031" w:rsidRDefault="00AA51DF" w:rsidP="00AA51DF">
      <w:pPr>
        <w:pStyle w:val="ListParagraph"/>
        <w:tabs>
          <w:tab w:val="left" w:pos="1624"/>
        </w:tabs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t xml:space="preserve">                  = 1 – (1*1*(199/200)</w:t>
      </w:r>
      <w:r w:rsidRPr="00321031">
        <w:rPr>
          <w:rFonts w:cs="BaskervilleBE-Regular"/>
          <w:b/>
          <w:vertAlign w:val="superscript"/>
        </w:rPr>
        <w:t>5</w:t>
      </w:r>
    </w:p>
    <w:p w:rsidR="00AA51DF" w:rsidRPr="00321031" w:rsidRDefault="00AA51DF" w:rsidP="00AA51DF">
      <w:pPr>
        <w:pStyle w:val="ListParagraph"/>
        <w:tabs>
          <w:tab w:val="left" w:pos="1624"/>
        </w:tabs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tab/>
        <w:t>= 1 – 0.97524</w:t>
      </w:r>
    </w:p>
    <w:p w:rsidR="00AA51DF" w:rsidRPr="00321031" w:rsidRDefault="00AA51DF" w:rsidP="00AA51DF">
      <w:pPr>
        <w:pStyle w:val="ListParagraph"/>
        <w:tabs>
          <w:tab w:val="left" w:pos="1624"/>
        </w:tabs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t xml:space="preserve">                  = 0.02475</w:t>
      </w:r>
    </w:p>
    <w:p w:rsidR="00AA51DF" w:rsidRPr="00321031" w:rsidRDefault="00AA51DF" w:rsidP="00AA51DF">
      <w:pPr>
        <w:pStyle w:val="ListParagraph"/>
        <w:tabs>
          <w:tab w:val="left" w:pos="1624"/>
        </w:tabs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321031">
        <w:rPr>
          <w:rFonts w:cs="BaskervilleBE-Regular"/>
          <w:b/>
        </w:rPr>
        <w:t>Therefore, probability of reaching on</w:t>
      </w:r>
      <w:r w:rsidR="004664BD">
        <w:rPr>
          <w:rFonts w:cs="BaskervilleBE-Regular"/>
          <w:b/>
        </w:rPr>
        <w:t>e</w:t>
      </w:r>
      <w:r w:rsidRPr="00321031">
        <w:rPr>
          <w:rFonts w:cs="BaskervilleBE-Regular"/>
          <w:b/>
        </w:rPr>
        <w:t xml:space="preserve"> wrong number out of 5 telephone calls is 0.02475</w:t>
      </w:r>
      <w:r w:rsidR="00321031" w:rsidRPr="00321031">
        <w:rPr>
          <w:rFonts w:cs="BaskervilleBE-Regular"/>
          <w:b/>
        </w:rPr>
        <w:t>.</w:t>
      </w:r>
    </w:p>
    <w:p w:rsidR="000E22B2" w:rsidRPr="00321031" w:rsidRDefault="00462B5F" w:rsidP="0032103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3F7588" w:rsidRDefault="003F7588" w:rsidP="003F7588">
      <w:pPr>
        <w:autoSpaceDE w:val="0"/>
        <w:autoSpaceDN w:val="0"/>
        <w:adjustRightInd w:val="0"/>
        <w:spacing w:after="0"/>
      </w:pPr>
    </w:p>
    <w:p w:rsidR="008843D5" w:rsidRDefault="008843D5" w:rsidP="003F7588">
      <w:pPr>
        <w:autoSpaceDE w:val="0"/>
        <w:autoSpaceDN w:val="0"/>
        <w:adjustRightInd w:val="0"/>
        <w:spacing w:after="0"/>
      </w:pPr>
    </w:p>
    <w:p w:rsidR="008843D5" w:rsidRDefault="008843D5" w:rsidP="008843D5">
      <w:pPr>
        <w:tabs>
          <w:tab w:val="left" w:pos="2093"/>
        </w:tabs>
        <w:autoSpaceDE w:val="0"/>
        <w:autoSpaceDN w:val="0"/>
        <w:adjustRightInd w:val="0"/>
        <w:spacing w:after="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843D5" w:rsidTr="008843D5">
        <w:tc>
          <w:tcPr>
            <w:tcW w:w="2394" w:type="dxa"/>
          </w:tcPr>
          <w:p w:rsidR="008843D5" w:rsidRPr="00FB3079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B3079">
              <w:rPr>
                <w:b/>
              </w:rPr>
              <w:t>X</w:t>
            </w:r>
          </w:p>
        </w:tc>
        <w:tc>
          <w:tcPr>
            <w:tcW w:w="2394" w:type="dxa"/>
          </w:tcPr>
          <w:p w:rsidR="008843D5" w:rsidRPr="00FB3079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B3079">
              <w:rPr>
                <w:b/>
              </w:rPr>
              <w:t>P(X)</w:t>
            </w:r>
          </w:p>
        </w:tc>
        <w:tc>
          <w:tcPr>
            <w:tcW w:w="2394" w:type="dxa"/>
          </w:tcPr>
          <w:p w:rsidR="008843D5" w:rsidRPr="00FB3079" w:rsidRDefault="008843D5" w:rsidP="00FB3079">
            <w:pPr>
              <w:tabs>
                <w:tab w:val="left" w:pos="2093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B3079">
              <w:rPr>
                <w:b/>
              </w:rPr>
              <w:t>E(X)=X*P(X)</w:t>
            </w:r>
          </w:p>
        </w:tc>
        <w:tc>
          <w:tcPr>
            <w:tcW w:w="2394" w:type="dxa"/>
          </w:tcPr>
          <w:p w:rsidR="008843D5" w:rsidRPr="00FB3079" w:rsidRDefault="00FB3079" w:rsidP="00FB3079">
            <w:pPr>
              <w:tabs>
                <w:tab w:val="left" w:pos="2093"/>
              </w:tabs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FB3079">
              <w:rPr>
                <w:b/>
              </w:rPr>
              <w:t>E(X</w:t>
            </w:r>
            <w:r w:rsidRPr="00FB3079">
              <w:rPr>
                <w:b/>
                <w:vertAlign w:val="superscript"/>
              </w:rPr>
              <w:t>2</w:t>
            </w:r>
            <w:r w:rsidRPr="00FB3079">
              <w:rPr>
                <w:b/>
              </w:rPr>
              <w:t>) = X</w:t>
            </w:r>
            <w:r w:rsidRPr="00FB3079">
              <w:rPr>
                <w:b/>
                <w:vertAlign w:val="superscript"/>
              </w:rPr>
              <w:t>2</w:t>
            </w:r>
            <w:r w:rsidRPr="00FB3079">
              <w:rPr>
                <w:b/>
              </w:rPr>
              <w:t xml:space="preserve"> * P(X)</w:t>
            </w:r>
          </w:p>
        </w:tc>
      </w:tr>
      <w:tr w:rsidR="008843D5" w:rsidTr="008843D5"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-2000</w:t>
            </w:r>
          </w:p>
        </w:tc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0.1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-200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400000</w:t>
            </w:r>
          </w:p>
        </w:tc>
      </w:tr>
      <w:tr w:rsidR="008843D5" w:rsidTr="008843D5"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-1000</w:t>
            </w:r>
          </w:p>
        </w:tc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0.1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-100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100000</w:t>
            </w:r>
          </w:p>
        </w:tc>
      </w:tr>
      <w:tr w:rsidR="008843D5" w:rsidTr="008843D5"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0.2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</w:t>
            </w:r>
          </w:p>
        </w:tc>
      </w:tr>
      <w:tr w:rsidR="008843D5" w:rsidTr="008843D5"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1000</w:t>
            </w:r>
          </w:p>
        </w:tc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0.2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200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200000</w:t>
            </w:r>
          </w:p>
        </w:tc>
      </w:tr>
      <w:tr w:rsidR="008843D5" w:rsidTr="008843D5"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2000</w:t>
            </w:r>
          </w:p>
        </w:tc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0.3</w:t>
            </w:r>
          </w:p>
        </w:tc>
        <w:tc>
          <w:tcPr>
            <w:tcW w:w="2394" w:type="dxa"/>
          </w:tcPr>
          <w:p w:rsidR="008843D5" w:rsidRDefault="00FB3079" w:rsidP="00FB3079">
            <w:pPr>
              <w:tabs>
                <w:tab w:val="center" w:pos="1089"/>
              </w:tabs>
              <w:autoSpaceDE w:val="0"/>
              <w:autoSpaceDN w:val="0"/>
              <w:adjustRightInd w:val="0"/>
            </w:pPr>
            <w:r>
              <w:t>600</w:t>
            </w:r>
            <w:r>
              <w:tab/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1200000</w:t>
            </w:r>
          </w:p>
        </w:tc>
      </w:tr>
      <w:tr w:rsidR="008843D5" w:rsidTr="008843D5"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3000</w:t>
            </w:r>
          </w:p>
        </w:tc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0.1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300</w:t>
            </w:r>
          </w:p>
        </w:tc>
        <w:tc>
          <w:tcPr>
            <w:tcW w:w="2394" w:type="dxa"/>
          </w:tcPr>
          <w:p w:rsidR="008843D5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  <w:r>
              <w:t>900000</w:t>
            </w:r>
          </w:p>
        </w:tc>
      </w:tr>
      <w:tr w:rsidR="008843D5" w:rsidTr="008843D5">
        <w:tc>
          <w:tcPr>
            <w:tcW w:w="2394" w:type="dxa"/>
          </w:tcPr>
          <w:p w:rsidR="008843D5" w:rsidRP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  <w:rPr>
                <w:b/>
              </w:rPr>
            </w:pPr>
            <w:r w:rsidRPr="008843D5">
              <w:rPr>
                <w:b/>
              </w:rPr>
              <w:t>TOTAL</w:t>
            </w:r>
          </w:p>
        </w:tc>
        <w:tc>
          <w:tcPr>
            <w:tcW w:w="2394" w:type="dxa"/>
          </w:tcPr>
          <w:p w:rsidR="008843D5" w:rsidRDefault="008843D5" w:rsidP="008843D5">
            <w:pPr>
              <w:tabs>
                <w:tab w:val="left" w:pos="2093"/>
              </w:tabs>
              <w:autoSpaceDE w:val="0"/>
              <w:autoSpaceDN w:val="0"/>
              <w:adjustRightInd w:val="0"/>
            </w:pPr>
          </w:p>
        </w:tc>
        <w:tc>
          <w:tcPr>
            <w:tcW w:w="2394" w:type="dxa"/>
          </w:tcPr>
          <w:p w:rsidR="008843D5" w:rsidRPr="00FB3079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  <w:rPr>
                <w:b/>
              </w:rPr>
            </w:pPr>
            <w:r w:rsidRPr="00FB3079">
              <w:rPr>
                <w:b/>
              </w:rPr>
              <w:t>800</w:t>
            </w:r>
          </w:p>
        </w:tc>
        <w:tc>
          <w:tcPr>
            <w:tcW w:w="2394" w:type="dxa"/>
          </w:tcPr>
          <w:p w:rsidR="008843D5" w:rsidRPr="00FB3079" w:rsidRDefault="00FB3079" w:rsidP="008843D5">
            <w:pPr>
              <w:tabs>
                <w:tab w:val="left" w:pos="2093"/>
              </w:tabs>
              <w:autoSpaceDE w:val="0"/>
              <w:autoSpaceDN w:val="0"/>
              <w:adjustRightInd w:val="0"/>
              <w:rPr>
                <w:b/>
              </w:rPr>
            </w:pPr>
            <w:r w:rsidRPr="00FB3079">
              <w:rPr>
                <w:b/>
              </w:rPr>
              <w:t>2800000</w:t>
            </w:r>
          </w:p>
        </w:tc>
      </w:tr>
    </w:tbl>
    <w:p w:rsidR="008843D5" w:rsidRDefault="008843D5" w:rsidP="008843D5">
      <w:pPr>
        <w:tabs>
          <w:tab w:val="left" w:pos="2093"/>
        </w:tabs>
        <w:autoSpaceDE w:val="0"/>
        <w:autoSpaceDN w:val="0"/>
        <w:adjustRightInd w:val="0"/>
        <w:spacing w:after="0"/>
      </w:pPr>
    </w:p>
    <w:p w:rsidR="008843D5" w:rsidRDefault="008843D5" w:rsidP="003F7588">
      <w:pPr>
        <w:autoSpaceDE w:val="0"/>
        <w:autoSpaceDN w:val="0"/>
        <w:adjustRightInd w:val="0"/>
        <w:spacing w:after="0"/>
      </w:pPr>
    </w:p>
    <w:p w:rsidR="008843D5" w:rsidRDefault="008843D5" w:rsidP="003F7588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C222D" w:rsidRDefault="00C813F8" w:rsidP="003C222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C813F8">
        <w:rPr>
          <w:b/>
        </w:rPr>
        <w:t>$2000 is most likely monetary outcome of the business venture</w:t>
      </w:r>
      <w:r w:rsidR="00661624">
        <w:rPr>
          <w:b/>
        </w:rPr>
        <w:t xml:space="preserve"> as it has the maximum probability 0.3.</w:t>
      </w:r>
    </w:p>
    <w:p w:rsidR="00C813F8" w:rsidRPr="00C813F8" w:rsidRDefault="00C813F8" w:rsidP="003C222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61624" w:rsidRPr="00950817" w:rsidRDefault="00661624" w:rsidP="0066162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950817">
        <w:rPr>
          <w:b/>
        </w:rPr>
        <w:t>Venture is successful if X is positive</w:t>
      </w:r>
    </w:p>
    <w:p w:rsidR="00661624" w:rsidRPr="00950817" w:rsidRDefault="00950817" w:rsidP="0066162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950817">
        <w:rPr>
          <w:b/>
        </w:rPr>
        <w:t>P(x) = 0.2+0.3+0.1 = 0.6</w:t>
      </w:r>
    </w:p>
    <w:p w:rsidR="00950817" w:rsidRPr="00950817" w:rsidRDefault="00950817" w:rsidP="00661624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b/>
        </w:rPr>
        <w:t>Venture is likel</w:t>
      </w:r>
      <w:r w:rsidRPr="00950817">
        <w:rPr>
          <w:b/>
        </w:rPr>
        <w:t>y to be successful</w:t>
      </w:r>
      <w:r>
        <w:rPr>
          <w:b/>
        </w:rPr>
        <w:t>.</w:t>
      </w:r>
    </w:p>
    <w:p w:rsidR="008843D5" w:rsidRDefault="008843D5" w:rsidP="008843D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:rsidR="00950817" w:rsidRDefault="000E22B2" w:rsidP="00661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56462" w:rsidRDefault="00556462" w:rsidP="00950817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>
        <w:rPr>
          <w:rFonts w:cstheme="minorHAnsi"/>
          <w:b/>
        </w:rPr>
        <w:t>E(X) = ƩX * P(X) = 800</w:t>
      </w:r>
    </w:p>
    <w:p w:rsidR="00661624" w:rsidRDefault="00661624" w:rsidP="00661624">
      <w:pPr>
        <w:autoSpaceDE w:val="0"/>
        <w:autoSpaceDN w:val="0"/>
        <w:adjustRightInd w:val="0"/>
        <w:spacing w:after="0"/>
        <w:rPr>
          <w:b/>
        </w:rPr>
      </w:pPr>
      <w:r w:rsidRPr="00661624">
        <w:rPr>
          <w:b/>
        </w:rPr>
        <w:t xml:space="preserve">     </w:t>
      </w:r>
      <w:r w:rsidR="00556462">
        <w:rPr>
          <w:b/>
        </w:rPr>
        <w:t xml:space="preserve">                        </w:t>
      </w:r>
      <w:r w:rsidRPr="00661624">
        <w:rPr>
          <w:b/>
        </w:rPr>
        <w:t>The long-term average earning of business ventures will be $800</w:t>
      </w:r>
    </w:p>
    <w:p w:rsidR="00661624" w:rsidRPr="00661624" w:rsidRDefault="00661624" w:rsidP="00661624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61A79" w:rsidRPr="0037002C" w:rsidRDefault="00561A79" w:rsidP="00561A79">
      <w:pPr>
        <w:pStyle w:val="ListParagraph"/>
        <w:autoSpaceDE w:val="0"/>
        <w:autoSpaceDN w:val="0"/>
        <w:adjustRightInd w:val="0"/>
        <w:spacing w:after="0"/>
        <w:ind w:left="1440"/>
      </w:pPr>
    </w:p>
    <w:p w:rsidR="00561A79" w:rsidRPr="00561A79" w:rsidRDefault="00561A79" w:rsidP="00556462">
      <w:pPr>
        <w:ind w:left="1440"/>
        <w:rPr>
          <w:b/>
        </w:rPr>
      </w:pPr>
      <w:r w:rsidRPr="00561A79">
        <w:rPr>
          <w:b/>
        </w:rPr>
        <w:t>The good measure to evaluate the risk is by finding the variance and standard deviation</w:t>
      </w:r>
    </w:p>
    <w:p w:rsidR="00556462" w:rsidRPr="00561A79" w:rsidRDefault="00556462" w:rsidP="00556462">
      <w:pPr>
        <w:ind w:left="1440"/>
        <w:rPr>
          <w:b/>
        </w:rPr>
      </w:pPr>
      <w:r w:rsidRPr="00561A79">
        <w:rPr>
          <w:b/>
        </w:rPr>
        <w:t>Variance = E(X</w:t>
      </w:r>
      <w:r w:rsidRPr="00561A79">
        <w:rPr>
          <w:b/>
          <w:vertAlign w:val="superscript"/>
        </w:rPr>
        <w:t>2</w:t>
      </w:r>
      <w:r w:rsidRPr="00561A79">
        <w:rPr>
          <w:b/>
        </w:rPr>
        <w:t>) – [E(X)</w:t>
      </w:r>
      <w:proofErr w:type="gramStart"/>
      <w:r w:rsidRPr="00561A79">
        <w:rPr>
          <w:b/>
        </w:rPr>
        <w:t>]</w:t>
      </w:r>
      <w:r w:rsidRPr="00561A79">
        <w:rPr>
          <w:b/>
          <w:vertAlign w:val="superscript"/>
        </w:rPr>
        <w:t>2</w:t>
      </w:r>
      <w:proofErr w:type="gramEnd"/>
    </w:p>
    <w:p w:rsidR="00556462" w:rsidRPr="00561A79" w:rsidRDefault="00556462" w:rsidP="00556462">
      <w:pPr>
        <w:ind w:left="1440"/>
        <w:rPr>
          <w:b/>
          <w:vertAlign w:val="superscript"/>
        </w:rPr>
      </w:pPr>
      <w:r w:rsidRPr="00561A79">
        <w:rPr>
          <w:b/>
        </w:rPr>
        <w:t xml:space="preserve">                   = 2800000 – (800)</w:t>
      </w:r>
      <w:r w:rsidRPr="00561A79">
        <w:rPr>
          <w:b/>
          <w:vertAlign w:val="superscript"/>
        </w:rPr>
        <w:t>2</w:t>
      </w:r>
    </w:p>
    <w:p w:rsidR="00556462" w:rsidRPr="00561A79" w:rsidRDefault="00556462" w:rsidP="00556462">
      <w:pPr>
        <w:ind w:left="1440"/>
        <w:rPr>
          <w:b/>
        </w:rPr>
      </w:pPr>
      <w:r w:rsidRPr="00561A79">
        <w:rPr>
          <w:b/>
          <w:vertAlign w:val="superscript"/>
        </w:rPr>
        <w:t xml:space="preserve">                              </w:t>
      </w:r>
      <w:r w:rsidRPr="00561A79">
        <w:rPr>
          <w:b/>
        </w:rPr>
        <w:t>= 2800000 – 3600</w:t>
      </w:r>
    </w:p>
    <w:p w:rsidR="00556462" w:rsidRPr="00561A79" w:rsidRDefault="00556462" w:rsidP="00556462">
      <w:pPr>
        <w:ind w:left="1440"/>
        <w:rPr>
          <w:b/>
        </w:rPr>
      </w:pPr>
      <w:r w:rsidRPr="00561A79">
        <w:rPr>
          <w:b/>
        </w:rPr>
        <w:t xml:space="preserve">                   = 2160000</w:t>
      </w:r>
    </w:p>
    <w:p w:rsidR="00556462" w:rsidRPr="00561A79" w:rsidRDefault="00556462" w:rsidP="00556462">
      <w:pPr>
        <w:ind w:left="1440"/>
        <w:rPr>
          <w:b/>
        </w:rPr>
      </w:pPr>
      <w:r w:rsidRPr="00561A79">
        <w:rPr>
          <w:b/>
        </w:rPr>
        <w:t xml:space="preserve">Standard Deviation: </w:t>
      </w:r>
      <w:proofErr w:type="gramStart"/>
      <w:r w:rsidR="00561A79" w:rsidRPr="00561A79">
        <w:rPr>
          <w:b/>
        </w:rPr>
        <w:t>SQRT(</w:t>
      </w:r>
      <w:proofErr w:type="gramEnd"/>
      <w:r w:rsidR="00561A79" w:rsidRPr="00561A79">
        <w:rPr>
          <w:b/>
        </w:rPr>
        <w:t>2160000)</w:t>
      </w:r>
    </w:p>
    <w:p w:rsidR="00561A79" w:rsidRPr="00561A79" w:rsidRDefault="00561A79" w:rsidP="00561A79">
      <w:pPr>
        <w:tabs>
          <w:tab w:val="left" w:pos="3332"/>
        </w:tabs>
        <w:ind w:left="1440"/>
        <w:rPr>
          <w:b/>
        </w:rPr>
      </w:pPr>
      <w:r w:rsidRPr="00561A79">
        <w:rPr>
          <w:b/>
        </w:rPr>
        <w:t xml:space="preserve">   </w:t>
      </w:r>
      <w:r w:rsidRPr="00561A79">
        <w:rPr>
          <w:b/>
        </w:rPr>
        <w:tab/>
        <w:t>1469.69</w:t>
      </w:r>
    </w:p>
    <w:p w:rsidR="00561A79" w:rsidRPr="00561A79" w:rsidRDefault="00561A79" w:rsidP="00561A79">
      <w:pPr>
        <w:tabs>
          <w:tab w:val="left" w:pos="3332"/>
        </w:tabs>
        <w:ind w:left="1440"/>
        <w:rPr>
          <w:b/>
        </w:rPr>
      </w:pPr>
      <w:r w:rsidRPr="00561A79">
        <w:rPr>
          <w:b/>
        </w:rPr>
        <w:t>A large value of standard deviation indicates high risk in venture.</w:t>
      </w:r>
    </w:p>
    <w:p w:rsidR="00556462" w:rsidRDefault="00556462" w:rsidP="00556462">
      <w:pPr>
        <w:ind w:left="1440"/>
      </w:pPr>
      <w:bookmarkStart w:id="0" w:name="_GoBack"/>
      <w:bookmarkEnd w:id="0"/>
    </w:p>
    <w:sectPr w:rsidR="0055646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52C" w:rsidRDefault="00D7452C">
      <w:pPr>
        <w:spacing w:after="0" w:line="240" w:lineRule="auto"/>
      </w:pPr>
      <w:r>
        <w:separator/>
      </w:r>
    </w:p>
  </w:endnote>
  <w:endnote w:type="continuationSeparator" w:id="0">
    <w:p w:rsidR="00D7452C" w:rsidRDefault="00D7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D74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52C" w:rsidRDefault="00D7452C">
      <w:pPr>
        <w:spacing w:after="0" w:line="240" w:lineRule="auto"/>
      </w:pPr>
      <w:r>
        <w:separator/>
      </w:r>
    </w:p>
  </w:footnote>
  <w:footnote w:type="continuationSeparator" w:id="0">
    <w:p w:rsidR="00D7452C" w:rsidRDefault="00D74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F29DF"/>
    <w:multiLevelType w:val="hybridMultilevel"/>
    <w:tmpl w:val="3A6CC78C"/>
    <w:lvl w:ilvl="0" w:tplc="38E296A8">
      <w:start w:val="1"/>
      <w:numFmt w:val="decimal"/>
      <w:lvlText w:val="%1-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D1C76"/>
    <w:rsid w:val="000E22B2"/>
    <w:rsid w:val="00193DCD"/>
    <w:rsid w:val="0026118D"/>
    <w:rsid w:val="00264E05"/>
    <w:rsid w:val="00310065"/>
    <w:rsid w:val="003152D5"/>
    <w:rsid w:val="00321031"/>
    <w:rsid w:val="003360F5"/>
    <w:rsid w:val="003B0150"/>
    <w:rsid w:val="003C222D"/>
    <w:rsid w:val="003F7588"/>
    <w:rsid w:val="00462B5F"/>
    <w:rsid w:val="004664BD"/>
    <w:rsid w:val="004A0374"/>
    <w:rsid w:val="00522DCC"/>
    <w:rsid w:val="005329A3"/>
    <w:rsid w:val="00556462"/>
    <w:rsid w:val="00561A79"/>
    <w:rsid w:val="00614CA4"/>
    <w:rsid w:val="0065106B"/>
    <w:rsid w:val="00661624"/>
    <w:rsid w:val="007C320F"/>
    <w:rsid w:val="00813316"/>
    <w:rsid w:val="008843D5"/>
    <w:rsid w:val="008B5FFA"/>
    <w:rsid w:val="00950817"/>
    <w:rsid w:val="00955A37"/>
    <w:rsid w:val="009A0D70"/>
    <w:rsid w:val="00AA50AB"/>
    <w:rsid w:val="00AA51DF"/>
    <w:rsid w:val="00AF65C6"/>
    <w:rsid w:val="00C813F8"/>
    <w:rsid w:val="00D0543F"/>
    <w:rsid w:val="00D7452C"/>
    <w:rsid w:val="00E03386"/>
    <w:rsid w:val="00E32D85"/>
    <w:rsid w:val="00E86F4F"/>
    <w:rsid w:val="00FA0D64"/>
    <w:rsid w:val="00F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D4ED"/>
  <w15:docId w15:val="{D6CDB8E5-C197-4BFA-9E40-E7EFEFCB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611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55A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37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3152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F7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9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Subho</cp:lastModifiedBy>
  <cp:revision>9</cp:revision>
  <dcterms:created xsi:type="dcterms:W3CDTF">2013-09-25T10:59:00Z</dcterms:created>
  <dcterms:modified xsi:type="dcterms:W3CDTF">2023-06-21T13:24:00Z</dcterms:modified>
</cp:coreProperties>
</file>