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r>
        <w:rPr>
          <w:b w:val="on"/>
          <w:sz w:val="32"/>
        </w:rPr>
        <w:t>TD Monthly Source Pack — August 2026</w:t>
      </w:r>
    </w:p>
    <w:p>
      <w:r>
        <w:rPr>
          <w:b w:val="on"/>
          <w:sz w:val="32"/>
        </w:rPr>
        <w:t>Delivery Highlights</w:t>
      </w:r>
    </w:p>
    <w:p>
      <w:r>
        <w:t>The Apollo programme closed its second release two weeks ahead of plan in August 2026. Client satisfaction climbed again, with the Net Promoter Score reaching NPS: 74 across all engaged accounts.</w:t>
      </w:r>
    </w:p>
    <w:p>
      <w:r>
        <w:t>The release added automated regression coverage for the payments module and cut the average deployment window from four hours to forty minutes.</w:t>
      </w:r>
    </w:p>
    <w:p>
      <w:r>
        <w:drawing>
          <wp:inline distT="0" distR="0" distB="0" distL="0">
            <wp:extent cx="5334000" cy="3556000"/>
            <wp:docPr id="0" name="Drawing 0" descr="photo.png"/>
            <a:graphic xmlns:a="http://schemas.openxmlformats.org/drawingml/2006/main">
              <a:graphicData uri="http://schemas.openxmlformats.org/drawingml/2006/picture">
                <pic:pic xmlns:pic="http://schemas.openxmlformats.org/drawingml/2006/picture">
                  <pic:nvPicPr>
                    <pic:cNvPr id="0" name="Picture 0" descr="photo.png"/>
                    <pic:cNvPicPr>
                      <a:picLocks noChangeAspect="true"/>
                    </pic:cNvPicPr>
                  </pic:nvPicPr>
                  <pic:blipFill>
                    <a:blip r:embed="rId2"/>
                    <a:stretch>
                      <a:fillRect/>
                    </a:stretch>
                  </pic:blipFill>
                  <pic:spPr>
                    <a:xfrm>
                      <a:off x="0" y="0"/>
                      <a:ext cx="5334000" cy="3556000"/>
                    </a:xfrm>
                    <a:prstGeom prst="rect">
                      <a:avLst/>
                    </a:prstGeom>
                  </pic:spPr>
                </pic:pic>
              </a:graphicData>
            </a:graphic>
          </wp:inline>
        </w:drawing>
      </w:r>
    </w:p>
    <w:p>
      <w:r>
        <w:rPr>
          <w:b w:val="on"/>
          <w:sz w:val="32"/>
        </w:rPr>
        <w:t>Customer Success</w:t>
      </w:r>
    </w:p>
    <w:p>
      <w:r>
        <w:t>A rural literacy initiative delivered with our long-standing public sector client reached its 5,000th learner this month. Field teams reported that evening classes now run in 42 villages, with attendance holding above 80 percent through the harvest season.</w:t>
      </w:r>
    </w:p>
    <w:p>
      <w:r>
        <w:drawing>
          <wp:inline distT="0" distR="0" distB="0" distL="0">
            <wp:extent cx="5334000" cy="3556000"/>
            <wp:docPr id="1" name="Drawing 1" descr="photo.png"/>
            <a:graphic xmlns:a="http://schemas.openxmlformats.org/drawingml/2006/main">
              <a:graphicData uri="http://schemas.openxmlformats.org/drawingml/2006/picture">
                <pic:pic xmlns:pic="http://schemas.openxmlformats.org/drawingml/2006/picture">
                  <pic:nvPicPr>
                    <pic:cNvPr id="0" name="Picture 1" descr="photo.png"/>
                    <pic:cNvPicPr>
                      <a:picLocks noChangeAspect="true"/>
                    </pic:cNvPicPr>
                  </pic:nvPicPr>
                  <pic:blipFill>
                    <a:blip r:embed="rId3"/>
                    <a:stretch>
                      <a:fillRect/>
                    </a:stretch>
                  </pic:blipFill>
                  <pic:spPr>
                    <a:xfrm>
                      <a:off x="0" y="0"/>
                      <a:ext cx="5334000" cy="3556000"/>
                    </a:xfrm>
                    <a:prstGeom prst="rect">
                      <a:avLst/>
                    </a:prstGeom>
                  </pic:spPr>
                </pic:pic>
              </a:graphicData>
            </a:graphic>
          </wp:inline>
        </w:drawing>
      </w:r>
    </w:p>
    <w:p>
      <w:r>
        <w:rPr>
          <w:b w:val="on"/>
          <w:sz w:val="32"/>
        </w:rPr>
        <w:t>Project Updates</w:t>
      </w:r>
    </w:p>
    <w:p>
      <w:r>
        <w:t>The data platform migration entered its final phase. All nine reporting pipelines now run on the new stack, and the legacy warehouse is scheduled for decommissioning in September.</w:t>
      </w:r>
    </w:p>
    <w:p>
      <w:r>
        <w:t>The mobile workforce app pilot expanded to two additional regions after positive feedback from the first 300 field engineers.</w:t>
      </w:r>
    </w:p>
    <w:p>
      <w:r>
        <w:drawing>
          <wp:inline distT="0" distR="0" distB="0" distL="0">
            <wp:extent cx="5334000" cy="3556000"/>
            <wp:docPr id="2" name="Drawing 2" descr="photo.png"/>
            <a:graphic xmlns:a="http://schemas.openxmlformats.org/drawingml/2006/main">
              <a:graphicData uri="http://schemas.openxmlformats.org/drawingml/2006/picture">
                <pic:pic xmlns:pic="http://schemas.openxmlformats.org/drawingml/2006/picture">
                  <pic:nvPicPr>
                    <pic:cNvPr id="0" name="Picture 2" descr="photo.png"/>
                    <pic:cNvPicPr>
                      <a:picLocks noChangeAspect="true"/>
                    </pic:cNvPicPr>
                  </pic:nvPicPr>
                  <pic:blipFill>
                    <a:blip r:embed="rId4"/>
                    <a:stretch>
                      <a:fillRect/>
                    </a:stretch>
                  </pic:blipFill>
                  <pic:spPr>
                    <a:xfrm>
                      <a:off x="0" y="0"/>
                      <a:ext cx="5334000" cy="3556000"/>
                    </a:xfrm>
                    <a:prstGeom prst="rect">
                      <a:avLst/>
                    </a:prstGeom>
                  </pic:spPr>
                </pic:pic>
              </a:graphicData>
            </a:graphic>
          </wp:inline>
        </w:drawing>
      </w:r>
    </w:p>
    <w:p>
      <w:r>
        <w:rPr>
          <w:b w:val="on"/>
          <w:sz w:val="32"/>
        </w:rPr>
        <w:t>Training and Learning</w:t>
      </w:r>
    </w:p>
    <w:p>
      <w:r>
        <w:t>The cloud certification drive concluded with 120 engineers earning associate credentials this quarter. A new applied AI curriculum opens for enrolment next month.</w:t>
      </w:r>
    </w:p>
    <w:p>
      <w:r>
        <w:rPr>
          <w:b w:val="on"/>
          <w:sz w:val="32"/>
        </w:rPr>
        <w:t>Upcoming Events</w:t>
      </w:r>
    </w:p>
    <w:p>
      <w:r>
        <w:t>Quarterly town hall on 12 September. Innovation day submissions close 20 September. The annual client summit is confirmed for the first week of October in Mumbai.</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media/image1.png" Type="http://schemas.openxmlformats.org/officeDocument/2006/relationships/image"/><Relationship Id="rId3" Target="media/image2.png" Type="http://schemas.openxmlformats.org/officeDocument/2006/relationships/image"/><Relationship Id="rId4"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2026-07-09T18:10:42Z</dcterms:created>
  <dc:creator>Apache POI</dc:creator>
</cp:coreProperties>
</file>