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TD Unit — Monthly Business Update — June 2026</w:t>
      </w:r>
    </w:p>
    <w:p>
      <w:r>
        <w:t>Internal source pack for the July 2026 issue of the TD Monthly Newsletter. Compiled by the Business Operations team on 30 June 2026. Contributions from delivery leads, account managers, HR, and the innovation office. Each entry below is a candidate story for the newsletter; editors may shorten or merge.</w:t>
      </w:r>
    </w:p>
    <w:p>
      <w:pPr>
        <w:pStyle w:val="Heading1"/>
      </w:pPr>
      <w:r>
        <w:t>Leadership Corner</w:t>
      </w:r>
    </w:p>
    <w:p>
      <w:pPr>
        <w:pStyle w:val="Heading2"/>
      </w:pPr>
      <w:r>
        <w:t>A Quarter of Momentum: Message from the Unit Head</w:t>
      </w:r>
    </w:p>
    <w:p>
      <w:r>
        <w:t>Dear colleagues, June closes one of the strongest quarters our unit has delivered. Revenue grew 12% year over year, we welcomed three new logos, and our delivery organisation shipped every committed milestone. None of this happens without the discipline and care each of you brings to your work every day.</w:t>
      </w:r>
    </w:p>
    <w:p>
      <w:r>
        <w:t>I want to single out the Meridian cutover team, who spent three weekends running dress rehearsals so the real one would feel routine — and it did. That is what operational excellence looks like: preparation nobody sees, producing outcomes everybody notices.</w:t>
      </w:r>
    </w:p>
    <w:p>
      <w:r>
        <w:t>The second half of 2026 will ask more of us: two major go-lives, the expansion of our GenAI programme, and an ambitious learning agenda. I am confident we will meet it the way we always have — together. Thank you for a remarkable quarter.</w:t>
      </w:r>
    </w:p>
    <w:p>
      <w:r>
        <w:t>— Rajesh Iyer, Unit Head, Technology &amp; Delivery</w:t>
      </w:r>
    </w:p>
    <w:p>
      <w:pPr>
        <w:pStyle w:val="Heading1"/>
      </w:pPr>
      <w:r>
        <w:t>Delivery Highlights</w:t>
      </w:r>
    </w:p>
    <w:p>
      <w:pPr>
        <w:pStyle w:val="Heading2"/>
      </w:pPr>
      <w:r>
        <w:t>Project Meridian Goes Live for NordBank</w:t>
      </w:r>
    </w:p>
    <w:p>
      <w:r>
        <w:t>After a 14-month programme, the Meridian core-banking migration went live for NordBank on 12 June 2026. The cutover moved 4.2 million customer accounts to the new platform over a single weekend with zero Sev-1 incidents and full reconciliation completed nine hours ahead of plan.</w:t>
      </w:r>
    </w:p>
    <w:p>
      <w:r>
        <w:t>The migration retired NordBank's 30-year-old ledger system and consolidates deposits, lending, and payments onto a single cloud-native core. Post-go-live monitoring over the first two weeks recorded 99.98% availability and a 35% improvement in end-of-day batch completion times.</w:t>
      </w:r>
    </w:p>
    <w:p>
      <w:r>
        <w:t>A 60-strong joint team ran three full dress rehearsals in the preceding quarter, which the client cited as the decisive factor in the smooth cutover. A hypercare rotation continues through the end of July.</w:t>
      </w:r>
    </w:p>
    <w:p>
      <w:pPr>
        <w:pStyle w:val="Heading2"/>
      </w:pPr>
      <w:r>
        <w:t>Zero-Defect Release for the Helios Retail Platform</w:t>
      </w:r>
    </w:p>
    <w:p>
      <w:r>
        <w:t>Release 9.4 of the Helios retail platform reached all 312 stores of the RetailCo estate in June with a defect-leakage rate of 0.02% — the best result in the programme's history. The release introduced dynamic pricing and a redesigned returns workflow.</w:t>
      </w:r>
    </w:p>
    <w:p>
      <w:r>
        <w:t>The quality step-change follows a year-long investment in test automation: the regression suite now covers 4,800 cases and completes in 38 minutes, letting the team run it on every merge instead of nightly. Store associates rated the new returns workflow 4.7 out of 5 in the post-rollout survey.</w:t>
      </w:r>
    </w:p>
    <w:p>
      <w:pPr>
        <w:pStyle w:val="ListBullet"/>
      </w:pPr>
      <w:r>
        <w:t>312 stores updated in a phased four-day rollout</w:t>
      </w:r>
    </w:p>
    <w:p>
      <w:pPr>
        <w:pStyle w:val="ListBullet"/>
      </w:pPr>
      <w:r>
        <w:t>0.02% defect leakage, down from 0.9% a year ago</w:t>
      </w:r>
    </w:p>
    <w:p>
      <w:pPr>
        <w:pStyle w:val="ListBullet"/>
      </w:pPr>
      <w:r>
        <w:t>Regression suite fully automated: 4,800 test cases in 38 minutes</w:t>
      </w:r>
    </w:p>
    <w:p>
      <w:pPr>
        <w:pStyle w:val="Heading2"/>
      </w:pPr>
      <w:r>
        <w:t>Delivery KPI Snapshot — June 2026</w:t>
      </w:r>
    </w:p>
    <w:p>
      <w:r>
        <w:t>Monthly delivery indicators continued to improve across the board. On-time delivery reached 96%, and Sev-1 incidents fell to a single occurrence across all engagements. The automation-coverage gain reflects the Helios and Atlas teams onboarding onto the shared test framework during the month.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KPI</w:t>
            </w:r>
          </w:p>
        </w:tc>
        <w:tc>
          <w:tcPr>
            <w:tcW w:type="dxa" w:w="2160"/>
          </w:tcPr>
          <w:p>
            <w:r>
              <w:t>May 2026</w:t>
            </w:r>
          </w:p>
        </w:tc>
        <w:tc>
          <w:tcPr>
            <w:tcW w:type="dxa" w:w="2160"/>
          </w:tcPr>
          <w:p>
            <w:r>
              <w:t>June 2026</w:t>
            </w:r>
          </w:p>
        </w:tc>
        <w:tc>
          <w:tcPr>
            <w:tcW w:type="dxa" w:w="2160"/>
          </w:tcPr>
          <w:p>
            <w:r>
              <w:t>Trend</w:t>
            </w:r>
          </w:p>
        </w:tc>
      </w:tr>
      <w:tr>
        <w:tc>
          <w:tcPr>
            <w:tcW w:type="dxa" w:w="2160"/>
          </w:tcPr>
          <w:p>
            <w:r>
              <w:t>On-time delivery</w:t>
            </w:r>
          </w:p>
        </w:tc>
        <w:tc>
          <w:tcPr>
            <w:tcW w:type="dxa" w:w="2160"/>
          </w:tcPr>
          <w:p>
            <w:r>
              <w:t>92%</w:t>
            </w:r>
          </w:p>
        </w:tc>
        <w:tc>
          <w:tcPr>
            <w:tcW w:type="dxa" w:w="2160"/>
          </w:tcPr>
          <w:p>
            <w:r>
              <w:t>96%</w:t>
            </w:r>
          </w:p>
        </w:tc>
        <w:tc>
          <w:tcPr>
            <w:tcW w:type="dxa" w:w="2160"/>
          </w:tcPr>
          <w:p>
            <w:r>
              <w:t>Up</w:t>
            </w:r>
          </w:p>
        </w:tc>
      </w:tr>
      <w:tr>
        <w:tc>
          <w:tcPr>
            <w:tcW w:type="dxa" w:w="2160"/>
          </w:tcPr>
          <w:p>
            <w:r>
              <w:t>Client CSAT (of 5)</w:t>
            </w:r>
          </w:p>
        </w:tc>
        <w:tc>
          <w:tcPr>
            <w:tcW w:type="dxa" w:w="2160"/>
          </w:tcPr>
          <w:p>
            <w:r>
              <w:t>4.3</w:t>
            </w:r>
          </w:p>
        </w:tc>
        <w:tc>
          <w:tcPr>
            <w:tcW w:type="dxa" w:w="2160"/>
          </w:tcPr>
          <w:p>
            <w:r>
              <w:t>4.6</w:t>
            </w:r>
          </w:p>
        </w:tc>
        <w:tc>
          <w:tcPr>
            <w:tcW w:type="dxa" w:w="2160"/>
          </w:tcPr>
          <w:p>
            <w:r>
              <w:t>Up</w:t>
            </w:r>
          </w:p>
        </w:tc>
      </w:tr>
      <w:tr>
        <w:tc>
          <w:tcPr>
            <w:tcW w:type="dxa" w:w="2160"/>
          </w:tcPr>
          <w:p>
            <w:r>
              <w:t>Sev-1 incidents</w:t>
            </w:r>
          </w:p>
        </w:tc>
        <w:tc>
          <w:tcPr>
            <w:tcW w:type="dxa" w:w="2160"/>
          </w:tcPr>
          <w:p>
            <w:r>
              <w:t>3</w:t>
            </w:r>
          </w:p>
        </w:tc>
        <w:tc>
          <w:tcPr>
            <w:tcW w:type="dxa" w:w="2160"/>
          </w:tcPr>
          <w:p>
            <w:r>
              <w:t>1</w:t>
            </w:r>
          </w:p>
        </w:tc>
        <w:tc>
          <w:tcPr>
            <w:tcW w:type="dxa" w:w="2160"/>
          </w:tcPr>
          <w:p>
            <w:r>
              <w:t>Down</w:t>
            </w:r>
          </w:p>
        </w:tc>
      </w:tr>
      <w:tr>
        <w:tc>
          <w:tcPr>
            <w:tcW w:type="dxa" w:w="2160"/>
          </w:tcPr>
          <w:p>
            <w:r>
              <w:t>Test automation coverage</w:t>
            </w:r>
          </w:p>
        </w:tc>
        <w:tc>
          <w:tcPr>
            <w:tcW w:type="dxa" w:w="2160"/>
          </w:tcPr>
          <w:p>
            <w:r>
              <w:t>68%</w:t>
            </w:r>
          </w:p>
        </w:tc>
        <w:tc>
          <w:tcPr>
            <w:tcW w:type="dxa" w:w="2160"/>
          </w:tcPr>
          <w:p>
            <w:r>
              <w:t>74%</w:t>
            </w:r>
          </w:p>
        </w:tc>
        <w:tc>
          <w:tcPr>
            <w:tcW w:type="dxa" w:w="2160"/>
          </w:tcPr>
          <w:p>
            <w:r>
              <w:t>Up</w:t>
            </w:r>
          </w:p>
        </w:tc>
      </w:tr>
      <w:tr>
        <w:tc>
          <w:tcPr>
            <w:tcW w:type="dxa" w:w="2160"/>
          </w:tcPr>
          <w:p>
            <w:r>
              <w:t>Mean time to restore</w:t>
            </w:r>
          </w:p>
        </w:tc>
        <w:tc>
          <w:tcPr>
            <w:tcW w:type="dxa" w:w="2160"/>
          </w:tcPr>
          <w:p>
            <w:r>
              <w:t>3.1 h</w:t>
            </w:r>
          </w:p>
        </w:tc>
        <w:tc>
          <w:tcPr>
            <w:tcW w:type="dxa" w:w="2160"/>
          </w:tcPr>
          <w:p>
            <w:r>
              <w:t>2.2 h</w:t>
            </w:r>
          </w:p>
        </w:tc>
        <w:tc>
          <w:tcPr>
            <w:tcW w:type="dxa" w:w="2160"/>
          </w:tcPr>
          <w:p>
            <w:r>
              <w:t>Down</w:t>
            </w:r>
          </w:p>
        </w:tc>
      </w:tr>
    </w:tbl>
    <w:p>
      <w:pPr>
        <w:pStyle w:val="Heading2"/>
      </w:pPr>
      <w:r>
        <w:t>Mainframe Modernization Finishes Six Weeks Early</w:t>
      </w:r>
    </w:p>
    <w:p>
      <w:r>
        <w:t>The Cobalt mainframe-modernization engagement for Meridian Insurance converted 1.8 million lines of COBOL to Java services and completed six weeks ahead of schedule. The client's infrastructure run-cost is projected to fall by 22% annually, and batch windows shrank from 6 hours to 40 minutes.</w:t>
      </w:r>
    </w:p>
    <w:p>
      <w:r>
        <w:t>The team credits the early finish to its automated translation toolchain, which handled 72% of the conversion mechanically and flagged the remainder for expert review. Meridian Insurance has asked for a proposal to modernise its remaining two mainframe estates using the same approach in 2027.</w:t>
      </w:r>
    </w:p>
    <w:p>
      <w:pPr>
        <w:pStyle w:val="Heading1"/>
      </w:pPr>
      <w:r>
        <w:t>Project Updates</w:t>
      </w:r>
    </w:p>
    <w:p>
      <w:pPr>
        <w:pStyle w:val="Heading2"/>
      </w:pPr>
      <w:r>
        <w:t>Project Atlas Enters User Acceptance Testing</w:t>
      </w:r>
    </w:p>
    <w:p>
      <w:r>
        <w:t>The Atlas claims-processing platform for Meridian Insurance enters UAT on 15 July 2026. The business has signed off 48 end-to-end test scenarios covering intake, adjudication, and payment. Go-live remains on track for October 2026.</w:t>
      </w:r>
    </w:p>
    <w:p>
      <w:r>
        <w:t>During system testing the team closed 214 defects, none of them critical in the final two weeks. Twenty client-side testers have been trained on the new adjudication console, and a daily triage call will run for the six-week UAT window.</w:t>
      </w:r>
    </w:p>
    <w:p>
      <w:pPr>
        <w:pStyle w:val="Heading2"/>
      </w:pPr>
      <w:r>
        <w:t>Phoenix Data Platform: Phase 2 Kicks Off</w:t>
      </w:r>
    </w:p>
    <w:p>
      <w:r>
        <w:t>Phase 2 of the Phoenix data platform started on 23 June and will onboard more than 40 source systems onto the Snowflake lakehouse by Q4 2026. The phase adds near-real-time ingestion for the trading and risk domains and introduces column-level lineage.</w:t>
      </w:r>
    </w:p>
    <w:p>
      <w:r>
        <w:t>Phase 1 assets are already in daily use: 130 analysts run their reporting from Phoenix, and the finance close now completes a day earlier. The Phase 2 team has grown to 28, with new pods for streaming ingestion and data governance.</w:t>
      </w:r>
    </w:p>
    <w:p>
      <w:pPr>
        <w:pStyle w:val="Heading2"/>
      </w:pPr>
      <w:r>
        <w:t>Orion Mobile Redesign Reaches 60% Completion</w:t>
      </w:r>
    </w:p>
    <w:p>
      <w:r>
        <w:t>The Orion mobile-app redesign is 60% complete. All customer journeys are being rebuilt to WCAG 2.2 AA accessibility standards, and early usability testing with 24 participants scored the new navigation 18 points higher on the System Usability Scale.</w:t>
      </w:r>
    </w:p>
    <w:p>
      <w:r>
        <w:t>The design system behind the rebuild — 62 reusable components with tokenised theming — will be shared with the Helios and Atlas front-end teams, cutting future UI build effort by an estimated 30%. Beta release to 5,000 opt-in customers is planned for September.</w:t>
      </w:r>
    </w:p>
    <w:p>
      <w:pPr>
        <w:pStyle w:val="Heading2"/>
      </w:pPr>
      <w:r>
        <w:t>Legacy Decommissioning Programme Update</w:t>
      </w:r>
    </w:p>
    <w:p>
      <w:r>
        <w:t>Eleven of the 23 legacy applications in scope have now been retired, unlocking $340,000 in annual run savings. The team expects to retire six more systems by September, with archival of regulated data handled through the new compliance vault.</w:t>
      </w:r>
    </w:p>
    <w:p>
      <w:r>
        <w:t>June's retirements included the fifteen-year-old order-tracking portal and two duplicate reporting tools. Each decommission follows the same playbook: usage analytics to confirm dormancy, a 60-day stakeholder notice, data archival with retention tagging, and finally infrastructure teardown.</w:t>
      </w:r>
    </w:p>
    <w:p>
      <w:pPr>
        <w:pStyle w:val="Heading1"/>
      </w:pPr>
      <w:r>
        <w:t>Customer Success</w:t>
      </w:r>
    </w:p>
    <w:p>
      <w:pPr>
        <w:pStyle w:val="Heading2"/>
      </w:pPr>
      <w:r>
        <w:t>TechNova Renews Partnership for Three More Years</w:t>
      </w:r>
    </w:p>
    <w:p>
      <w:r>
        <w:t>TechNova Systems signed a three-year, $18 million renewal covering application management and cloud operations — the account's largest commitment to date. The renewal expands scope to include TechNova's newly acquired subsidiary and adds an innovation fund for two co-developed proofs of concept per year.</w:t>
      </w:r>
    </w:p>
    <w:p>
      <w:r>
        <w:rPr>
          <w:i/>
        </w:rPr>
        <w:t>"The team consistently behaves like an extension of our own engineering organisation. Renewing was the easiest decision we made this year." — Sarah Mitchell, CIO, TechNova Systems</w:t>
      </w:r>
    </w:p>
    <w:p>
      <w:pPr>
        <w:pStyle w:val="Heading2"/>
      </w:pPr>
      <w:r>
        <w:t>GlobalMart Checkout Latency Down 45%</w:t>
      </w:r>
    </w:p>
    <w:p>
      <w:r>
        <w:t>A ten-week performance programme for GlobalMart cut p95 checkout latency by 45% ahead of the summer sale season. The work combined query optimisation, a Redis caching layer, and the removal of three synchronous service hops.</w:t>
      </w:r>
    </w:p>
    <w:p>
      <w:r>
        <w:t>The programme also left GlobalMart with a permanent performance dashboard and automated load tests wired into their release pipeline, so regressions are caught before deployment rather than on peak trading days.</w:t>
      </w:r>
    </w:p>
    <w:p>
      <w:r>
        <w:rPr>
          <w:i/>
        </w:rPr>
        <w:t>"Our conversion rate is up 6% since the fix — this work paid for itself in a month." — Daniel Okafor, VP Engineering, GlobalMart</w:t>
      </w:r>
    </w:p>
    <w:p>
      <w:pPr>
        <w:pStyle w:val="Heading2"/>
      </w:pPr>
      <w:r>
        <w:t>Unit NPS Reaches All-Time High of 72</w:t>
      </w:r>
    </w:p>
    <w:p>
      <w:r>
        <w:t>The June client survey put the unit's Net Promoter Score at 72, up from 64 in March and the highest since measurement began in 2021. Respondents most often cited proactive communication and quality of releases.</w:t>
      </w:r>
    </w:p>
    <w:p>
      <w:r>
        <w:t>Thirty-one client executives across 14 accounts responded, a 78% response rate. The two improvement themes — faster onboarding of new team members and clearer change-request pricing — have been assigned owners, with actions due before the September survey.</w:t>
      </w:r>
    </w:p>
    <w:p>
      <w:pPr>
        <w:pStyle w:val="Heading1"/>
      </w:pPr>
      <w:r>
        <w:t>AI &amp; Technology Initiatives</w:t>
      </w:r>
    </w:p>
    <w:p>
      <w:pPr>
        <w:pStyle w:val="Heading2"/>
      </w:pPr>
      <w:r>
        <w:t>GenAI Code Assistant Pilot Expands to 400 Developers</w:t>
      </w:r>
    </w:p>
    <w:p>
      <w:r>
        <w:t>Following a successful 80-developer pilot, the GenAI code-assistant programme expands to 400 developers in July. Pilot teams completed code reviews 28% faster and reported a measurable drop in boilerplate defects. Guardrails include mandatory human review and an approved-model allowlist.</w:t>
      </w:r>
    </w:p>
    <w:p>
      <w:r>
        <w:t>The expansion adds usage analytics so team leads can see where the assistant helps most; early data shows the biggest gains in unit-test scaffolding and documentation. A study comparing defect density between assisted and unassisted teams will publish in October.</w:t>
      </w:r>
    </w:p>
    <w:p>
      <w:pPr>
        <w:pStyle w:val="Heading2"/>
      </w:pPr>
      <w:r>
        <w:t>RAG Knowledge Assistant Launches for Support Teams</w:t>
      </w:r>
    </w:p>
    <w:p>
      <w:r>
        <w:t>A retrieval-augmented knowledge assistant went live for the L2 support organisation in June. It indexes 12,000 runbooks and past incident reports; average resolution time for covered categories fell 31% in the first month.</w:t>
      </w:r>
    </w:p>
    <w:p>
      <w:r>
        <w:t>Every answer cites its source documents, and a feedback button routes low-confidence answers to knowledge-base owners — 140 stale runbooks have already been corrected this way. Rollout to the L1 service desk is scheduled for August.</w:t>
      </w:r>
    </w:p>
    <w:p>
      <w:pPr>
        <w:pStyle w:val="Heading2"/>
      </w:pPr>
      <w:r>
        <w:t>Kubernetes Platform Upgraded Across All Clusters</w:t>
      </w:r>
    </w:p>
    <w:p>
      <w:r>
        <w:t>The platform team completed the upgrade of all production clusters to Kubernetes 1.31, migrating 140 microservices with no customer-facing downtime. The upgrade unlocks native sidecar containers and cuts node provisioning time in half.</w:t>
      </w:r>
    </w:p>
    <w:p>
      <w:r>
        <w:t>The rollout used a blue-green cluster strategy: workloads shifted namespace by namespace behind the service mesh, with automated rollback on error-budget burn. The playbook has been published internally and two client platform teams have asked to adopt it.</w:t>
      </w:r>
    </w:p>
    <w:p>
      <w:pPr>
        <w:pStyle w:val="Heading2"/>
      </w:pPr>
      <w:r>
        <w:t>Innovation Lab Files Three Patents</w:t>
      </w:r>
    </w:p>
    <w:p>
      <w:r>
        <w:t>The Innovation Lab filed three patent applications in June: an adaptive test-selection algorithm, a privacy-preserving synthetic-data generator, and a method for incremental schema migration in event streams. Two of the three are already in pilot with delivery teams.</w:t>
      </w:r>
    </w:p>
    <w:p>
      <w:r>
        <w:t>The adaptive test-selection pilot on the Helios programme cut average CI time by 22 minutes per build while holding escaped-defect rates flat — the strongest early signal the lab has recorded for a research transfer.</w:t>
      </w:r>
    </w:p>
    <w:p>
      <w:pPr>
        <w:pStyle w:val="Heading1"/>
      </w:pPr>
      <w:r>
        <w:t>Awards &amp; Recognition</w:t>
      </w:r>
    </w:p>
    <w:p>
      <w:pPr>
        <w:pStyle w:val="Heading2"/>
      </w:pPr>
      <w:r>
        <w:t>TD Unit Wins Delivery Excellence Award at Annual Summit</w:t>
      </w:r>
    </w:p>
    <w:p>
      <w:r>
        <w:t>The unit received the Delivery Excellence Award at the annual corporate summit in Mumbai on 20 June, recognising the NordBank cutover and the year's zero-Sev-1 release record across the retail portfolio. The award was accepted on stage by delivery director Priya Nair on behalf of the 300-person delivery organisation.</w:t>
      </w:r>
    </w:p>
    <w:p>
      <w:pPr>
        <w:pStyle w:val="Heading2"/>
      </w:pPr>
      <w:r>
        <w:t>Anita Deshmukh Named Architect of the Year</w:t>
      </w:r>
    </w:p>
    <w:p>
      <w:r>
        <w:t>Principal architect Anita Deshmukh was named Architect of the Year for the design of the Phoenix lakehouse and her mentorship of twelve associate architects through the certification programme. Nine of her mentees passed their board reviews this year, the highest cohort result on record.</w:t>
      </w:r>
    </w:p>
    <w:p>
      <w:pPr>
        <w:pStyle w:val="Heading2"/>
      </w:pPr>
      <w:r>
        <w:t>Team Falcon Receives NordBank's Client Champion Award</w:t>
      </w:r>
    </w:p>
    <w:p>
      <w:r>
        <w:t>NordBank presented its quarterly Client Champion Award to Team Falcon for the dress-rehearsal programme that de-risked the Meridian go-live. The award includes a client-funded team development budget, which the team has voted to spend on site-reliability engineering certifications.</w:t>
      </w:r>
    </w:p>
    <w:p>
      <w:pPr>
        <w:pStyle w:val="Heading1"/>
      </w:pPr>
      <w:r>
        <w:t>Training &amp; Learning</w:t>
      </w:r>
    </w:p>
    <w:p>
      <w:pPr>
        <w:pStyle w:val="Heading2"/>
      </w:pPr>
      <w:r>
        <w:t>1,200 Associates Complete GenAI Certification</w:t>
      </w:r>
    </w:p>
    <w:p>
      <w:r>
        <w:t>The unit crossed 1,200 GenAI foundation certifications in June, reaching 78% of all billable associates. An advanced track on agentic systems opens in August with 200 seats.</w:t>
      </w:r>
    </w:p>
    <w:p>
      <w:r>
        <w:t>The certification combines self-paced modules with a graded practical: each associate ships a small retrieval-augmented application reviewed by a certified assessor. The practical pass rate rose to 84% after the new lab environment launched in May.</w:t>
      </w:r>
    </w:p>
    <w:p>
      <w:pPr>
        <w:pStyle w:val="Heading2"/>
      </w:pPr>
      <w:r>
        <w:t>Cloud Academy: New Cohort Starts in August</w:t>
      </w:r>
    </w:p>
    <w:p>
      <w:r>
        <w:t>The fourth Cloud Academy cohort begins on 4 August 2026 with 150 seats across AWS and Azure tracks. Graduates of the previous cohort achieved a 92% first-attempt pass rate on associate-level certifications, and 40 of them have since moved into cloud-engineering roles on client engagements.</w:t>
      </w:r>
    </w:p>
    <w:p>
      <w:pPr>
        <w:pStyle w:val="Heading2"/>
      </w:pPr>
      <w:r>
        <w:t>Secure Coding Lunch-and-Learn Series Concludes</w:t>
      </w:r>
    </w:p>
    <w:p>
      <w:r>
        <w:t>The six-session secure-coding series wrapped up with an average attendance of 89%. Session recordings and the OWASP-aligned checklist are available on the learning portal.</w:t>
      </w:r>
    </w:p>
    <w:p>
      <w:r>
        <w:t>The series covered injection defences, secrets management, dependency hygiene, and threat modelling. Static-analysis findings per thousand lines of code have fallen 19% since the series began, and a follow-up capture-the-flag event is planned for Q4.</w:t>
      </w:r>
    </w:p>
    <w:p>
      <w:pPr>
        <w:pStyle w:val="Heading1"/>
      </w:pPr>
      <w:r>
        <w:t>Upcoming Events</w:t>
      </w:r>
    </w:p>
    <w:p>
      <w:pPr>
        <w:pStyle w:val="Heading2"/>
      </w:pPr>
      <w:r>
        <w:t>Quarterly Town Hall on 24 July</w:t>
      </w:r>
    </w:p>
    <w:p>
      <w:r>
        <w:t>The Q3 town hall takes place on 24 July 2026 at 4:00 PM IST, hybrid from the Chennai campus. Agenda: H1 results, the H2 delivery roadmap, and an extended Q&amp;A with the leadership team. Submit questions in advance through the town-hall portal; the twenty most-voted questions are answered live.</w:t>
      </w:r>
    </w:p>
    <w:p>
      <w:pPr>
        <w:pStyle w:val="Heading2"/>
      </w:pPr>
      <w:r>
        <w:t>InnoSprint 2026 Hackathon — Registration Open</w:t>
      </w:r>
    </w:p>
    <w:p>
      <w:r>
        <w:t>Registration is open for InnoSprint 2026, the unit's annual hackathon, running 5–6 September. Teams of up to four can enter tracks on agentic AI, developer productivity, and sustainability. Winning teams present to the client advisory board.</w:t>
      </w:r>
    </w:p>
    <w:p>
      <w:r>
        <w:t>Last year's winning entry — an automated release-notes generator — is now in production use on eight engagements. Mentors from the Innovation Lab are available to teams every Friday until the event, and registration closes on 22 August.</w:t>
      </w:r>
    </w:p>
    <w:p>
      <w:pPr>
        <w:pStyle w:val="Heading2"/>
      </w:pPr>
      <w:r>
        <w:t>Customer Advisory Board Meets in Frankfurt</w:t>
      </w:r>
    </w:p>
    <w:p>
      <w:r>
        <w:t>The bi-annual Customer Advisory Board convenes in Frankfurt on 12 August 2026. Eleven client executives have confirmed attendance; the agenda focuses on GenAI adoption roadmaps and co-innovation funding for 2027. Outputs will shape the unit's investment plan presented at the November leadership offsite.</w:t>
      </w:r>
    </w:p>
    <w:p>
      <w:pPr>
        <w:pStyle w:val="Heading1"/>
      </w:pPr>
      <w:r>
        <w:t>People &amp; Community</w:t>
      </w:r>
    </w:p>
    <w:p>
      <w:pPr>
        <w:pStyle w:val="Heading2"/>
      </w:pPr>
      <w:r>
        <w:t>CSR Drive Plants 3,000 Trees</w:t>
      </w:r>
    </w:p>
    <w:p>
      <w:r>
        <w:t>Volunteers from the Chennai and Pune offices planted 3,000 native saplings across two weekends in June as part of the corporate sustainability pledge. 240 associates took part, and the programme targets 10,000 trees by year end.</w:t>
      </w:r>
    </w:p>
    <w:p>
      <w:r>
        <w:t>The plantation sites were selected with a local environmental trust, which will maintain the saplings for two years and report survival rates each quarter. A companion drive to eliminate single-use plastics from both campuses starts in July.</w:t>
      </w:r>
    </w:p>
    <w:p>
      <w:pPr>
        <w:pStyle w:val="Heading2"/>
      </w:pPr>
      <w:r>
        <w:t>Welcoming 45 New Graduates</w:t>
      </w:r>
    </w:p>
    <w:p>
      <w:r>
        <w:t>Forty-five graduates joined the unit in June from the campus programme. After a six-week bootcamp covering cloud, quality engineering, and the delivery playbook, they will rotate through three project assignments before permanent placement.</w:t>
      </w:r>
    </w:p>
    <w:p>
      <w:r>
        <w:t>This cohort was selected from 3,800 applicants across 22 universities. Each graduate is paired with a buddy from last year's intake and a senior mentor; the buddy programme lifted first-year retention to 94% when it was introduced.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