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color w:val="1F3864"/>
          <w:sz w:val="26"/>
          <w:szCs w:val="26"/>
        </w:rPr>
        <w:t xml:space="preserve">Predicting Consequential Volume Errors in Automated Brain-Tumour MRI Segmentation</w:t>
      </w:r>
    </w:p>
    <w:p>
      <w:pPr>
        <w:spacing w:after="40"/>
        <w:jc w:val="center"/>
      </w:pPr>
      <w:r>
        <w:rPr>
          <w:rFonts w:ascii="Times New Roman" w:cs="Times New Roman" w:eastAsia="Times New Roman" w:hAnsi="Times New Roman"/>
          <w:b w:val="false"/>
          <w:bCs w:val="false"/>
          <w:i/>
          <w:iCs/>
          <w:sz w:val="22"/>
          <w:szCs w:val="22"/>
        </w:rPr>
        <w:t xml:space="preserve">[Author Name(s)]</w:t>
      </w:r>
      <w:r>
        <w:rPr>
          <w:rFonts w:ascii="Times New Roman" w:cs="Times New Roman" w:eastAsia="Times New Roman" w:hAnsi="Times New Roman"/>
          <w:b w:val="false"/>
          <w:bCs w:val="false"/>
          <w:i/>
          <w:iCs/>
          <w:sz w:val="16"/>
          <w:szCs w:val="16"/>
        </w:rPr>
        <w:t xml:space="preserve">¹</w:t>
      </w:r>
      <w:r>
        <w:rPr>
          <w:rFonts w:ascii="Times New Roman" w:cs="Times New Roman" w:eastAsia="Times New Roman" w:hAnsi="Times New Roman"/>
          <w:b w:val="false"/>
          <w:bCs w:val="false"/>
          <w:i/>
          <w:iCs/>
          <w:sz w:val="22"/>
          <w:szCs w:val="22"/>
        </w:rPr>
        <w:t xml:space="preserve">, [Supervisor / Co-author]</w:t>
      </w:r>
      <w:r>
        <w:rPr>
          <w:rFonts w:ascii="Times New Roman" w:cs="Times New Roman" w:eastAsia="Times New Roman" w:hAnsi="Times New Roman"/>
          <w:b w:val="false"/>
          <w:bCs w:val="false"/>
          <w:i/>
          <w:iCs/>
          <w:sz w:val="16"/>
          <w:szCs w:val="16"/>
        </w:rPr>
        <w:t xml:space="preserve">¹</w:t>
      </w:r>
    </w:p>
    <w:p>
      <w:pPr>
        <w:spacing w:after="40"/>
        <w:jc w:val="center"/>
      </w:pPr>
      <w:r>
        <w:rPr>
          <w:rFonts w:ascii="Times New Roman" w:cs="Times New Roman" w:eastAsia="Times New Roman" w:hAnsi="Times New Roman"/>
          <w:b w:val="false"/>
          <w:bCs w:val="false"/>
          <w:i/>
          <w:iCs/>
          <w:color w:val="555555"/>
          <w:sz w:val="20"/>
          <w:szCs w:val="20"/>
        </w:rPr>
        <w:t xml:space="preserve">¹[Department, Institution, City, Country] · [corresponding email]</w:t>
      </w:r>
    </w:p>
    <w:p>
      <w:pPr>
        <w:spacing w:after="120"/>
        <w:jc w:val="center"/>
      </w:pPr>
      <w:r>
        <w:rPr>
          <w:rFonts w:ascii="Times New Roman" w:cs="Times New Roman" w:eastAsia="Times New Roman" w:hAnsi="Times New Roman"/>
          <w:b w:val="false"/>
          <w:bCs w:val="false"/>
          <w:i w:val="false"/>
          <w:iCs w:val="false"/>
          <w:color w:val="777777"/>
          <w:sz w:val="18"/>
          <w:szCs w:val="18"/>
        </w:rPr>
        <w:t xml:space="preserve">University AI course project</w:t>
      </w:r>
    </w:p>
    <w:p>
      <w:pPr>
        <w:pBdr>
          <w:bottom w:val="single" w:color="BBBBBB" w:sz="6" w:space="6"/>
        </w:pBdr>
        <w:spacing w:after="160"/>
      </w:pPr>
      <w:r>
        <w:rPr>
          <w:rFonts w:ascii="Times New Roman" w:cs="Times New Roman" w:eastAsia="Times New Roman" w:hAnsi="Times New Roman"/>
          <w:b w:val="false"/>
          <w:bCs w:val="false"/>
          <w:i w:val="false"/>
          <w:iCs w:val="false"/>
          <w:sz w:val="22"/>
          <w:szCs w:val="22"/>
        </w:rPr>
        <w:t xml:space="preserve"/>
      </w:r>
    </w:p>
    <w:p>
      <w:pPr>
        <w:spacing w:after="130"/>
        <w:jc w:val="both"/>
      </w:pPr>
      <w:r>
        <w:rPr>
          <w:rFonts w:ascii="Times New Roman" w:cs="Times New Roman" w:eastAsia="Times New Roman" w:hAnsi="Times New Roman"/>
          <w:b w:val="false"/>
          <w:bCs w:val="false"/>
          <w:i w:val="false"/>
          <w:iCs w:val="false"/>
          <w:sz w:val="22"/>
          <w:szCs w:val="22"/>
        </w:rPr>
        <w:t xml:space="preserve">Tumour volume measured from brain MRI guides the assessment of glioma progression and treatment response, yet automated segmentation occasionally mis-estimates volume enough to mislead clinical interpretation. Safe large-scale use therefore requires knowing, for each scan, whether an output can be trusted. Existing reliability methods largely relate uncertainty to overlap metrics such as the Dice coefficient rather than to volume error, seldom define error against a pre-specified clinical threshold, and are rarely framed as an operational triage task.</w:t>
      </w:r>
    </w:p>
    <w:p>
      <w:pPr>
        <w:spacing w:after="130"/>
        <w:jc w:val="both"/>
      </w:pPr>
      <w:r>
        <w:rPr>
          <w:rFonts w:ascii="Times New Roman" w:cs="Times New Roman" w:eastAsia="Times New Roman" w:hAnsi="Times New Roman"/>
          <w:b w:val="false"/>
          <w:bCs w:val="false"/>
          <w:i w:val="false"/>
          <w:iCs w:val="false"/>
          <w:sz w:val="22"/>
          <w:szCs w:val="22"/>
        </w:rPr>
        <w:t xml:space="preserve">We study segmentation reliability as the case-level prediction of </w:t>
      </w:r>
      <w:r>
        <w:rPr>
          <w:rFonts w:ascii="Times New Roman" w:cs="Times New Roman" w:eastAsia="Times New Roman" w:hAnsi="Times New Roman"/>
          <w:b w:val="false"/>
          <w:bCs w:val="false"/>
          <w:i/>
          <w:iCs/>
          <w:sz w:val="22"/>
          <w:szCs w:val="22"/>
        </w:rPr>
        <w:t xml:space="preserve">consequential volume error</w:t>
      </w:r>
      <w:r>
        <w:rPr>
          <w:rFonts w:ascii="Times New Roman" w:cs="Times New Roman" w:eastAsia="Times New Roman" w:hAnsi="Times New Roman"/>
          <w:b w:val="false"/>
          <w:bCs w:val="false"/>
          <w:i w:val="false"/>
          <w:iCs w:val="false"/>
          <w:sz w:val="22"/>
          <w:szCs w:val="22"/>
        </w:rPr>
        <w:t xml:space="preserve">. Without introducing a new segmentation architecture or uncertainty method, we take a standard 3D U-Net and ask whether simple, interpretable models can predict—from the model’s own stochastic behaviour (Monte-Carlo dropout with test-time augmentation)—when an output’s whole-tumour volume error exceeds a clinically motivated threshold (≥ 25% and ≥ 1 mL) fixed before evaluation. Case-level features spanning uncertainty, inter-prediction disagreement, and boundary/shape are compared, using logistic regression and gradient boosting, against predicted-volume-only and standard-uncertainty baselines, with patient-level data splits.</w:t>
      </w:r>
    </w:p>
    <w:p>
      <w:pPr>
        <w:spacing w:after="130"/>
        <w:jc w:val="both"/>
      </w:pPr>
      <w:r>
        <w:rPr>
          <w:rFonts w:ascii="Times New Roman" w:cs="Times New Roman" w:eastAsia="Times New Roman" w:hAnsi="Times New Roman"/>
          <w:b w:val="false"/>
          <w:bCs w:val="false"/>
          <w:i w:val="false"/>
          <w:iCs w:val="false"/>
          <w:sz w:val="22"/>
          <w:szCs w:val="22"/>
        </w:rPr>
        <w:t xml:space="preserve">In a preliminary study on publicly available, expert-annotated MRI, the segmenter reached whole-tumour Dice 0.81. Reference-free features predicted consequential volume errors with AUROC ≈ 0.88, clearly exceeding the trivial baseline; their advantage over standard uncertainty was positive but not statistically significant on the small test set, except for severe (≥ 40%) errors, where prediction-disagreement significantly outperformed uncertainty (p = 0.03). At 90% sensitivity, roughly half of cases were retainable for automation with about 6% residual error; combining all features reduced performance. These results provide an honest, reproducible triage baseline and motivate validation on larger data. This is a research pipeline, not a clinical decision system.</w:t>
      </w:r>
    </w:p>
    <w:p>
      <w:pPr>
        <w:spacing w:after="0"/>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brain tumour MRI; segmentation reliability; volumetric error; uncertainty; quality control; deep learning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creator>BrainRisk</dc:creator>
  <cp:lastModifiedBy>Un-named</cp:lastModifiedBy>
  <cp:revision>1</cp:revision>
  <dcterms:created xsi:type="dcterms:W3CDTF">2026-10-14T09:48:04.508Z</dcterms:created>
  <dcterms:modified xsi:type="dcterms:W3CDTF">2026-10-14T09:48:04.517Z</dcterms:modified>
</cp:coreProperties>
</file>

<file path=docProps/custom.xml><?xml version="1.0" encoding="utf-8"?>
<Properties xmlns="http://schemas.openxmlformats.org/officeDocument/2006/custom-properties" xmlns:vt="http://schemas.openxmlformats.org/officeDocument/2006/docPropsVTypes"/>
</file>