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BF91" w14:textId="77777777" w:rsidR="0097601D" w:rsidRDefault="00000000">
      <w:pPr>
        <w:spacing w:after="60"/>
        <w:jc w:val="center"/>
      </w:pPr>
      <w:r>
        <w:rPr>
          <w:b/>
          <w:bCs/>
          <w:sz w:val="30"/>
          <w:szCs w:val="30"/>
        </w:rPr>
        <w:t>Predicting Consequential Volume Errors in Automated Brain-Tumour MRI Segmentation</w:t>
      </w:r>
    </w:p>
    <w:p w14:paraId="37D210EB" w14:textId="77777777" w:rsidR="0097601D" w:rsidRDefault="00000000">
      <w:pPr>
        <w:spacing w:after="40"/>
        <w:jc w:val="center"/>
      </w:pPr>
      <w:r>
        <w:rPr>
          <w:i/>
          <w:iCs/>
          <w:sz w:val="24"/>
          <w:szCs w:val="24"/>
        </w:rPr>
        <w:t>Introduction — Research Proposal</w:t>
      </w:r>
    </w:p>
    <w:p w14:paraId="10DFC8C9" w14:textId="77777777" w:rsidR="0097601D" w:rsidRDefault="00000000">
      <w:pPr>
        <w:spacing w:after="240"/>
        <w:jc w:val="center"/>
      </w:pPr>
      <w:r>
        <w:rPr>
          <w:sz w:val="20"/>
          <w:szCs w:val="20"/>
        </w:rPr>
        <w:t>National Conference on Bioinformatics and Artificial Intelligence (BioAI-2026) — Theme 2: Health, Pharmaceutical &amp; Forensic Sciences</w:t>
      </w:r>
    </w:p>
    <w:p w14:paraId="068065EB" w14:textId="77777777" w:rsidR="0097601D" w:rsidRDefault="00000000">
      <w:pPr>
        <w:pStyle w:val="Heading1"/>
        <w:spacing w:before="160" w:after="120"/>
      </w:pPr>
      <w:r>
        <w:rPr>
          <w:b/>
          <w:bCs/>
          <w:color w:val="1F3864"/>
          <w:sz w:val="26"/>
          <w:szCs w:val="26"/>
        </w:rPr>
        <w:t>1. Introduction</w:t>
      </w:r>
    </w:p>
    <w:p w14:paraId="06D2AFA2" w14:textId="55FE3DC6" w:rsidR="0097601D" w:rsidRPr="003478D6" w:rsidRDefault="00000000">
      <w:pPr>
        <w:spacing w:after="160" w:line="276" w:lineRule="auto"/>
        <w:jc w:val="both"/>
      </w:pPr>
      <w:r w:rsidRPr="003478D6">
        <w:t>Gliomas are among the most common and aggressive primary brain tumours, and magnetic resonance imaging (MRI) is the principal modality for their diagnosis, treatment planning, and longitudinal monitoring. A central quantitative output of this imaging is tumour volume: changes in the volume of the whole tumour, tumour core, and enhancing region over time are used to assess disease progression and treatment response, and underpin established response-assessment criteria such as RANO, which defines progression in part through a ≥25 % increase in tumour burden. Accurate quantification of these volumes is therefore not merely a segmentation exercise — it directly shapes clinical interpretation.</w:t>
      </w:r>
    </w:p>
    <w:p w14:paraId="5BA8835C" w14:textId="55179D33" w:rsidR="0097601D" w:rsidRPr="003478D6" w:rsidRDefault="00000000">
      <w:pPr>
        <w:spacing w:after="160" w:line="276" w:lineRule="auto"/>
        <w:jc w:val="both"/>
      </w:pPr>
      <w:r w:rsidRPr="003478D6">
        <w:t xml:space="preserve">Deep learning has driven substantial progress in automated brain-tumour segmentation, with benchmarks such as </w:t>
      </w:r>
      <w:proofErr w:type="spellStart"/>
      <w:r w:rsidRPr="003478D6">
        <w:t>BraTS</w:t>
      </w:r>
      <w:proofErr w:type="spellEnd"/>
      <w:r w:rsidRPr="003478D6">
        <w:t xml:space="preserve"> establishing 3D convolutional architectures (e.g., </w:t>
      </w:r>
      <w:proofErr w:type="spellStart"/>
      <w:r w:rsidRPr="003478D6">
        <w:t>nnU</w:t>
      </w:r>
      <w:proofErr w:type="spellEnd"/>
      <w:r w:rsidRPr="003478D6">
        <w:t xml:space="preserve">-Net, </w:t>
      </w:r>
      <w:proofErr w:type="spellStart"/>
      <w:r w:rsidRPr="003478D6">
        <w:t>SegResNet</w:t>
      </w:r>
      <w:proofErr w:type="spellEnd"/>
      <w:r w:rsidRPr="003478D6">
        <w:t>) as strong, reproducible baselines. In principle these models could automate laborious manual contouring. In practice their outputs cannot be trusted blindly: even high-performing models produce occasional failures, and a single segmentation that substantially mis-estimates tumour volume can propagate into an incorrect assessment of progression or response. Deploying automated segmentation at scale therefore requires more than an accurate model — it requires knowing, for each individual scan, whether the resulting output can be trusted, so that unreliable cases are routed to expert review while the rest are safely automated.</w:t>
      </w:r>
    </w:p>
    <w:p w14:paraId="6AC45263" w14:textId="3C66DF13" w:rsidR="0097601D" w:rsidRPr="003478D6" w:rsidRDefault="00000000">
      <w:pPr>
        <w:spacing w:after="160" w:line="276" w:lineRule="auto"/>
        <w:jc w:val="both"/>
      </w:pPr>
      <w:r w:rsidRPr="003478D6">
        <w:t>Prior work has approached this reliability problem from several directions, and each leaves a specific gap. Uncertainty quantification — Monte-Carlo dropout, deep ensembles, and test-time augmentation — yields voxel-wise uncertainty maps, and the QU-</w:t>
      </w:r>
      <w:proofErr w:type="spellStart"/>
      <w:r w:rsidRPr="003478D6">
        <w:t>BraTS</w:t>
      </w:r>
      <w:proofErr w:type="spellEnd"/>
      <w:r w:rsidRPr="003478D6">
        <w:t xml:space="preserve"> benchmark showed that such estimates carry information about where a model is likely to err, while also concluding that no single uncertainty method dominates. However, these estimates are evaluated and rewarded mainly at the voxel level. Jungo, Balsiger and Reyes found that uncertainty that is well-calibrated at the dataset level becomes </w:t>
      </w:r>
      <w:r w:rsidR="004947DB" w:rsidRPr="003478D6">
        <w:t>mis calibrated</w:t>
      </w:r>
      <w:r w:rsidRPr="003478D6">
        <w:t xml:space="preserve"> at the subject level, with limited ability to localise error, even though aggregating voxel uncertainty to the case level can still flag clearly failed segmentations. This motivates treating case-level reliability as a prediction task in its own right rather than reading it directly off raw uncertainty. Reference-free quality-control methods address the case level — reverse classification accuracy predicts segmentation quality without ground truth by retraining a classifier on the </w:t>
      </w:r>
      <w:proofErr w:type="gramStart"/>
      <w:r w:rsidRPr="003478D6">
        <w:t>prediction ,</w:t>
      </w:r>
      <w:proofErr w:type="gramEnd"/>
      <w:r w:rsidRPr="003478D6">
        <w:t xml:space="preserve"> and learned quality predictors flag failures at population scale — but both target overlap quality (Dice-like) rather than volume error, are not framed against a pre-specified clinical threshold, and are not reported as an operational triage outcome. More recent work provides calibrated volumetric uncertainty and conformal guarantees: evidential ensembles yield calibrated volume estimates for meningioma segmentation with external validation, and conformal methods give predictive intervals for volume that remain valid under covariate shift. These produce an uncertainty estimate or interval, not a decision about whether a given case is wrong enough to matter clinically. A related line characterises volumetric bias of soft-Dice-trained models, but at the population and theoretical level rather than as a per-case prediction. Finally, reliability studies under distribution shift and selective-prediction triage pipelines</w:t>
      </w:r>
      <w:r w:rsidR="003478D6" w:rsidRPr="003478D6">
        <w:t xml:space="preserve"> </w:t>
      </w:r>
      <w:r w:rsidRPr="003478D6">
        <w:t xml:space="preserve">are emerging, though the former targets Dice-based error detection under synthetic corruption and the latter addresses tumour </w:t>
      </w:r>
      <w:r w:rsidRPr="004947DB">
        <w:t>classification</w:t>
      </w:r>
      <w:r w:rsidRPr="003478D6">
        <w:t xml:space="preserve"> rather than segmentation; and reference-free </w:t>
      </w:r>
      <w:r w:rsidRPr="003478D6">
        <w:lastRenderedPageBreak/>
        <w:t>indicators have in some settings proved insufficient for subtle, non-empty errors, a cautionary result that any case-level reliability claim must confront honestly.</w:t>
      </w:r>
    </w:p>
    <w:p w14:paraId="0899845F" w14:textId="77777777" w:rsidR="0097601D" w:rsidRPr="003478D6" w:rsidRDefault="00000000">
      <w:pPr>
        <w:spacing w:after="160" w:line="276" w:lineRule="auto"/>
        <w:jc w:val="both"/>
      </w:pPr>
      <w:r w:rsidRPr="003478D6">
        <w:t>Across this literature, three gaps recur: reliability is related to overlap metrics such as the Dice coefficient rather than to volume error specifically; error is seldom defined against a pre-specified, clinically motivated threshold; and results are rarely reported as an operational triage outcome — how many cases can be safely automated at a fixed error-detection sensitivity.</w:t>
      </w:r>
    </w:p>
    <w:p w14:paraId="0477F347" w14:textId="43EE2DE5" w:rsidR="0097601D" w:rsidRPr="003478D6" w:rsidRDefault="00000000">
      <w:pPr>
        <w:spacing w:after="160" w:line="276" w:lineRule="auto"/>
        <w:jc w:val="both"/>
      </w:pPr>
      <w:r w:rsidRPr="003478D6">
        <w:t xml:space="preserve">In this work we study segmentation reliability as the case-level prediction of consequential volume error. Rather than proposing a new segmentation architecture or a new uncertainty-calibration method, we take a standard </w:t>
      </w:r>
      <w:proofErr w:type="spellStart"/>
      <w:r w:rsidRPr="003478D6">
        <w:t>segmenter</w:t>
      </w:r>
      <w:proofErr w:type="spellEnd"/>
      <w:r w:rsidRPr="003478D6">
        <w:t xml:space="preserve"> and ask a focused, clinically framed question: can simple, interpretable models predict — from the </w:t>
      </w:r>
      <w:proofErr w:type="spellStart"/>
      <w:r w:rsidRPr="003478D6">
        <w:t>segmenter's</w:t>
      </w:r>
      <w:proofErr w:type="spellEnd"/>
      <w:r w:rsidRPr="003478D6">
        <w:t xml:space="preserve"> own stochastic behaviour (Monte-Carlo dropout with test-time augmentation) — when an output's whole-tumour volume error exceeds a threshold fixed in advance on clinical grounds? The error endpoint is pre-specified and frozen before any evaluation on the held-out test set, with the commit timestamp as evidence that it was not tuned to the result. From the stochastic predictions we derive case-level features spanning uncertainty, inter-prediction disagreement, and boundary/shape characteristics, and compare feature families against trivial (predicted-volume-only) and single-best-uncertainty baselines using a paired bootstrap. We additionally ask whether the same reference-free signals can indicate the direction of the error — whether a case is likely over- or under-segmented — a per-case question distinct from the population-level volumetric bias characterised previously. The predictor is validated against true errors measured from expert reference masks, evaluated on held-out patients as a triage mechanism, and reported with failure cases and negative findings.</w:t>
      </w:r>
    </w:p>
    <w:p w14:paraId="08BC9834" w14:textId="03510374" w:rsidR="0097601D" w:rsidRPr="003478D6" w:rsidRDefault="00000000">
      <w:pPr>
        <w:spacing w:after="160" w:line="276" w:lineRule="auto"/>
        <w:jc w:val="both"/>
      </w:pPr>
      <w:r w:rsidRPr="003478D6">
        <w:t>We do not claim a novel uncertainty estimator, a calibration method, or a statistical coverage guarantee; those have been studied elsewhere. Nor do we claim that case-level reliability is newly possible — only that it has not been posed in the specific form we adopt. Our aim is a clear, reproducible, clinically-framed baseline for consequential volume-error triage, runnable on a single commodity GPU, and an honest account of which readily available signals actually predict it.</w:t>
      </w:r>
    </w:p>
    <w:p w14:paraId="4627B937" w14:textId="77777777" w:rsidR="0097601D" w:rsidRDefault="00000000">
      <w:pPr>
        <w:spacing w:before="80" w:after="120"/>
      </w:pPr>
      <w:r>
        <w:rPr>
          <w:b/>
          <w:bCs/>
        </w:rPr>
        <w:t>Our contributions are:</w:t>
      </w:r>
    </w:p>
    <w:p w14:paraId="7CF940E7" w14:textId="77777777" w:rsidR="0097601D" w:rsidRDefault="00000000">
      <w:pPr>
        <w:pStyle w:val="ListParagraph"/>
        <w:numPr>
          <w:ilvl w:val="0"/>
          <w:numId w:val="2"/>
        </w:numPr>
        <w:spacing w:after="140" w:line="276" w:lineRule="auto"/>
        <w:jc w:val="both"/>
      </w:pPr>
      <w:r>
        <w:t xml:space="preserve">We </w:t>
      </w:r>
      <w:r>
        <w:rPr>
          <w:b/>
          <w:bCs/>
        </w:rPr>
        <w:t>formulate segmentation reliability as the case-level prediction of consequential volume error</w:t>
      </w:r>
      <w:r>
        <w:t>, with the error endpoint pre-specified against a clinically motivated threshold and frozen before test evaluation, rather than tuned post hoc.</w:t>
      </w:r>
    </w:p>
    <w:p w14:paraId="013BDA87" w14:textId="77777777" w:rsidR="0097601D" w:rsidRDefault="00000000">
      <w:pPr>
        <w:pStyle w:val="ListParagraph"/>
        <w:numPr>
          <w:ilvl w:val="0"/>
          <w:numId w:val="2"/>
        </w:numPr>
        <w:spacing w:after="140" w:line="276" w:lineRule="auto"/>
        <w:jc w:val="both"/>
      </w:pPr>
      <w:r>
        <w:t xml:space="preserve">We </w:t>
      </w:r>
      <w:r>
        <w:rPr>
          <w:b/>
          <w:bCs/>
        </w:rPr>
        <w:t>compare feature families</w:t>
      </w:r>
      <w:r>
        <w:t xml:space="preserve"> — uncertainty, prediction disagreement, and boundary/morphology descriptors — against trivial predicted-volume-only and single-best-uncertainty baselines with a paired bootstrap, isolating what actually predicts volume error, and we additionally test whether these signals indicate the </w:t>
      </w:r>
      <w:r>
        <w:rPr>
          <w:b/>
          <w:bCs/>
        </w:rPr>
        <w:t>direction</w:t>
      </w:r>
      <w:r>
        <w:t xml:space="preserve"> of the error per case.</w:t>
      </w:r>
    </w:p>
    <w:p w14:paraId="703B2337" w14:textId="77777777" w:rsidR="0097601D" w:rsidRDefault="00000000">
      <w:pPr>
        <w:pStyle w:val="ListParagraph"/>
        <w:numPr>
          <w:ilvl w:val="0"/>
          <w:numId w:val="2"/>
        </w:numPr>
        <w:spacing w:after="140" w:line="276" w:lineRule="auto"/>
        <w:jc w:val="both"/>
      </w:pPr>
      <w:r>
        <w:t xml:space="preserve">We </w:t>
      </w:r>
      <w:r>
        <w:rPr>
          <w:b/>
          <w:bCs/>
        </w:rPr>
        <w:t>evaluate the system with triage-oriented metrics</w:t>
      </w:r>
      <w:r>
        <w:t xml:space="preserve"> — AUROC, AUPRC, sensitivity, false-alert rate, the fraction of cases retainable for automation at a fixed sensitivity, and the risk–coverage curve — on held-out patients, reporting failure cases and negative findings alongside successes.</w:t>
      </w:r>
    </w:p>
    <w:p w14:paraId="27C2DB56" w14:textId="77777777" w:rsidR="0097601D" w:rsidRDefault="00000000">
      <w:pPr>
        <w:pStyle w:val="Heading1"/>
        <w:spacing w:before="160" w:after="120"/>
      </w:pPr>
      <w:r>
        <w:rPr>
          <w:b/>
          <w:bCs/>
          <w:color w:val="1F3864"/>
          <w:sz w:val="26"/>
          <w:szCs w:val="26"/>
        </w:rPr>
        <w:t>References</w:t>
      </w:r>
    </w:p>
    <w:p w14:paraId="796535E6" w14:textId="77777777" w:rsidR="0097601D" w:rsidRDefault="00000000">
      <w:pPr>
        <w:spacing w:after="100" w:line="252" w:lineRule="auto"/>
        <w:ind w:left="360" w:hanging="360"/>
      </w:pPr>
      <w:r>
        <w:rPr>
          <w:b/>
          <w:bCs/>
          <w:sz w:val="20"/>
          <w:szCs w:val="20"/>
        </w:rPr>
        <w:t>[1]</w:t>
      </w:r>
      <w:r>
        <w:rPr>
          <w:sz w:val="20"/>
          <w:szCs w:val="20"/>
        </w:rPr>
        <w:t xml:space="preserve"> Glioma epidemiology, management, and MRI as the principal modality — (confirm) standard clinical review (e.g., WHO CNS tumour classification, Louis et al., Neuro-Oncology 2021; or EANO glioma guideline, Weller et al.).</w:t>
      </w:r>
    </w:p>
    <w:p w14:paraId="3AD1B995" w14:textId="77777777" w:rsidR="0097601D" w:rsidRDefault="00000000">
      <w:pPr>
        <w:spacing w:after="100" w:line="252" w:lineRule="auto"/>
        <w:ind w:left="360" w:hanging="360"/>
      </w:pPr>
      <w:r>
        <w:rPr>
          <w:b/>
          <w:bCs/>
          <w:sz w:val="20"/>
          <w:szCs w:val="20"/>
        </w:rPr>
        <w:lastRenderedPageBreak/>
        <w:t>[2]</w:t>
      </w:r>
      <w:r>
        <w:rPr>
          <w:sz w:val="20"/>
          <w:szCs w:val="20"/>
        </w:rPr>
        <w:t xml:space="preserve"> Wen, P. Y. et al. Updated response assessment criteria for high-grade gliomas: Response Assessment in Neuro-Oncology (RANO) working group. J. Clin. Oncol. 28(11):1963–1972, 2010.</w:t>
      </w:r>
    </w:p>
    <w:p w14:paraId="1AC95AE1" w14:textId="77777777" w:rsidR="0097601D" w:rsidRDefault="00000000">
      <w:pPr>
        <w:spacing w:after="100" w:line="252" w:lineRule="auto"/>
        <w:ind w:left="360" w:hanging="360"/>
      </w:pPr>
      <w:r>
        <w:rPr>
          <w:b/>
          <w:bCs/>
          <w:sz w:val="20"/>
          <w:szCs w:val="20"/>
        </w:rPr>
        <w:t>[3]</w:t>
      </w:r>
      <w:r>
        <w:rPr>
          <w:sz w:val="20"/>
          <w:szCs w:val="20"/>
        </w:rPr>
        <w:t xml:space="preserve"> Isensee, F. et al. </w:t>
      </w:r>
      <w:proofErr w:type="spellStart"/>
      <w:r>
        <w:rPr>
          <w:sz w:val="20"/>
          <w:szCs w:val="20"/>
        </w:rPr>
        <w:t>nnU</w:t>
      </w:r>
      <w:proofErr w:type="spellEnd"/>
      <w:r>
        <w:rPr>
          <w:sz w:val="20"/>
          <w:szCs w:val="20"/>
        </w:rPr>
        <w:t>-Net: a self-configuring method for deep learning-based biomedical image segmentation. (confirm) Nat. Methods 2021; arXiv:2011.00848.</w:t>
      </w:r>
    </w:p>
    <w:p w14:paraId="39B023BC" w14:textId="77777777" w:rsidR="0097601D" w:rsidRDefault="00000000">
      <w:pPr>
        <w:spacing w:after="100" w:line="252" w:lineRule="auto"/>
        <w:ind w:left="360" w:hanging="360"/>
      </w:pPr>
      <w:r>
        <w:rPr>
          <w:b/>
          <w:bCs/>
          <w:sz w:val="20"/>
          <w:szCs w:val="20"/>
        </w:rPr>
        <w:t>[4]</w:t>
      </w:r>
      <w:r>
        <w:rPr>
          <w:sz w:val="20"/>
          <w:szCs w:val="20"/>
        </w:rPr>
        <w:t xml:space="preserve"> Baid, U. et al. The RSNA-ASNR-MICCAI </w:t>
      </w:r>
      <w:proofErr w:type="spellStart"/>
      <w:r>
        <w:rPr>
          <w:sz w:val="20"/>
          <w:szCs w:val="20"/>
        </w:rPr>
        <w:t>BraTS</w:t>
      </w:r>
      <w:proofErr w:type="spellEnd"/>
      <w:r>
        <w:rPr>
          <w:sz w:val="20"/>
          <w:szCs w:val="20"/>
        </w:rPr>
        <w:t xml:space="preserve"> 2021 benchmark. (confirm) arXiv:2107.02314. (</w:t>
      </w:r>
      <w:proofErr w:type="spellStart"/>
      <w:r>
        <w:rPr>
          <w:sz w:val="20"/>
          <w:szCs w:val="20"/>
        </w:rPr>
        <w:t>SegResNet</w:t>
      </w:r>
      <w:proofErr w:type="spellEnd"/>
      <w:r>
        <w:rPr>
          <w:sz w:val="20"/>
          <w:szCs w:val="20"/>
        </w:rPr>
        <w:t xml:space="preserve">: </w:t>
      </w:r>
      <w:proofErr w:type="spellStart"/>
      <w:r>
        <w:rPr>
          <w:sz w:val="20"/>
          <w:szCs w:val="20"/>
        </w:rPr>
        <w:t>Myronenko</w:t>
      </w:r>
      <w:proofErr w:type="spellEnd"/>
      <w:r>
        <w:rPr>
          <w:sz w:val="20"/>
          <w:szCs w:val="20"/>
        </w:rPr>
        <w:t>, A., 2018.)</w:t>
      </w:r>
    </w:p>
    <w:p w14:paraId="3557AD67" w14:textId="77777777" w:rsidR="0097601D" w:rsidRDefault="00000000">
      <w:pPr>
        <w:spacing w:after="100" w:line="252" w:lineRule="auto"/>
        <w:ind w:left="360" w:hanging="360"/>
      </w:pPr>
      <w:r>
        <w:rPr>
          <w:b/>
          <w:bCs/>
          <w:sz w:val="20"/>
          <w:szCs w:val="20"/>
        </w:rPr>
        <w:t>[5]</w:t>
      </w:r>
      <w:r>
        <w:rPr>
          <w:sz w:val="20"/>
          <w:szCs w:val="20"/>
        </w:rPr>
        <w:t xml:space="preserve"> Mehta, R. et al. QU-</w:t>
      </w:r>
      <w:proofErr w:type="spellStart"/>
      <w:r>
        <w:rPr>
          <w:sz w:val="20"/>
          <w:szCs w:val="20"/>
        </w:rPr>
        <w:t>BraTS</w:t>
      </w:r>
      <w:proofErr w:type="spellEnd"/>
      <w:r>
        <w:rPr>
          <w:sz w:val="20"/>
          <w:szCs w:val="20"/>
        </w:rPr>
        <w:t xml:space="preserve">: MICCAI </w:t>
      </w:r>
      <w:proofErr w:type="spellStart"/>
      <w:r>
        <w:rPr>
          <w:sz w:val="20"/>
          <w:szCs w:val="20"/>
        </w:rPr>
        <w:t>BraTS</w:t>
      </w:r>
      <w:proofErr w:type="spellEnd"/>
      <w:r>
        <w:rPr>
          <w:sz w:val="20"/>
          <w:szCs w:val="20"/>
        </w:rPr>
        <w:t xml:space="preserve"> 2020 Challenge on Quantifying Uncertainty in Brain </w:t>
      </w:r>
      <w:proofErr w:type="spellStart"/>
      <w:r>
        <w:rPr>
          <w:sz w:val="20"/>
          <w:szCs w:val="20"/>
        </w:rPr>
        <w:t>Tumor</w:t>
      </w:r>
      <w:proofErr w:type="spellEnd"/>
      <w:r>
        <w:rPr>
          <w:sz w:val="20"/>
          <w:szCs w:val="20"/>
        </w:rPr>
        <w:t xml:space="preserve"> Segmentation. J. Machine Learning for Biomedical Imaging (MELBA), 2022. arXiv:2112.10074.  </w:t>
      </w:r>
      <w:hyperlink r:id="rId7" w:history="1">
        <w:r>
          <w:rPr>
            <w:rStyle w:val="Hyperlink"/>
            <w:sz w:val="20"/>
            <w:szCs w:val="20"/>
          </w:rPr>
          <w:t>arxiv.org/abs/2112.10074</w:t>
        </w:r>
      </w:hyperlink>
    </w:p>
    <w:p w14:paraId="7FA4148B" w14:textId="77777777" w:rsidR="0097601D" w:rsidRDefault="00000000">
      <w:pPr>
        <w:spacing w:after="100" w:line="252" w:lineRule="auto"/>
        <w:ind w:left="360" w:hanging="360"/>
      </w:pPr>
      <w:r>
        <w:rPr>
          <w:b/>
          <w:bCs/>
          <w:sz w:val="20"/>
          <w:szCs w:val="20"/>
        </w:rPr>
        <w:t>[6]</w:t>
      </w:r>
      <w:r>
        <w:rPr>
          <w:sz w:val="20"/>
          <w:szCs w:val="20"/>
        </w:rPr>
        <w:t xml:space="preserve"> Jungo, A., Balsiger, F. &amp; Reyes, M. </w:t>
      </w:r>
      <w:proofErr w:type="spellStart"/>
      <w:r>
        <w:rPr>
          <w:sz w:val="20"/>
          <w:szCs w:val="20"/>
        </w:rPr>
        <w:t>Analyzing</w:t>
      </w:r>
      <w:proofErr w:type="spellEnd"/>
      <w:r>
        <w:rPr>
          <w:sz w:val="20"/>
          <w:szCs w:val="20"/>
        </w:rPr>
        <w:t xml:space="preserve"> the Quality and Challenges of Uncertainty Estimations for Brain </w:t>
      </w:r>
      <w:proofErr w:type="spellStart"/>
      <w:r>
        <w:rPr>
          <w:sz w:val="20"/>
          <w:szCs w:val="20"/>
        </w:rPr>
        <w:t>Tumor</w:t>
      </w:r>
      <w:proofErr w:type="spellEnd"/>
      <w:r>
        <w:rPr>
          <w:sz w:val="20"/>
          <w:szCs w:val="20"/>
        </w:rPr>
        <w:t xml:space="preserve"> Segmentation. Front. </w:t>
      </w:r>
      <w:proofErr w:type="spellStart"/>
      <w:r>
        <w:rPr>
          <w:sz w:val="20"/>
          <w:szCs w:val="20"/>
        </w:rPr>
        <w:t>Neurosci</w:t>
      </w:r>
      <w:proofErr w:type="spellEnd"/>
      <w:r>
        <w:rPr>
          <w:sz w:val="20"/>
          <w:szCs w:val="20"/>
        </w:rPr>
        <w:t xml:space="preserve">. 14:282, 2020. doi:10.3389/fnins.2020.00282.  </w:t>
      </w:r>
      <w:hyperlink r:id="rId8" w:history="1">
        <w:r>
          <w:rPr>
            <w:rStyle w:val="Hyperlink"/>
            <w:sz w:val="20"/>
            <w:szCs w:val="20"/>
          </w:rPr>
          <w:t>doi.org/10.3389/fnins.2020.00282</w:t>
        </w:r>
      </w:hyperlink>
    </w:p>
    <w:p w14:paraId="54B50750" w14:textId="77777777" w:rsidR="0097601D" w:rsidRDefault="00000000">
      <w:pPr>
        <w:spacing w:after="100" w:line="252" w:lineRule="auto"/>
        <w:ind w:left="360" w:hanging="360"/>
      </w:pPr>
      <w:r>
        <w:rPr>
          <w:b/>
          <w:bCs/>
          <w:sz w:val="20"/>
          <w:szCs w:val="20"/>
        </w:rPr>
        <w:t>[7]</w:t>
      </w:r>
      <w:r>
        <w:rPr>
          <w:sz w:val="20"/>
          <w:szCs w:val="20"/>
        </w:rPr>
        <w:t xml:space="preserve"> </w:t>
      </w:r>
      <w:proofErr w:type="spellStart"/>
      <w:r>
        <w:rPr>
          <w:sz w:val="20"/>
          <w:szCs w:val="20"/>
        </w:rPr>
        <w:t>Valindria</w:t>
      </w:r>
      <w:proofErr w:type="spellEnd"/>
      <w:r>
        <w:rPr>
          <w:sz w:val="20"/>
          <w:szCs w:val="20"/>
        </w:rPr>
        <w:t xml:space="preserve">, V. V. et al. Reverse Classification Accuracy: Predicting Segmentation Performance in the Absence of Ground Truth. IEEE Trans. Med. Imaging 36(8):1597–1606, 2017. arXiv:1702.03407.  </w:t>
      </w:r>
      <w:hyperlink r:id="rId9" w:history="1">
        <w:r>
          <w:rPr>
            <w:rStyle w:val="Hyperlink"/>
            <w:sz w:val="20"/>
            <w:szCs w:val="20"/>
          </w:rPr>
          <w:t>arxiv.org/abs/1702.03407</w:t>
        </w:r>
      </w:hyperlink>
    </w:p>
    <w:p w14:paraId="3FE67AC7" w14:textId="77777777" w:rsidR="0097601D" w:rsidRDefault="00000000">
      <w:pPr>
        <w:spacing w:after="100" w:line="252" w:lineRule="auto"/>
        <w:ind w:left="360" w:hanging="360"/>
      </w:pPr>
      <w:r>
        <w:rPr>
          <w:b/>
          <w:bCs/>
          <w:sz w:val="20"/>
          <w:szCs w:val="20"/>
        </w:rPr>
        <w:t>[8]</w:t>
      </w:r>
      <w:r>
        <w:rPr>
          <w:sz w:val="20"/>
          <w:szCs w:val="20"/>
        </w:rPr>
        <w:t xml:space="preserve"> Robinson, R. et al. Automated quality control in image segmentation: application to the UK Biobank cardiovascular MR imaging study. J. Cardiovasc. Magn. </w:t>
      </w:r>
      <w:proofErr w:type="spellStart"/>
      <w:r>
        <w:rPr>
          <w:sz w:val="20"/>
          <w:szCs w:val="20"/>
        </w:rPr>
        <w:t>Reson</w:t>
      </w:r>
      <w:proofErr w:type="spellEnd"/>
      <w:r>
        <w:rPr>
          <w:sz w:val="20"/>
          <w:szCs w:val="20"/>
        </w:rPr>
        <w:t xml:space="preserve">. 21:18, 2019. doi:10.1186/s12968-019-0523-x.  </w:t>
      </w:r>
      <w:hyperlink r:id="rId10" w:history="1">
        <w:r>
          <w:rPr>
            <w:rStyle w:val="Hyperlink"/>
            <w:sz w:val="20"/>
            <w:szCs w:val="20"/>
          </w:rPr>
          <w:t>doi.org/10.1186/s12968-019-0523-x</w:t>
        </w:r>
      </w:hyperlink>
    </w:p>
    <w:p w14:paraId="080101A8" w14:textId="77777777" w:rsidR="0097601D" w:rsidRDefault="00000000">
      <w:pPr>
        <w:spacing w:after="100" w:line="252" w:lineRule="auto"/>
        <w:ind w:left="360" w:hanging="360"/>
      </w:pPr>
      <w:r>
        <w:rPr>
          <w:b/>
          <w:bCs/>
          <w:sz w:val="20"/>
          <w:szCs w:val="20"/>
        </w:rPr>
        <w:t>[9]</w:t>
      </w:r>
      <w:r>
        <w:rPr>
          <w:sz w:val="20"/>
          <w:szCs w:val="20"/>
        </w:rPr>
        <w:t xml:space="preserve"> </w:t>
      </w:r>
      <w:proofErr w:type="spellStart"/>
      <w:r>
        <w:rPr>
          <w:sz w:val="20"/>
          <w:szCs w:val="20"/>
        </w:rPr>
        <w:t>Guennoun</w:t>
      </w:r>
      <w:proofErr w:type="spellEnd"/>
      <w:r>
        <w:rPr>
          <w:sz w:val="20"/>
          <w:szCs w:val="20"/>
        </w:rPr>
        <w:t xml:space="preserve">, Y. et al. Segmenting with confidence through uncertainty quantification for brain </w:t>
      </w:r>
      <w:proofErr w:type="spellStart"/>
      <w:r>
        <w:rPr>
          <w:sz w:val="20"/>
          <w:szCs w:val="20"/>
        </w:rPr>
        <w:t>tumor</w:t>
      </w:r>
      <w:proofErr w:type="spellEnd"/>
      <w:r>
        <w:rPr>
          <w:sz w:val="20"/>
          <w:szCs w:val="20"/>
        </w:rPr>
        <w:t xml:space="preserve"> imaging. </w:t>
      </w:r>
      <w:proofErr w:type="spellStart"/>
      <w:r>
        <w:rPr>
          <w:sz w:val="20"/>
          <w:szCs w:val="20"/>
        </w:rPr>
        <w:t>npj</w:t>
      </w:r>
      <w:proofErr w:type="spellEnd"/>
      <w:r>
        <w:rPr>
          <w:sz w:val="20"/>
          <w:szCs w:val="20"/>
        </w:rPr>
        <w:t xml:space="preserve"> Digital Medicine, 2026. doi:10.1038/s41746-026-02902-0.  </w:t>
      </w:r>
      <w:hyperlink r:id="rId11" w:history="1">
        <w:r>
          <w:rPr>
            <w:rStyle w:val="Hyperlink"/>
            <w:sz w:val="20"/>
            <w:szCs w:val="20"/>
          </w:rPr>
          <w:t>doi.org/10.1038/s41746-026-02902-0</w:t>
        </w:r>
      </w:hyperlink>
    </w:p>
    <w:p w14:paraId="29A949F2" w14:textId="77777777" w:rsidR="0097601D" w:rsidRDefault="00000000">
      <w:pPr>
        <w:spacing w:after="100" w:line="252" w:lineRule="auto"/>
        <w:ind w:left="360" w:hanging="360"/>
      </w:pPr>
      <w:r>
        <w:rPr>
          <w:b/>
          <w:bCs/>
          <w:sz w:val="20"/>
          <w:szCs w:val="20"/>
        </w:rPr>
        <w:t>[10]</w:t>
      </w:r>
      <w:r>
        <w:rPr>
          <w:sz w:val="20"/>
          <w:szCs w:val="20"/>
        </w:rPr>
        <w:t xml:space="preserve"> Lambert, B., Forbes, F., Doyle, S. &amp; </w:t>
      </w:r>
      <w:proofErr w:type="spellStart"/>
      <w:r>
        <w:rPr>
          <w:sz w:val="20"/>
          <w:szCs w:val="20"/>
        </w:rPr>
        <w:t>Dojat</w:t>
      </w:r>
      <w:proofErr w:type="spellEnd"/>
      <w:r>
        <w:rPr>
          <w:sz w:val="20"/>
          <w:szCs w:val="20"/>
        </w:rPr>
        <w:t xml:space="preserve">, M. Robust Conformal Volume Estimation in 3D Medical Images. MICCAI 2024. arXiv:2407.19938.  </w:t>
      </w:r>
      <w:hyperlink r:id="rId12" w:history="1">
        <w:r>
          <w:rPr>
            <w:rStyle w:val="Hyperlink"/>
            <w:sz w:val="20"/>
            <w:szCs w:val="20"/>
          </w:rPr>
          <w:t>arxiv.org/abs/2407.19938</w:t>
        </w:r>
      </w:hyperlink>
    </w:p>
    <w:p w14:paraId="5E86A06E" w14:textId="77777777" w:rsidR="0097601D" w:rsidRDefault="00000000">
      <w:pPr>
        <w:spacing w:after="100" w:line="252" w:lineRule="auto"/>
        <w:ind w:left="360" w:hanging="360"/>
      </w:pPr>
      <w:r>
        <w:rPr>
          <w:b/>
          <w:bCs/>
          <w:sz w:val="20"/>
          <w:szCs w:val="20"/>
        </w:rPr>
        <w:t>[11]</w:t>
      </w:r>
      <w:r>
        <w:rPr>
          <w:sz w:val="20"/>
          <w:szCs w:val="20"/>
        </w:rPr>
        <w:t xml:space="preserve"> Bertels, J., Robben, D., Vandermeulen, D. &amp; </w:t>
      </w:r>
      <w:proofErr w:type="spellStart"/>
      <w:r>
        <w:rPr>
          <w:sz w:val="20"/>
          <w:szCs w:val="20"/>
        </w:rPr>
        <w:t>Suetens</w:t>
      </w:r>
      <w:proofErr w:type="spellEnd"/>
      <w:r>
        <w:rPr>
          <w:sz w:val="20"/>
          <w:szCs w:val="20"/>
        </w:rPr>
        <w:t xml:space="preserve">, P. Optimization with Soft Dice Can Lead to a Volumetric Bias. </w:t>
      </w:r>
      <w:proofErr w:type="spellStart"/>
      <w:r>
        <w:rPr>
          <w:sz w:val="20"/>
          <w:szCs w:val="20"/>
        </w:rPr>
        <w:t>BrainLes</w:t>
      </w:r>
      <w:proofErr w:type="spellEnd"/>
      <w:r>
        <w:rPr>
          <w:sz w:val="20"/>
          <w:szCs w:val="20"/>
        </w:rPr>
        <w:t xml:space="preserve"> @ MICCAI 2019. doi:10.1007/978-3-030-46640-4_9. arXiv:1911.02278.  </w:t>
      </w:r>
      <w:hyperlink r:id="rId13" w:history="1">
        <w:r>
          <w:rPr>
            <w:rStyle w:val="Hyperlink"/>
            <w:sz w:val="20"/>
            <w:szCs w:val="20"/>
          </w:rPr>
          <w:t>arxiv.org/abs/1911.02278</w:t>
        </w:r>
      </w:hyperlink>
    </w:p>
    <w:p w14:paraId="6DC57BCB" w14:textId="77777777" w:rsidR="0097601D" w:rsidRDefault="00000000">
      <w:pPr>
        <w:spacing w:after="100" w:line="252" w:lineRule="auto"/>
        <w:ind w:left="360" w:hanging="360"/>
      </w:pPr>
      <w:r>
        <w:rPr>
          <w:b/>
          <w:bCs/>
          <w:sz w:val="20"/>
          <w:szCs w:val="20"/>
        </w:rPr>
        <w:t>[12]</w:t>
      </w:r>
      <w:r>
        <w:rPr>
          <w:sz w:val="20"/>
          <w:szCs w:val="20"/>
        </w:rPr>
        <w:t xml:space="preserve"> Shet, R. D., Liang, C. &amp; Zhang, L. Reliability analysis for </w:t>
      </w:r>
      <w:proofErr w:type="spellStart"/>
      <w:r>
        <w:rPr>
          <w:sz w:val="20"/>
          <w:szCs w:val="20"/>
        </w:rPr>
        <w:t>BraTS-GoAT</w:t>
      </w:r>
      <w:proofErr w:type="spellEnd"/>
      <w:r>
        <w:rPr>
          <w:sz w:val="20"/>
          <w:szCs w:val="20"/>
        </w:rPr>
        <w:t xml:space="preserve"> segmentation: a controlled robustness study of deep-ensemble uncertainty. arXiv:2608.13223, 2026.  </w:t>
      </w:r>
      <w:hyperlink r:id="rId14" w:history="1">
        <w:r>
          <w:rPr>
            <w:rStyle w:val="Hyperlink"/>
            <w:sz w:val="20"/>
            <w:szCs w:val="20"/>
          </w:rPr>
          <w:t>arxiv.org/abs/2608.13223</w:t>
        </w:r>
      </w:hyperlink>
    </w:p>
    <w:p w14:paraId="4C2B00CC" w14:textId="77777777" w:rsidR="0097601D" w:rsidRDefault="00000000">
      <w:pPr>
        <w:spacing w:after="100" w:line="252" w:lineRule="auto"/>
        <w:ind w:left="360" w:hanging="360"/>
      </w:pPr>
      <w:r>
        <w:rPr>
          <w:b/>
          <w:bCs/>
          <w:sz w:val="20"/>
          <w:szCs w:val="20"/>
        </w:rPr>
        <w:t>[13]</w:t>
      </w:r>
      <w:r>
        <w:rPr>
          <w:sz w:val="20"/>
          <w:szCs w:val="20"/>
        </w:rPr>
        <w:t xml:space="preserve"> Sharma, M. Monte Carlo Dropout Uncertainty and Entropy-</w:t>
      </w:r>
      <w:proofErr w:type="spellStart"/>
      <w:r>
        <w:rPr>
          <w:sz w:val="20"/>
          <w:szCs w:val="20"/>
        </w:rPr>
        <w:t>Thresholded</w:t>
      </w:r>
      <w:proofErr w:type="spellEnd"/>
      <w:r>
        <w:rPr>
          <w:sz w:val="20"/>
          <w:szCs w:val="20"/>
        </w:rPr>
        <w:t xml:space="preserve"> Selective Prediction for Architecture-Agnostic Brain </w:t>
      </w:r>
      <w:proofErr w:type="spellStart"/>
      <w:r>
        <w:rPr>
          <w:sz w:val="20"/>
          <w:szCs w:val="20"/>
        </w:rPr>
        <w:t>Tumor</w:t>
      </w:r>
      <w:proofErr w:type="spellEnd"/>
      <w:r>
        <w:rPr>
          <w:sz w:val="20"/>
          <w:szCs w:val="20"/>
        </w:rPr>
        <w:t xml:space="preserve"> MRI Triage. arXiv:2607.16317, 2026. (</w:t>
      </w:r>
      <w:proofErr w:type="gramStart"/>
      <w:r>
        <w:rPr>
          <w:sz w:val="20"/>
          <w:szCs w:val="20"/>
        </w:rPr>
        <w:t>brain</w:t>
      </w:r>
      <w:proofErr w:type="gramEnd"/>
      <w:r>
        <w:rPr>
          <w:sz w:val="20"/>
          <w:szCs w:val="20"/>
        </w:rPr>
        <w:t xml:space="preserve">-tumour classification, not segmentation.)  </w:t>
      </w:r>
      <w:hyperlink r:id="rId15" w:history="1">
        <w:r>
          <w:rPr>
            <w:rStyle w:val="Hyperlink"/>
            <w:sz w:val="20"/>
            <w:szCs w:val="20"/>
          </w:rPr>
          <w:t>arxiv.org/abs/2607.16317</w:t>
        </w:r>
      </w:hyperlink>
    </w:p>
    <w:p w14:paraId="28CA7B3C" w14:textId="77777777" w:rsidR="0097601D" w:rsidRDefault="00000000">
      <w:pPr>
        <w:spacing w:after="100" w:line="252" w:lineRule="auto"/>
        <w:ind w:left="360" w:hanging="360"/>
      </w:pPr>
      <w:r>
        <w:rPr>
          <w:b/>
          <w:bCs/>
          <w:sz w:val="20"/>
          <w:szCs w:val="20"/>
        </w:rPr>
        <w:t>[14]</w:t>
      </w:r>
      <w:r>
        <w:rPr>
          <w:sz w:val="20"/>
          <w:szCs w:val="20"/>
        </w:rPr>
        <w:t xml:space="preserve"> </w:t>
      </w:r>
      <w:proofErr w:type="spellStart"/>
      <w:r>
        <w:rPr>
          <w:sz w:val="20"/>
          <w:szCs w:val="20"/>
        </w:rPr>
        <w:t>Bricout</w:t>
      </w:r>
      <w:proofErr w:type="spellEnd"/>
      <w:r>
        <w:rPr>
          <w:sz w:val="20"/>
          <w:szCs w:val="20"/>
        </w:rPr>
        <w:t xml:space="preserve">, A., Hardman, D., Inglis, S., Pye, S. &amp; Moran, C. M. Beyond segmentation accuracy: understanding model reliability and failure modes in ultrasound image analysis. Front. Med. Technol. 8, 2026. doi:10.3389/fmedt.2026.1918432.  </w:t>
      </w:r>
      <w:hyperlink r:id="rId16" w:history="1">
        <w:r>
          <w:rPr>
            <w:rStyle w:val="Hyperlink"/>
            <w:sz w:val="20"/>
            <w:szCs w:val="20"/>
          </w:rPr>
          <w:t>doi.org/10.3389/fmedt.2026.1918432</w:t>
        </w:r>
      </w:hyperlink>
    </w:p>
    <w:sectPr w:rsidR="0097601D">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55B4" w14:textId="77777777" w:rsidR="005B38EA" w:rsidRDefault="005B38EA">
      <w:r>
        <w:separator/>
      </w:r>
    </w:p>
  </w:endnote>
  <w:endnote w:type="continuationSeparator" w:id="0">
    <w:p w14:paraId="6609BB42" w14:textId="77777777" w:rsidR="005B38EA" w:rsidRDefault="005B3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E50A" w14:textId="77777777" w:rsidR="0097601D" w:rsidRDefault="00000000">
    <w:pPr>
      <w:jc w:val="center"/>
    </w:pPr>
    <w:r>
      <w:rPr>
        <w:sz w:val="18"/>
        <w:szCs w:val="18"/>
      </w:rPr>
      <w:fldChar w:fldCharType="begin"/>
    </w:r>
    <w:r>
      <w:rPr>
        <w:sz w:val="18"/>
        <w:szCs w:val="18"/>
      </w:rPr>
      <w:instrText>PAGE</w:instrText>
    </w:r>
    <w:r>
      <w:rPr>
        <w:sz w:val="18"/>
        <w:szCs w:val="18"/>
      </w:rPr>
      <w:fldChar w:fldCharType="separate"/>
    </w:r>
    <w:r w:rsidR="003478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53FEA" w14:textId="77777777" w:rsidR="005B38EA" w:rsidRDefault="005B38EA">
      <w:r>
        <w:separator/>
      </w:r>
    </w:p>
  </w:footnote>
  <w:footnote w:type="continuationSeparator" w:id="0">
    <w:p w14:paraId="16C84488" w14:textId="77777777" w:rsidR="005B38EA" w:rsidRDefault="005B38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2354C"/>
    <w:multiLevelType w:val="hybridMultilevel"/>
    <w:tmpl w:val="AA84FC54"/>
    <w:lvl w:ilvl="0" w:tplc="A7D64B36" w:tentative="1">
      <w:start w:val="1"/>
      <w:numFmt w:val="bullet"/>
      <w:lvlText w:val="●"/>
      <w:lvlJc w:val="left"/>
      <w:pPr>
        <w:ind w:left="720" w:hanging="360"/>
      </w:pPr>
    </w:lvl>
    <w:lvl w:ilvl="1" w:tplc="B596BB46" w:tentative="1">
      <w:start w:val="1"/>
      <w:numFmt w:val="bullet"/>
      <w:lvlText w:val="○"/>
      <w:lvlJc w:val="left"/>
      <w:pPr>
        <w:ind w:left="1440" w:hanging="360"/>
      </w:pPr>
    </w:lvl>
    <w:lvl w:ilvl="2" w:tplc="E77CFF02" w:tentative="1">
      <w:start w:val="1"/>
      <w:numFmt w:val="bullet"/>
      <w:lvlText w:val="■"/>
      <w:lvlJc w:val="left"/>
      <w:pPr>
        <w:ind w:left="2160" w:hanging="360"/>
      </w:pPr>
    </w:lvl>
    <w:lvl w:ilvl="3" w:tplc="A95259B6" w:tentative="1">
      <w:start w:val="1"/>
      <w:numFmt w:val="bullet"/>
      <w:lvlText w:val="●"/>
      <w:lvlJc w:val="left"/>
      <w:pPr>
        <w:ind w:left="2880" w:hanging="360"/>
      </w:pPr>
    </w:lvl>
    <w:lvl w:ilvl="4" w:tplc="0B5E97B6" w:tentative="1">
      <w:start w:val="1"/>
      <w:numFmt w:val="bullet"/>
      <w:lvlText w:val="○"/>
      <w:lvlJc w:val="left"/>
      <w:pPr>
        <w:ind w:left="3600" w:hanging="360"/>
      </w:pPr>
    </w:lvl>
    <w:lvl w:ilvl="5" w:tplc="C54696AE" w:tentative="1">
      <w:start w:val="1"/>
      <w:numFmt w:val="bullet"/>
      <w:lvlText w:val="■"/>
      <w:lvlJc w:val="left"/>
      <w:pPr>
        <w:ind w:left="4320" w:hanging="360"/>
      </w:pPr>
    </w:lvl>
    <w:lvl w:ilvl="6" w:tplc="3DBE2D1E" w:tentative="1">
      <w:start w:val="1"/>
      <w:numFmt w:val="bullet"/>
      <w:lvlText w:val="●"/>
      <w:lvlJc w:val="left"/>
      <w:pPr>
        <w:ind w:left="5040" w:hanging="360"/>
      </w:pPr>
    </w:lvl>
    <w:lvl w:ilvl="7" w:tplc="57DE43A2" w:tentative="1">
      <w:start w:val="1"/>
      <w:numFmt w:val="bullet"/>
      <w:lvlText w:val="●"/>
      <w:lvlJc w:val="left"/>
      <w:pPr>
        <w:ind w:left="5760" w:hanging="360"/>
      </w:pPr>
    </w:lvl>
    <w:lvl w:ilvl="8" w:tplc="075A4C12" w:tentative="1">
      <w:start w:val="1"/>
      <w:numFmt w:val="bullet"/>
      <w:lvlText w:val="●"/>
      <w:lvlJc w:val="left"/>
      <w:pPr>
        <w:ind w:left="6480" w:hanging="360"/>
      </w:pPr>
    </w:lvl>
  </w:abstractNum>
  <w:abstractNum w:abstractNumId="1" w15:restartNumberingAfterBreak="0">
    <w:nsid w:val="69A12608"/>
    <w:multiLevelType w:val="hybridMultilevel"/>
    <w:tmpl w:val="90547FC0"/>
    <w:lvl w:ilvl="0" w:tplc="48925D6C">
      <w:start w:val="1"/>
      <w:numFmt w:val="decimal"/>
      <w:lvlText w:val="%1."/>
      <w:lvlJc w:val="left"/>
      <w:pPr>
        <w:ind w:left="460" w:hanging="360"/>
      </w:pPr>
    </w:lvl>
    <w:lvl w:ilvl="1" w:tplc="83FE452C">
      <w:numFmt w:val="decimal"/>
      <w:lvlText w:val=""/>
      <w:lvlJc w:val="left"/>
    </w:lvl>
    <w:lvl w:ilvl="2" w:tplc="3C50177A">
      <w:numFmt w:val="decimal"/>
      <w:lvlText w:val=""/>
      <w:lvlJc w:val="left"/>
    </w:lvl>
    <w:lvl w:ilvl="3" w:tplc="EDA8C7B6">
      <w:numFmt w:val="decimal"/>
      <w:lvlText w:val=""/>
      <w:lvlJc w:val="left"/>
    </w:lvl>
    <w:lvl w:ilvl="4" w:tplc="0742E008">
      <w:numFmt w:val="decimal"/>
      <w:lvlText w:val=""/>
      <w:lvlJc w:val="left"/>
    </w:lvl>
    <w:lvl w:ilvl="5" w:tplc="2CF88C68">
      <w:numFmt w:val="decimal"/>
      <w:lvlText w:val=""/>
      <w:lvlJc w:val="left"/>
    </w:lvl>
    <w:lvl w:ilvl="6" w:tplc="0186DFB8">
      <w:numFmt w:val="decimal"/>
      <w:lvlText w:val=""/>
      <w:lvlJc w:val="left"/>
    </w:lvl>
    <w:lvl w:ilvl="7" w:tplc="24E000C0">
      <w:numFmt w:val="decimal"/>
      <w:lvlText w:val=""/>
      <w:lvlJc w:val="left"/>
    </w:lvl>
    <w:lvl w:ilvl="8" w:tplc="1D9669F2">
      <w:numFmt w:val="decimal"/>
      <w:lvlText w:val=""/>
      <w:lvlJc w:val="left"/>
    </w:lvl>
  </w:abstractNum>
  <w:num w:numId="1" w16cid:durableId="1560823419">
    <w:abstractNumId w:val="0"/>
    <w:lvlOverride w:ilvl="0">
      <w:startOverride w:val="1"/>
    </w:lvlOverride>
  </w:num>
  <w:num w:numId="2" w16cid:durableId="20145329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01D"/>
    <w:rsid w:val="003478D6"/>
    <w:rsid w:val="004947DB"/>
    <w:rsid w:val="005B38EA"/>
    <w:rsid w:val="006A2FCA"/>
    <w:rsid w:val="00976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0391"/>
  <w15:docId w15:val="{34487C35-EB08-42EF-A372-FB3328FA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389/fnins.2020.00282" TargetMode="External"/><Relationship Id="rId13" Type="http://schemas.openxmlformats.org/officeDocument/2006/relationships/hyperlink" Target="https://arxiv.org/abs/1911.0227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112.10074" TargetMode="External"/><Relationship Id="rId12" Type="http://schemas.openxmlformats.org/officeDocument/2006/relationships/hyperlink" Target="https://arxiv.org/abs/2407.19938"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3389/fmedt.2026.19184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1746-026-02902-0" TargetMode="External"/><Relationship Id="rId5" Type="http://schemas.openxmlformats.org/officeDocument/2006/relationships/footnotes" Target="footnotes.xml"/><Relationship Id="rId15" Type="http://schemas.openxmlformats.org/officeDocument/2006/relationships/hyperlink" Target="https://arxiv.org/abs/2607.16317" TargetMode="External"/><Relationship Id="rId10" Type="http://schemas.openxmlformats.org/officeDocument/2006/relationships/hyperlink" Target="https://doi.org/10.1186/s12968-019-0523-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1702.03407" TargetMode="External"/><Relationship Id="rId14" Type="http://schemas.openxmlformats.org/officeDocument/2006/relationships/hyperlink" Target="https://arxiv.org/abs/2608.13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Predicting Consequential Volume Errors in Automated Brain-Tumour MRI Segmentation</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Consequential Volume Errors in Automated Brain-Tumour MRI Segmentation</dc:title>
  <dc:creator>BioAI-2026 submission</dc:creator>
  <cp:lastModifiedBy>Subhrakant Sethi</cp:lastModifiedBy>
  <cp:revision>2</cp:revision>
  <dcterms:created xsi:type="dcterms:W3CDTF">2026-10-12T10:17:00Z</dcterms:created>
  <dcterms:modified xsi:type="dcterms:W3CDTF">2026-10-12T10:32:00Z</dcterms:modified>
</cp:coreProperties>
</file>