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B229E">
      <w:pPr>
        <w:spacing w:after="40"/>
        <w:jc w:val="center"/>
      </w:pPr>
      <w:r>
        <w:rPr>
          <w:b/>
          <w:bCs/>
          <w:color w:val="1A1A2E"/>
          <w:sz w:val="30"/>
          <w:szCs w:val="30"/>
        </w:rPr>
        <w:t>Lab 3: Component Modelling &amp; Architectural Pattern Selection</w:t>
      </w:r>
    </w:p>
    <w:p w14:paraId="0EB928DB">
      <w:pPr>
        <w:spacing w:after="40"/>
        <w:jc w:val="center"/>
      </w:pPr>
      <w:r>
        <w:rPr>
          <w:b/>
          <w:bCs/>
          <w:color w:val="4A4A4A"/>
          <w:sz w:val="26"/>
          <w:szCs w:val="26"/>
        </w:rPr>
        <w:t>Micro-Lending &amp; Peer Credit Risk Assessor</w:t>
      </w:r>
    </w:p>
    <w:p w14:paraId="3F1EDAB9">
      <w:pPr>
        <w:pBdr>
          <w:bottom w:val="single" w:color="CCCCCC" w:sz="6" w:space="6"/>
        </w:pBdr>
        <w:spacing w:after="200"/>
        <w:jc w:val="left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Name: Epari Subhransi   </w:t>
      </w:r>
      <w:r>
        <w:rPr>
          <w:rFonts w:hint="default"/>
          <w:color w:val="666666"/>
          <w:sz w:val="20"/>
          <w:szCs w:val="20"/>
          <w:lang w:val="en-IN"/>
        </w:rPr>
        <w:t xml:space="preserve"> </w:t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  <w:t/>
      </w:r>
      <w:r>
        <w:rPr>
          <w:rFonts w:hint="default"/>
          <w:color w:val="666666"/>
          <w:sz w:val="20"/>
          <w:szCs w:val="20"/>
          <w:lang w:val="en-IN"/>
        </w:rPr>
        <w:tab/>
      </w:r>
      <w:r>
        <w:rPr>
          <w:color w:val="666666"/>
          <w:sz w:val="20"/>
          <w:szCs w:val="20"/>
        </w:rPr>
        <w:t xml:space="preserve"> SRN: PES1UG24CS161   </w:t>
      </w:r>
      <w:r>
        <w:rPr>
          <w:rFonts w:hint="default"/>
          <w:color w:val="666666"/>
          <w:sz w:val="20"/>
          <w:szCs w:val="20"/>
          <w:lang w:val="en-IN"/>
        </w:rPr>
        <w:tab/>
        <w:t xml:space="preserve">                                                                                                                                                                        </w:t>
      </w:r>
      <w:r>
        <w:rPr>
          <w:color w:val="666666"/>
          <w:sz w:val="20"/>
          <w:szCs w:val="20"/>
        </w:rPr>
        <w:t>Section: C</w:t>
      </w:r>
      <w:bookmarkStart w:id="0" w:name="_GoBack"/>
      <w:bookmarkEnd w:id="0"/>
    </w:p>
    <w:p w14:paraId="01D941A0">
      <w:pPr>
        <w:pBdr>
          <w:bottom w:val="single" w:color="CCCCCC" w:sz="6" w:space="6"/>
        </w:pBdr>
        <w:spacing w:after="200"/>
        <w:jc w:val="left"/>
        <w:rPr>
          <w:color w:val="666666"/>
          <w:sz w:val="20"/>
          <w:szCs w:val="20"/>
        </w:rPr>
      </w:pPr>
    </w:p>
    <w:p w14:paraId="23504E8C">
      <w:pPr>
        <w:pBdr>
          <w:bottom w:val="single" w:color="CCCCCC" w:sz="6" w:space="6"/>
        </w:pBdr>
        <w:spacing w:after="200"/>
        <w:jc w:val="left"/>
      </w:pPr>
      <w:r>
        <w:rPr>
          <w:b/>
          <w:bCs/>
          <w:color w:val="1A1A2E"/>
          <w:sz w:val="24"/>
          <w:szCs w:val="24"/>
        </w:rPr>
        <w:t>Architecture Selection</w:t>
      </w:r>
    </w:p>
    <w:p w14:paraId="783636AF">
      <w:pPr>
        <w:spacing w:after="120"/>
      </w:pPr>
      <w:r>
        <w:rPr>
          <w:sz w:val="22"/>
          <w:szCs w:val="22"/>
        </w:rPr>
        <w:t>We chose Layered Architecture for the Micro-Lending &amp; Peer Credit Risk Assessor System.</w:t>
      </w:r>
    </w:p>
    <w:p w14:paraId="4FC48C7F">
      <w:pPr>
        <w:pStyle w:val="3"/>
        <w:spacing w:before="200" w:after="80"/>
      </w:pPr>
      <w:r>
        <w:rPr>
          <w:b/>
          <w:bCs/>
          <w:color w:val="1A1A2E"/>
          <w:sz w:val="24"/>
          <w:szCs w:val="24"/>
        </w:rPr>
        <w:t>Two Reasons for the Choice</w:t>
      </w:r>
    </w:p>
    <w:p w14:paraId="5D3B7FD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Financial correctness over raw scale: The platform's core NFR (NFR-001) mandates that loan repayment transactions and EMI distribution execute inside ACID-compliant database transactions to prevent double-spending. Keeping :LoanManagement and the Payments subsystem's :RepaymentScheduling / :PaymentGatewayIntegration components layered directly above a single :Database component (DataStore) keeps every write inside one consistent transaction boundary — far simpler to guarantee than coordinating distributed transactions across independently-deployed microservices.</w:t>
      </w:r>
    </w:p>
    <w:p w14:paraId="63EF8C5B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Clear separation of concerns for a multi-actor workflow: The system serves two distinct actors (Borrower, Peer Lender) through a common flow — profile registration → risk assessment → loan funding → scheduling → repayment → default handling. Grouping the UI-facing components into the ClientPortal, isolating scoring logic in the RiskEngine (:RiskAssessment), and bundling transaction-handling into the Payments subsystem (:RepaymentScheduling, :PaymentGatewayIntegration, :Notification) lets each concern evolve independently while keeping the request flow easy to trace — important for a student-scale system where operational overhead must stay low.</w:t>
      </w:r>
    </w:p>
    <w:p w14:paraId="3E1EFF84">
      <w:pPr>
        <w:pStyle w:val="3"/>
        <w:spacing w:before="200" w:after="80"/>
      </w:pPr>
      <w:r>
        <w:rPr>
          <w:b/>
          <w:bCs/>
          <w:color w:val="1A1A2E"/>
          <w:sz w:val="24"/>
          <w:szCs w:val="24"/>
        </w:rPr>
        <w:t>Security Advantage</w:t>
      </w:r>
    </w:p>
    <w:p w14:paraId="1E2FAF4C">
      <w:pPr>
        <w:spacing w:after="120"/>
      </w:pPr>
      <w:r>
        <w:rPr>
          <w:sz w:val="22"/>
          <w:szCs w:val="22"/>
        </w:rPr>
        <w:t>Centralizing all persistence access behind :Database's DataAccessInterface (ProfileData / transaction records) means encryption-at-rest (AES-256) and access control for borrower PII/financial data (per NFR-002) are enforced in one place rather than duplicated across independently deployed services. The :PaymentGatewayIntegration component is the single required-interface boundary (ExternalPaymentAPI) that talks to the external Payment Gateway, so card/bank details never need to pass through or be re-validated by any other internal component — significantly reducing the attack surface compared to a microservices style where each service would otherwise need its own hardened data-access and encryption implementation.</w:t>
      </w:r>
    </w:p>
    <w:p w14:paraId="7F335F1E">
      <w:pPr>
        <w:pStyle w:val="3"/>
        <w:spacing w:before="200" w:after="80"/>
      </w:pPr>
      <w:r>
        <w:rPr>
          <w:b/>
          <w:bCs/>
          <w:color w:val="1A1A2E"/>
          <w:sz w:val="24"/>
          <w:szCs w:val="24"/>
        </w:rPr>
        <w:t>Performance Benefit</w:t>
      </w:r>
    </w:p>
    <w:p w14:paraId="00848578">
      <w:pPr>
        <w:spacing w:after="120"/>
      </w:pPr>
      <w:r>
        <w:rPr>
          <w:sz w:val="22"/>
          <w:szCs w:val="22"/>
        </w:rPr>
        <w:t>Because the Business-layer components (:LoanManagement, :RiskAssessment, :RepaymentScheduling) call :Database directly through in-process/local calls rather than over a network, EMI schedule generation (AssessRisk → ScheduleRepayment) avoids inter-service network latency. This directly supports the sub-3-second response targets required by FR-002 (loan submission) and FR-005 (listing filters), which would be harder to guarantee if each request had to hop across multiple independently-deployed microservices.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B26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348</Words>
  <Characters>2448</Characters>
  <TotalTime>1</TotalTime>
  <ScaleCrop>false</ScaleCrop>
  <LinksUpToDate>false</LinksUpToDate>
  <CharactersWithSpaces>2792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2026-09-11T08:10:00Z</dcterms:created>
  <dc:creator>Un-named</dc:creator>
  <cp:lastModifiedBy>Subhransi Epari</cp:lastModifiedBy>
  <dcterms:modified xsi:type="dcterms:W3CDTF">2026-09-11T08:12:08Z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eyJoZGlkIjoiOTNjYmQyMmFhYjQ0YTQ5MTg5YjgzMGZkNDZkYjI4ZWEiLCJ1c2VySWQiOiI1NjczMDg0MzU5OTcifQ==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3F3749A393BE4ED1883510BF07D76D49_12</vt:lpwstr>
  </property>
</Properties>
</file>