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A0AE" w14:textId="77777777" w:rsidR="00EB1746" w:rsidRPr="00EB1746" w:rsidRDefault="00EB1746" w:rsidP="00EB1746">
      <w:pPr>
        <w:pStyle w:val="Title"/>
        <w:jc w:val="center"/>
      </w:pPr>
      <w:r w:rsidRPr="00EB1746">
        <w:t>Power BI Project Report: Global Cancer Patients Analysis (2015-2024)</w:t>
      </w:r>
    </w:p>
    <w:p w14:paraId="565D2033" w14:textId="77777777" w:rsidR="00EB1746" w:rsidRDefault="00EB1746" w:rsidP="00EB1746">
      <w:pPr>
        <w:rPr>
          <w:b/>
          <w:bCs/>
        </w:rPr>
      </w:pPr>
    </w:p>
    <w:p w14:paraId="6D4F1EB0" w14:textId="77777777" w:rsidR="00EB1746" w:rsidRDefault="00EB1746" w:rsidP="00EB1746">
      <w:pPr>
        <w:rPr>
          <w:b/>
          <w:bCs/>
        </w:rPr>
      </w:pPr>
    </w:p>
    <w:p w14:paraId="417585A4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Objective</w:t>
      </w:r>
    </w:p>
    <w:p w14:paraId="5494AEAE" w14:textId="77777777" w:rsidR="001A772A" w:rsidRPr="001A772A" w:rsidRDefault="001A772A" w:rsidP="001A772A">
      <w:r w:rsidRPr="001A772A">
        <w:t xml:space="preserve">This project aimed to create an interactive and engaging Power BI dashboard to </w:t>
      </w:r>
      <w:proofErr w:type="spellStart"/>
      <w:r w:rsidRPr="001A772A">
        <w:t>analyze</w:t>
      </w:r>
      <w:proofErr w:type="spellEnd"/>
      <w:r w:rsidRPr="001A772A">
        <w:t xml:space="preserve"> global cancer patient data from 2015 to 2024. The focus was to uncover trends, distributions, and patterns in cancer diagnoses and treatment costs. The dashboard serves as a portfolio piece to demonstrate advanced data analysis and visualization skills.</w:t>
      </w:r>
    </w:p>
    <w:p w14:paraId="66FE3BB3" w14:textId="77777777" w:rsidR="001A772A" w:rsidRPr="001A772A" w:rsidRDefault="001A772A" w:rsidP="001A772A">
      <w:r w:rsidRPr="001A772A">
        <w:pict w14:anchorId="53A61E8D">
          <v:rect id="_x0000_i1079" style="width:0;height:1.5pt" o:hralign="center" o:hrstd="t" o:hr="t" fillcolor="#a0a0a0" stroked="f"/>
        </w:pict>
      </w:r>
    </w:p>
    <w:p w14:paraId="424530D9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Dataset Overview</w:t>
      </w:r>
    </w:p>
    <w:p w14:paraId="736FC11B" w14:textId="77777777" w:rsidR="001A772A" w:rsidRPr="001A772A" w:rsidRDefault="001A772A" w:rsidP="001A772A">
      <w:r w:rsidRPr="001A772A">
        <w:t>The dataset used for this analysis contains the following key columns:</w:t>
      </w:r>
    </w:p>
    <w:p w14:paraId="21502591" w14:textId="77777777" w:rsidR="001A772A" w:rsidRPr="001A772A" w:rsidRDefault="001A772A" w:rsidP="001A772A">
      <w:pPr>
        <w:numPr>
          <w:ilvl w:val="0"/>
          <w:numId w:val="12"/>
        </w:numPr>
      </w:pPr>
      <w:proofErr w:type="spellStart"/>
      <w:r w:rsidRPr="001A772A">
        <w:rPr>
          <w:b/>
          <w:bCs/>
        </w:rPr>
        <w:t>Patient_ID</w:t>
      </w:r>
      <w:proofErr w:type="spellEnd"/>
      <w:r w:rsidRPr="001A772A">
        <w:t>: Unique identifier for each patient.</w:t>
      </w:r>
    </w:p>
    <w:p w14:paraId="1ABDEFCA" w14:textId="77777777" w:rsidR="001A772A" w:rsidRPr="001A772A" w:rsidRDefault="001A772A" w:rsidP="001A772A">
      <w:pPr>
        <w:numPr>
          <w:ilvl w:val="0"/>
          <w:numId w:val="12"/>
        </w:numPr>
      </w:pPr>
      <w:r w:rsidRPr="001A772A">
        <w:rPr>
          <w:b/>
          <w:bCs/>
        </w:rPr>
        <w:t>Age</w:t>
      </w:r>
      <w:r w:rsidRPr="001A772A">
        <w:t>: Patient’s age.</w:t>
      </w:r>
    </w:p>
    <w:p w14:paraId="03A4D022" w14:textId="77777777" w:rsidR="001A772A" w:rsidRPr="001A772A" w:rsidRDefault="001A772A" w:rsidP="001A772A">
      <w:pPr>
        <w:numPr>
          <w:ilvl w:val="0"/>
          <w:numId w:val="12"/>
        </w:numPr>
      </w:pPr>
      <w:r w:rsidRPr="001A772A">
        <w:rPr>
          <w:b/>
          <w:bCs/>
        </w:rPr>
        <w:t>Gender</w:t>
      </w:r>
      <w:r w:rsidRPr="001A772A">
        <w:t>: Male, Female, or Other.</w:t>
      </w:r>
    </w:p>
    <w:p w14:paraId="64D16138" w14:textId="77777777" w:rsidR="001A772A" w:rsidRPr="001A772A" w:rsidRDefault="001A772A" w:rsidP="001A772A">
      <w:pPr>
        <w:numPr>
          <w:ilvl w:val="0"/>
          <w:numId w:val="12"/>
        </w:numPr>
      </w:pPr>
      <w:proofErr w:type="spellStart"/>
      <w:r w:rsidRPr="001A772A">
        <w:rPr>
          <w:b/>
          <w:bCs/>
        </w:rPr>
        <w:t>Country_Region</w:t>
      </w:r>
      <w:proofErr w:type="spellEnd"/>
      <w:r w:rsidRPr="001A772A">
        <w:t>: Country or region of the patient.</w:t>
      </w:r>
    </w:p>
    <w:p w14:paraId="4F8B9C60" w14:textId="77777777" w:rsidR="001A772A" w:rsidRPr="001A772A" w:rsidRDefault="001A772A" w:rsidP="001A772A">
      <w:pPr>
        <w:numPr>
          <w:ilvl w:val="0"/>
          <w:numId w:val="12"/>
        </w:numPr>
      </w:pPr>
      <w:r w:rsidRPr="001A772A">
        <w:rPr>
          <w:b/>
          <w:bCs/>
        </w:rPr>
        <w:t>Year</w:t>
      </w:r>
      <w:r w:rsidRPr="001A772A">
        <w:t>: Year of diagnosis or record.</w:t>
      </w:r>
    </w:p>
    <w:p w14:paraId="39FAF275" w14:textId="77777777" w:rsidR="001A772A" w:rsidRPr="001A772A" w:rsidRDefault="001A772A" w:rsidP="001A772A">
      <w:pPr>
        <w:numPr>
          <w:ilvl w:val="0"/>
          <w:numId w:val="12"/>
        </w:numPr>
      </w:pPr>
      <w:proofErr w:type="spellStart"/>
      <w:r w:rsidRPr="001A772A">
        <w:rPr>
          <w:b/>
          <w:bCs/>
        </w:rPr>
        <w:t>Cancer_Type</w:t>
      </w:r>
      <w:proofErr w:type="spellEnd"/>
      <w:r w:rsidRPr="001A772A">
        <w:t>: Type of cancer (e.g., Lung, Breast, Skin).</w:t>
      </w:r>
    </w:p>
    <w:p w14:paraId="6B343556" w14:textId="77777777" w:rsidR="001A772A" w:rsidRPr="001A772A" w:rsidRDefault="001A772A" w:rsidP="001A772A">
      <w:pPr>
        <w:numPr>
          <w:ilvl w:val="0"/>
          <w:numId w:val="12"/>
        </w:numPr>
      </w:pPr>
      <w:proofErr w:type="spellStart"/>
      <w:r w:rsidRPr="001A772A">
        <w:rPr>
          <w:b/>
          <w:bCs/>
        </w:rPr>
        <w:t>Cancer_Stage</w:t>
      </w:r>
      <w:proofErr w:type="spellEnd"/>
      <w:r w:rsidRPr="001A772A">
        <w:t>: Cancer stage (e.g., Stage 0, I, II, III).</w:t>
      </w:r>
    </w:p>
    <w:p w14:paraId="4CEF2558" w14:textId="77777777" w:rsidR="001A772A" w:rsidRPr="001A772A" w:rsidRDefault="001A772A" w:rsidP="001A772A">
      <w:pPr>
        <w:numPr>
          <w:ilvl w:val="0"/>
          <w:numId w:val="12"/>
        </w:numPr>
      </w:pPr>
      <w:proofErr w:type="spellStart"/>
      <w:r w:rsidRPr="001A772A">
        <w:rPr>
          <w:b/>
          <w:bCs/>
        </w:rPr>
        <w:t>Treatment_Cost_USD</w:t>
      </w:r>
      <w:proofErr w:type="spellEnd"/>
      <w:r w:rsidRPr="001A772A">
        <w:t>: Cost of treatment in USD.</w:t>
      </w:r>
    </w:p>
    <w:p w14:paraId="0D78799D" w14:textId="77777777" w:rsidR="001A772A" w:rsidRPr="001A772A" w:rsidRDefault="001A772A" w:rsidP="001A772A">
      <w:r w:rsidRPr="001A772A">
        <w:pict w14:anchorId="26EEE03D">
          <v:rect id="_x0000_i1080" style="width:0;height:1.5pt" o:hralign="center" o:hrstd="t" o:hr="t" fillcolor="#a0a0a0" stroked="f"/>
        </w:pict>
      </w:r>
    </w:p>
    <w:p w14:paraId="61DE2AF0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Key Dashboard Features</w:t>
      </w:r>
    </w:p>
    <w:p w14:paraId="23222E27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KPIs</w:t>
      </w:r>
    </w:p>
    <w:p w14:paraId="71515665" w14:textId="77777777" w:rsidR="001A772A" w:rsidRPr="001A772A" w:rsidRDefault="001A772A" w:rsidP="001A772A">
      <w:pPr>
        <w:numPr>
          <w:ilvl w:val="0"/>
          <w:numId w:val="13"/>
        </w:numPr>
      </w:pPr>
      <w:r w:rsidRPr="001A772A">
        <w:rPr>
          <w:b/>
          <w:bCs/>
        </w:rPr>
        <w:t>Total Patients</w:t>
      </w:r>
      <w:r w:rsidRPr="001A772A">
        <w:t>: The total number of unique patients in the dataset.</w:t>
      </w:r>
    </w:p>
    <w:p w14:paraId="586C64CA" w14:textId="77777777" w:rsidR="001A772A" w:rsidRPr="001A772A" w:rsidRDefault="001A772A" w:rsidP="001A772A">
      <w:pPr>
        <w:numPr>
          <w:ilvl w:val="1"/>
          <w:numId w:val="13"/>
        </w:numPr>
      </w:pPr>
      <w:r w:rsidRPr="001A772A">
        <w:rPr>
          <w:b/>
          <w:bCs/>
        </w:rPr>
        <w:t>Value</w:t>
      </w:r>
      <w:r w:rsidRPr="001A772A">
        <w:t>: 50K patients.</w:t>
      </w:r>
    </w:p>
    <w:p w14:paraId="51637C36" w14:textId="77777777" w:rsidR="001A772A" w:rsidRPr="001A772A" w:rsidRDefault="001A772A" w:rsidP="001A772A">
      <w:pPr>
        <w:numPr>
          <w:ilvl w:val="0"/>
          <w:numId w:val="13"/>
        </w:numPr>
      </w:pPr>
      <w:r w:rsidRPr="001A772A">
        <w:rPr>
          <w:b/>
          <w:bCs/>
        </w:rPr>
        <w:t>Average Age</w:t>
      </w:r>
      <w:r w:rsidRPr="001A772A">
        <w:t>: The average age of patients.</w:t>
      </w:r>
    </w:p>
    <w:p w14:paraId="70A113DB" w14:textId="77777777" w:rsidR="001A772A" w:rsidRPr="001A772A" w:rsidRDefault="001A772A" w:rsidP="001A772A">
      <w:pPr>
        <w:numPr>
          <w:ilvl w:val="1"/>
          <w:numId w:val="13"/>
        </w:numPr>
      </w:pPr>
      <w:r w:rsidRPr="001A772A">
        <w:rPr>
          <w:b/>
          <w:bCs/>
        </w:rPr>
        <w:t>Value</w:t>
      </w:r>
      <w:r w:rsidRPr="001A772A">
        <w:t>: 54.42 years.</w:t>
      </w:r>
    </w:p>
    <w:p w14:paraId="6E83BC81" w14:textId="77777777" w:rsidR="001A772A" w:rsidRPr="001A772A" w:rsidRDefault="001A772A" w:rsidP="001A772A">
      <w:pPr>
        <w:numPr>
          <w:ilvl w:val="0"/>
          <w:numId w:val="13"/>
        </w:numPr>
      </w:pPr>
      <w:r w:rsidRPr="001A772A">
        <w:rPr>
          <w:b/>
          <w:bCs/>
        </w:rPr>
        <w:lastRenderedPageBreak/>
        <w:t>Average Treatment Cost</w:t>
      </w:r>
      <w:r w:rsidRPr="001A772A">
        <w:t>: The average treatment cost across all patients.</w:t>
      </w:r>
    </w:p>
    <w:p w14:paraId="4EE39C1F" w14:textId="77777777" w:rsidR="001A772A" w:rsidRPr="001A772A" w:rsidRDefault="001A772A" w:rsidP="001A772A">
      <w:pPr>
        <w:numPr>
          <w:ilvl w:val="1"/>
          <w:numId w:val="13"/>
        </w:numPr>
      </w:pPr>
      <w:r w:rsidRPr="001A772A">
        <w:rPr>
          <w:b/>
          <w:bCs/>
        </w:rPr>
        <w:t>Value</w:t>
      </w:r>
      <w:r w:rsidRPr="001A772A">
        <w:t>: $52.47K.</w:t>
      </w:r>
    </w:p>
    <w:p w14:paraId="0CE92376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Visualizations</w:t>
      </w:r>
    </w:p>
    <w:p w14:paraId="6702234E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Yearly Trends</w:t>
      </w:r>
    </w:p>
    <w:p w14:paraId="58116570" w14:textId="77777777" w:rsidR="001A772A" w:rsidRPr="001A772A" w:rsidRDefault="001A772A" w:rsidP="001A772A">
      <w:pPr>
        <w:numPr>
          <w:ilvl w:val="0"/>
          <w:numId w:val="14"/>
        </w:numPr>
      </w:pPr>
      <w:r w:rsidRPr="001A772A">
        <w:rPr>
          <w:b/>
          <w:bCs/>
        </w:rPr>
        <w:t>Chart Type</w:t>
      </w:r>
      <w:r w:rsidRPr="001A772A">
        <w:t>: Line Chart.</w:t>
      </w:r>
    </w:p>
    <w:p w14:paraId="2E6D6E6D" w14:textId="77777777" w:rsidR="001A772A" w:rsidRPr="001A772A" w:rsidRDefault="001A772A" w:rsidP="001A772A">
      <w:pPr>
        <w:numPr>
          <w:ilvl w:val="0"/>
          <w:numId w:val="14"/>
        </w:numPr>
      </w:pPr>
      <w:r w:rsidRPr="001A772A">
        <w:rPr>
          <w:b/>
          <w:bCs/>
        </w:rPr>
        <w:t>X-Axis</w:t>
      </w:r>
      <w:r w:rsidRPr="001A772A">
        <w:t>: Year.</w:t>
      </w:r>
    </w:p>
    <w:p w14:paraId="3732254A" w14:textId="77777777" w:rsidR="001A772A" w:rsidRPr="001A772A" w:rsidRDefault="001A772A" w:rsidP="001A772A">
      <w:pPr>
        <w:numPr>
          <w:ilvl w:val="0"/>
          <w:numId w:val="14"/>
        </w:numPr>
      </w:pPr>
      <w:r w:rsidRPr="001A772A">
        <w:rPr>
          <w:b/>
          <w:bCs/>
        </w:rPr>
        <w:t>Y-Axis</w:t>
      </w:r>
      <w:r w:rsidRPr="001A772A">
        <w:t>: Number of Patients.</w:t>
      </w:r>
    </w:p>
    <w:p w14:paraId="19CD4B9F" w14:textId="77777777" w:rsidR="001A772A" w:rsidRPr="001A772A" w:rsidRDefault="001A772A" w:rsidP="001A772A">
      <w:pPr>
        <w:numPr>
          <w:ilvl w:val="0"/>
          <w:numId w:val="14"/>
        </w:numPr>
      </w:pPr>
      <w:r w:rsidRPr="001A772A">
        <w:rPr>
          <w:b/>
          <w:bCs/>
        </w:rPr>
        <w:t>Insight</w:t>
      </w:r>
      <w:r w:rsidRPr="001A772A">
        <w:t>: Highlights annual variations in cancer diagnoses, with a noticeable dip in 2018.</w:t>
      </w:r>
    </w:p>
    <w:p w14:paraId="73DACE07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Regional Distribution</w:t>
      </w:r>
    </w:p>
    <w:p w14:paraId="2C1ED662" w14:textId="77777777" w:rsidR="001A772A" w:rsidRPr="001A772A" w:rsidRDefault="001A772A" w:rsidP="001A772A">
      <w:pPr>
        <w:numPr>
          <w:ilvl w:val="0"/>
          <w:numId w:val="15"/>
        </w:numPr>
      </w:pPr>
      <w:r w:rsidRPr="001A772A">
        <w:rPr>
          <w:b/>
          <w:bCs/>
        </w:rPr>
        <w:t>Chart Type</w:t>
      </w:r>
      <w:r w:rsidRPr="001A772A">
        <w:t>: Bar Chart.</w:t>
      </w:r>
    </w:p>
    <w:p w14:paraId="3613408C" w14:textId="77777777" w:rsidR="001A772A" w:rsidRPr="001A772A" w:rsidRDefault="001A772A" w:rsidP="001A772A">
      <w:pPr>
        <w:numPr>
          <w:ilvl w:val="0"/>
          <w:numId w:val="15"/>
        </w:numPr>
      </w:pPr>
      <w:r w:rsidRPr="001A772A">
        <w:rPr>
          <w:b/>
          <w:bCs/>
        </w:rPr>
        <w:t>X-Axis</w:t>
      </w:r>
      <w:r w:rsidRPr="001A772A">
        <w:t>: Number of Patients.</w:t>
      </w:r>
    </w:p>
    <w:p w14:paraId="1BA017A0" w14:textId="77777777" w:rsidR="001A772A" w:rsidRPr="001A772A" w:rsidRDefault="001A772A" w:rsidP="001A772A">
      <w:pPr>
        <w:numPr>
          <w:ilvl w:val="0"/>
          <w:numId w:val="15"/>
        </w:numPr>
      </w:pPr>
      <w:r w:rsidRPr="001A772A">
        <w:rPr>
          <w:b/>
          <w:bCs/>
        </w:rPr>
        <w:t>Y-Axis</w:t>
      </w:r>
      <w:r w:rsidRPr="001A772A">
        <w:t>: Country/Region.</w:t>
      </w:r>
    </w:p>
    <w:p w14:paraId="67B703A7" w14:textId="77777777" w:rsidR="001A772A" w:rsidRPr="001A772A" w:rsidRDefault="001A772A" w:rsidP="001A772A">
      <w:pPr>
        <w:numPr>
          <w:ilvl w:val="0"/>
          <w:numId w:val="15"/>
        </w:numPr>
      </w:pPr>
      <w:r w:rsidRPr="001A772A">
        <w:rPr>
          <w:b/>
          <w:bCs/>
        </w:rPr>
        <w:t>Insight</w:t>
      </w:r>
      <w:r w:rsidRPr="001A772A">
        <w:t>: Reveals that the USA, UK, and Australia have the highest diagnosis counts.</w:t>
      </w:r>
    </w:p>
    <w:p w14:paraId="73141626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Cancer Type Analysis</w:t>
      </w:r>
    </w:p>
    <w:p w14:paraId="64A2B301" w14:textId="77777777" w:rsidR="001A772A" w:rsidRPr="001A772A" w:rsidRDefault="001A772A" w:rsidP="001A772A">
      <w:pPr>
        <w:numPr>
          <w:ilvl w:val="0"/>
          <w:numId w:val="16"/>
        </w:numPr>
      </w:pPr>
      <w:r w:rsidRPr="001A772A">
        <w:rPr>
          <w:b/>
          <w:bCs/>
        </w:rPr>
        <w:t>Chart Type</w:t>
      </w:r>
      <w:r w:rsidRPr="001A772A">
        <w:t>: Clustered Bar Chart.</w:t>
      </w:r>
    </w:p>
    <w:p w14:paraId="50BA094D" w14:textId="77777777" w:rsidR="001A772A" w:rsidRPr="001A772A" w:rsidRDefault="001A772A" w:rsidP="001A772A">
      <w:pPr>
        <w:numPr>
          <w:ilvl w:val="0"/>
          <w:numId w:val="16"/>
        </w:numPr>
      </w:pPr>
      <w:r w:rsidRPr="001A772A">
        <w:rPr>
          <w:b/>
          <w:bCs/>
        </w:rPr>
        <w:t>X-Axis</w:t>
      </w:r>
      <w:r w:rsidRPr="001A772A">
        <w:t>: Cancer Type.</w:t>
      </w:r>
    </w:p>
    <w:p w14:paraId="0C03A3F2" w14:textId="77777777" w:rsidR="001A772A" w:rsidRPr="001A772A" w:rsidRDefault="001A772A" w:rsidP="001A772A">
      <w:pPr>
        <w:numPr>
          <w:ilvl w:val="0"/>
          <w:numId w:val="16"/>
        </w:numPr>
      </w:pPr>
      <w:r w:rsidRPr="001A772A">
        <w:rPr>
          <w:b/>
          <w:bCs/>
        </w:rPr>
        <w:t>Y-Axis</w:t>
      </w:r>
      <w:r w:rsidRPr="001A772A">
        <w:t>: Number of Patients.</w:t>
      </w:r>
    </w:p>
    <w:p w14:paraId="02B52DA5" w14:textId="77777777" w:rsidR="001A772A" w:rsidRPr="001A772A" w:rsidRDefault="001A772A" w:rsidP="001A772A">
      <w:pPr>
        <w:numPr>
          <w:ilvl w:val="0"/>
          <w:numId w:val="16"/>
        </w:numPr>
      </w:pPr>
      <w:r w:rsidRPr="001A772A">
        <w:rPr>
          <w:b/>
          <w:bCs/>
        </w:rPr>
        <w:t>Insight</w:t>
      </w:r>
      <w:r w:rsidRPr="001A772A">
        <w:t>: Identifies the most common cancer types, each averaging around 6.2K cases.</w:t>
      </w:r>
    </w:p>
    <w:p w14:paraId="7BA4C54A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Cancer Stage Breakdown</w:t>
      </w:r>
    </w:p>
    <w:p w14:paraId="7B31AA7B" w14:textId="77777777" w:rsidR="001A772A" w:rsidRPr="001A772A" w:rsidRDefault="001A772A" w:rsidP="001A772A">
      <w:pPr>
        <w:numPr>
          <w:ilvl w:val="0"/>
          <w:numId w:val="17"/>
        </w:numPr>
      </w:pPr>
      <w:r w:rsidRPr="001A772A">
        <w:rPr>
          <w:b/>
          <w:bCs/>
        </w:rPr>
        <w:t>Chart Type</w:t>
      </w:r>
      <w:r w:rsidRPr="001A772A">
        <w:t>: Stacked Bar Chart.</w:t>
      </w:r>
    </w:p>
    <w:p w14:paraId="3B663887" w14:textId="77777777" w:rsidR="001A772A" w:rsidRPr="001A772A" w:rsidRDefault="001A772A" w:rsidP="001A772A">
      <w:pPr>
        <w:numPr>
          <w:ilvl w:val="0"/>
          <w:numId w:val="17"/>
        </w:numPr>
      </w:pPr>
      <w:r w:rsidRPr="001A772A">
        <w:rPr>
          <w:b/>
          <w:bCs/>
        </w:rPr>
        <w:t>X-Axis</w:t>
      </w:r>
      <w:r w:rsidRPr="001A772A">
        <w:t>: Cancer Stage.</w:t>
      </w:r>
    </w:p>
    <w:p w14:paraId="5B937905" w14:textId="77777777" w:rsidR="001A772A" w:rsidRPr="001A772A" w:rsidRDefault="001A772A" w:rsidP="001A772A">
      <w:pPr>
        <w:numPr>
          <w:ilvl w:val="0"/>
          <w:numId w:val="17"/>
        </w:numPr>
      </w:pPr>
      <w:r w:rsidRPr="001A772A">
        <w:rPr>
          <w:b/>
          <w:bCs/>
        </w:rPr>
        <w:t>Y-Axis</w:t>
      </w:r>
      <w:r w:rsidRPr="001A772A">
        <w:t>: Number of Patients.</w:t>
      </w:r>
    </w:p>
    <w:p w14:paraId="439696D3" w14:textId="77777777" w:rsidR="001A772A" w:rsidRPr="001A772A" w:rsidRDefault="001A772A" w:rsidP="001A772A">
      <w:pPr>
        <w:numPr>
          <w:ilvl w:val="0"/>
          <w:numId w:val="17"/>
        </w:numPr>
      </w:pPr>
      <w:r w:rsidRPr="001A772A">
        <w:rPr>
          <w:b/>
          <w:bCs/>
        </w:rPr>
        <w:t>Insight</w:t>
      </w:r>
      <w:r w:rsidRPr="001A772A">
        <w:t>: Stage II cancers are the most frequent, suggesting a critical intervention point.</w:t>
      </w:r>
    </w:p>
    <w:p w14:paraId="0324E69C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Gender Distribution</w:t>
      </w:r>
    </w:p>
    <w:p w14:paraId="39AFACDD" w14:textId="77777777" w:rsidR="001A772A" w:rsidRPr="001A772A" w:rsidRDefault="001A772A" w:rsidP="001A772A">
      <w:pPr>
        <w:numPr>
          <w:ilvl w:val="0"/>
          <w:numId w:val="18"/>
        </w:numPr>
      </w:pPr>
      <w:r w:rsidRPr="001A772A">
        <w:rPr>
          <w:b/>
          <w:bCs/>
        </w:rPr>
        <w:t>Chart Type</w:t>
      </w:r>
      <w:r w:rsidRPr="001A772A">
        <w:t>: Pie Chart.</w:t>
      </w:r>
    </w:p>
    <w:p w14:paraId="23876AFD" w14:textId="77777777" w:rsidR="001A772A" w:rsidRPr="001A772A" w:rsidRDefault="001A772A" w:rsidP="001A772A">
      <w:pPr>
        <w:numPr>
          <w:ilvl w:val="0"/>
          <w:numId w:val="18"/>
        </w:numPr>
      </w:pPr>
      <w:r w:rsidRPr="001A772A">
        <w:rPr>
          <w:b/>
          <w:bCs/>
        </w:rPr>
        <w:lastRenderedPageBreak/>
        <w:t>Categories</w:t>
      </w:r>
      <w:r w:rsidRPr="001A772A">
        <w:t>: Male, Female, Other.</w:t>
      </w:r>
    </w:p>
    <w:p w14:paraId="1D202814" w14:textId="77777777" w:rsidR="001A772A" w:rsidRPr="001A772A" w:rsidRDefault="001A772A" w:rsidP="001A772A">
      <w:pPr>
        <w:numPr>
          <w:ilvl w:val="0"/>
          <w:numId w:val="18"/>
        </w:numPr>
      </w:pPr>
      <w:r w:rsidRPr="001A772A">
        <w:rPr>
          <w:b/>
          <w:bCs/>
        </w:rPr>
        <w:t>Insight</w:t>
      </w:r>
      <w:r w:rsidRPr="001A772A">
        <w:t>: Male and Female patients each make up approximately 33.5%, with "Other" at 33%.</w:t>
      </w:r>
    </w:p>
    <w:p w14:paraId="75AE5BA2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Age Group Analysis</w:t>
      </w:r>
    </w:p>
    <w:p w14:paraId="3CFE43EC" w14:textId="77777777" w:rsidR="001A772A" w:rsidRPr="001A772A" w:rsidRDefault="001A772A" w:rsidP="001A772A">
      <w:pPr>
        <w:numPr>
          <w:ilvl w:val="0"/>
          <w:numId w:val="19"/>
        </w:numPr>
      </w:pPr>
      <w:r w:rsidRPr="001A772A">
        <w:rPr>
          <w:b/>
          <w:bCs/>
        </w:rPr>
        <w:t>Chart Type</w:t>
      </w:r>
      <w:r w:rsidRPr="001A772A">
        <w:t>: Horizontal Bar Chart.</w:t>
      </w:r>
    </w:p>
    <w:p w14:paraId="01808822" w14:textId="77777777" w:rsidR="001A772A" w:rsidRPr="001A772A" w:rsidRDefault="001A772A" w:rsidP="001A772A">
      <w:pPr>
        <w:numPr>
          <w:ilvl w:val="0"/>
          <w:numId w:val="19"/>
        </w:numPr>
      </w:pPr>
      <w:r w:rsidRPr="001A772A">
        <w:rPr>
          <w:b/>
          <w:bCs/>
        </w:rPr>
        <w:t>Categories</w:t>
      </w:r>
      <w:r w:rsidRPr="001A772A">
        <w:t>: Age Groups (e.g., 0-20, 21-40, etc.).</w:t>
      </w:r>
    </w:p>
    <w:p w14:paraId="3AF33A32" w14:textId="77777777" w:rsidR="001A772A" w:rsidRPr="001A772A" w:rsidRDefault="001A772A" w:rsidP="001A772A">
      <w:pPr>
        <w:numPr>
          <w:ilvl w:val="0"/>
          <w:numId w:val="19"/>
        </w:numPr>
      </w:pPr>
      <w:r w:rsidRPr="001A772A">
        <w:rPr>
          <w:b/>
          <w:bCs/>
        </w:rPr>
        <w:t>Values</w:t>
      </w:r>
      <w:r w:rsidRPr="001A772A">
        <w:t>: Number of Patients.</w:t>
      </w:r>
    </w:p>
    <w:p w14:paraId="200C72B3" w14:textId="77777777" w:rsidR="001A772A" w:rsidRPr="001A772A" w:rsidRDefault="001A772A" w:rsidP="001A772A">
      <w:pPr>
        <w:numPr>
          <w:ilvl w:val="0"/>
          <w:numId w:val="19"/>
        </w:numPr>
      </w:pPr>
      <w:r w:rsidRPr="001A772A">
        <w:rPr>
          <w:b/>
          <w:bCs/>
        </w:rPr>
        <w:t>Insight</w:t>
      </w:r>
      <w:r w:rsidRPr="001A772A">
        <w:t>: The 21-40 age group has the highest number of patients, followed by 61-80 and 41-60 age groups.</w:t>
      </w:r>
    </w:p>
    <w:p w14:paraId="1898F680" w14:textId="77777777" w:rsidR="001A772A" w:rsidRPr="001A772A" w:rsidRDefault="001A772A" w:rsidP="001A772A">
      <w:r w:rsidRPr="001A772A">
        <w:pict w14:anchorId="351D55E8">
          <v:rect id="_x0000_i1081" style="width:0;height:1.5pt" o:hralign="center" o:hrstd="t" o:hr="t" fillcolor="#a0a0a0" stroked="f"/>
        </w:pict>
      </w:r>
    </w:p>
    <w:p w14:paraId="3F354C30" w14:textId="77777777" w:rsidR="001A772A" w:rsidRPr="001A772A" w:rsidRDefault="001A772A" w:rsidP="001A772A">
      <w:pPr>
        <w:rPr>
          <w:b/>
          <w:bCs/>
        </w:rPr>
      </w:pPr>
      <w:r w:rsidRPr="001A772A">
        <w:rPr>
          <w:b/>
          <w:bCs/>
        </w:rPr>
        <w:t>Key Insights</w:t>
      </w:r>
    </w:p>
    <w:p w14:paraId="7AB8B669" w14:textId="77777777" w:rsidR="001A772A" w:rsidRPr="001A772A" w:rsidRDefault="001A772A" w:rsidP="001A772A">
      <w:pPr>
        <w:numPr>
          <w:ilvl w:val="0"/>
          <w:numId w:val="20"/>
        </w:numPr>
      </w:pPr>
      <w:r w:rsidRPr="001A772A">
        <w:rPr>
          <w:b/>
          <w:bCs/>
        </w:rPr>
        <w:t>Demographics</w:t>
      </w:r>
      <w:r w:rsidRPr="001A772A">
        <w:t>: Patients aged 21-40 form the largest diagnosed group.</w:t>
      </w:r>
    </w:p>
    <w:p w14:paraId="1B3AC658" w14:textId="77777777" w:rsidR="001A772A" w:rsidRPr="001A772A" w:rsidRDefault="001A772A" w:rsidP="001A772A">
      <w:pPr>
        <w:numPr>
          <w:ilvl w:val="0"/>
          <w:numId w:val="20"/>
        </w:numPr>
      </w:pPr>
      <w:r w:rsidRPr="001A772A">
        <w:rPr>
          <w:b/>
          <w:bCs/>
        </w:rPr>
        <w:t>Geography</w:t>
      </w:r>
      <w:r w:rsidRPr="001A772A">
        <w:t>: The USA, UK, and Australia account for the highest number of cases.</w:t>
      </w:r>
    </w:p>
    <w:p w14:paraId="38D7DC89" w14:textId="77777777" w:rsidR="001A772A" w:rsidRPr="001A772A" w:rsidRDefault="001A772A" w:rsidP="001A772A">
      <w:pPr>
        <w:numPr>
          <w:ilvl w:val="0"/>
          <w:numId w:val="20"/>
        </w:numPr>
      </w:pPr>
      <w:r w:rsidRPr="001A772A">
        <w:rPr>
          <w:b/>
          <w:bCs/>
        </w:rPr>
        <w:t>Cancer Stages</w:t>
      </w:r>
      <w:r w:rsidRPr="001A772A">
        <w:t>: Stage II cancers dominate, representing a potential intervention point.</w:t>
      </w:r>
    </w:p>
    <w:p w14:paraId="4C3440F2" w14:textId="77777777" w:rsidR="001A772A" w:rsidRPr="001A772A" w:rsidRDefault="001A772A" w:rsidP="001A772A">
      <w:pPr>
        <w:numPr>
          <w:ilvl w:val="0"/>
          <w:numId w:val="20"/>
        </w:numPr>
      </w:pPr>
      <w:r w:rsidRPr="001A772A">
        <w:rPr>
          <w:b/>
          <w:bCs/>
        </w:rPr>
        <w:t>Yearly Patterns</w:t>
      </w:r>
      <w:r w:rsidRPr="001A772A">
        <w:t>: A dip in diagnoses is observed in 2018, potentially due to external factors or underreporting.</w:t>
      </w:r>
    </w:p>
    <w:p w14:paraId="5B51D5A7" w14:textId="1D6A93C1" w:rsidR="00EB1746" w:rsidRPr="00EB1746" w:rsidRDefault="00EB1746" w:rsidP="00EB1746">
      <w:pPr>
        <w:rPr>
          <w:b/>
          <w:bCs/>
        </w:rPr>
      </w:pPr>
      <w:r w:rsidRPr="00EB1746">
        <w:pict w14:anchorId="0D29E6C4">
          <v:rect id="_x0000_i1052" style="width:0;height:1.5pt" o:hralign="center" o:hrstd="t" o:hr="t" fillcolor="#a0a0a0" stroked="f"/>
        </w:pict>
      </w:r>
    </w:p>
    <w:p w14:paraId="6D7E3EA8" w14:textId="77777777" w:rsidR="00EB1746" w:rsidRPr="00EB1746" w:rsidRDefault="00EB1746" w:rsidP="00EB1746">
      <w:pPr>
        <w:rPr>
          <w:b/>
          <w:bCs/>
        </w:rPr>
      </w:pPr>
      <w:r w:rsidRPr="00EB1746">
        <w:rPr>
          <w:b/>
          <w:bCs/>
        </w:rPr>
        <w:t>Conclusion</w:t>
      </w:r>
    </w:p>
    <w:p w14:paraId="1F36AED1" w14:textId="36573CFA" w:rsidR="00EB1746" w:rsidRPr="00EB1746" w:rsidRDefault="00EB1746" w:rsidP="00EB1746">
      <w:r w:rsidRPr="00EB1746">
        <w:t>This dashboard provides actionable insights into global cancer trends, distributions, and demographics</w:t>
      </w:r>
      <w:r w:rsidR="001A772A">
        <w:t>.</w:t>
      </w:r>
    </w:p>
    <w:p w14:paraId="273CA230" w14:textId="77777777" w:rsidR="00B41376" w:rsidRDefault="00B41376"/>
    <w:sectPr w:rsidR="00B4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0A61"/>
    <w:multiLevelType w:val="multilevel"/>
    <w:tmpl w:val="CA1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2D5"/>
    <w:multiLevelType w:val="multilevel"/>
    <w:tmpl w:val="E8B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4F17"/>
    <w:multiLevelType w:val="multilevel"/>
    <w:tmpl w:val="B1C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53578"/>
    <w:multiLevelType w:val="multilevel"/>
    <w:tmpl w:val="F362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235E9"/>
    <w:multiLevelType w:val="multilevel"/>
    <w:tmpl w:val="F26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84677"/>
    <w:multiLevelType w:val="multilevel"/>
    <w:tmpl w:val="07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76837"/>
    <w:multiLevelType w:val="multilevel"/>
    <w:tmpl w:val="B26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B10A8"/>
    <w:multiLevelType w:val="multilevel"/>
    <w:tmpl w:val="4DF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D1C22"/>
    <w:multiLevelType w:val="multilevel"/>
    <w:tmpl w:val="0EF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F1AAE"/>
    <w:multiLevelType w:val="multilevel"/>
    <w:tmpl w:val="6702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10CE2"/>
    <w:multiLevelType w:val="multilevel"/>
    <w:tmpl w:val="B3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175C6"/>
    <w:multiLevelType w:val="multilevel"/>
    <w:tmpl w:val="F922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B50A4"/>
    <w:multiLevelType w:val="multilevel"/>
    <w:tmpl w:val="E00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96819"/>
    <w:multiLevelType w:val="multilevel"/>
    <w:tmpl w:val="AAA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1768B"/>
    <w:multiLevelType w:val="multilevel"/>
    <w:tmpl w:val="2D8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83023"/>
    <w:multiLevelType w:val="multilevel"/>
    <w:tmpl w:val="BBCC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2550"/>
    <w:multiLevelType w:val="multilevel"/>
    <w:tmpl w:val="5AB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27483"/>
    <w:multiLevelType w:val="multilevel"/>
    <w:tmpl w:val="4B4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F2030"/>
    <w:multiLevelType w:val="multilevel"/>
    <w:tmpl w:val="183E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223EE"/>
    <w:multiLevelType w:val="multilevel"/>
    <w:tmpl w:val="3AE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786446">
    <w:abstractNumId w:val="12"/>
  </w:num>
  <w:num w:numId="2" w16cid:durableId="2130513344">
    <w:abstractNumId w:val="15"/>
  </w:num>
  <w:num w:numId="3" w16cid:durableId="586621501">
    <w:abstractNumId w:val="10"/>
  </w:num>
  <w:num w:numId="4" w16cid:durableId="519323591">
    <w:abstractNumId w:val="9"/>
  </w:num>
  <w:num w:numId="5" w16cid:durableId="1377463904">
    <w:abstractNumId w:val="0"/>
  </w:num>
  <w:num w:numId="6" w16cid:durableId="1342665101">
    <w:abstractNumId w:val="7"/>
  </w:num>
  <w:num w:numId="7" w16cid:durableId="1258322209">
    <w:abstractNumId w:val="19"/>
  </w:num>
  <w:num w:numId="8" w16cid:durableId="744424618">
    <w:abstractNumId w:val="11"/>
  </w:num>
  <w:num w:numId="9" w16cid:durableId="2030832977">
    <w:abstractNumId w:val="8"/>
  </w:num>
  <w:num w:numId="10" w16cid:durableId="1299451849">
    <w:abstractNumId w:val="6"/>
  </w:num>
  <w:num w:numId="11" w16cid:durableId="159656996">
    <w:abstractNumId w:val="17"/>
  </w:num>
  <w:num w:numId="12" w16cid:durableId="1534614712">
    <w:abstractNumId w:val="1"/>
  </w:num>
  <w:num w:numId="13" w16cid:durableId="303588378">
    <w:abstractNumId w:val="3"/>
  </w:num>
  <w:num w:numId="14" w16cid:durableId="1493909883">
    <w:abstractNumId w:val="4"/>
  </w:num>
  <w:num w:numId="15" w16cid:durableId="1214535338">
    <w:abstractNumId w:val="14"/>
  </w:num>
  <w:num w:numId="16" w16cid:durableId="641932032">
    <w:abstractNumId w:val="2"/>
  </w:num>
  <w:num w:numId="17" w16cid:durableId="734007330">
    <w:abstractNumId w:val="18"/>
  </w:num>
  <w:num w:numId="18" w16cid:durableId="1216311813">
    <w:abstractNumId w:val="5"/>
  </w:num>
  <w:num w:numId="19" w16cid:durableId="756948780">
    <w:abstractNumId w:val="16"/>
  </w:num>
  <w:num w:numId="20" w16cid:durableId="18029927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6"/>
    <w:rsid w:val="001A772A"/>
    <w:rsid w:val="00AF1372"/>
    <w:rsid w:val="00B41376"/>
    <w:rsid w:val="00D46512"/>
    <w:rsid w:val="00EB1746"/>
    <w:rsid w:val="00E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5FA5"/>
  <w15:chartTrackingRefBased/>
  <w15:docId w15:val="{65199895-731B-4F87-B033-026148A1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ghising</dc:creator>
  <cp:keywords/>
  <dc:description/>
  <cp:lastModifiedBy>subin ghising</cp:lastModifiedBy>
  <cp:revision>1</cp:revision>
  <dcterms:created xsi:type="dcterms:W3CDTF">2025-05-01T01:40:00Z</dcterms:created>
  <dcterms:modified xsi:type="dcterms:W3CDTF">2025-05-01T02:09:00Z</dcterms:modified>
</cp:coreProperties>
</file>