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银行积分流通系统设计方案（基于区块链）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一、系统概述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以区块链技术为核心支撑，聚焦银行积分的全流程流通需求，实现银行向客户发行积分、客户间/客户与商户间积分转让、积分商城商品兑换、商户积分清算兑币等核心功能。通过区块链的去中心化、可追溯、不可篡改特性，保障积分流通的安全性与透明性，同时联动线下商家丰富积分应用场景，提升用户忠诚度与积分价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二、核心设计目标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安全性：依托区块链技术，确保积分发行、转让、清算等全流程数据不可篡改，防范伪造积分、恶意篡改交易等风险。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流通性：支持多主体（银行、客户、商户）间的积分高效流转，简化转让与兑换流程，提升积分使用便捷性。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可扩展性：预留接口，支持后续接入更多银行、商户类型，拓展积分应用场景（如服务类兑换）。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透明化：实现积分交易全链路可追溯，银行、商户、客户可实时查询积分流转记录，保障各方权益。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三、系统架构设计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采用“区块链底层+业务应用层+数据交互层”的三层架构，确保系统稳定性与业务灵活性：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区块链底层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选用联盟链架构（参与节点为银行、合作商户），保障交易效率与隐私性。核心功能包括：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分布式账本：记录积分发行、转让、兑换、清算等所有交易数据，节点共识后同步更新，确保数据一致性。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智能合约：预设积分发行规则、转让条件、清算流程等，自动执行交易逻辑（如商户清算时自动校验积分合法性并触发兑币流程）。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加密机制：采用非对称加密技术，对用户账户、交易信息进行加密处理，保障数据安全。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业务应用层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核心业务模块封装，支撑多主体业务需求，包括：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积分发行模块（银行端）：银行根据客户业务行为（如存款、消费）设定积分发行规则，通过智能合约向客户账户发放积分，记录发行明细。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积分转让模块（客户/商户端）：客户可输入接收方账户（客户或商户）、转让积分数量，系统校验账户有效性与积分余额后，通过区块链完成转让交易；支持转让记录实时查询。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积分商城模块（商户/客户端）：商户可上传商品信息（含所需积分、库存、商品详情），经银行审核后发布；客户可浏览商品、用积分下单兑换，系统自动扣减积分并生成兑换订单，同步至区块链。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积分清算模块（商户/银行端）：商户可发起积分清算申请，系统自动统计商户账户内可清算积分总量，校验积分合法性后，银行根据预设汇率将积分兑换为货币，完成资金划转并记录清算结果。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账户管理模块（全主体）：为银行、客户、商户提供专属账户，支持账户信息查询、余额查询、交易明细导出等功能。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数据交互层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负责各模块间、系统与外部主体（银行核心系统、商户收银系统）的数据交互，核心功能：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接口适配：提供标准化API接口，实现与银行核心系统的积分发行数据同步、与商户系统的商品信息/订单信息交互。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数据转换：将不同系统的异构数据转换为系统统一格式，保障数据交互顺畅。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实时同步：确保积分交易、订单状态、清算结果等数据在各相关系统间实时同步，避免数据延迟。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四、核心业务流程设计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积分发行流程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银行在系统内配置积分发行规则（如消费100元赠10积分）；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银行核心系统触发积分发行条件（如客户完成消费），向本系统推送发行指令；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系统通过智能合约校验指令合法性，向客户账户发放对应积分；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积分发行记录写入区块链分布式账本，客户可实时查询账户积分余额。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积分转让流程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转让方（客户）输入接收方账户ID、转让积分数量，提交转让申请；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系统校验转让方积分余额是否充足、接收方账户是否有效；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校验通过后，智能合约执行转让逻辑，扣减转让方积分、增加接收方积分；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转让交易记录写入区块链，双方均可查询转让明细。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积分兑换商品流程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商户上传商品信息至积分商城，提交审核；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银行审核商品合规性（如商品质量、积分定价合理性），审核通过后商品上架；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客户浏览商品，选择兑换，提交兑换订单；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系统校验客户积分余额，扣减对应积分，生成兑换订单并同步至商户；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商户根据订单信息发货，客户确认收货后，兑换流程完成；相关记录写入区块链。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积分清算兑币流程</w:t>
      </w:r>
      <w:bookmarkEnd w:id="1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商户发起清算申请，填写需清算的积分数量；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系统校验商户账户内积分的合法性（排除异常积分），统计可清算积分总量；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银行根据预设的积分兑币汇率，计算应支付的货币金额；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银行完成资金划转至商户账户，系统扣减商户对应积分，记录清算结果；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清算记录写入区块链，供银行与商户核对。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五、安全保障设计</w:t>
      </w:r>
      <w:bookmarkEnd w:id="1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区块链技术保障：利用分布式账本不可篡改、可追溯特性，防范数据伪造与篡改风险；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身份认证机制：采用多因素认证（如密码+短信验证+数字证书），确保银行、客户、商户账户安全；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智能合约审计：上线前对智能合约进行全面审计，防范合约漏洞导致的交易风险；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数据加密传输：采用SSL加密技术，保障数据在传输过程中的安全性，防止信息泄露；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异常监控预警：系统实时监控积分交易行为，对异常交易（如大额积分转让、高频清算）触发预警，银行可及时介入核查。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六、系统部署建议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（一）联盟链底层环境部署步骤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本系统联盟链参与节点为银行核心节点与合作商户节点，采用“主节点+从节点”架构部署，确保共识效率与数据一致性。部署需基于已完成的测试环境基础（Docker环境、区块链编译文件），具体步骤如下：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节点规划与环境准备</w:t>
      </w:r>
      <w:r>
        <w:rPr>
          <w:rFonts w:eastAsia="等线" w:ascii="Arial" w:cs="Arial" w:hAnsi="Arial"/>
          <w:sz w:val="22"/>
        </w:rPr>
        <w:br/>
        <w:t>① 明确节点角色与数量：至少部署1个银行主节点（负责共识初始化、规则管理）、2个及以上银行从节点/商户节点（参与共识、数据同步）；</w:t>
        <w:br/>
        <w:t>② 节点服务器配置：建议每节点配置CPU≥4核、内存≥8GB、硬盘≥100GB，操作系统统一为Ubuntu 20.04 LTS（确保与测试环境兼容性）；</w:t>
        <w:br/>
      </w:r>
      <w:r>
        <w:rPr>
          <w:rFonts w:eastAsia="等线" w:ascii="Arial" w:cs="Arial" w:hAnsi="Arial"/>
          <w:sz w:val="22"/>
        </w:rPr>
        <w:t>③ 节点间网络配置：所有节点需处于同一局域网或通过公网IP互通，开放共识端口（如8080端口，可通过</w:t>
      </w:r>
      <w:r>
        <w:rPr>
          <w:rFonts w:eastAsia="Consolas" w:ascii="Consolas" w:cs="Consolas" w:hAnsi="Consolas"/>
          <w:sz w:val="22"/>
          <w:shd w:fill="EFF0F1"/>
        </w:rPr>
        <w:t>sudo ufw allow 8080/tcp</w:t>
      </w:r>
      <w:r>
        <w:rPr>
          <w:rFonts w:eastAsia="等线" w:ascii="Arial" w:cs="Arial" w:hAnsi="Arial"/>
          <w:sz w:val="22"/>
        </w:rPr>
        <w:t>命令配置），关闭不必要端口避免安全风险；</w:t>
        <w:br/>
      </w:r>
      <w:r>
        <w:rPr>
          <w:rFonts w:eastAsia="等线" w:ascii="Arial" w:cs="Arial" w:hAnsi="Arial"/>
          <w:sz w:val="22"/>
        </w:rPr>
        <w:t>④ 基础环境同步：所有节点均需安装Docker（版本与测试环境一致，建议24.0.7及以上）、gcc、make等依赖工具，确保区块链编译执行文件（bin目录下文件）同步至各节点指定目录（如/home/node/blockchain/bin）。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主节点初始化配置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① 登录银行主节点服务器，进入区块链源码根目录：</w:t>
      </w:r>
      <w:r>
        <w:rPr>
          <w:rFonts w:eastAsia="Consolas" w:ascii="Consolas" w:cs="Consolas" w:hAnsi="Consolas"/>
          <w:sz w:val="22"/>
          <w:shd w:fill="EFF0F1"/>
        </w:rPr>
        <w:t>cd /home/node/blockchain</w:t>
      </w:r>
      <w:r>
        <w:rPr>
          <w:rFonts w:eastAsia="等线" w:ascii="Arial" w:cs="Arial" w:hAnsi="Arial"/>
          <w:sz w:val="22"/>
        </w:rPr>
        <w:t>；</w:t>
        <w:br/>
      </w:r>
      <w:r>
        <w:rPr>
          <w:rFonts w:eastAsia="等线" w:ascii="Arial" w:cs="Arial" w:hAnsi="Arial"/>
          <w:sz w:val="22"/>
        </w:rPr>
        <w:t>② 初始化联盟链配置文件：执行</w:t>
      </w:r>
      <w:r>
        <w:rPr>
          <w:rFonts w:eastAsia="Consolas" w:ascii="Consolas" w:cs="Consolas" w:hAnsi="Consolas"/>
          <w:sz w:val="22"/>
          <w:shd w:fill="EFF0F1"/>
        </w:rPr>
        <w:t>./bin/blockchain-cli init --chain-type alliance --node-role master --org bank</w:t>
      </w:r>
      <w:r>
        <w:rPr>
          <w:rFonts w:eastAsia="等线" w:ascii="Arial" w:cs="Arial" w:hAnsi="Arial"/>
          <w:sz w:val="22"/>
        </w:rPr>
        <w:t>（命令参数说明：--chain-type指定联盟链类型，--node-role指定主节点角色，--org指定所属机构为银行）；</w:t>
        <w:br/>
        <w:t>③ 配置共识机制：编辑配置文件（config/consensus.yaml），设置共识算法为PBFT（实用拜占庭容错，适配联盟链低延迟需求），指定主节点IP与端口（如主节点IP：192.168.1.100，端口：8080），设置共识节点数量阈值（如≥3个节点参与共识）；</w:t>
        <w:br/>
      </w:r>
      <w:r>
        <w:rPr>
          <w:rFonts w:eastAsia="等线" w:ascii="Arial" w:cs="Arial" w:hAnsi="Arial"/>
          <w:sz w:val="22"/>
        </w:rPr>
        <w:t>④ 生成节点证书：通过区块链工具生成主节点身份证书（含公钥、私钥），用于节点间身份认证，命令：</w:t>
      </w:r>
      <w:r>
        <w:rPr>
          <w:rFonts w:eastAsia="Consolas" w:ascii="Consolas" w:cs="Consolas" w:hAnsi="Consolas"/>
          <w:sz w:val="22"/>
          <w:shd w:fill="EFF0F1"/>
        </w:rPr>
        <w:t>./bin/blockchain-cli cert generate --node-id master-node-01 --org bank</w:t>
      </w:r>
      <w:r>
        <w:rPr>
          <w:rFonts w:eastAsia="等线" w:ascii="Arial" w:cs="Arial" w:hAnsi="Arial"/>
          <w:sz w:val="22"/>
        </w:rPr>
        <w:t>，证书文件自动保存至cert目录。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从节点/商户节点接入配置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① 登录从节点/商户节点服务器，进入区块链源码根目录，执行节点接入命令：</w:t>
      </w:r>
      <w:r>
        <w:rPr>
          <w:rFonts w:eastAsia="Consolas" w:ascii="Consolas" w:cs="Consolas" w:hAnsi="Consolas"/>
          <w:sz w:val="22"/>
          <w:shd w:fill="EFF0F1"/>
        </w:rPr>
        <w:t>./bin/blockchain-cli join --chain-id alliance-chain-001 --master-ip 192.168.1.100 --master-port 8080</w:t>
      </w:r>
      <w:r>
        <w:rPr>
          <w:rFonts w:eastAsia="等线" w:ascii="Arial" w:cs="Arial" w:hAnsi="Arial"/>
          <w:sz w:val="22"/>
        </w:rPr>
        <w:t>（--chain-id为联盟链唯一标识，需与主节点一致；--master-ip/port指定主节点地址）；</w:t>
        <w:br/>
      </w:r>
      <w:r>
        <w:rPr>
          <w:rFonts w:eastAsia="等线" w:ascii="Arial" w:cs="Arial" w:hAnsi="Arial"/>
          <w:sz w:val="22"/>
        </w:rPr>
        <w:t>② 提交节点认证材料：商户节点需额外上传商户资质证明（经银行审核通过），通过命令</w:t>
      </w:r>
      <w:r>
        <w:rPr>
          <w:rFonts w:eastAsia="Consolas" w:ascii="Consolas" w:cs="Consolas" w:hAnsi="Consolas"/>
          <w:sz w:val="22"/>
          <w:shd w:fill="EFF0F1"/>
        </w:rPr>
        <w:t>./bin/blockchain-cli auth submit --org merchant --cert ./merchant-cert.pem</w:t>
      </w:r>
      <w:r>
        <w:rPr>
          <w:rFonts w:eastAsia="等线" w:ascii="Arial" w:cs="Arial" w:hAnsi="Arial"/>
          <w:sz w:val="22"/>
        </w:rPr>
        <w:t>提交认证，等待主节点审核；</w:t>
        <w:br/>
      </w:r>
      <w:r>
        <w:rPr>
          <w:rFonts w:eastAsia="等线" w:ascii="Arial" w:cs="Arial" w:hAnsi="Arial"/>
          <w:sz w:val="22"/>
        </w:rPr>
        <w:t>③ 主节点审核节点接入：银行主节点执行</w:t>
      </w:r>
      <w:r>
        <w:rPr>
          <w:rFonts w:eastAsia="Consolas" w:ascii="Consolas" w:cs="Consolas" w:hAnsi="Consolas"/>
          <w:sz w:val="22"/>
          <w:shd w:fill="EFF0F1"/>
        </w:rPr>
        <w:t>./bin/blockchain-cli auth approve --node-id slave-node-01</w:t>
      </w:r>
      <w:r>
        <w:rPr>
          <w:rFonts w:eastAsia="等线" w:ascii="Arial" w:cs="Arial" w:hAnsi="Arial"/>
          <w:sz w:val="22"/>
        </w:rPr>
        <w:t>（--node-id为待审核节点ID），审核通过后从节点/商户节点自动同步主节点的联盟链配置与初始账本数据。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联盟链网络启动与校验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① 启动主节点服务：主节点执行</w:t>
      </w:r>
      <w:r>
        <w:rPr>
          <w:rFonts w:eastAsia="Consolas" w:ascii="Consolas" w:cs="Consolas" w:hAnsi="Consolas"/>
          <w:sz w:val="22"/>
          <w:shd w:fill="EFF0F1"/>
        </w:rPr>
        <w:t>./bin/blockchain-node start --config ./config/consensus.yaml</w:t>
      </w:r>
      <w:r>
        <w:rPr>
          <w:rFonts w:eastAsia="等线" w:ascii="Arial" w:cs="Arial" w:hAnsi="Arial"/>
          <w:sz w:val="22"/>
        </w:rPr>
        <w:t>，启动后查看日志确认启动状态：</w:t>
      </w:r>
      <w:r>
        <w:rPr>
          <w:rFonts w:eastAsia="Consolas" w:ascii="Consolas" w:cs="Consolas" w:hAnsi="Consolas"/>
          <w:sz w:val="22"/>
          <w:shd w:fill="EFF0F1"/>
        </w:rPr>
        <w:t>tail -f ./logs/blockchain-node.log</w:t>
      </w:r>
      <w:r>
        <w:rPr>
          <w:rFonts w:eastAsia="等线" w:ascii="Arial" w:cs="Arial" w:hAnsi="Arial"/>
          <w:sz w:val="22"/>
        </w:rPr>
        <w:t>，日志输出“master node started successfully”即为启动成功；</w:t>
        <w:br/>
      </w:r>
      <w:r>
        <w:rPr>
          <w:rFonts w:eastAsia="等线" w:ascii="Arial" w:cs="Arial" w:hAnsi="Arial"/>
          <w:sz w:val="22"/>
        </w:rPr>
        <w:t>② 启动从节点/商户节点服务：各从节点执行</w:t>
      </w:r>
      <w:r>
        <w:rPr>
          <w:rFonts w:eastAsia="Consolas" w:ascii="Consolas" w:cs="Consolas" w:hAnsi="Consolas"/>
          <w:sz w:val="22"/>
          <w:shd w:fill="EFF0F1"/>
        </w:rPr>
        <w:t>./bin/blockchain-node start --slave --master-ip 192.168.1.100</w:t>
      </w:r>
      <w:r>
        <w:rPr>
          <w:rFonts w:eastAsia="等线" w:ascii="Arial" w:cs="Arial" w:hAnsi="Arial"/>
          <w:sz w:val="22"/>
        </w:rPr>
        <w:t>，启动后同步主节点日志查看启动状态；</w:t>
        <w:br/>
      </w:r>
      <w:r>
        <w:rPr>
          <w:rFonts w:eastAsia="等线" w:ascii="Arial" w:cs="Arial" w:hAnsi="Arial"/>
          <w:sz w:val="22"/>
        </w:rPr>
        <w:t>③ 校验联盟链网络状态：主节点执行</w:t>
      </w:r>
      <w:r>
        <w:rPr>
          <w:rFonts w:eastAsia="Consolas" w:ascii="Consolas" w:cs="Consolas" w:hAnsi="Consolas"/>
          <w:sz w:val="22"/>
          <w:shd w:fill="EFF0F1"/>
        </w:rPr>
        <w:t>./bin/blockchain-cli network list</w:t>
      </w:r>
      <w:r>
        <w:rPr>
          <w:rFonts w:eastAsia="等线" w:ascii="Arial" w:cs="Arial" w:hAnsi="Arial"/>
          <w:sz w:val="22"/>
        </w:rPr>
        <w:t>，查看所有节点是否均处于“connected”状态；执行</w:t>
      </w:r>
      <w:r>
        <w:rPr>
          <w:rFonts w:eastAsia="Consolas" w:ascii="Consolas" w:cs="Consolas" w:hAnsi="Consolas"/>
          <w:sz w:val="22"/>
          <w:shd w:fill="EFF0F1"/>
        </w:rPr>
        <w:t>./bin/blockchain-cli block height</w:t>
      </w:r>
      <w:r>
        <w:rPr>
          <w:rFonts w:eastAsia="等线" w:ascii="Arial" w:cs="Arial" w:hAnsi="Arial"/>
          <w:sz w:val="22"/>
        </w:rPr>
        <w:t>，确认各节点区块高度一致（初始高度为0）；</w:t>
        <w:br/>
      </w:r>
      <w:r>
        <w:rPr>
          <w:rFonts w:eastAsia="等线" w:ascii="Arial" w:cs="Arial" w:hAnsi="Arial"/>
          <w:sz w:val="22"/>
        </w:rPr>
        <w:t>④ 测试节点共识功能：主节点发起一笔测试交易（如模拟发行100积分），命令：</w:t>
      </w:r>
      <w:r>
        <w:rPr>
          <w:rFonts w:eastAsia="Consolas" w:ascii="Consolas" w:cs="Consolas" w:hAnsi="Consolas"/>
          <w:sz w:val="22"/>
          <w:shd w:fill="EFF0F1"/>
        </w:rPr>
        <w:t>./bin/blockchain-cli transaction send --from master-node-01 --to test-account --amount 100</w:t>
      </w:r>
      <w:r>
        <w:rPr>
          <w:rFonts w:eastAsia="等线" w:ascii="Arial" w:cs="Arial" w:hAnsi="Arial"/>
          <w:sz w:val="22"/>
        </w:rPr>
        <w:t>，交易完成后各节点执行</w:t>
      </w:r>
      <w:r>
        <w:rPr>
          <w:rFonts w:eastAsia="Consolas" w:ascii="Consolas" w:cs="Consolas" w:hAnsi="Consolas"/>
          <w:sz w:val="22"/>
          <w:shd w:fill="EFF0F1"/>
        </w:rPr>
        <w:t>./bin/blockchain-cli block query --height 1</w:t>
      </w:r>
      <w:r>
        <w:rPr>
          <w:rFonts w:eastAsia="等线" w:ascii="Arial" w:cs="Arial" w:hAnsi="Arial"/>
          <w:sz w:val="22"/>
        </w:rPr>
        <w:t>，确认交易数据在所有节点账本中一致，即共识生效。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（二）其他部署建议</w:t>
      </w:r>
      <w:bookmarkEnd w:id="1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业务系统部署：采用云服务器部署业务应用层，支持弹性扩容，应对积分兑换高峰期的流量压力；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数据备份：定期对区块链账本数据、业务数据进行备份，保障数据可恢复性；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监控运维：部署节点监控工具（如Prometheus+Grafana），实时监控各节点CPU、内存、网络占用及区块链共识状态，设置异常告警机制（如节点断开连接时触发短信告警）。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区块链节点部署：银行与核心商户分别部署联盟链节点，确保节点共识效率与数据隐私；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业务系统部署：采用云服务器部署业务应用层，支持弹性扩容，应对积分兑换高峰期的流量压力；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数据备份：定期对区块链账本数据、业务数据进行备份，保障数据可恢复性。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七、测试环境搭建（10分）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本部分旨在完成本机区块链网络底层环境的部署、编译运行环境准备及区块链网络的编译启动，具体步骤如下：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前期准备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获取区块链底层源码包并解压至本机指定目录（如：/home/user/blockchain-source），确保本机已安装基础依赖工具（如git、gcc、make等，可通过</w:t>
      </w:r>
      <w:r>
        <w:rPr>
          <w:rFonts w:eastAsia="Consolas" w:ascii="Consolas" w:cs="Consolas" w:hAnsi="Consolas"/>
          <w:sz w:val="22"/>
          <w:shd w:fill="EFF0F1"/>
        </w:rPr>
        <w:t>sudo apt install git gcc make -y</w:t>
      </w:r>
      <w:r>
        <w:rPr>
          <w:rFonts w:eastAsia="等线" w:ascii="Arial" w:cs="Arial" w:hAnsi="Arial"/>
          <w:sz w:val="22"/>
        </w:rPr>
        <w:t>（Ubuntu系统）或对应系统的安装命令完成）。若尚未安装Ubuntu 20.04 LTS系统，可通过以下链接下载：</w:t>
        <w:br/>
      </w:r>
      <w:r>
        <w:rPr>
          <w:rFonts w:eastAsia="等线" w:ascii="Arial" w:cs="Arial" w:hAnsi="Arial"/>
          <w:sz w:val="22"/>
        </w:rPr>
        <w:t>1. 官方下载链接（桌面版/服务器版）：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https://releases.ubuntu.com/20.04/</w:t>
        </w:r>
      </w:hyperlink>
      <w:r>
        <w:rPr>
          <w:rFonts w:eastAsia="等线" w:ascii="Arial" w:cs="Arial" w:hAnsi="Arial"/>
          <w:sz w:val="22"/>
        </w:rPr>
        <w:t>（包含Ubuntu 20.04 LTS的完整镜像文件，可根据需求选择桌面版或服务器版，服务器版更适配区块链节点部署）；</w:t>
        <w:br/>
      </w:r>
      <w:r>
        <w:rPr>
          <w:rFonts w:eastAsia="等线" w:ascii="Arial" w:cs="Arial" w:hAnsi="Arial"/>
          <w:sz w:val="22"/>
        </w:rPr>
        <w:t>2. 官方桌面版直达链接：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https://ubuntu.com/download/desktop</w:t>
        </w:r>
      </w:hyperlink>
      <w:r>
        <w:rPr>
          <w:rFonts w:eastAsia="等线" w:ascii="Arial" w:cs="Arial" w:hAnsi="Arial"/>
          <w:sz w:val="22"/>
        </w:rPr>
        <w:t>（可下载最新的Ubuntu 20.04 LTS桌面版镜像，适合测试环境本机部署）；</w:t>
        <w:br/>
      </w:r>
      <w:r>
        <w:rPr>
          <w:rFonts w:eastAsia="等线" w:ascii="Arial" w:cs="Arial" w:hAnsi="Arial"/>
          <w:sz w:val="22"/>
        </w:rPr>
        <w:t>3. 国内镜像源下载（提升下载速度）：推荐阿里镜像源，对应Ubuntu 20.04 LTS（代号focal）的镜像下载可通过阿里开源镜像站获取，地址：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https://mirrors.aliyun.com/ubuntu-releases/20.04/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具体操作步骤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检查Docker环境及版本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① 进入区块链源码根目录：</w:t>
      </w:r>
      <w:r>
        <w:rPr>
          <w:rFonts w:eastAsia="Consolas" w:ascii="Consolas" w:cs="Consolas" w:hAnsi="Consolas"/>
          <w:sz w:val="22"/>
          <w:shd w:fill="EFF0F1"/>
        </w:rPr>
        <w:t>cd /home/user/blockchain-source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② 检查Docker是否安装：输入命令 </w:t>
      </w:r>
      <w:r>
        <w:rPr>
          <w:rFonts w:eastAsia="Consolas" w:ascii="Consolas" w:cs="Consolas" w:hAnsi="Consolas"/>
          <w:sz w:val="22"/>
          <w:shd w:fill="EFF0F1"/>
        </w:rPr>
        <w:t>docker --version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docker info</w:t>
      </w:r>
      <w:r>
        <w:rPr>
          <w:rFonts w:eastAsia="等线" w:ascii="Arial" w:cs="Arial" w:hAnsi="Arial"/>
          <w:sz w:val="22"/>
        </w:rPr>
        <w:t>。</w:t>
        <w:br/>
        <w:t>- 若输出类似“Docker version 24.0.7, build afdd53b”，说明已安装目标版本，记录当前Docker版本即可；</w:t>
        <w:br/>
        <w:t>- 若提示“command not found”或版本不符，需按以下步骤下载安装Docker 24.0.7（以Ubuntu 20.04 LTS系统为例，其他系统可参考对应官方文档）：</w:t>
        <w:br/>
      </w:r>
      <w:r>
        <w:rPr>
          <w:rFonts w:eastAsia="等线" w:ascii="Arial" w:cs="Arial" w:hAnsi="Arial"/>
          <w:b w:val="true"/>
          <w:sz w:val="22"/>
        </w:rPr>
        <w:t>步骤1：卸载旧版本（若有）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apt-get remove docker docker-engine docker.io containerd runc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步骤2：安装依赖包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apt-get update &amp;&amp; sudo apt-get install apt-transport-https ca-certificates curl gnupg-agent software-properties-common -y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步骤3：添加Docker官方GPG密钥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curl -fsSL https://download.docker.com/linux/ubuntu/gpg | sudo apt-key add -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步骤4：添加Docker软件源（指定24.0.7版本所属仓库）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add-apt-repository "deb [arch=amd64] https://download.docker.com/linux/ubuntu $(lsb_release -cs) stable"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步骤5：更新软件包索引并安装Docker 24.0.7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apt-get update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sudo apt-get install docker-ce=5:24.0.7-1~ubuntu.20.04~focal docker-ce-cli=5:24.0.7-1~ubuntu.20.04~focal containerd.io -y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步骤6：验证安装结果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执行 </w:t>
      </w:r>
      <w:r>
        <w:rPr>
          <w:rFonts w:eastAsia="Consolas" w:ascii="Consolas" w:cs="Consolas" w:hAnsi="Consolas"/>
          <w:sz w:val="22"/>
          <w:shd w:fill="EFF0F1"/>
        </w:rPr>
        <w:t>docker --version</w:t>
      </w:r>
      <w:r>
        <w:rPr>
          <w:rFonts w:eastAsia="等线" w:ascii="Arial" w:cs="Arial" w:hAnsi="Arial"/>
          <w:sz w:val="22"/>
        </w:rPr>
        <w:t>，若输出“Docker version 24.0.7, build afdd53b”，说明安装成功。</w:t>
        <w:br/>
      </w:r>
      <w:r>
        <w:rPr>
          <w:rFonts w:eastAsia="等线" w:ascii="Arial" w:cs="Arial" w:hAnsi="Arial"/>
          <w:sz w:val="22"/>
        </w:rPr>
        <w:t>- 国内网络环境下，可替换为华为云、中科大等国内镜像源提升下载速度，例如将步骤4中的软件源替换为中科大镜像源：</w:t>
      </w:r>
      <w:r>
        <w:rPr>
          <w:rFonts w:eastAsia="Consolas" w:ascii="Consolas" w:cs="Consolas" w:hAnsi="Consolas"/>
          <w:sz w:val="22"/>
          <w:shd w:fill="EFF0F1"/>
        </w:rPr>
        <w:t>sudo add-apt-repository "deb [arch=amd64] https://mirrors.ustc.edu.cn/docker-ce/linux/ubuntu $(lsb_release -cs) stable"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编译区块链网络并生成执行文件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① 确保当前处于区块链源码根目录，输入编译命令：</w:t>
      </w:r>
      <w:r>
        <w:rPr>
          <w:rFonts w:eastAsia="Consolas" w:ascii="Consolas" w:cs="Consolas" w:hAnsi="Consolas"/>
          <w:sz w:val="22"/>
          <w:shd w:fill="EFF0F1"/>
        </w:rPr>
        <w:t>make</w:t>
      </w:r>
      <w:r>
        <w:rPr>
          <w:rFonts w:eastAsia="等线" w:ascii="Arial" w:cs="Arial" w:hAnsi="Arial"/>
          <w:sz w:val="22"/>
        </w:rPr>
        <w:br/>
        <w:t>② 等待编译完成：编译过程中会自动处理依赖包下载、源码编译等操作，若出现编译错误，需根据终端提示排查（如依赖缺失则补充安装对应依赖，源码文件损坏则重新获取源码包）。</w:t>
        <w:br/>
      </w:r>
      <w:r>
        <w:rPr>
          <w:rFonts w:eastAsia="等线" w:ascii="Arial" w:cs="Arial" w:hAnsi="Arial"/>
          <w:sz w:val="22"/>
        </w:rPr>
        <w:t xml:space="preserve">③ 验证编译结果：编译成功后，会在源码根目录的“bin”子目录下生成区块链网络编译执行文件（如：blockchain-node、blockchain-cli等），可通过 </w:t>
      </w:r>
      <w:r>
        <w:rPr>
          <w:rFonts w:eastAsia="Consolas" w:ascii="Consolas" w:cs="Consolas" w:hAnsi="Consolas"/>
          <w:sz w:val="22"/>
          <w:shd w:fill="EFF0F1"/>
        </w:rPr>
        <w:t>ls ./bin</w:t>
      </w:r>
      <w:r>
        <w:rPr>
          <w:rFonts w:eastAsia="等线" w:ascii="Arial" w:cs="Arial" w:hAnsi="Arial"/>
          <w:sz w:val="22"/>
        </w:rPr>
        <w:t xml:space="preserve"> 命令查看是否存在对应执行文件。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启动区块链服务并检查网络状态</w:t>
      </w:r>
      <w:r>
        <w:rPr>
          <w:rFonts w:eastAsia="等线" w:ascii="Arial" w:cs="Arial" w:hAnsi="Arial"/>
          <w:sz w:val="22"/>
        </w:rPr>
        <w:br/>
        <w:t>① 启动区块链服务：进入bin目录并执行启动脚本，命令如下：</w:t>
        <w:br/>
      </w:r>
      <w:r>
        <w:rPr>
          <w:rFonts w:eastAsia="Consolas" w:ascii="Consolas" w:cs="Consolas" w:hAnsi="Consolas"/>
          <w:sz w:val="22"/>
          <w:shd w:fill="EFF0F1"/>
        </w:rPr>
        <w:t>cd ./bin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./start-blockchain.sh</w:t>
      </w:r>
      <w:r>
        <w:rPr>
          <w:rFonts w:eastAsia="等线" w:ascii="Arial" w:cs="Arial" w:hAnsi="Arial"/>
          <w:sz w:val="22"/>
        </w:rPr>
        <w:t xml:space="preserve">（脚本名称以实际源码提供为准，若为可执行文件直接启动，命令可为 </w:t>
      </w:r>
      <w:r>
        <w:rPr>
          <w:rFonts w:eastAsia="Consolas" w:ascii="Consolas" w:cs="Consolas" w:hAnsi="Consolas"/>
          <w:sz w:val="22"/>
          <w:shd w:fill="EFF0F1"/>
        </w:rPr>
        <w:t>./blockchain-node start</w:t>
      </w:r>
      <w:r>
        <w:rPr>
          <w:rFonts w:eastAsia="等线" w:ascii="Arial" w:cs="Arial" w:hAnsi="Arial"/>
          <w:sz w:val="22"/>
        </w:rPr>
        <w:t>）</w:t>
        <w:br/>
      </w:r>
      <w:r>
        <w:rPr>
          <w:rFonts w:eastAsia="等线" w:ascii="Arial" w:cs="Arial" w:hAnsi="Arial"/>
          <w:sz w:val="22"/>
        </w:rPr>
        <w:t xml:space="preserve">② 检查区块链服务启动状态：输入命令 </w:t>
      </w:r>
      <w:r>
        <w:rPr>
          <w:rFonts w:eastAsia="Consolas" w:ascii="Consolas" w:cs="Consolas" w:hAnsi="Consolas"/>
          <w:sz w:val="22"/>
          <w:shd w:fill="EFF0F1"/>
        </w:rPr>
        <w:t>ps -ef | grep blockchain</w:t>
      </w:r>
      <w:r>
        <w:rPr>
          <w:rFonts w:eastAsia="等线" w:ascii="Arial" w:cs="Arial" w:hAnsi="Arial"/>
          <w:sz w:val="22"/>
        </w:rPr>
        <w:t>，若能看到区块链相关进程（如blockchain-node），说明服务启动成功；若未找到进程，需查看启动日志（通常在logs目录下）排查错误。</w:t>
        <w:br/>
      </w:r>
      <w:r>
        <w:rPr>
          <w:rFonts w:eastAsia="等线" w:ascii="Arial" w:cs="Arial" w:hAnsi="Arial"/>
          <w:sz w:val="22"/>
        </w:rPr>
        <w:t>③ 检查区块链网络状态：通过区块链客户端工具执行状态查询命令，示例：</w:t>
      </w:r>
      <w:r>
        <w:rPr>
          <w:rFonts w:eastAsia="Consolas" w:ascii="Consolas" w:cs="Consolas" w:hAnsi="Consolas"/>
          <w:sz w:val="22"/>
          <w:shd w:fill="EFF0F1"/>
        </w:rPr>
        <w:t>./blockchain-cli network status</w:t>
      </w:r>
      <w:r>
        <w:rPr>
          <w:rFonts w:eastAsia="等线" w:ascii="Arial" w:cs="Arial" w:hAnsi="Arial"/>
          <w:sz w:val="22"/>
        </w:rPr>
        <w:t>，若输出网络节点列表、区块高度、共识状态等信息，且状态为“running”，说明区块链网络正常运行。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注意事项</w:t>
      </w:r>
      <w:bookmarkEnd w:id="1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编译及启动过程中需保证本机网络通畅，以便顺利下载依赖包；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Docker版本建议符合区块链源码要求（可参考源码README文件），避免版本不兼容导致启动失败；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若启动后网络状态异常，可尝试重启区块链服务（</w:t>
      </w:r>
      <w:r>
        <w:rPr>
          <w:rFonts w:eastAsia="Consolas" w:ascii="Consolas" w:cs="Consolas" w:hAnsi="Consolas"/>
          <w:sz w:val="22"/>
          <w:shd w:fill="EFF0F1"/>
        </w:rPr>
        <w:t>./blockchain-node restart</w:t>
      </w:r>
      <w:r>
        <w:rPr>
          <w:rFonts w:eastAsia="等线" w:ascii="Arial" w:cs="Arial" w:hAnsi="Arial"/>
          <w:sz w:val="22"/>
        </w:rPr>
        <w:t>）或重新执行编译流程。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区块链节点部署：银行与核心商户分别部署联盟链节点，确保节点共识效率与数据隐私；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业务系统部署：采用云服务器部署业务应用层，支持弹性扩容，应对积分兑换高峰期的流量压力；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数据备份：定期对区块链账本数据、业务数据进行备份，保障数据可恢复性。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7870">
    <w:lvl>
      <w:numFmt w:val="bullet"/>
      <w:suff w:val="tab"/>
      <w:lvlText w:val="•"/>
      <w:rPr>
        <w:color w:val="3370ff"/>
      </w:rPr>
    </w:lvl>
  </w:abstractNum>
  <w:abstractNum w:abstractNumId="847871">
    <w:lvl>
      <w:numFmt w:val="bullet"/>
      <w:suff w:val="tab"/>
      <w:lvlText w:val="•"/>
      <w:rPr>
        <w:color w:val="3370ff"/>
      </w:rPr>
    </w:lvl>
  </w:abstractNum>
  <w:abstractNum w:abstractNumId="847872">
    <w:lvl>
      <w:numFmt w:val="bullet"/>
      <w:suff w:val="tab"/>
      <w:lvlText w:val="•"/>
      <w:rPr>
        <w:color w:val="3370ff"/>
      </w:rPr>
    </w:lvl>
  </w:abstractNum>
  <w:abstractNum w:abstractNumId="847873">
    <w:lvl>
      <w:numFmt w:val="bullet"/>
      <w:suff w:val="tab"/>
      <w:lvlText w:val="•"/>
      <w:rPr>
        <w:color w:val="3370ff"/>
      </w:rPr>
    </w:lvl>
  </w:abstractNum>
  <w:abstractNum w:abstractNumId="847874">
    <w:lvl>
      <w:numFmt w:val="bullet"/>
      <w:suff w:val="tab"/>
      <w:lvlText w:val="•"/>
      <w:rPr>
        <w:color w:val="3370ff"/>
      </w:rPr>
    </w:lvl>
  </w:abstractNum>
  <w:abstractNum w:abstractNumId="847875">
    <w:lvl>
      <w:numFmt w:val="bullet"/>
      <w:suff w:val="tab"/>
      <w:lvlText w:val="•"/>
      <w:rPr>
        <w:color w:val="3370ff"/>
      </w:rPr>
    </w:lvl>
  </w:abstractNum>
  <w:abstractNum w:abstractNumId="847876">
    <w:lvl>
      <w:numFmt w:val="bullet"/>
      <w:suff w:val="tab"/>
      <w:lvlText w:val="•"/>
      <w:rPr>
        <w:color w:val="3370ff"/>
      </w:rPr>
    </w:lvl>
  </w:abstractNum>
  <w:abstractNum w:abstractNumId="847877">
    <w:lvl>
      <w:numFmt w:val="bullet"/>
      <w:suff w:val="tab"/>
      <w:lvlText w:val="•"/>
      <w:rPr>
        <w:color w:val="3370ff"/>
      </w:rPr>
    </w:lvl>
  </w:abstractNum>
  <w:abstractNum w:abstractNumId="847878">
    <w:lvl>
      <w:numFmt w:val="bullet"/>
      <w:suff w:val="tab"/>
      <w:lvlText w:val="•"/>
      <w:rPr>
        <w:color w:val="3370ff"/>
      </w:rPr>
    </w:lvl>
  </w:abstractNum>
  <w:abstractNum w:abstractNumId="847879">
    <w:lvl>
      <w:numFmt w:val="bullet"/>
      <w:suff w:val="tab"/>
      <w:lvlText w:val="•"/>
      <w:rPr>
        <w:color w:val="3370ff"/>
      </w:rPr>
    </w:lvl>
  </w:abstractNum>
  <w:abstractNum w:abstractNumId="847880">
    <w:lvl>
      <w:numFmt w:val="bullet"/>
      <w:suff w:val="tab"/>
      <w:lvlText w:val="•"/>
      <w:rPr>
        <w:color w:val="3370ff"/>
      </w:rPr>
    </w:lvl>
  </w:abstractNum>
  <w:abstractNum w:abstractNumId="847881">
    <w:lvl>
      <w:numFmt w:val="bullet"/>
      <w:suff w:val="tab"/>
      <w:lvlText w:val="•"/>
      <w:rPr>
        <w:color w:val="3370ff"/>
      </w:rPr>
    </w:lvl>
  </w:abstractNum>
  <w:abstractNum w:abstractNumId="847882">
    <w:lvl>
      <w:numFmt w:val="bullet"/>
      <w:suff w:val="tab"/>
      <w:lvlText w:val="•"/>
      <w:rPr>
        <w:color w:val="3370ff"/>
      </w:rPr>
    </w:lvl>
  </w:abstractNum>
  <w:abstractNum w:abstractNumId="847883">
    <w:lvl>
      <w:numFmt w:val="bullet"/>
      <w:suff w:val="tab"/>
      <w:lvlText w:val="•"/>
      <w:rPr>
        <w:color w:val="3370ff"/>
      </w:rPr>
    </w:lvl>
  </w:abstractNum>
  <w:abstractNum w:abstractNumId="847884">
    <w:lvl>
      <w:numFmt w:val="bullet"/>
      <w:suff w:val="tab"/>
      <w:lvlText w:val="•"/>
      <w:rPr>
        <w:color w:val="3370ff"/>
      </w:rPr>
    </w:lvl>
  </w:abstractNum>
  <w:abstractNum w:abstractNumId="847885">
    <w:lvl>
      <w:start w:val="1"/>
      <w:numFmt w:val="decimal"/>
      <w:suff w:val="tab"/>
      <w:lvlText w:val="%1."/>
      <w:rPr>
        <w:color w:val="3370ff"/>
      </w:rPr>
    </w:lvl>
  </w:abstractNum>
  <w:abstractNum w:abstractNumId="847886">
    <w:lvl>
      <w:start w:val="2"/>
      <w:numFmt w:val="decimal"/>
      <w:suff w:val="tab"/>
      <w:lvlText w:val="%1."/>
      <w:rPr>
        <w:color w:val="3370ff"/>
      </w:rPr>
    </w:lvl>
  </w:abstractNum>
  <w:abstractNum w:abstractNumId="847887">
    <w:lvl>
      <w:start w:val="3"/>
      <w:numFmt w:val="decimal"/>
      <w:suff w:val="tab"/>
      <w:lvlText w:val="%1."/>
      <w:rPr>
        <w:color w:val="3370ff"/>
      </w:rPr>
    </w:lvl>
  </w:abstractNum>
  <w:abstractNum w:abstractNumId="847888">
    <w:lvl>
      <w:start w:val="4"/>
      <w:numFmt w:val="decimal"/>
      <w:suff w:val="tab"/>
      <w:lvlText w:val="%1."/>
      <w:rPr>
        <w:color w:val="3370ff"/>
      </w:rPr>
    </w:lvl>
  </w:abstractNum>
  <w:abstractNum w:abstractNumId="847889">
    <w:lvl>
      <w:start w:val="5"/>
      <w:numFmt w:val="decimal"/>
      <w:suff w:val="tab"/>
      <w:lvlText w:val="%1."/>
      <w:rPr>
        <w:color w:val="3370ff"/>
      </w:rPr>
    </w:lvl>
  </w:abstractNum>
  <w:abstractNum w:abstractNumId="847890">
    <w:lvl>
      <w:start w:val="6"/>
      <w:numFmt w:val="decimal"/>
      <w:suff w:val="tab"/>
      <w:lvlText w:val="%1."/>
      <w:rPr>
        <w:color w:val="3370ff"/>
      </w:rPr>
    </w:lvl>
  </w:abstractNum>
  <w:abstractNum w:abstractNumId="847891">
    <w:lvl>
      <w:start w:val="7"/>
      <w:numFmt w:val="decimal"/>
      <w:suff w:val="tab"/>
      <w:lvlText w:val="%1."/>
      <w:rPr>
        <w:color w:val="3370ff"/>
      </w:rPr>
    </w:lvl>
  </w:abstractNum>
  <w:abstractNum w:abstractNumId="847892">
    <w:lvl>
      <w:start w:val="8"/>
      <w:numFmt w:val="decimal"/>
      <w:suff w:val="tab"/>
      <w:lvlText w:val="%1."/>
      <w:rPr>
        <w:color w:val="3370ff"/>
      </w:rPr>
    </w:lvl>
  </w:abstractNum>
  <w:abstractNum w:abstractNumId="847893">
    <w:lvl>
      <w:start w:val="9"/>
      <w:numFmt w:val="decimal"/>
      <w:suff w:val="tab"/>
      <w:lvlText w:val="%1."/>
      <w:rPr>
        <w:color w:val="3370ff"/>
      </w:rPr>
    </w:lvl>
  </w:abstractNum>
  <w:abstractNum w:abstractNumId="847894">
    <w:lvl>
      <w:start w:val="10"/>
      <w:numFmt w:val="decimal"/>
      <w:suff w:val="tab"/>
      <w:lvlText w:val="%1."/>
      <w:rPr>
        <w:color w:val="3370ff"/>
      </w:rPr>
    </w:lvl>
  </w:abstractNum>
  <w:abstractNum w:abstractNumId="847895">
    <w:lvl>
      <w:start w:val="11"/>
      <w:numFmt w:val="decimal"/>
      <w:suff w:val="tab"/>
      <w:lvlText w:val="%1."/>
      <w:rPr>
        <w:color w:val="3370ff"/>
      </w:rPr>
    </w:lvl>
  </w:abstractNum>
  <w:abstractNum w:abstractNumId="847896">
    <w:lvl>
      <w:start w:val="12"/>
      <w:numFmt w:val="decimal"/>
      <w:suff w:val="tab"/>
      <w:lvlText w:val="%1."/>
      <w:rPr>
        <w:color w:val="3370ff"/>
      </w:rPr>
    </w:lvl>
  </w:abstractNum>
  <w:abstractNum w:abstractNumId="847897">
    <w:lvl>
      <w:start w:val="13"/>
      <w:numFmt w:val="decimal"/>
      <w:suff w:val="tab"/>
      <w:lvlText w:val="%1."/>
      <w:rPr>
        <w:color w:val="3370ff"/>
      </w:rPr>
    </w:lvl>
  </w:abstractNum>
  <w:abstractNum w:abstractNumId="847898">
    <w:lvl>
      <w:start w:val="14"/>
      <w:numFmt w:val="decimal"/>
      <w:suff w:val="tab"/>
      <w:lvlText w:val="%1."/>
      <w:rPr>
        <w:color w:val="3370ff"/>
      </w:rPr>
    </w:lvl>
  </w:abstractNum>
  <w:abstractNum w:abstractNumId="847899">
    <w:lvl>
      <w:start w:val="15"/>
      <w:numFmt w:val="decimal"/>
      <w:suff w:val="tab"/>
      <w:lvlText w:val="%1."/>
      <w:rPr>
        <w:color w:val="3370ff"/>
      </w:rPr>
    </w:lvl>
  </w:abstractNum>
  <w:abstractNum w:abstractNumId="847900">
    <w:lvl>
      <w:start w:val="16"/>
      <w:numFmt w:val="decimal"/>
      <w:suff w:val="tab"/>
      <w:lvlText w:val="%1."/>
      <w:rPr>
        <w:color w:val="3370ff"/>
      </w:rPr>
    </w:lvl>
  </w:abstractNum>
  <w:abstractNum w:abstractNumId="847901">
    <w:lvl>
      <w:start w:val="17"/>
      <w:numFmt w:val="decimal"/>
      <w:suff w:val="tab"/>
      <w:lvlText w:val="%1."/>
      <w:rPr>
        <w:color w:val="3370ff"/>
      </w:rPr>
    </w:lvl>
  </w:abstractNum>
  <w:abstractNum w:abstractNumId="847902">
    <w:lvl>
      <w:start w:val="18"/>
      <w:numFmt w:val="decimal"/>
      <w:suff w:val="tab"/>
      <w:lvlText w:val="%1."/>
      <w:rPr>
        <w:color w:val="3370ff"/>
      </w:rPr>
    </w:lvl>
  </w:abstractNum>
  <w:abstractNum w:abstractNumId="847903">
    <w:lvl>
      <w:numFmt w:val="bullet"/>
      <w:suff w:val="tab"/>
      <w:lvlText w:val="•"/>
      <w:rPr>
        <w:color w:val="3370ff"/>
      </w:rPr>
    </w:lvl>
  </w:abstractNum>
  <w:abstractNum w:abstractNumId="847904">
    <w:lvl>
      <w:numFmt w:val="bullet"/>
      <w:suff w:val="tab"/>
      <w:lvlText w:val="•"/>
      <w:rPr>
        <w:color w:val="3370ff"/>
      </w:rPr>
    </w:lvl>
  </w:abstractNum>
  <w:abstractNum w:abstractNumId="847905">
    <w:lvl>
      <w:numFmt w:val="bullet"/>
      <w:suff w:val="tab"/>
      <w:lvlText w:val="•"/>
      <w:rPr>
        <w:color w:val="3370ff"/>
      </w:rPr>
    </w:lvl>
  </w:abstractNum>
  <w:abstractNum w:abstractNumId="847906">
    <w:lvl>
      <w:numFmt w:val="bullet"/>
      <w:suff w:val="tab"/>
      <w:lvlText w:val="•"/>
      <w:rPr>
        <w:color w:val="3370ff"/>
      </w:rPr>
    </w:lvl>
  </w:abstractNum>
  <w:abstractNum w:abstractNumId="847907">
    <w:lvl>
      <w:numFmt w:val="bullet"/>
      <w:suff w:val="tab"/>
      <w:lvlText w:val="•"/>
      <w:rPr>
        <w:color w:val="3370ff"/>
      </w:rPr>
    </w:lvl>
  </w:abstractNum>
  <w:abstractNum w:abstractNumId="847908">
    <w:lvl>
      <w:start w:val="1"/>
      <w:numFmt w:val="decimal"/>
      <w:suff w:val="tab"/>
      <w:lvlText w:val="%1."/>
      <w:rPr>
        <w:color w:val="3370ff"/>
      </w:rPr>
    </w:lvl>
  </w:abstractNum>
  <w:abstractNum w:abstractNumId="847909">
    <w:lvl>
      <w:start w:val="2"/>
      <w:numFmt w:val="decimal"/>
      <w:suff w:val="tab"/>
      <w:lvlText w:val="%1."/>
      <w:rPr>
        <w:color w:val="3370ff"/>
      </w:rPr>
    </w:lvl>
  </w:abstractNum>
  <w:abstractNum w:abstractNumId="847910">
    <w:lvl>
      <w:start w:val="3"/>
      <w:numFmt w:val="decimal"/>
      <w:suff w:val="tab"/>
      <w:lvlText w:val="%1."/>
      <w:rPr>
        <w:color w:val="3370ff"/>
      </w:rPr>
    </w:lvl>
  </w:abstractNum>
  <w:abstractNum w:abstractNumId="847911">
    <w:lvl>
      <w:start w:val="4"/>
      <w:numFmt w:val="decimal"/>
      <w:suff w:val="tab"/>
      <w:lvlText w:val="%1."/>
      <w:rPr>
        <w:color w:val="3370ff"/>
      </w:rPr>
    </w:lvl>
  </w:abstractNum>
  <w:abstractNum w:abstractNumId="847912">
    <w:lvl>
      <w:numFmt w:val="bullet"/>
      <w:suff w:val="tab"/>
      <w:lvlText w:val="•"/>
      <w:rPr>
        <w:color w:val="3370ff"/>
      </w:rPr>
    </w:lvl>
  </w:abstractNum>
  <w:abstractNum w:abstractNumId="847913">
    <w:lvl>
      <w:numFmt w:val="bullet"/>
      <w:suff w:val="tab"/>
      <w:lvlText w:val="•"/>
      <w:rPr>
        <w:color w:val="3370ff"/>
      </w:rPr>
    </w:lvl>
  </w:abstractNum>
  <w:abstractNum w:abstractNumId="847914">
    <w:lvl>
      <w:numFmt w:val="bullet"/>
      <w:suff w:val="tab"/>
      <w:lvlText w:val="•"/>
      <w:rPr>
        <w:color w:val="3370ff"/>
      </w:rPr>
    </w:lvl>
  </w:abstractNum>
  <w:abstractNum w:abstractNumId="847915">
    <w:lvl>
      <w:numFmt w:val="bullet"/>
      <w:suff w:val="tab"/>
      <w:lvlText w:val="•"/>
      <w:rPr>
        <w:color w:val="3370ff"/>
      </w:rPr>
    </w:lvl>
  </w:abstractNum>
  <w:abstractNum w:abstractNumId="847916">
    <w:lvl>
      <w:numFmt w:val="bullet"/>
      <w:suff w:val="tab"/>
      <w:lvlText w:val="•"/>
      <w:rPr>
        <w:color w:val="3370ff"/>
      </w:rPr>
    </w:lvl>
  </w:abstractNum>
  <w:abstractNum w:abstractNumId="847917">
    <w:lvl>
      <w:numFmt w:val="bullet"/>
      <w:suff w:val="tab"/>
      <w:lvlText w:val="•"/>
      <w:rPr>
        <w:color w:val="3370ff"/>
      </w:rPr>
    </w:lvl>
  </w:abstractNum>
  <w:abstractNum w:abstractNumId="847918">
    <w:lvl>
      <w:start w:val="1"/>
      <w:numFmt w:val="decimal"/>
      <w:suff w:val="tab"/>
      <w:lvlText w:val="%1."/>
      <w:rPr>
        <w:color w:val="3370ff"/>
      </w:rPr>
    </w:lvl>
  </w:abstractNum>
  <w:abstractNum w:abstractNumId="847919">
    <w:lvl>
      <w:start w:val="2"/>
      <w:numFmt w:val="decimal"/>
      <w:suff w:val="tab"/>
      <w:lvlText w:val="%1."/>
      <w:rPr>
        <w:color w:val="3370ff"/>
      </w:rPr>
    </w:lvl>
  </w:abstractNum>
  <w:abstractNum w:abstractNumId="847920">
    <w:lvl>
      <w:start w:val="3"/>
      <w:numFmt w:val="decimal"/>
      <w:suff w:val="tab"/>
      <w:lvlText w:val="%1."/>
      <w:rPr>
        <w:color w:val="3370ff"/>
      </w:rPr>
    </w:lvl>
  </w:abstractNum>
  <w:abstractNum w:abstractNumId="847921">
    <w:lvl>
      <w:numFmt w:val="bullet"/>
      <w:suff w:val="tab"/>
      <w:lvlText w:val="•"/>
      <w:rPr>
        <w:color w:val="3370ff"/>
      </w:rPr>
    </w:lvl>
  </w:abstractNum>
  <w:abstractNum w:abstractNumId="847922">
    <w:lvl>
      <w:numFmt w:val="bullet"/>
      <w:suff w:val="tab"/>
      <w:lvlText w:val="•"/>
      <w:rPr>
        <w:color w:val="3370ff"/>
      </w:rPr>
    </w:lvl>
  </w:abstractNum>
  <w:abstractNum w:abstractNumId="847923">
    <w:lvl>
      <w:numFmt w:val="bullet"/>
      <w:suff w:val="tab"/>
      <w:lvlText w:val="•"/>
      <w:rPr>
        <w:color w:val="3370ff"/>
      </w:rPr>
    </w:lvl>
  </w:abstractNum>
  <w:abstractNum w:abstractNumId="847924">
    <w:lvl>
      <w:numFmt w:val="bullet"/>
      <w:suff w:val="tab"/>
      <w:lvlText w:val="•"/>
      <w:rPr>
        <w:color w:val="3370ff"/>
      </w:rPr>
    </w:lvl>
  </w:abstractNum>
  <w:abstractNum w:abstractNumId="847925">
    <w:lvl>
      <w:numFmt w:val="bullet"/>
      <w:suff w:val="tab"/>
      <w:lvlText w:val="•"/>
      <w:rPr>
        <w:color w:val="3370ff"/>
      </w:rPr>
    </w:lvl>
  </w:abstractNum>
  <w:abstractNum w:abstractNumId="847926">
    <w:lvl>
      <w:numFmt w:val="bullet"/>
      <w:suff w:val="tab"/>
      <w:lvlText w:val="•"/>
      <w:rPr>
        <w:color w:val="3370ff"/>
      </w:rPr>
    </w:lvl>
  </w:abstractNum>
  <w:num w:numId="1">
    <w:abstractNumId w:val="847870"/>
  </w:num>
  <w:num w:numId="2">
    <w:abstractNumId w:val="847871"/>
  </w:num>
  <w:num w:numId="3">
    <w:abstractNumId w:val="847872"/>
  </w:num>
  <w:num w:numId="4">
    <w:abstractNumId w:val="847873"/>
  </w:num>
  <w:num w:numId="5">
    <w:abstractNumId w:val="847874"/>
  </w:num>
  <w:num w:numId="6">
    <w:abstractNumId w:val="847875"/>
  </w:num>
  <w:num w:numId="7">
    <w:abstractNumId w:val="847876"/>
  </w:num>
  <w:num w:numId="8">
    <w:abstractNumId w:val="847877"/>
  </w:num>
  <w:num w:numId="9">
    <w:abstractNumId w:val="847878"/>
  </w:num>
  <w:num w:numId="10">
    <w:abstractNumId w:val="847879"/>
  </w:num>
  <w:num w:numId="11">
    <w:abstractNumId w:val="847880"/>
  </w:num>
  <w:num w:numId="12">
    <w:abstractNumId w:val="847881"/>
  </w:num>
  <w:num w:numId="13">
    <w:abstractNumId w:val="847882"/>
  </w:num>
  <w:num w:numId="14">
    <w:abstractNumId w:val="847883"/>
  </w:num>
  <w:num w:numId="15">
    <w:abstractNumId w:val="847884"/>
  </w:num>
  <w:num w:numId="16">
    <w:abstractNumId w:val="847885"/>
  </w:num>
  <w:num w:numId="17">
    <w:abstractNumId w:val="847886"/>
  </w:num>
  <w:num w:numId="18">
    <w:abstractNumId w:val="847887"/>
  </w:num>
  <w:num w:numId="19">
    <w:abstractNumId w:val="847888"/>
  </w:num>
  <w:num w:numId="20">
    <w:abstractNumId w:val="847889"/>
  </w:num>
  <w:num w:numId="21">
    <w:abstractNumId w:val="847890"/>
  </w:num>
  <w:num w:numId="22">
    <w:abstractNumId w:val="847891"/>
  </w:num>
  <w:num w:numId="23">
    <w:abstractNumId w:val="847892"/>
  </w:num>
  <w:num w:numId="24">
    <w:abstractNumId w:val="847893"/>
  </w:num>
  <w:num w:numId="25">
    <w:abstractNumId w:val="847894"/>
  </w:num>
  <w:num w:numId="26">
    <w:abstractNumId w:val="847895"/>
  </w:num>
  <w:num w:numId="27">
    <w:abstractNumId w:val="847896"/>
  </w:num>
  <w:num w:numId="28">
    <w:abstractNumId w:val="847897"/>
  </w:num>
  <w:num w:numId="29">
    <w:abstractNumId w:val="847898"/>
  </w:num>
  <w:num w:numId="30">
    <w:abstractNumId w:val="847899"/>
  </w:num>
  <w:num w:numId="31">
    <w:abstractNumId w:val="847900"/>
  </w:num>
  <w:num w:numId="32">
    <w:abstractNumId w:val="847901"/>
  </w:num>
  <w:num w:numId="33">
    <w:abstractNumId w:val="847902"/>
  </w:num>
  <w:num w:numId="34">
    <w:abstractNumId w:val="847903"/>
  </w:num>
  <w:num w:numId="35">
    <w:abstractNumId w:val="847904"/>
  </w:num>
  <w:num w:numId="36">
    <w:abstractNumId w:val="847905"/>
  </w:num>
  <w:num w:numId="37">
    <w:abstractNumId w:val="847906"/>
  </w:num>
  <w:num w:numId="38">
    <w:abstractNumId w:val="847907"/>
  </w:num>
  <w:num w:numId="39">
    <w:abstractNumId w:val="847908"/>
  </w:num>
  <w:num w:numId="40">
    <w:abstractNumId w:val="847909"/>
  </w:num>
  <w:num w:numId="41">
    <w:abstractNumId w:val="847910"/>
  </w:num>
  <w:num w:numId="42">
    <w:abstractNumId w:val="847911"/>
  </w:num>
  <w:num w:numId="43">
    <w:abstractNumId w:val="847912"/>
  </w:num>
  <w:num w:numId="44">
    <w:abstractNumId w:val="847913"/>
  </w:num>
  <w:num w:numId="45">
    <w:abstractNumId w:val="847914"/>
  </w:num>
  <w:num w:numId="46">
    <w:abstractNumId w:val="847915"/>
  </w:num>
  <w:num w:numId="47">
    <w:abstractNumId w:val="847916"/>
  </w:num>
  <w:num w:numId="48">
    <w:abstractNumId w:val="847917"/>
  </w:num>
  <w:num w:numId="49">
    <w:abstractNumId w:val="847918"/>
  </w:num>
  <w:num w:numId="50">
    <w:abstractNumId w:val="847919"/>
  </w:num>
  <w:num w:numId="51">
    <w:abstractNumId w:val="847920"/>
  </w:num>
  <w:num w:numId="52">
    <w:abstractNumId w:val="847921"/>
  </w:num>
  <w:num w:numId="53">
    <w:abstractNumId w:val="847922"/>
  </w:num>
  <w:num w:numId="54">
    <w:abstractNumId w:val="847923"/>
  </w:num>
  <w:num w:numId="55">
    <w:abstractNumId w:val="847924"/>
  </w:num>
  <w:num w:numId="56">
    <w:abstractNumId w:val="847925"/>
  </w:num>
  <w:num w:numId="57">
    <w:abstractNumId w:val="8479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releases.ubuntu.com/20.04/" TargetMode="External" Type="http://schemas.openxmlformats.org/officeDocument/2006/relationships/hyperlink"/><Relationship Id="rId6" Target="https://ubuntu.com/download/desktop" TargetMode="External" Type="http://schemas.openxmlformats.org/officeDocument/2006/relationships/hyperlink"/><Relationship Id="rId7" Target="https://mirrors.aliyun.com/ubuntu-releases/20.04/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2025-12-25T07:05:55Z</dcterms:created>
  <dc:creator>Apache POI</dc:creator>
</cp:coreProperties>
</file>