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CodeDecay</w:t>
      </w:r>
    </w:p>
    <w:p>
      <w:r>
        <w:rPr>
          <w:b/>
        </w:rPr>
        <w:t>Track:</w:t>
      </w:r>
      <w:r>
        <w:t xml:space="preserve"> Building Evals </w:t>
      </w:r>
      <w:r>
        <w:rPr>
          <w:b/>
        </w:rPr>
        <w:t>Team:</w:t>
      </w:r>
      <w:r>
        <w:t xml:space="preserve"> SubmuxHQ — Kunal Dhongade </w:t>
      </w:r>
      <w:r>
        <w:rPr>
          <w:b/>
        </w:rPr>
        <w:t>Tagline:</w:t>
      </w:r>
      <w:r>
        <w:t xml:space="preserve"> Find what your coding agent missed before merge.</w:t>
      </w:r>
    </w:p>
    <w:p>
      <w:r>
        <w:t>CodeDecay is an open-source AI orchestration layer that red-teams AI-generated pull requests before merge. It uses the developer's own coding agents and open-source tools to find missed bugs, weak tests, edge cases, and user-facing regressions, then gives evidence-grounded repair and verification tasks back to the agent.</w:t>
      </w:r>
    </w:p>
    <w:p>
      <w:pPr>
        <w:pStyle w:val="Heading1"/>
      </w:pPr>
      <w:r>
        <w:t>Public links</w:t>
      </w:r>
    </w:p>
    <w:p>
      <w:pPr>
        <w:pStyle w:val="CodeDecayListBullet"/>
        <w:numPr>
          <w:ilvl w:val="0"/>
          <w:numId w:val="10"/>
        </w:numPr>
      </w:pPr>
      <w:r>
        <w:rPr>
          <w:b/>
        </w:rPr>
        <w:t>Judge Lab:</w:t>
      </w:r>
      <w:r>
        <w:t xml:space="preserve"> </w:t>
      </w:r>
      <w:hyperlink r:id="rId9">
        <w:r>
          <w:rPr>
            <w:rFonts w:ascii="Arial" w:hAnsi="Arial"/>
            <w:color w:val="1155CC"/>
            <w:u w:val="single"/>
          </w:rPr>
          <w:t>Open the public lab</w:t>
        </w:r>
      </w:hyperlink>
    </w:p>
    <w:p>
      <w:pPr>
        <w:pStyle w:val="CodeDecayListBullet"/>
        <w:numPr>
          <w:ilvl w:val="0"/>
          <w:numId w:val="10"/>
        </w:numPr>
      </w:pPr>
      <w:r>
        <w:rPr>
          <w:b/>
        </w:rPr>
        <w:t>Source:</w:t>
      </w:r>
      <w:r>
        <w:t xml:space="preserve"> </w:t>
      </w:r>
      <w:hyperlink r:id="rId10">
        <w:r>
          <w:rPr>
            <w:rFonts w:ascii="Arial" w:hAnsi="Arial"/>
            <w:color w:val="1155CC"/>
            <w:u w:val="single"/>
          </w:rPr>
          <w:t>View the public repository</w:t>
        </w:r>
      </w:hyperlink>
    </w:p>
    <w:p>
      <w:pPr>
        <w:pStyle w:val="CodeDecayListBullet"/>
        <w:numPr>
          <w:ilvl w:val="0"/>
          <w:numId w:val="10"/>
        </w:numPr>
      </w:pPr>
      <w:r>
        <w:rPr>
          <w:b/>
        </w:rPr>
        <w:t>Current public package:</w:t>
      </w:r>
      <w:r>
        <w:t xml:space="preserve"> </w:t>
      </w:r>
      <w:hyperlink r:id="rId11">
        <w:r>
          <w:rPr>
            <w:rFonts w:ascii="Arial" w:hAnsi="Arial"/>
            <w:color w:val="1155CC"/>
            <w:u w:val="single"/>
          </w:rPr>
          <w:t>View the npm package</w:t>
        </w:r>
      </w:hyperlink>
    </w:p>
    <w:p>
      <w:pPr>
        <w:pStyle w:val="CodeDecayListBullet"/>
        <w:numPr>
          <w:ilvl w:val="0"/>
          <w:numId w:val="10"/>
        </w:numPr>
      </w:pPr>
      <w:r>
        <w:rPr>
          <w:b/>
        </w:rPr>
        <w:t>Current public release:</w:t>
      </w:r>
      <w:r>
        <w:t xml:space="preserve"> </w:t>
      </w:r>
      <w:hyperlink r:id="rId12">
        <w:r>
          <w:rPr>
            <w:rFonts w:ascii="Arial" w:hAnsi="Arial"/>
            <w:color w:val="1155CC"/>
            <w:u w:val="single"/>
          </w:rPr>
          <w:t>View v0.3.5</w:t>
        </w:r>
      </w:hyperlink>
    </w:p>
    <w:p>
      <w:pPr>
        <w:pStyle w:val="CodeDecayListBullet"/>
        <w:numPr>
          <w:ilvl w:val="0"/>
          <w:numId w:val="10"/>
        </w:numPr>
      </w:pPr>
      <w:r>
        <w:rPr>
          <w:b/>
        </w:rPr>
        <w:t>Benchmark method and limitations:</w:t>
      </w:r>
      <w:r>
        <w:t xml:space="preserve"> </w:t>
      </w:r>
      <w:hyperlink r:id="rId13">
        <w:r>
          <w:rPr>
            <w:rFonts w:ascii="Arial" w:hAnsi="Arial"/>
            <w:color w:val="1155CC"/>
            <w:u w:val="single"/>
          </w:rPr>
          <w:t>Read the benchmark corpus documentation</w:t>
        </w:r>
      </w:hyperlink>
    </w:p>
    <w:p>
      <w:pPr>
        <w:pStyle w:val="CodeDecayListBullet"/>
        <w:numPr>
          <w:ilvl w:val="0"/>
          <w:numId w:val="10"/>
        </w:numPr>
      </w:pPr>
      <w:r>
        <w:rPr>
          <w:b/>
        </w:rPr>
        <w:t>Hackathon workstream:</w:t>
      </w:r>
      <w:r>
        <w:t xml:space="preserve"> </w:t>
      </w:r>
      <w:hyperlink r:id="rId14">
        <w:r>
          <w:rPr>
            <w:rFonts w:ascii="Arial" w:hAnsi="Arial"/>
            <w:color w:val="1155CC"/>
            <w:u w:val="single"/>
          </w:rPr>
          <w:t>Review milestone epic #694</w:t>
        </w:r>
      </w:hyperlink>
    </w:p>
    <w:p>
      <w:r>
        <w:t xml:space="preserve">The immutable hackathon release, public video, public Google Doc URL, and final BlockseBlock confirmation are release gates tracked in </w:t>
      </w:r>
      <w:hyperlink r:id="rId15">
        <w:r>
          <w:rPr>
            <w:rFonts w:ascii="Arial" w:hAnsi="Arial"/>
            <w:color w:val="1155CC"/>
            <w:u w:val="single"/>
          </w:rPr>
          <w:t>#698</w:t>
        </w:r>
      </w:hyperlink>
      <w:r>
        <w:t xml:space="preserve">, </w:t>
      </w:r>
      <w:hyperlink r:id="rId16">
        <w:r>
          <w:rPr>
            <w:rFonts w:ascii="Arial" w:hAnsi="Arial"/>
            <w:color w:val="1155CC"/>
            <w:u w:val="single"/>
          </w:rPr>
          <w:t>#696</w:t>
        </w:r>
      </w:hyperlink>
      <w:r>
        <w:t xml:space="preserve">, and </w:t>
      </w:r>
      <w:hyperlink r:id="rId17">
        <w:r>
          <w:rPr>
            <w:rFonts w:ascii="Arial" w:hAnsi="Arial"/>
            <w:color w:val="1155CC"/>
            <w:u w:val="single"/>
          </w:rPr>
          <w:t>#699</w:t>
        </w:r>
      </w:hyperlink>
      <w:r>
        <w:t>. The submission must not be finalized until those links point to the same frozen release identity.</w:t>
      </w:r>
    </w:p>
    <w:p>
      <w:pPr>
        <w:pStyle w:val="Heading1"/>
      </w:pPr>
      <w:r>
        <w:t>1. The problem</w:t>
      </w:r>
    </w:p>
    <w:p>
      <w:r>
        <w:t>AI coding agents make it easy to create a plausible implementation and a green test suite. They also make it easy to merge code nobody deeply reviewed. A narrow AI-generated test may mock the exact module that changed, copy the implementation into its oracle, or prove only a helper while the public API route remains broken.</w:t>
      </w:r>
    </w:p>
    <w:p>
      <w:r>
        <w:t>The affected user is a developer or small team using Codex, Claude Code, Cursor, or another agent to ship software faster. The failure mode is not that the agent wrote code. The failure mode is false confidence: the diff looks reasonable, a test exists, and the green check does not prove the real production path.</w:t>
      </w:r>
    </w:p>
    <w:p>
      <w:pPr>
        <w:pStyle w:val="Heading2"/>
      </w:pPr>
      <w:r>
        <w:t>Concrete user story</w:t>
      </w:r>
    </w:p>
    <w:p>
      <w:r>
        <w:t xml:space="preserve">An agent changes </w:t>
      </w:r>
      <w:r>
        <w:rPr>
          <w:rFonts w:ascii="Courier New" w:hAnsi="Courier New" w:eastAsia="Courier New"/>
          <w:color w:val="000000"/>
          <w:sz w:val="19"/>
        </w:rPr>
        <w:t>GET /api/users</w:t>
      </w:r>
      <w:r>
        <w:t>. Its shallow session test passes, but the route no longer enforces authentication and a new request-controlled SQL query is unsafe. A real anonymous visitor can reach an admin-shaped response.</w:t>
      </w:r>
    </w:p>
    <w:p>
      <w:r>
        <w:t>CodeDecay maps the changed route, distinguishes the shallow test from real route proof, reports deterministic security evidence, names missing edge cases, and gives Codex concrete repair tasks. Codex restores the guard, validates input, adds a route-level regression test, runs approved checks, and reruns CodeDecay against the repaired tree.</w:t>
      </w:r>
    </w:p>
    <w:p>
      <w:pPr>
        <w:pStyle w:val="Heading1"/>
      </w:pPr>
      <w:r>
        <w:t>2. Why passing tests create false confidence</w:t>
      </w:r>
    </w:p>
    <w:p>
      <w:r>
        <w:t>A test file is not automatically behavioral proof. CodeDecay's test reality check looks for signals such as:</w:t>
      </w:r>
    </w:p>
    <w:p>
      <w:pPr>
        <w:pStyle w:val="CodeDecayListBullet"/>
        <w:numPr>
          <w:ilvl w:val="0"/>
          <w:numId w:val="11"/>
        </w:numPr>
      </w:pPr>
      <w:r>
        <w:t>the changed test mocks the changed production module;</w:t>
      </w:r>
    </w:p>
    <w:p>
      <w:pPr>
        <w:pStyle w:val="CodeDecayListBullet"/>
        <w:numPr>
          <w:ilvl w:val="0"/>
          <w:numId w:val="11"/>
        </w:numPr>
      </w:pPr>
      <w:r>
        <w:t>the test copies implementation statements into its expected value;</w:t>
      </w:r>
    </w:p>
    <w:p>
      <w:pPr>
        <w:pStyle w:val="CodeDecayListBullet"/>
        <w:numPr>
          <w:ilvl w:val="0"/>
          <w:numId w:val="11"/>
        </w:numPr>
      </w:pPr>
      <w:r>
        <w:t>assertions inspect SQL or source shape instead of executing the database or API boundary;</w:t>
      </w:r>
    </w:p>
    <w:p>
      <w:pPr>
        <w:pStyle w:val="CodeDecayListBullet"/>
        <w:numPr>
          <w:ilvl w:val="0"/>
          <w:numId w:val="11"/>
        </w:numPr>
      </w:pPr>
      <w:r>
        <w:t>only a happy path is covered;</w:t>
      </w:r>
    </w:p>
    <w:p>
      <w:pPr>
        <w:pStyle w:val="CodeDecayListBullet"/>
        <w:numPr>
          <w:ilvl w:val="0"/>
          <w:numId w:val="11"/>
        </w:numPr>
      </w:pPr>
      <w:r>
        <w:t>no test calls the changed API, UI, or downstream consumer;</w:t>
      </w:r>
    </w:p>
    <w:p>
      <w:pPr>
        <w:pStyle w:val="CodeDecayListBullet"/>
        <w:numPr>
          <w:ilvl w:val="0"/>
          <w:numId w:val="11"/>
        </w:numPr>
      </w:pPr>
      <w:r>
        <w:t>many mocks create green output while little real code executes.</w:t>
      </w:r>
    </w:p>
    <w:p>
      <w:r>
        <w:t>The report does not claim that every flagged test is wrong. It says the test may not prove the changed production path and recommends stronger evidence, such as a real endpoint call, mutation check, browser flow, or configured integration test.</w:t>
      </w:r>
    </w:p>
    <w:p>
      <w:pPr>
        <w:pStyle w:val="Heading1"/>
      </w:pPr>
      <w:r>
        <w:t>3. End-to-end workflow</w:t>
      </w:r>
    </w:p>
    <w:p>
      <w:pPr>
        <w:pStyle w:val="CodeDecayListNumber"/>
        <w:numPr>
          <w:ilvl w:val="0"/>
          <w:numId w:val="12"/>
        </w:numPr>
      </w:pPr>
      <w:r>
        <w:rPr>
          <w:b/>
        </w:rPr>
        <w:t>Preflight:</w:t>
      </w:r>
      <w:r>
        <w:t xml:space="preserve"> </w:t>
      </w:r>
      <w:r>
        <w:rPr>
          <w:rFonts w:ascii="Courier New" w:hAnsi="Courier New" w:eastAsia="Courier New"/>
          <w:color w:val="000000"/>
          <w:sz w:val="19"/>
        </w:rPr>
        <w:t>codedecay ai preflight</w:t>
      </w:r>
      <w:r>
        <w:t xml:space="preserve"> turns a requirement into repository-grounded likely files, routes, constraints, ambiguity questions, and proof expectations before an agent edits code.</w:t>
      </w:r>
    </w:p>
    <w:p>
      <w:pPr>
        <w:pStyle w:val="CodeDecayListNumber"/>
        <w:numPr>
          <w:ilvl w:val="0"/>
          <w:numId w:val="12"/>
        </w:numPr>
      </w:pPr>
      <w:r>
        <w:rPr>
          <w:b/>
        </w:rPr>
        <w:t>Diff and context:</w:t>
      </w:r>
      <w:r>
        <w:t xml:space="preserve"> CodeDecay collects the git change, impact map, local repository memory, and repo-local review skills.</w:t>
      </w:r>
    </w:p>
    <w:p>
      <w:pPr>
        <w:pStyle w:val="CodeDecayListNumber"/>
        <w:numPr>
          <w:ilvl w:val="0"/>
          <w:numId w:val="12"/>
        </w:numPr>
      </w:pPr>
      <w:r>
        <w:rPr>
          <w:b/>
        </w:rPr>
        <w:t>Deterministic evidence:</w:t>
      </w:r>
      <w:r>
        <w:t xml:space="preserve"> analyzers and test audits identify changed boundaries, weak proof, security candidates, missing coverage, and behavior-specific edge cases.</w:t>
      </w:r>
    </w:p>
    <w:p>
      <w:pPr>
        <w:pStyle w:val="CodeDecayListNumber"/>
        <w:numPr>
          <w:ilvl w:val="0"/>
          <w:numId w:val="12"/>
        </w:numPr>
      </w:pPr>
      <w:r>
        <w:rPr>
          <w:b/>
        </w:rPr>
        <w:t>Optional tool and agent evidence:</w:t>
      </w:r>
      <w:r>
        <w:t xml:space="preserve"> explicit user-owned integrations can add OSS tool output or Codex investigation. No hidden model call is made.</w:t>
      </w:r>
    </w:p>
    <w:p>
      <w:pPr>
        <w:pStyle w:val="CodeDecayListNumber"/>
        <w:numPr>
          <w:ilvl w:val="0"/>
          <w:numId w:val="12"/>
        </w:numPr>
      </w:pPr>
      <w:r>
        <w:rPr>
          <w:b/>
        </w:rPr>
        <w:t>Repair handoff:</w:t>
      </w:r>
      <w:r>
        <w:t xml:space="preserve"> CodeDecay packages findings, limitations, safety notes, and prioritized tasks for Codex or another coding agent.</w:t>
      </w:r>
    </w:p>
    <w:p>
      <w:pPr>
        <w:pStyle w:val="CodeDecayListNumber"/>
        <w:numPr>
          <w:ilvl w:val="0"/>
          <w:numId w:val="12"/>
        </w:numPr>
      </w:pPr>
      <w:r>
        <w:rPr>
          <w:b/>
        </w:rPr>
        <w:t>Approved execution:</w:t>
      </w:r>
      <w:r>
        <w:t xml:space="preserve"> </w:t>
      </w:r>
      <w:r>
        <w:rPr>
          <w:rFonts w:ascii="Courier New" w:hAnsi="Courier New" w:eastAsia="Courier New"/>
          <w:color w:val="000000"/>
          <w:sz w:val="19"/>
        </w:rPr>
        <w:t>codedecay ai --with-checks</w:t>
      </w:r>
      <w:r>
        <w:t xml:space="preserve"> runs only configured commands and adapters through CodeDecay's safety boundary.</w:t>
      </w:r>
    </w:p>
    <w:p>
      <w:pPr>
        <w:pStyle w:val="CodeDecayListNumber"/>
        <w:numPr>
          <w:ilvl w:val="0"/>
          <w:numId w:val="12"/>
        </w:numPr>
      </w:pPr>
      <w:r>
        <w:rPr>
          <w:b/>
        </w:rPr>
        <w:t>Revalidation:</w:t>
      </w:r>
      <w:r>
        <w:t xml:space="preserve"> the repaired current tree is analyzed again. Findings and verification status are reported without declaring guaranteed safety.</w:t>
      </w:r>
    </w:p>
    <w:p>
      <w:r>
        <w:t>In shorthand:</w:t>
      </w:r>
    </w:p>
    <w:p>
      <w:pPr>
        <w:pStyle w:val="CodeBlock"/>
        <w:keepNext/>
        <w:keepLines/>
        <w:spacing w:before="80"/>
        <w:shd w:fill="F5F5F5"/>
      </w:pPr>
      <w:r>
        <w:t>requirement -&gt; preflight -&gt; diff -&gt; context -&gt; evidence -&gt; Codex repair</w:t>
      </w:r>
    </w:p>
    <w:p>
      <w:pPr>
        <w:pStyle w:val="CodeBlock"/>
        <w:keepNext w:val="0"/>
        <w:keepLines/>
        <w:spacing w:after="160"/>
        <w:shd w:fill="F5F5F5"/>
      </w:pPr>
      <w:r>
        <w:t xml:space="preserve">            -&gt; configured checks -&gt; current-tree revalidation</w:t>
      </w:r>
    </w:p>
    <w:p>
      <w:pPr>
        <w:pStyle w:val="Heading1"/>
      </w:pPr>
      <w:r>
        <w:t>4. Architecture and technical stack</w:t>
      </w:r>
    </w:p>
    <w:p>
      <w:r>
        <w:t xml:space="preserve">CodeDecay is a TypeScript and Node.js monorepo built with pnpm, tsup, Vitest, and GitHub Actions. The CLI package is </w:t>
      </w:r>
      <w:r>
        <w:rPr>
          <w:rFonts w:ascii="Courier New" w:hAnsi="Courier New" w:eastAsia="Courier New"/>
          <w:color w:val="000000"/>
          <w:sz w:val="19"/>
        </w:rPr>
        <w:t>@submuxhq/codedecay</w:t>
      </w:r>
      <w:r>
        <w:t xml:space="preserve">; the binary is </w:t>
      </w:r>
      <w:r>
        <w:rPr>
          <w:rFonts w:ascii="Courier New" w:hAnsi="Courier New" w:eastAsia="Courier New"/>
          <w:color w:val="000000"/>
          <w:sz w:val="19"/>
        </w:rPr>
        <w:t>codedecay</w:t>
      </w:r>
      <w:r>
        <w:t>.</w:t>
      </w:r>
    </w:p>
    <w:p>
      <w:r>
        <w:t>The architecture keeps orchestration boundaries explicit:</w:t>
      </w:r>
    </w:p>
    <w:p>
      <w:pPr>
        <w:pStyle w:val="CodeDecayListBullet"/>
        <w:numPr>
          <w:ilvl w:val="0"/>
          <w:numId w:val="13"/>
        </w:numPr>
      </w:pPr>
      <w:r>
        <w:rPr>
          <w:b/>
        </w:rPr>
        <w:t>Git and core:</w:t>
      </w:r>
      <w:r>
        <w:t xml:space="preserve"> collect normalized changes, assemble findings, score risk, and preserve evidence types.</w:t>
      </w:r>
    </w:p>
    <w:p>
      <w:pPr>
        <w:pStyle w:val="CodeDecayListBullet"/>
        <w:numPr>
          <w:ilvl w:val="0"/>
          <w:numId w:val="13"/>
        </w:numPr>
      </w:pPr>
      <w:r>
        <w:rPr>
          <w:b/>
        </w:rPr>
        <w:t>JavaScript analyzer and test audit:</w:t>
      </w:r>
      <w:r>
        <w:t xml:space="preserve"> find deterministic JS/TS impact, security, weak-test, and missing-proof signals.</w:t>
      </w:r>
    </w:p>
    <w:p>
      <w:pPr>
        <w:pStyle w:val="CodeDecayListBullet"/>
        <w:numPr>
          <w:ilvl w:val="0"/>
          <w:numId w:val="13"/>
        </w:numPr>
      </w:pPr>
      <w:r>
        <w:rPr>
          <w:b/>
        </w:rPr>
        <w:t>Agent and red-team packages:</w:t>
      </w:r>
      <w:r>
        <w:t xml:space="preserve"> create preflight briefs, evidence bundles, repair tasks, and merge-safety reports.</w:t>
      </w:r>
    </w:p>
    <w:p>
      <w:pPr>
        <w:pStyle w:val="CodeDecayListBullet"/>
        <w:numPr>
          <w:ilvl w:val="0"/>
          <w:numId w:val="13"/>
        </w:numPr>
      </w:pPr>
      <w:r>
        <w:rPr>
          <w:b/>
        </w:rPr>
        <w:t>Execution and tool adapters:</w:t>
      </w:r>
      <w:r>
        <w:t xml:space="preserve"> run only configured commands and normalize OSS output from tools such as Semgrep, Playwright, coverage, or StrykerJS when users configure them.</w:t>
      </w:r>
    </w:p>
    <w:p>
      <w:pPr>
        <w:pStyle w:val="CodeDecayListBullet"/>
        <w:numPr>
          <w:ilvl w:val="0"/>
          <w:numId w:val="13"/>
        </w:numPr>
      </w:pPr>
      <w:r>
        <w:rPr>
          <w:b/>
        </w:rPr>
        <w:t>MCP and GitHub Action:</w:t>
      </w:r>
      <w:r>
        <w:t xml:space="preserve"> expose the same local-first workflow to Codex and CI.</w:t>
      </w:r>
    </w:p>
    <w:p>
      <w:pPr>
        <w:pStyle w:val="CodeDecayListBullet"/>
        <w:numPr>
          <w:ilvl w:val="0"/>
          <w:numId w:val="13"/>
        </w:numPr>
      </w:pPr>
      <w:r>
        <w:rPr>
          <w:b/>
        </w:rPr>
        <w:t>Memory and skills:</w:t>
      </w:r>
      <w:r>
        <w:t xml:space="preserve"> load inspectable local repository knowledge without treating memory as trusted executable instruction.</w:t>
      </w:r>
    </w:p>
    <w:p>
      <w:pPr>
        <w:pStyle w:val="CodeDecayListBullet"/>
        <w:numPr>
          <w:ilvl w:val="0"/>
          <w:numId w:val="13"/>
        </w:numPr>
      </w:pPr>
      <w:r>
        <w:rPr>
          <w:b/>
        </w:rPr>
        <w:t>Judge Lab:</w:t>
      </w:r>
      <w:r>
        <w:t xml:space="preserve"> a vinext/React Cloudflare Worker application that exposes only fixed scenario IDs and states. It accepts no repository URL, prompt, command, upload, or model credential.</w:t>
      </w:r>
    </w:p>
    <w:p>
      <w:r>
        <w:t>Outputs are available as JSON, Markdown, and SARIF. The open-source CLI remains useful without a hosted CodeDecay service.</w:t>
      </w:r>
    </w:p>
    <w:p>
      <w:pPr>
        <w:pStyle w:val="Heading1"/>
      </w:pPr>
      <w:r>
        <w:t>5. What Codex planned, executed, and self-reviewed</w:t>
      </w:r>
    </w:p>
    <w:p>
      <w:r>
        <w:t>Codex was used as an agentic engineering collaborator rather than autocomplete. Public issues and pull requests show the loop:</w:t>
      </w:r>
    </w:p>
    <w:p>
      <w:pPr>
        <w:pStyle w:val="CodeDecayListBullet"/>
        <w:numPr>
          <w:ilvl w:val="0"/>
          <w:numId w:val="14"/>
        </w:numPr>
      </w:pPr>
      <w:r>
        <w:t>it decomposed the deadline into a milestone, viability app, demo, release, and submission evidence workstreams;</w:t>
      </w:r>
    </w:p>
    <w:p>
      <w:pPr>
        <w:pStyle w:val="CodeDecayListBullet"/>
        <w:numPr>
          <w:ilvl w:val="0"/>
          <w:numId w:val="14"/>
        </w:numPr>
      </w:pPr>
      <w:r>
        <w:t xml:space="preserve">it implemented the recommended </w:t>
      </w:r>
      <w:r>
        <w:rPr>
          <w:rFonts w:ascii="Courier New" w:hAnsi="Courier New" w:eastAsia="Courier New"/>
          <w:color w:val="000000"/>
          <w:sz w:val="19"/>
        </w:rPr>
        <w:t>codedecay ai</w:t>
      </w:r>
      <w:r>
        <w:t xml:space="preserve"> and </w:t>
      </w:r>
      <w:r>
        <w:rPr>
          <w:rFonts w:ascii="Courier New" w:hAnsi="Courier New" w:eastAsia="Courier New"/>
          <w:color w:val="000000"/>
          <w:sz w:val="19"/>
        </w:rPr>
        <w:t>ai preflight</w:t>
      </w:r>
      <w:r>
        <w:t xml:space="preserve"> surfaces;</w:t>
      </w:r>
    </w:p>
    <w:p>
      <w:pPr>
        <w:pStyle w:val="CodeDecayListBullet"/>
        <w:numPr>
          <w:ilvl w:val="0"/>
          <w:numId w:val="14"/>
        </w:numPr>
      </w:pPr>
      <w:r>
        <w:t>it added packed CLI and GitHub Action acceptance proof;</w:t>
      </w:r>
    </w:p>
    <w:p>
      <w:pPr>
        <w:pStyle w:val="CodeDecayListBullet"/>
        <w:numPr>
          <w:ilvl w:val="0"/>
          <w:numId w:val="14"/>
        </w:numPr>
      </w:pPr>
      <w:r>
        <w:t>it diagnosed and fixed a full-suite benchmark timeout rather than hiding the flaky test;</w:t>
      </w:r>
    </w:p>
    <w:p>
      <w:pPr>
        <w:pStyle w:val="CodeDecayListBullet"/>
        <w:numPr>
          <w:ilvl w:val="0"/>
          <w:numId w:val="14"/>
        </w:numPr>
      </w:pPr>
      <w:r>
        <w:t>it built, tested, deployed, and anonymously smoke-tested the Judge Lab;</w:t>
      </w:r>
    </w:p>
    <w:p>
      <w:pPr>
        <w:pStyle w:val="CodeDecayListBullet"/>
        <w:numPr>
          <w:ilvl w:val="0"/>
          <w:numId w:val="14"/>
        </w:numPr>
      </w:pPr>
      <w:r>
        <w:t>it ran CodeDecay's own red-team workflow against the app and replaced a hardcoded weak-test result with a reproducible full-analyzer artifact;</w:t>
      </w:r>
    </w:p>
    <w:p>
      <w:pPr>
        <w:pStyle w:val="CodeDecayListBullet"/>
        <w:numPr>
          <w:ilvl w:val="0"/>
          <w:numId w:val="14"/>
        </w:numPr>
      </w:pPr>
      <w:r>
        <w:t>it found and fixed a clean-checkout CI dependency gap;</w:t>
      </w:r>
    </w:p>
    <w:p>
      <w:pPr>
        <w:pStyle w:val="CodeDecayListBullet"/>
        <w:numPr>
          <w:ilvl w:val="0"/>
          <w:numId w:val="14"/>
        </w:numPr>
      </w:pPr>
      <w:r>
        <w:t>it inspected production worker evidence and fixed the remaining favicon request miss;</w:t>
      </w:r>
    </w:p>
    <w:p>
      <w:pPr>
        <w:pStyle w:val="CodeDecayListBullet"/>
        <w:numPr>
          <w:ilvl w:val="0"/>
          <w:numId w:val="14"/>
        </w:numPr>
      </w:pPr>
      <w:r>
        <w:t>it reran lint, typecheck, API tests, browser tests, accessibility checks, audit, build, packaging, and child-repository acceptance before merge.</w:t>
      </w:r>
    </w:p>
    <w:p>
      <w:r>
        <w:t xml:space="preserve">The public evidence ledger records the issue, components, checks, decisions, commit or pull request, and remaining limitation for each contribution: </w:t>
      </w:r>
      <w:hyperlink r:id="rId18">
        <w:r>
          <w:rPr>
            <w:rFonts w:ascii="Arial" w:hAnsi="Arial"/>
            <w:color w:val="1155CC"/>
            <w:u w:val="single"/>
          </w:rPr>
          <w:t>originality-ledger.md</w:t>
        </w:r>
      </w:hyperlink>
      <w:r>
        <w:t>.</w:t>
      </w:r>
    </w:p>
    <w:p>
      <w:pPr>
        <w:pStyle w:val="Heading1"/>
      </w:pPr>
      <w:r>
        <w:t>6. Evidence types and trust boundaries</w:t>
      </w:r>
    </w:p>
    <w:p>
      <w:r>
        <w:t>CodeDecay separates:</w:t>
      </w:r>
    </w:p>
    <w:p>
      <w:pPr>
        <w:pStyle w:val="CodeDecayListBullet"/>
        <w:numPr>
          <w:ilvl w:val="0"/>
          <w:numId w:val="15"/>
        </w:numPr>
      </w:pPr>
      <w:r>
        <w:rPr>
          <w:b/>
        </w:rPr>
        <w:t>Deterministic evidence:</w:t>
      </w:r>
      <w:r>
        <w:t xml:space="preserve"> diff facts, route mappings, test-audit signals, matcher findings, and score inputs produced by local code.</w:t>
      </w:r>
    </w:p>
    <w:p>
      <w:pPr>
        <w:pStyle w:val="CodeDecayListBullet"/>
        <w:numPr>
          <w:ilvl w:val="0"/>
          <w:numId w:val="15"/>
        </w:numPr>
      </w:pPr>
      <w:r>
        <w:rPr>
          <w:b/>
        </w:rPr>
        <w:t>Tool evidence:</w:t>
      </w:r>
      <w:r>
        <w:t xml:space="preserve"> actual output from configured tests, browsers, coverage, security scanners, or other adapters.</w:t>
      </w:r>
    </w:p>
    <w:p>
      <w:pPr>
        <w:pStyle w:val="CodeDecayListBullet"/>
        <w:numPr>
          <w:ilvl w:val="0"/>
          <w:numId w:val="15"/>
        </w:numPr>
      </w:pPr>
      <w:r>
        <w:rPr>
          <w:b/>
        </w:rPr>
        <w:t>Repository memory:</w:t>
      </w:r>
      <w:r>
        <w:t xml:space="preserve"> inspectable local context that may guide review but is never executable proof.</w:t>
      </w:r>
    </w:p>
    <w:p>
      <w:pPr>
        <w:pStyle w:val="CodeDecayListBullet"/>
        <w:numPr>
          <w:ilvl w:val="0"/>
          <w:numId w:val="15"/>
        </w:numPr>
      </w:pPr>
      <w:r>
        <w:rPr>
          <w:b/>
        </w:rPr>
        <w:t>Codex suggestions:</w:t>
      </w:r>
      <w:r>
        <w:t xml:space="preserve"> hypotheses, repair ideas, and investigation guidance from the user's agent. These remain unverified until current-tree evidence supports them.</w:t>
      </w:r>
    </w:p>
    <w:p>
      <w:r>
        <w:t>The Judge Lab currently displays deterministic evidence only. Its weak-test scenario is clearly labeled precomputed because the full analyzer requires a repository filesystem; the checked-in artifact has a reproducible generator and CI drift check. The auth/API and clean-decoy scenarios execute the release matcher and scoring path on demand.</w:t>
      </w:r>
    </w:p>
    <w:p>
      <w:pPr>
        <w:pStyle w:val="Heading1"/>
      </w:pPr>
      <w:r>
        <w:t>7. OSS-first integrations</w:t>
      </w:r>
    </w:p>
    <w:p>
      <w:r>
        <w:t>CodeDecay does not try to rebuild every analyzer, test runner, browser, fuzzer, or security scanner. Its role is orchestration, normalization, evidence mapping, risk synthesis, memory, and agent handoff.</w:t>
      </w:r>
    </w:p>
    <w:p>
      <w:r>
        <w:t>The adapter direction includes:</w:t>
      </w:r>
    </w:p>
    <w:p>
      <w:pPr>
        <w:pStyle w:val="CodeDecayListBullet"/>
        <w:numPr>
          <w:ilvl w:val="0"/>
          <w:numId w:val="16"/>
        </w:numPr>
      </w:pPr>
      <w:r>
        <w:t>MCP and stable local CLIs for agent integration;</w:t>
      </w:r>
    </w:p>
    <w:p>
      <w:pPr>
        <w:pStyle w:val="CodeDecayListBullet"/>
        <w:numPr>
          <w:ilvl w:val="0"/>
          <w:numId w:val="16"/>
        </w:numPr>
      </w:pPr>
      <w:r>
        <w:t>Ollama for local models and LiteLLM-compatible routing for explicit BYOK;</w:t>
      </w:r>
    </w:p>
    <w:p>
      <w:pPr>
        <w:pStyle w:val="CodeDecayListBullet"/>
        <w:numPr>
          <w:ilvl w:val="0"/>
          <w:numId w:val="16"/>
        </w:numPr>
      </w:pPr>
      <w:r>
        <w:t>TypeScript compiler or language-native parsers for source structure;</w:t>
      </w:r>
    </w:p>
    <w:p>
      <w:pPr>
        <w:pStyle w:val="CodeDecayListBullet"/>
        <w:numPr>
          <w:ilvl w:val="0"/>
          <w:numId w:val="16"/>
        </w:numPr>
      </w:pPr>
      <w:r>
        <w:t>ESLint, Biome, oxlint, Knip, dependency-cruiser, and Madge for JS/TS quality;</w:t>
      </w:r>
    </w:p>
    <w:p>
      <w:pPr>
        <w:pStyle w:val="CodeDecayListBullet"/>
        <w:numPr>
          <w:ilvl w:val="0"/>
          <w:numId w:val="16"/>
        </w:numPr>
      </w:pPr>
      <w:r>
        <w:t>Semgrep, Gitleaks, OSV-Scanner, Trivy, and package-manager audits for security evidence;</w:t>
      </w:r>
    </w:p>
    <w:p>
      <w:pPr>
        <w:pStyle w:val="CodeDecayListBullet"/>
        <w:numPr>
          <w:ilvl w:val="0"/>
          <w:numId w:val="16"/>
        </w:numPr>
      </w:pPr>
      <w:r>
        <w:t>Playwright for real user flows;</w:t>
      </w:r>
    </w:p>
    <w:p>
      <w:pPr>
        <w:pStyle w:val="CodeDecayListBullet"/>
        <w:numPr>
          <w:ilvl w:val="0"/>
          <w:numId w:val="16"/>
        </w:numPr>
      </w:pPr>
      <w:r>
        <w:t>StrykerJS for mutation testing;</w:t>
      </w:r>
    </w:p>
    <w:p>
      <w:pPr>
        <w:pStyle w:val="CodeDecayListBullet"/>
        <w:numPr>
          <w:ilvl w:val="0"/>
          <w:numId w:val="16"/>
        </w:numPr>
      </w:pPr>
      <w:r>
        <w:t>Schemathesis and Pact for API and contract proof;</w:t>
      </w:r>
    </w:p>
    <w:p>
      <w:pPr>
        <w:pStyle w:val="CodeDecayListBullet"/>
        <w:numPr>
          <w:ilvl w:val="0"/>
          <w:numId w:val="16"/>
        </w:numPr>
      </w:pPr>
      <w:r>
        <w:t>Vitest, Jest, Pytest, Go, Cargo, and coverage formats for existing project checks, plus native git and worktrees for base/head comparison.</w:t>
      </w:r>
    </w:p>
    <w:p>
      <w:r>
        <w:t>Adapters are explicit, safe-configured, machine-readable where possible, and degrade cleanly when an external tool is not installed.</w:t>
      </w:r>
    </w:p>
    <w:p>
      <w:pPr>
        <w:pStyle w:val="Heading1"/>
      </w:pPr>
      <w:r>
        <w:t>8. Reproducible evaluation evidence</w:t>
      </w:r>
    </w:p>
    <w:p>
      <w:r>
        <w:t>The public deterministic corpus currently reports:</w:t>
      </w:r>
    </w:p>
    <w:p>
      <w:pPr>
        <w:pStyle w:val="CodeDecayListBullet"/>
        <w:numPr>
          <w:ilvl w:val="0"/>
          <w:numId w:val="17"/>
        </w:numPr>
      </w:pPr>
      <w:r>
        <w:rPr>
          <w:b/>
        </w:rPr>
        <w:t>23 of 23 planted fixture issues recalled;</w:t>
      </w:r>
    </w:p>
    <w:p>
      <w:pPr>
        <w:pStyle w:val="CodeDecayListBullet"/>
        <w:numPr>
          <w:ilvl w:val="0"/>
          <w:numId w:val="17"/>
        </w:numPr>
      </w:pPr>
      <w:r>
        <w:rPr>
          <w:b/>
        </w:rPr>
        <w:t>2.22% false-positive rate on the fixture corpus;</w:t>
      </w:r>
    </w:p>
    <w:p>
      <w:pPr>
        <w:pStyle w:val="CodeDecayListBullet"/>
        <w:numPr>
          <w:ilvl w:val="0"/>
          <w:numId w:val="17"/>
        </w:numPr>
      </w:pPr>
      <w:r>
        <w:rPr>
          <w:b/>
        </w:rPr>
        <w:t>$0 benchmark model cost;</w:t>
      </w:r>
    </w:p>
    <w:p>
      <w:pPr>
        <w:pStyle w:val="CodeDecayListBullet"/>
        <w:numPr>
          <w:ilvl w:val="0"/>
          <w:numId w:val="17"/>
        </w:numPr>
      </w:pPr>
      <w:r>
        <w:rPr>
          <w:b/>
        </w:rPr>
        <w:t>no model calls;</w:t>
      </w:r>
    </w:p>
    <w:p>
      <w:pPr>
        <w:pStyle w:val="CodeDecayListBullet"/>
        <w:numPr>
          <w:ilvl w:val="0"/>
          <w:numId w:val="17"/>
        </w:numPr>
      </w:pPr>
      <w:r>
        <w:rPr>
          <w:b/>
        </w:rPr>
        <w:t>no telemetry.</w:t>
      </w:r>
    </w:p>
    <w:p>
      <w:r>
        <w:t>Run:</w:t>
      </w:r>
    </w:p>
    <w:p>
      <w:pPr>
        <w:pStyle w:val="CodeBlock"/>
        <w:keepNext/>
        <w:keepLines/>
        <w:spacing w:before="80"/>
        <w:shd w:fill="F5F5F5"/>
      </w:pPr>
      <w:r>
        <w:t>codedecay benchmark</w:t>
      </w:r>
    </w:p>
    <w:p>
      <w:pPr>
        <w:pStyle w:val="CodeBlock"/>
        <w:keepNext w:val="0"/>
        <w:keepLines/>
        <w:spacing w:after="160"/>
        <w:shd w:fill="F5F5F5"/>
      </w:pPr>
      <w:r>
        <w:t>codedecay benchmark --format json</w:t>
      </w:r>
    </w:p>
    <w:p>
      <w:r>
        <w:t>For a source checkout:</w:t>
      </w:r>
    </w:p>
    <w:p>
      <w:pPr>
        <w:pStyle w:val="CodeBlock"/>
        <w:keepNext/>
        <w:keepLines/>
        <w:spacing w:before="80"/>
        <w:shd w:fill="F5F5F5"/>
      </w:pPr>
      <w:r>
        <w:t>pnpm eval:benchmark</w:t>
      </w:r>
    </w:p>
    <w:p>
      <w:pPr>
        <w:pStyle w:val="CodeBlock"/>
        <w:keepNext w:val="0"/>
        <w:keepLines/>
        <w:spacing w:after="160"/>
        <w:shd w:fill="F5F5F5"/>
      </w:pPr>
      <w:r>
        <w:t>pnpm eval:pr-safety -- --run-id submission</w:t>
      </w:r>
    </w:p>
    <w:p>
      <w:r>
        <w:t xml:space="preserve">These are deterministic fixture-corpus results, not production accuracy. The false positives are intentionally visible. The larger paired real-agent outcome benchmark in </w:t>
      </w:r>
      <w:hyperlink r:id="rId19">
        <w:r>
          <w:rPr>
            <w:rFonts w:ascii="Arial" w:hAnsi="Arial"/>
            <w:color w:val="1155CC"/>
            <w:u w:val="single"/>
          </w:rPr>
          <w:t>#683</w:t>
        </w:r>
      </w:hyperlink>
      <w:r>
        <w:t xml:space="preserve"> remains open; therefore this submission does not claim that CodeDecay always improves agent outcomes, is equivalent to a staff engineer, or guarantees a safe merge.</w:t>
      </w:r>
    </w:p>
    <w:p>
      <w:pPr>
        <w:pStyle w:val="Heading1"/>
      </w:pPr>
      <w:r>
        <w:t>9. Privacy and safety model</w:t>
      </w:r>
    </w:p>
    <w:p>
      <w:pPr>
        <w:pStyle w:val="CodeDecayListBullet"/>
        <w:numPr>
          <w:ilvl w:val="0"/>
          <w:numId w:val="18"/>
        </w:numPr>
      </w:pPr>
      <w:r>
        <w:t>local-first by default;</w:t>
      </w:r>
    </w:p>
    <w:p>
      <w:pPr>
        <w:pStyle w:val="CodeDecayListBullet"/>
        <w:numPr>
          <w:ilvl w:val="0"/>
          <w:numId w:val="18"/>
        </w:numPr>
      </w:pPr>
      <w:r>
        <w:t>no required CodeDecay API key;</w:t>
      </w:r>
    </w:p>
    <w:p>
      <w:pPr>
        <w:pStyle w:val="CodeDecayListBullet"/>
        <w:numPr>
          <w:ilvl w:val="0"/>
          <w:numId w:val="18"/>
        </w:numPr>
      </w:pPr>
      <w:r>
        <w:t>no hidden model or provider call;</w:t>
      </w:r>
    </w:p>
    <w:p>
      <w:pPr>
        <w:pStyle w:val="CodeDecayListBullet"/>
        <w:numPr>
          <w:ilvl w:val="0"/>
          <w:numId w:val="18"/>
        </w:numPr>
      </w:pPr>
      <w:r>
        <w:t>no hidden telemetry;</w:t>
      </w:r>
    </w:p>
    <w:p>
      <w:pPr>
        <w:pStyle w:val="CodeDecayListBullet"/>
        <w:numPr>
          <w:ilvl w:val="0"/>
          <w:numId w:val="18"/>
        </w:numPr>
      </w:pPr>
      <w:r>
        <w:t>no private code upload unless the user explicitly configures an external provider;</w:t>
      </w:r>
    </w:p>
    <w:p>
      <w:pPr>
        <w:pStyle w:val="CodeDecayListBullet"/>
        <w:numPr>
          <w:ilvl w:val="0"/>
          <w:numId w:val="18"/>
        </w:numPr>
      </w:pPr>
      <w:r>
        <w:t>user-owned Codex, Claude Code, Cursor, local, or BYOK integrations;</w:t>
      </w:r>
    </w:p>
    <w:p>
      <w:pPr>
        <w:pStyle w:val="CodeDecayListBullet"/>
        <w:numPr>
          <w:ilvl w:val="0"/>
          <w:numId w:val="18"/>
        </w:numPr>
      </w:pPr>
      <w:r>
        <w:t>explicit safety gates, timeouts, and allowlists for commands;</w:t>
      </w:r>
    </w:p>
    <w:p>
      <w:pPr>
        <w:pStyle w:val="CodeDecayListBullet"/>
        <w:numPr>
          <w:ilvl w:val="0"/>
          <w:numId w:val="18"/>
        </w:numPr>
      </w:pPr>
      <w:r>
        <w:t>no arbitrary command accepted by the Judge Lab;</w:t>
      </w:r>
    </w:p>
    <w:p>
      <w:pPr>
        <w:pStyle w:val="CodeDecayListBullet"/>
        <w:numPr>
          <w:ilvl w:val="0"/>
          <w:numId w:val="18"/>
        </w:numPr>
      </w:pPr>
      <w:r>
        <w:t>deterministic and tool evidence kept distinct from suggestions;</w:t>
      </w:r>
    </w:p>
    <w:p>
      <w:pPr>
        <w:pStyle w:val="CodeDecayListBullet"/>
        <w:numPr>
          <w:ilvl w:val="0"/>
          <w:numId w:val="18"/>
        </w:numPr>
      </w:pPr>
      <w:r>
        <w:t>memory is inspectable, editable, and never trusted as executable instruction.</w:t>
      </w:r>
    </w:p>
    <w:p>
      <w:r>
        <w:t>CodeDecay helps find missed risk. It does not guarantee perfect safety.</w:t>
      </w:r>
    </w:p>
    <w:p>
      <w:pPr>
        <w:pStyle w:val="Heading1"/>
      </w:pPr>
      <w:r>
        <w:t>10. Originality and hackathon-period contribution</w:t>
      </w:r>
    </w:p>
    <w:p>
      <w:r>
        <w:t>The repository and v0.3.5 release existed before this submission sprint. The pre-existing foundation included the open-source CLI, deterministic analysis, red-team reports, local memory and skills, configured execution, MCP, GitHub Action, reports, and fixture benchmark.</w:t>
      </w:r>
    </w:p>
    <w:p>
      <w:r>
        <w:t>Hackathon-period work on 27 July 2026 added or hardened the judge-facing submission slice:</w:t>
      </w:r>
    </w:p>
    <w:p>
      <w:pPr>
        <w:pStyle w:val="CodeDecayListBullet"/>
        <w:numPr>
          <w:ilvl w:val="0"/>
          <w:numId w:val="19"/>
        </w:numPr>
      </w:pPr>
      <w:r>
        <w:t>stable benchmark identity in the full suite;</w:t>
      </w:r>
    </w:p>
    <w:p>
      <w:pPr>
        <w:pStyle w:val="CodeDecayListBullet"/>
        <w:numPr>
          <w:ilvl w:val="0"/>
          <w:numId w:val="19"/>
        </w:numPr>
      </w:pPr>
      <w:r>
        <w:t>recommended AI-first CLI and Action workflow;</w:t>
      </w:r>
    </w:p>
    <w:p>
      <w:pPr>
        <w:pStyle w:val="CodeDecayListBullet"/>
        <w:numPr>
          <w:ilvl w:val="0"/>
          <w:numId w:val="19"/>
        </w:numPr>
      </w:pPr>
      <w:r>
        <w:t>packed CLI and shell-level Action acceptance;</w:t>
      </w:r>
    </w:p>
    <w:p>
      <w:pPr>
        <w:pStyle w:val="CodeDecayListBullet"/>
        <w:numPr>
          <w:ilvl w:val="0"/>
          <w:numId w:val="19"/>
        </w:numPr>
      </w:pPr>
      <w:r>
        <w:t>explicit investigation/verification grounding;</w:t>
      </w:r>
    </w:p>
    <w:p>
      <w:pPr>
        <w:pStyle w:val="CodeDecayListBullet"/>
        <w:numPr>
          <w:ilvl w:val="0"/>
          <w:numId w:val="19"/>
        </w:numPr>
      </w:pPr>
      <w:r>
        <w:t>public credential-free Judge Lab;</w:t>
      </w:r>
    </w:p>
    <w:p>
      <w:pPr>
        <w:pStyle w:val="CodeDecayListBullet"/>
        <w:numPr>
          <w:ilvl w:val="0"/>
          <w:numId w:val="19"/>
        </w:numPr>
      </w:pPr>
      <w:r>
        <w:t>reproducible weak-test evidence and production acceptance;</w:t>
      </w:r>
    </w:p>
    <w:p>
      <w:pPr>
        <w:pStyle w:val="CodeDecayListBullet"/>
        <w:numPr>
          <w:ilvl w:val="0"/>
          <w:numId w:val="19"/>
        </w:numPr>
      </w:pPr>
      <w:r>
        <w:t>submission, demo, and release evidence workstreams.</w:t>
      </w:r>
    </w:p>
    <w:p>
      <w:r>
        <w:t>This distinction is intentional. The submission claims an original orchestration approach and meaningful Codex-built work during the hackathon, not that every line in the mature repository was created during the event.</w:t>
      </w:r>
    </w:p>
    <w:p>
      <w:pPr>
        <w:pStyle w:val="Heading1"/>
      </w:pPr>
      <w:r>
        <w:t>11. Known limitations</w:t>
      </w:r>
    </w:p>
    <w:p>
      <w:pPr>
        <w:pStyle w:val="CodeDecayListBullet"/>
        <w:numPr>
          <w:ilvl w:val="0"/>
          <w:numId w:val="20"/>
        </w:numPr>
      </w:pPr>
      <w:r>
        <w:t>deterministic findings are conservative signals and can produce false positives;</w:t>
      </w:r>
    </w:p>
    <w:p>
      <w:pPr>
        <w:pStyle w:val="CodeDecayListBullet"/>
        <w:numPr>
          <w:ilvl w:val="0"/>
          <w:numId w:val="20"/>
        </w:numPr>
      </w:pPr>
      <w:r>
        <w:t>the public corpus is planted and finite;</w:t>
      </w:r>
    </w:p>
    <w:p>
      <w:pPr>
        <w:pStyle w:val="CodeDecayListBullet"/>
        <w:numPr>
          <w:ilvl w:val="0"/>
          <w:numId w:val="20"/>
        </w:numPr>
      </w:pPr>
      <w:r>
        <w:t>a high score is not proof of a bug, and a low score is not proof of safety;</w:t>
      </w:r>
    </w:p>
    <w:p>
      <w:pPr>
        <w:pStyle w:val="CodeDecayListBullet"/>
        <w:numPr>
          <w:ilvl w:val="0"/>
          <w:numId w:val="20"/>
        </w:numPr>
      </w:pPr>
      <w:r>
        <w:t>deeper runtime confidence depends on the repository's configured checks and available OSS adapters;</w:t>
      </w:r>
    </w:p>
    <w:p>
      <w:pPr>
        <w:pStyle w:val="CodeDecayListBullet"/>
        <w:numPr>
          <w:ilvl w:val="0"/>
          <w:numId w:val="20"/>
        </w:numPr>
      </w:pPr>
      <w:r>
        <w:t>optional model investigation can be wrong and remains suggestion evidence;</w:t>
      </w:r>
    </w:p>
    <w:p>
      <w:pPr>
        <w:pStyle w:val="CodeDecayListBullet"/>
        <w:numPr>
          <w:ilvl w:val="0"/>
          <w:numId w:val="20"/>
        </w:numPr>
      </w:pPr>
      <w:r>
        <w:t>framework and language coverage is incomplete;</w:t>
      </w:r>
    </w:p>
    <w:p>
      <w:pPr>
        <w:pStyle w:val="CodeDecayListBullet"/>
        <w:numPr>
          <w:ilvl w:val="0"/>
          <w:numId w:val="20"/>
        </w:numPr>
      </w:pPr>
      <w:r>
        <w:t>the controlled paired agent-outcome benchmark in #683 is not complete;</w:t>
      </w:r>
    </w:p>
    <w:p>
      <w:pPr>
        <w:pStyle w:val="CodeDecayListBullet"/>
        <w:numPr>
          <w:ilvl w:val="0"/>
          <w:numId w:val="20"/>
        </w:numPr>
      </w:pPr>
      <w:r>
        <w:t xml:space="preserve">independent three-participant published-workflow UAT in </w:t>
      </w:r>
      <w:hyperlink r:id="rId20">
        <w:r>
          <w:rPr>
            <w:rFonts w:ascii="Arial" w:hAnsi="Arial"/>
            <w:color w:val="1155CC"/>
            <w:u w:val="single"/>
          </w:rPr>
          <w:t>#692</w:t>
        </w:r>
      </w:hyperlink>
      <w:r>
        <w:t xml:space="preserve"> is not complete.</w:t>
      </w:r>
    </w:p>
    <w:p>
      <w:r>
        <w:t>For the hackathon viability gate, the Judge Lab has deterministic API and browser acceptance, anonymous production smoke, security headers, accessibility checks, and a clean-decoy calibration path. That does not substitute for the broader real-agent evaluation or independent human UAT, which remain public follow-up work.</w:t>
      </w:r>
    </w:p>
    <w:p>
      <w:pPr>
        <w:pStyle w:val="Heading1"/>
      </w:pPr>
      <w:r>
        <w:t>12. Reproduce the submission candidate</w:t>
      </w:r>
    </w:p>
    <w:p>
      <w:r>
        <w:t>From a clean checkout of the frozen candidate:</w:t>
      </w:r>
    </w:p>
    <w:p>
      <w:pPr>
        <w:pStyle w:val="CodeBlock"/>
        <w:keepNext/>
        <w:keepLines/>
        <w:spacing w:before="80"/>
        <w:shd w:fill="F5F5F5"/>
      </w:pPr>
      <w:r>
        <w:t>./.codedecay/setup.local.sh</w:t>
      </w:r>
    </w:p>
    <w:p>
      <w:pPr>
        <w:pStyle w:val="CodeBlock"/>
        <w:keepNext/>
        <w:keepLines/>
        <w:shd w:fill="F5F5F5"/>
      </w:pPr>
      <w:r>
        <w:t>pnpm run lint</w:t>
      </w:r>
    </w:p>
    <w:p>
      <w:pPr>
        <w:pStyle w:val="CodeBlock"/>
        <w:keepNext/>
        <w:keepLines/>
        <w:shd w:fill="F5F5F5"/>
      </w:pPr>
      <w:r>
        <w:t>pnpm typecheck</w:t>
      </w:r>
    </w:p>
    <w:p>
      <w:pPr>
        <w:pStyle w:val="CodeBlock"/>
        <w:keepNext/>
        <w:keepLines/>
        <w:shd w:fill="F5F5F5"/>
      </w:pPr>
      <w:r>
        <w:t>pnpm test</w:t>
      </w:r>
    </w:p>
    <w:p>
      <w:pPr>
        <w:pStyle w:val="CodeBlock"/>
        <w:keepNext/>
        <w:keepLines/>
        <w:shd w:fill="F5F5F5"/>
      </w:pPr>
      <w:r>
        <w:t>pnpm build</w:t>
      </w:r>
    </w:p>
    <w:p>
      <w:pPr>
        <w:pStyle w:val="CodeBlock"/>
        <w:keepNext/>
        <w:keepLines/>
        <w:shd w:fill="F5F5F5"/>
      </w:pPr>
      <w:r>
        <w:t>pnpm --filter @submuxhq/codedecay pack --dry-run</w:t>
      </w:r>
    </w:p>
    <w:p>
      <w:pPr>
        <w:pStyle w:val="CodeBlock"/>
        <w:keepNext/>
        <w:keepLines/>
        <w:shd w:fill="F5F5F5"/>
      </w:pPr>
      <w:r>
        <w:t>pnpm eval:benchmark</w:t>
      </w:r>
    </w:p>
    <w:p>
      <w:pPr>
        <w:pStyle w:val="CodeBlock"/>
        <w:keepNext/>
        <w:keepLines/>
        <w:shd w:fill="F5F5F5"/>
      </w:pPr>
      <w:r>
        <w:t>pnpm eval:pr-safety -- --run-id submission</w:t>
      </w:r>
    </w:p>
    <w:p>
      <w:pPr>
        <w:pStyle w:val="CodeBlock"/>
        <w:keepNext w:val="0"/>
        <w:keepLines/>
        <w:spacing w:after="160"/>
        <w:shd w:fill="F5F5F5"/>
      </w:pPr>
      <w:r>
        <w:t>node scripts/child-repo-e2e.mjs --run-id submission</w:t>
      </w:r>
    </w:p>
    <w:p>
      <w:r>
        <w:t>Judge Lab:</w:t>
      </w:r>
    </w:p>
    <w:p>
      <w:pPr>
        <w:pStyle w:val="CodeBlock"/>
        <w:keepNext/>
        <w:keepLines/>
        <w:spacing w:before="80"/>
        <w:shd w:fill="F5F5F5"/>
      </w:pPr>
      <w:r>
        <w:t>cd judge-lab</w:t>
      </w:r>
    </w:p>
    <w:p>
      <w:pPr>
        <w:pStyle w:val="CodeBlock"/>
        <w:keepNext/>
        <w:keepLines/>
        <w:shd w:fill="F5F5F5"/>
      </w:pPr>
      <w:r>
        <w:t>npm ci --ignore-scripts</w:t>
      </w:r>
    </w:p>
    <w:p>
      <w:pPr>
        <w:pStyle w:val="CodeBlock"/>
        <w:keepNext/>
        <w:keepLines/>
        <w:shd w:fill="F5F5F5"/>
      </w:pPr>
      <w:r>
        <w:t>npm audit --audit-level=high</w:t>
      </w:r>
    </w:p>
    <w:p>
      <w:pPr>
        <w:pStyle w:val="CodeBlock"/>
        <w:keepNext/>
        <w:keepLines/>
        <w:shd w:fill="F5F5F5"/>
      </w:pPr>
      <w:r>
        <w:t>npm run lint</w:t>
      </w:r>
    </w:p>
    <w:p>
      <w:pPr>
        <w:pStyle w:val="CodeBlock"/>
        <w:keepNext/>
        <w:keepLines/>
        <w:shd w:fill="F5F5F5"/>
      </w:pPr>
      <w:r>
        <w:t>npm run typecheck</w:t>
      </w:r>
    </w:p>
    <w:p>
      <w:pPr>
        <w:pStyle w:val="CodeBlock"/>
        <w:keepNext/>
        <w:keepLines/>
        <w:shd w:fill="F5F5F5"/>
      </w:pPr>
      <w:r>
        <w:t>npm test</w:t>
      </w:r>
    </w:p>
    <w:p>
      <w:pPr>
        <w:pStyle w:val="CodeBlock"/>
        <w:keepNext/>
        <w:keepLines/>
        <w:shd w:fill="F5F5F5"/>
      </w:pPr>
      <w:r>
        <w:t>npx playwright install chromium</w:t>
      </w:r>
    </w:p>
    <w:p>
      <w:pPr>
        <w:pStyle w:val="CodeBlock"/>
        <w:keepNext w:val="0"/>
        <w:keepLines/>
        <w:spacing w:after="160"/>
        <w:shd w:fill="F5F5F5"/>
      </w:pPr>
      <w:r>
        <w:t>npm run test:e2e</w:t>
      </w:r>
    </w:p>
    <w:p>
      <w:r>
        <w:t xml:space="preserve">Published-package proof and the immutable tag, package integrity, release URL, and final source SHA are produced by </w:t>
      </w:r>
      <w:hyperlink r:id="rId15">
        <w:r>
          <w:rPr>
            <w:rFonts w:ascii="Arial" w:hAnsi="Arial"/>
            <w:color w:val="1155CC"/>
            <w:u w:val="single"/>
          </w:rPr>
          <w:t>#698</w:t>
        </w:r>
      </w:hyperlink>
      <w:r>
        <w:t>. Do not substitute a workspace build for that final fresh-install check.</w:t>
      </w:r>
    </w:p>
    <w:p>
      <w:pPr>
        <w:pStyle w:val="Heading1"/>
      </w:pPr>
      <w:r>
        <w:t>13. Judge path</w:t>
      </w:r>
    </w:p>
    <w:p>
      <w:pPr>
        <w:pStyle w:val="CodeDecayListNumber"/>
        <w:numPr>
          <w:ilvl w:val="0"/>
          <w:numId w:val="21"/>
        </w:numPr>
      </w:pPr>
      <w:r>
        <w:t>Open the public Judge Lab without credentials.</w:t>
      </w:r>
    </w:p>
    <w:p>
      <w:pPr>
        <w:pStyle w:val="CodeDecayListNumber"/>
        <w:numPr>
          <w:ilvl w:val="0"/>
          <w:numId w:val="21"/>
        </w:numPr>
      </w:pPr>
      <w:r>
        <w:t xml:space="preserve">Select </w:t>
      </w:r>
      <w:r>
        <w:rPr>
          <w:b/>
        </w:rPr>
        <w:t>Broken auth / API PR</w:t>
      </w:r>
      <w:r>
        <w:t xml:space="preserve"> and </w:t>
      </w:r>
      <w:r>
        <w:rPr>
          <w:b/>
        </w:rPr>
        <w:t>Risky PR</w:t>
      </w:r>
      <w:r>
        <w:t>.</w:t>
      </w:r>
    </w:p>
    <w:p>
      <w:pPr>
        <w:pStyle w:val="CodeDecayListNumber"/>
        <w:numPr>
          <w:ilvl w:val="0"/>
          <w:numId w:val="21"/>
        </w:numPr>
      </w:pPr>
      <w:r>
        <w:t xml:space="preserve">Click </w:t>
      </w:r>
      <w:r>
        <w:rPr>
          <w:b/>
        </w:rPr>
        <w:t>Red-team the risky PR</w:t>
      </w:r>
      <w:r>
        <w:t>.</w:t>
      </w:r>
    </w:p>
    <w:p>
      <w:pPr>
        <w:pStyle w:val="CodeDecayListNumber"/>
        <w:numPr>
          <w:ilvl w:val="0"/>
          <w:numId w:val="21"/>
        </w:numPr>
      </w:pPr>
      <w:r>
        <w:t>Inspect the 78/100 high-risk result, three deterministic findings, impacted route, weak proof, edge cases, repair tasks, and exact source links.</w:t>
      </w:r>
    </w:p>
    <w:p>
      <w:pPr>
        <w:pStyle w:val="CodeDecayListNumber"/>
        <w:numPr>
          <w:ilvl w:val="0"/>
          <w:numId w:val="21"/>
        </w:numPr>
      </w:pPr>
      <w:r>
        <w:t xml:space="preserve">Switch to </w:t>
      </w:r>
      <w:r>
        <w:rPr>
          <w:b/>
        </w:rPr>
        <w:t>Repaired</w:t>
      </w:r>
      <w:r>
        <w:t xml:space="preserve"> and compare the stronger route proof.</w:t>
      </w:r>
    </w:p>
    <w:p>
      <w:pPr>
        <w:pStyle w:val="CodeDecayListNumber"/>
        <w:numPr>
          <w:ilvl w:val="0"/>
          <w:numId w:val="21"/>
        </w:numPr>
      </w:pPr>
      <w:r>
        <w:t xml:space="preserve">Select the </w:t>
      </w:r>
      <w:r>
        <w:rPr>
          <w:b/>
        </w:rPr>
        <w:t>Clean decoy</w:t>
      </w:r>
      <w:r>
        <w:t xml:space="preserve"> to confirm the lab does not invent high risk for a documentation-only change.</w:t>
      </w:r>
    </w:p>
    <w:p>
      <w:pPr>
        <w:pStyle w:val="CodeDecayListNumber"/>
        <w:numPr>
          <w:ilvl w:val="0"/>
          <w:numId w:val="21"/>
        </w:numPr>
      </w:pPr>
      <w:r>
        <w:t>Follow the source, package, release, benchmark, and video links to the same frozen release identity before judging.</w:t>
      </w:r>
    </w:p>
    <w:p>
      <w:r>
        <w:t>The core claim is narrow and testable: CodeDecay helps Codex ask what the coding agent missed, what could break for a real user, whether the real path was tested, and what must be fixed and revalidated before merge.</w:t>
      </w:r>
    </w:p>
    <w:p>
      <w:r>
        <w:br w:type="page"/>
      </w:r>
    </w:p>
    <w:p>
      <w:pPr>
        <w:pStyle w:val="Heading1"/>
      </w:pPr>
      <w:r>
        <w:t>Appendix A: Originality and Codex Evidence Ledger</w:t>
      </w:r>
    </w:p>
    <w:p>
      <w:r>
        <w:t>This ledger separates CodeDecay's pre-existing open-source foundation from the deadline-focused work completed with Codex for the Codex India Hackathon 2026. It records public task summaries and execution evidence, not hidden chain-of-thought or private prompts.</w:t>
      </w:r>
    </w:p>
    <w:p>
      <w:pPr>
        <w:pStyle w:val="Heading1"/>
      </w:pPr>
      <w:r>
        <w:t>Foundation before the hackathon submission sprint</w:t>
      </w:r>
    </w:p>
    <w:p>
      <w:r>
        <w:t>Before 27 July 2026, the repository already contained the TypeScript CLI, deterministic analyzers, merge-safety reports, test-audit signals, configured execution, local memory and skills, MCP, GitHub Action support, JSON/Markdown/ SARIF renderers, a child-repository demo harness, and the v0.3.5 deterministic benchmark corpus.</w:t>
      </w:r>
    </w:p>
    <w:p>
      <w:r>
        <w:t>The hackathon submission does not present that mature foundation as newly created during the final sprint. The work below is the public judge-facing slice planned, executed, and self-reviewed with Codex.</w:t>
      </w:r>
    </w:p>
    <w:p>
      <w:pPr>
        <w:pStyle w:val="Heading2"/>
      </w:pPr>
      <w:r>
        <w:t>Hackathon-period ledger</w:t>
      </w:r>
    </w:p>
    <w:tbl>
      <w:tblPr>
        <w:tblW w:type="dxa" w:w="9360"/>
        <w:tblLayout w:type="fixed"/>
        <w:tblLook w:firstColumn="1" w:firstRow="1" w:lastColumn="0" w:lastRow="0" w:noHBand="0" w:noVBand="1" w:val="04A0"/>
        <w:tblInd w:type="dxa" w:w="0"/>
        <w:tblBorders>
          <w:top w:val="single" w:sz="4" w:color="DADCE0"/>
          <w:left w:val="single" w:sz="4" w:color="DADCE0"/>
          <w:bottom w:val="single" w:sz="4" w:color="DADCE0"/>
          <w:right w:val="single" w:sz="4" w:color="DADCE0"/>
          <w:insideH w:val="single" w:sz="4" w:color="DADCE0"/>
          <w:insideV w:val="single" w:sz="4" w:color="DADCE0"/>
        </w:tblBorders>
        <w:tblCellMar>
          <w:top w:w="80" w:type="dxa"/>
          <w:bottom w:w="80" w:type="dxa"/>
          <w:start w:w="120" w:type="dxa"/>
          <w:end w:w="120" w:type="dxa"/>
        </w:tblCellMar>
      </w:tblPr>
      <w:tblGrid>
        <w:gridCol w:w="2160"/>
        <w:gridCol w:w="7200"/>
      </w:tblGrid>
      <w:tr>
        <w:trPr>
          <w:tblHeader w:val="true"/>
        </w:trPr>
        <w:tc>
          <w:tcPr>
            <w:tcW w:type="dxa" w:w="2160"/>
            <w:vAlign w:val="center"/>
          </w:tcPr>
          <w:p>
            <w:pPr>
              <w:spacing w:before="0" w:after="0" w:line="276" w:lineRule="auto"/>
            </w:pPr>
            <w:r>
              <w:rPr>
                <w:rFonts w:ascii="Arial" w:hAnsi="Arial" w:eastAsia="Arial"/>
                <w:b/>
                <w:color w:val="000000"/>
                <w:sz w:val="20"/>
              </w:rPr>
              <w:t>Field</w:t>
            </w:r>
          </w:p>
        </w:tc>
        <w:tc>
          <w:tcPr>
            <w:tcW w:type="dxa" w:w="7200"/>
            <w:vAlign w:val="center"/>
          </w:tcPr>
          <w:p>
            <w:pPr>
              <w:spacing w:before="0" w:after="0" w:line="276" w:lineRule="auto"/>
            </w:pPr>
            <w:r>
              <w:rPr>
                <w:rFonts w:ascii="Arial" w:hAnsi="Arial" w:eastAsia="Arial"/>
                <w:b/>
                <w:color w:val="000000"/>
                <w:sz w:val="20"/>
              </w:rPr>
              <w:t>Evidence</w:t>
            </w:r>
          </w:p>
        </w:tc>
      </w:tr>
      <w:tr>
        <w:tc>
          <w:tcPr>
            <w:tcW w:type="dxa" w:w="7200"/>
            <w:gridSpan w:val="2"/>
            <w:vAlign w:val="center"/>
          </w:tcPr>
          <w:p>
            <w:pPr>
              <w:keepNext/>
              <w:spacing w:before="0" w:after="0" w:line="276" w:lineRule="auto"/>
            </w:pPr>
            <w:r>
              <w:rPr>
                <w:rFonts w:ascii="Arial" w:hAnsi="Arial" w:eastAsia="Arial"/>
                <w:b/>
                <w:color w:val="000000"/>
                <w:sz w:val="20"/>
              </w:rPr>
              <w:t>Entry 1 — 27 Jul 2026, 17:14</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21">
              <w:r>
                <w:rPr>
                  <w:rFonts w:ascii="Arial" w:hAnsi="Arial"/>
                  <w:color w:val="1155CC"/>
                  <w:u w:val="single"/>
                </w:rPr>
                <w:t>#697</w:t>
              </w:r>
            </w:hyperlink>
            <w:r>
              <w:rPr>
                <w:rFonts w:ascii="Arial" w:hAnsi="Arial" w:eastAsia="Arial"/>
                <w:color w:val="000000"/>
                <w:sz w:val="20"/>
              </w:rPr>
              <w:t>: the benchmark corpus and CLI tests already existed; the hackathon change removed a full-suite timeout flake without weakening assertions.</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Codex task with issue-scoped branch, failure reproduction, fixture diagnosis, and CI monitoring.</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CLI benchmark test fixture and git identity setup.</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 xml:space="preserve">Focused Vitest reproduction, full </w:t>
            </w:r>
            <w:r>
              <w:rPr>
                <w:rFonts w:ascii="Courier New" w:hAnsi="Courier New" w:eastAsia="Courier New"/>
                <w:color w:val="000000"/>
                <w:sz w:val="19"/>
              </w:rPr>
              <w:t>pnpm test</w:t>
            </w:r>
            <w:r>
              <w:rPr>
                <w:rFonts w:ascii="Arial" w:hAnsi="Arial" w:eastAsia="Arial"/>
                <w:color w:val="000000"/>
                <w:sz w:val="20"/>
              </w:rPr>
              <w:t>, lint, typecheck, build, package dry-run, GitHub checks.</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22">
              <w:r>
                <w:rPr>
                  <w:rFonts w:ascii="Arial" w:hAnsi="Arial"/>
                  <w:color w:val="1155CC"/>
                  <w:u w:val="single"/>
                </w:rPr>
                <w:t>PR #701</w:t>
              </w:r>
            </w:hyperlink>
            <w:r>
              <w:rPr>
                <w:rFonts w:ascii="Arial" w:hAnsi="Arial" w:eastAsia="Arial"/>
                <w:color w:val="000000"/>
                <w:sz w:val="20"/>
              </w:rPr>
              <w:t xml:space="preserve">, commit </w:t>
            </w:r>
            <w:r>
              <w:rPr>
                <w:rFonts w:ascii="Courier New" w:hAnsi="Courier New" w:eastAsia="Courier New"/>
                <w:color w:val="000000"/>
                <w:sz w:val="19"/>
              </w:rPr>
              <w:t>3b90b09</w:t>
            </w:r>
            <w:r>
              <w:rPr>
                <w:rFonts w:ascii="Arial" w:hAnsi="Arial" w:eastAsia="Arial"/>
                <w:color w:val="000000"/>
                <w:sz w:val="20"/>
              </w:rPr>
              <w:t>. Squash-merged after green checks. Limitation: this improves determinism, not benchmark coverage.</w:t>
            </w:r>
          </w:p>
        </w:tc>
      </w:tr>
      <w:tr>
        <w:tc>
          <w:tcPr>
            <w:tcW w:type="dxa" w:w="7200"/>
            <w:gridSpan w:val="2"/>
            <w:vAlign w:val="center"/>
          </w:tcPr>
          <w:p>
            <w:pPr>
              <w:keepNext/>
              <w:spacing w:before="0" w:after="0" w:line="276" w:lineRule="auto"/>
            </w:pPr>
            <w:r>
              <w:rPr>
                <w:rFonts w:ascii="Arial" w:hAnsi="Arial" w:eastAsia="Arial"/>
                <w:b/>
                <w:color w:val="000000"/>
                <w:sz w:val="20"/>
              </w:rPr>
              <w:t>Entry 2 — 27 Jul 2026, 17:27</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23">
              <w:r>
                <w:rPr>
                  <w:rFonts w:ascii="Arial" w:hAnsi="Arial"/>
                  <w:color w:val="1155CC"/>
                  <w:u w:val="single"/>
                </w:rPr>
                <w:t>#693</w:t>
              </w:r>
            </w:hyperlink>
            <w:r>
              <w:rPr>
                <w:rFonts w:ascii="Arial" w:hAnsi="Arial" w:eastAsia="Arial"/>
                <w:color w:val="000000"/>
                <w:sz w:val="20"/>
              </w:rPr>
              <w:t xml:space="preserve">: preflight, red-team, agent bundles, and execution primitives existed; the hackathon change made </w:t>
            </w:r>
            <w:r>
              <w:rPr>
                <w:rFonts w:ascii="Courier New" w:hAnsi="Courier New" w:eastAsia="Courier New"/>
                <w:color w:val="000000"/>
                <w:sz w:val="19"/>
              </w:rPr>
              <w:t>codedecay ai</w:t>
            </w:r>
            <w:r>
              <w:rPr>
                <w:rFonts w:ascii="Arial" w:hAnsi="Arial" w:eastAsia="Arial"/>
                <w:color w:val="000000"/>
                <w:sz w:val="20"/>
              </w:rPr>
              <w:t xml:space="preserve"> the coherent recommended entry point.</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Codex planned the before/during/after flow, implemented CLI and Action wiring, and reviewed evidence boundaries.</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CLI parsers/commands/docs, Action inputs and workflow surface.</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CLI tests, Action tests, lint, typecheck, full suite, build, package checks.</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24">
              <w:r>
                <w:rPr>
                  <w:rFonts w:ascii="Arial" w:hAnsi="Arial"/>
                  <w:color w:val="1155CC"/>
                  <w:u w:val="single"/>
                </w:rPr>
                <w:t>PR #700</w:t>
              </w:r>
            </w:hyperlink>
            <w:r>
              <w:rPr>
                <w:rFonts w:ascii="Arial" w:hAnsi="Arial" w:eastAsia="Arial"/>
                <w:color w:val="000000"/>
                <w:sz w:val="20"/>
              </w:rPr>
              <w:t xml:space="preserve">, commit </w:t>
            </w:r>
            <w:r>
              <w:rPr>
                <w:rFonts w:ascii="Courier New" w:hAnsi="Courier New" w:eastAsia="Courier New"/>
                <w:color w:val="000000"/>
                <w:sz w:val="19"/>
              </w:rPr>
              <w:t>4ef8e95</w:t>
            </w:r>
            <w:r>
              <w:rPr>
                <w:rFonts w:ascii="Arial" w:hAnsi="Arial" w:eastAsia="Arial"/>
                <w:color w:val="000000"/>
                <w:sz w:val="20"/>
              </w:rPr>
              <w:t>. Limitation: AI reasoning remains explicit and user-owned; no hosted model is bundled.</w:t>
            </w:r>
          </w:p>
        </w:tc>
      </w:tr>
      <w:tr>
        <w:tc>
          <w:tcPr>
            <w:tcW w:type="dxa" w:w="7200"/>
            <w:gridSpan w:val="2"/>
            <w:vAlign w:val="center"/>
          </w:tcPr>
          <w:p>
            <w:pPr>
              <w:keepNext/>
              <w:spacing w:before="0" w:after="0" w:line="276" w:lineRule="auto"/>
            </w:pPr>
            <w:r>
              <w:rPr>
                <w:rFonts w:ascii="Arial" w:hAnsi="Arial" w:eastAsia="Arial"/>
                <w:b/>
                <w:color w:val="000000"/>
                <w:sz w:val="20"/>
              </w:rPr>
              <w:t>Entry 3 — 27 Jul 2026, 17:51</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25">
              <w:r>
                <w:rPr>
                  <w:rFonts w:ascii="Arial" w:hAnsi="Arial"/>
                  <w:color w:val="1155CC"/>
                  <w:u w:val="single"/>
                </w:rPr>
                <w:t>#667</w:t>
              </w:r>
            </w:hyperlink>
            <w:r>
              <w:rPr>
                <w:rFonts w:ascii="Arial" w:hAnsi="Arial" w:eastAsia="Arial"/>
                <w:color w:val="000000"/>
                <w:sz w:val="20"/>
              </w:rPr>
              <w:t>: source-level command tests existed; the hackathon change proved packed CLI and Action shell forwarding behavior.</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Codex used an issue-scoped acceptance plan and clean consumer repositories rather than string-only assertions.</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Built CLI acceptance and GitHub Action shell harness.</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 xml:space="preserve">Packed artifact install, </w:t>
            </w:r>
            <w:r>
              <w:rPr>
                <w:rFonts w:ascii="Courier New" w:hAnsi="Courier New" w:eastAsia="Courier New"/>
                <w:color w:val="000000"/>
                <w:sz w:val="19"/>
              </w:rPr>
              <w:t>ai</w:t>
            </w:r>
            <w:r>
              <w:rPr>
                <w:rFonts w:ascii="Arial" w:hAnsi="Arial" w:eastAsia="Arial"/>
                <w:color w:val="000000"/>
                <w:sz w:val="20"/>
              </w:rPr>
              <w:t xml:space="preserve">, </w:t>
            </w:r>
            <w:r>
              <w:rPr>
                <w:rFonts w:ascii="Courier New" w:hAnsi="Courier New" w:eastAsia="Courier New"/>
                <w:color w:val="000000"/>
                <w:sz w:val="19"/>
              </w:rPr>
              <w:t>ai preflight</w:t>
            </w:r>
            <w:r>
              <w:rPr>
                <w:rFonts w:ascii="Arial" w:hAnsi="Arial" w:eastAsia="Arial"/>
                <w:color w:val="000000"/>
                <w:sz w:val="20"/>
              </w:rPr>
              <w:t>, profiles, refs, output, checks, safety/exit cases, full CI.</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26">
              <w:r>
                <w:rPr>
                  <w:rFonts w:ascii="Arial" w:hAnsi="Arial"/>
                  <w:color w:val="1155CC"/>
                  <w:u w:val="single"/>
                </w:rPr>
                <w:t>PR #702</w:t>
              </w:r>
            </w:hyperlink>
            <w:r>
              <w:rPr>
                <w:rFonts w:ascii="Arial" w:hAnsi="Arial" w:eastAsia="Arial"/>
                <w:color w:val="000000"/>
                <w:sz w:val="20"/>
              </w:rPr>
              <w:t xml:space="preserve">, commit </w:t>
            </w:r>
            <w:r>
              <w:rPr>
                <w:rFonts w:ascii="Courier New" w:hAnsi="Courier New" w:eastAsia="Courier New"/>
                <w:color w:val="000000"/>
                <w:sz w:val="19"/>
              </w:rPr>
              <w:t>c1f301f</w:t>
            </w:r>
            <w:r>
              <w:rPr>
                <w:rFonts w:ascii="Arial" w:hAnsi="Arial" w:eastAsia="Arial"/>
                <w:color w:val="000000"/>
                <w:sz w:val="20"/>
              </w:rPr>
              <w:t>. Limitation: the harness is deterministic acceptance, not a real provider efficacy study.</w:t>
            </w:r>
          </w:p>
        </w:tc>
      </w:tr>
      <w:tr>
        <w:tc>
          <w:tcPr>
            <w:tcW w:type="dxa" w:w="7200"/>
            <w:gridSpan w:val="2"/>
            <w:vAlign w:val="center"/>
          </w:tcPr>
          <w:p>
            <w:pPr>
              <w:keepNext/>
              <w:spacing w:before="0" w:after="0" w:line="276" w:lineRule="auto"/>
            </w:pPr>
            <w:r>
              <w:rPr>
                <w:rFonts w:ascii="Arial" w:hAnsi="Arial" w:eastAsia="Arial"/>
                <w:b/>
                <w:color w:val="000000"/>
                <w:sz w:val="20"/>
              </w:rPr>
              <w:t>Entry 4 — 27 Jul 2026, 18:25</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27">
              <w:r>
                <w:rPr>
                  <w:rFonts w:ascii="Arial" w:hAnsi="Arial"/>
                  <w:color w:val="1155CC"/>
                  <w:u w:val="single"/>
                </w:rPr>
                <w:t>#666</w:t>
              </w:r>
            </w:hyperlink>
            <w:r>
              <w:rPr>
                <w:rFonts w:ascii="Arial" w:hAnsi="Arial" w:eastAsia="Arial"/>
                <w:color w:val="000000"/>
                <w:sz w:val="20"/>
              </w:rPr>
              <w:t>: deterministic edge-case generation existed; the hackathon-relevant change grounded investigation in explicit verification state.</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Codex investigation/review task tied suggestions to current verification context.</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Red-team investigation and AI workflow evidence context.</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Focused tests plus repository validation in PR CI.</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28">
              <w:r>
                <w:rPr>
                  <w:rFonts w:ascii="Arial" w:hAnsi="Arial"/>
                  <w:color w:val="1155CC"/>
                  <w:u w:val="single"/>
                </w:rPr>
                <w:t>PR #706</w:t>
              </w:r>
            </w:hyperlink>
            <w:r>
              <w:rPr>
                <w:rFonts w:ascii="Arial" w:hAnsi="Arial" w:eastAsia="Arial"/>
                <w:color w:val="000000"/>
                <w:sz w:val="20"/>
              </w:rPr>
              <w:t xml:space="preserve">, commit </w:t>
            </w:r>
            <w:r>
              <w:rPr>
                <w:rFonts w:ascii="Courier New" w:hAnsi="Courier New" w:eastAsia="Courier New"/>
                <w:color w:val="000000"/>
                <w:sz w:val="19"/>
              </w:rPr>
              <w:t>cba0d2d</w:t>
            </w:r>
            <w:r>
              <w:rPr>
                <w:rFonts w:ascii="Arial" w:hAnsi="Arial" w:eastAsia="Arial"/>
                <w:color w:val="000000"/>
                <w:sz w:val="20"/>
              </w:rPr>
              <w:t>. The larger behavior-specific ranking issue remains open and is not claimed complete.</w:t>
            </w:r>
          </w:p>
        </w:tc>
      </w:tr>
      <w:tr>
        <w:tc>
          <w:tcPr>
            <w:tcW w:type="dxa" w:w="7200"/>
            <w:gridSpan w:val="2"/>
            <w:vAlign w:val="center"/>
          </w:tcPr>
          <w:p>
            <w:pPr>
              <w:keepNext/>
              <w:spacing w:before="0" w:after="0" w:line="276" w:lineRule="auto"/>
            </w:pPr>
            <w:r>
              <w:rPr>
                <w:rFonts w:ascii="Arial" w:hAnsi="Arial" w:eastAsia="Arial"/>
                <w:b/>
                <w:color w:val="000000"/>
                <w:sz w:val="20"/>
              </w:rPr>
              <w:t>Entry 5 — 27 Jul 2026, 18:27</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29">
              <w:r>
                <w:rPr>
                  <w:rFonts w:ascii="Arial" w:hAnsi="Arial"/>
                  <w:color w:val="1155CC"/>
                  <w:u w:val="single"/>
                </w:rPr>
                <w:t>#695</w:t>
              </w:r>
            </w:hyperlink>
            <w:r>
              <w:rPr>
                <w:rFonts w:ascii="Arial" w:hAnsi="Arial" w:eastAsia="Arial"/>
                <w:color w:val="000000"/>
                <w:sz w:val="20"/>
              </w:rPr>
              <w:t>: analyzers, reports, and benchmarks existed; the hackathon change built the public judge-facing application and deployment proof.</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Codex created a multi-step plan, implemented the app, used image generation once for the social card, ran CodeDecay self-review, fixed discovered evidence/CI gaps, deployed with exact source provenance, and performed anonymous browser/API smoke.</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Courier New" w:hAnsi="Courier New" w:eastAsia="Courier New"/>
                <w:color w:val="000000"/>
                <w:sz w:val="19"/>
              </w:rPr>
              <w:t>judge-lab/</w:t>
            </w:r>
            <w:r>
              <w:rPr>
                <w:rFonts w:ascii="Arial" w:hAnsi="Arial" w:eastAsia="Arial"/>
                <w:color w:val="000000"/>
                <w:sz w:val="20"/>
              </w:rPr>
              <w:t>, Sites configuration, live API engine path, weak-test artifact generator, security headers, responsive UI, tests, CI.</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Root lint/typecheck/616 tests/build/package; 5 worker/API tests; 8 desktop/mobile browser tests; axe checks; npm audit; production curl/browser checks; GitHub CI.</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30">
              <w:r>
                <w:rPr>
                  <w:rFonts w:ascii="Arial" w:hAnsi="Arial"/>
                  <w:color w:val="1155CC"/>
                  <w:u w:val="single"/>
                </w:rPr>
                <w:t>PR #704</w:t>
              </w:r>
            </w:hyperlink>
            <w:r>
              <w:rPr>
                <w:rFonts w:ascii="Arial" w:hAnsi="Arial" w:eastAsia="Arial"/>
                <w:color w:val="000000"/>
                <w:sz w:val="20"/>
              </w:rPr>
              <w:t xml:space="preserve">, commit </w:t>
            </w:r>
            <w:r>
              <w:rPr>
                <w:rFonts w:ascii="Courier New" w:hAnsi="Courier New" w:eastAsia="Courier New"/>
                <w:color w:val="000000"/>
                <w:sz w:val="19"/>
              </w:rPr>
              <w:t>4eca966</w:t>
            </w:r>
            <w:r>
              <w:rPr>
                <w:rFonts w:ascii="Arial" w:hAnsi="Arial" w:eastAsia="Arial"/>
                <w:color w:val="000000"/>
                <w:sz w:val="20"/>
              </w:rPr>
              <w:t xml:space="preserve">; </w:t>
            </w:r>
            <w:hyperlink r:id="rId9">
              <w:r>
                <w:rPr>
                  <w:rFonts w:ascii="Arial" w:hAnsi="Arial"/>
                  <w:color w:val="1155CC"/>
                  <w:u w:val="single"/>
                </w:rPr>
                <w:t>public Judge Lab</w:t>
              </w:r>
            </w:hyperlink>
            <w:r>
              <w:rPr>
                <w:rFonts w:ascii="Arial" w:hAnsi="Arial" w:eastAsia="Arial"/>
                <w:color w:val="000000"/>
                <w:sz w:val="20"/>
              </w:rPr>
              <w:t>. Limitation: fixed curated scenarios only; arbitrary repositories are intentionally rejected.</w:t>
            </w:r>
          </w:p>
        </w:tc>
      </w:tr>
      <w:tr>
        <w:tc>
          <w:tcPr>
            <w:tcW w:type="dxa" w:w="7200"/>
            <w:gridSpan w:val="2"/>
            <w:vAlign w:val="center"/>
          </w:tcPr>
          <w:p>
            <w:pPr>
              <w:keepNext/>
              <w:spacing w:before="0" w:after="0" w:line="276" w:lineRule="auto"/>
            </w:pPr>
            <w:r>
              <w:rPr>
                <w:rFonts w:ascii="Arial" w:hAnsi="Arial" w:eastAsia="Arial"/>
                <w:b/>
                <w:color w:val="000000"/>
                <w:sz w:val="20"/>
              </w:rPr>
              <w:t>Entry 6 — 27 Jul 2026</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14">
              <w:r>
                <w:rPr>
                  <w:rFonts w:ascii="Arial" w:hAnsi="Arial"/>
                  <w:color w:val="1155CC"/>
                  <w:u w:val="single"/>
                </w:rPr>
                <w:t>#694</w:t>
              </w:r>
            </w:hyperlink>
            <w:r>
              <w:rPr>
                <w:rFonts w:ascii="Arial" w:hAnsi="Arial" w:eastAsia="Arial"/>
                <w:color w:val="000000"/>
                <w:sz w:val="20"/>
              </w:rPr>
              <w:t xml:space="preserve">, </w:t>
            </w:r>
            <w:hyperlink r:id="rId16">
              <w:r>
                <w:rPr>
                  <w:rFonts w:ascii="Arial" w:hAnsi="Arial"/>
                  <w:color w:val="1155CC"/>
                  <w:u w:val="single"/>
                </w:rPr>
                <w:t>#696</w:t>
              </w:r>
            </w:hyperlink>
            <w:r>
              <w:rPr>
                <w:rFonts w:ascii="Arial" w:hAnsi="Arial" w:eastAsia="Arial"/>
                <w:color w:val="000000"/>
                <w:sz w:val="20"/>
              </w:rPr>
              <w:t xml:space="preserve">, </w:t>
            </w:r>
            <w:hyperlink r:id="rId15">
              <w:r>
                <w:rPr>
                  <w:rFonts w:ascii="Arial" w:hAnsi="Arial"/>
                  <w:color w:val="1155CC"/>
                  <w:u w:val="single"/>
                </w:rPr>
                <w:t>#698</w:t>
              </w:r>
            </w:hyperlink>
            <w:r>
              <w:rPr>
                <w:rFonts w:ascii="Arial" w:hAnsi="Arial" w:eastAsia="Arial"/>
                <w:color w:val="000000"/>
                <w:sz w:val="20"/>
              </w:rPr>
              <w:t xml:space="preserve">, </w:t>
            </w:r>
            <w:hyperlink r:id="rId17">
              <w:r>
                <w:rPr>
                  <w:rFonts w:ascii="Arial" w:hAnsi="Arial"/>
                  <w:color w:val="1155CC"/>
                  <w:u w:val="single"/>
                </w:rPr>
                <w:t>#699</w:t>
              </w:r>
            </w:hyperlink>
            <w:r>
              <w:rPr>
                <w:rFonts w:ascii="Arial" w:hAnsi="Arial" w:eastAsia="Arial"/>
                <w:color w:val="000000"/>
                <w:sz w:val="20"/>
              </w:rPr>
              <w:t>: the repository existed; Codex decomposed the viability, demo, release, and originality gates into focused public workstreams.</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Public GitHub issues are the user-visible planning artifact. Codex work is represented by scoped branches, tool calls, commits, PRs, checks, and deployed artifacts rather than hidden reasoning.</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Milestone, issue specifications, demo/release/submission sources.</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Link audits, clean-checkout release gates, public deployment checks, document render QA, and final submission verification as each workstream completes.</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r>
              <w:rPr>
                <w:rFonts w:ascii="Arial" w:hAnsi="Arial" w:eastAsia="Arial"/>
                <w:color w:val="000000"/>
                <w:sz w:val="20"/>
              </w:rPr>
              <w:t xml:space="preserve">This row remains active until the immutable release, video, public Google Doc, and BlockseBlock </w:t>
            </w:r>
            <w:r>
              <w:rPr>
                <w:rFonts w:ascii="Courier New" w:hAnsi="Courier New" w:eastAsia="Courier New"/>
                <w:color w:val="000000"/>
                <w:sz w:val="19"/>
              </w:rPr>
              <w:t>Submitted</w:t>
            </w:r>
            <w:r>
              <w:rPr>
                <w:rFonts w:ascii="Arial" w:hAnsi="Arial" w:eastAsia="Arial"/>
                <w:color w:val="000000"/>
                <w:sz w:val="20"/>
              </w:rPr>
              <w:t xml:space="preserve"> status are verified.</w:t>
            </w:r>
          </w:p>
        </w:tc>
      </w:tr>
    </w:tbl>
    <w:p>
      <w:pPr>
        <w:pStyle w:val="TableCitation"/>
      </w:pPr>
      <w:r>
        <w:t>Source: public CodeDecay issues, pull requests, commits, CI checks, and deployment evidence linked in each entry.</w:t>
      </w:r>
    </w:p>
    <w:p>
      <w:pPr>
        <w:pStyle w:val="Heading1"/>
      </w:pPr>
      <w:r>
        <w:t>Evidence interpretation</w:t>
      </w:r>
    </w:p>
    <w:p>
      <w:pPr>
        <w:pStyle w:val="CodeDecayListBullet"/>
        <w:numPr>
          <w:ilvl w:val="0"/>
          <w:numId w:val="22"/>
        </w:numPr>
      </w:pPr>
      <w:r>
        <w:rPr>
          <w:b/>
        </w:rPr>
        <w:t>Planning evidence:</w:t>
      </w:r>
      <w:r>
        <w:t xml:space="preserve"> public issue scope, acceptance criteria, and branch/PR boundaries.</w:t>
      </w:r>
    </w:p>
    <w:p>
      <w:pPr>
        <w:pStyle w:val="CodeDecayListBullet"/>
        <w:numPr>
          <w:ilvl w:val="0"/>
          <w:numId w:val="22"/>
        </w:numPr>
      </w:pPr>
      <w:r>
        <w:rPr>
          <w:b/>
        </w:rPr>
        <w:t>Execution evidence:</w:t>
      </w:r>
      <w:r>
        <w:t xml:space="preserve"> repository diffs, generated artifacts, tool output, GitHub Actions, Sites versions, and production requests.</w:t>
      </w:r>
    </w:p>
    <w:p>
      <w:pPr>
        <w:pStyle w:val="CodeDecayListBullet"/>
        <w:numPr>
          <w:ilvl w:val="0"/>
          <w:numId w:val="22"/>
        </w:numPr>
      </w:pPr>
      <w:r>
        <w:rPr>
          <w:b/>
        </w:rPr>
        <w:t>Self-review evidence:</w:t>
      </w:r>
      <w:r>
        <w:t xml:space="preserve"> CodeDecay red-team findings, clean-checkout reproductions, accessibility checks, dependency audit, and production log inspection that caused follow-up fixes.</w:t>
      </w:r>
    </w:p>
    <w:p>
      <w:pPr>
        <w:pStyle w:val="CodeDecayListBullet"/>
        <w:numPr>
          <w:ilvl w:val="0"/>
          <w:numId w:val="22"/>
        </w:numPr>
      </w:pPr>
      <w:r>
        <w:rPr>
          <w:b/>
        </w:rPr>
        <w:t>Human decisions:</w:t>
      </w:r>
      <w:r>
        <w:t xml:space="preserve"> release scope, public access, safety boundaries, deterministic-versus-suggestion labeling, and refusal to overclaim planted benchmark results.</w:t>
      </w:r>
    </w:p>
    <w:p>
      <w:pPr>
        <w:pStyle w:val="Heading1"/>
      </w:pPr>
      <w:r>
        <w:t>Explicitly incomplete evidence</w:t>
      </w:r>
    </w:p>
    <w:p>
      <w:r>
        <w:t>The following open work is not silently treated as complete:</w:t>
      </w:r>
    </w:p>
    <w:p>
      <w:pPr>
        <w:pStyle w:val="CodeDecayListBullet"/>
        <w:numPr>
          <w:ilvl w:val="0"/>
          <w:numId w:val="23"/>
        </w:numPr>
      </w:pPr>
      <w:hyperlink r:id="rId19">
        <w:r>
          <w:rPr>
            <w:rFonts w:ascii="Arial" w:hAnsi="Arial"/>
            <w:color w:val="1155CC"/>
            <w:u w:val="single"/>
          </w:rPr>
          <w:t>#683</w:t>
        </w:r>
      </w:hyperlink>
      <w:r>
        <w:t>: paired, repeated real-agent control/treatment outcome evaluation.</w:t>
      </w:r>
    </w:p>
    <w:p>
      <w:pPr>
        <w:pStyle w:val="CodeDecayListBullet"/>
        <w:numPr>
          <w:ilvl w:val="0"/>
          <w:numId w:val="23"/>
        </w:numPr>
      </w:pPr>
      <w:hyperlink r:id="rId20">
        <w:r>
          <w:rPr>
            <w:rFonts w:ascii="Arial" w:hAnsi="Arial"/>
            <w:color w:val="1155CC"/>
            <w:u w:val="single"/>
          </w:rPr>
          <w:t>#692</w:t>
        </w:r>
      </w:hyperlink>
      <w:r>
        <w:t>: independent three-participant published-workflow UAT.</w:t>
      </w:r>
    </w:p>
    <w:p>
      <w:pPr>
        <w:pStyle w:val="CodeDecayListBullet"/>
        <w:numPr>
          <w:ilvl w:val="0"/>
          <w:numId w:val="23"/>
        </w:numPr>
      </w:pPr>
      <w:hyperlink r:id="rId16">
        <w:r>
          <w:rPr>
            <w:rFonts w:ascii="Arial" w:hAnsi="Arial"/>
            <w:color w:val="1155CC"/>
            <w:u w:val="single"/>
          </w:rPr>
          <w:t>#696</w:t>
        </w:r>
      </w:hyperlink>
      <w:r>
        <w:t>: final public three-minute demo and comprehension check.</w:t>
      </w:r>
    </w:p>
    <w:p>
      <w:pPr>
        <w:pStyle w:val="CodeDecayListBullet"/>
        <w:numPr>
          <w:ilvl w:val="0"/>
          <w:numId w:val="23"/>
        </w:numPr>
      </w:pPr>
      <w:hyperlink r:id="rId15">
        <w:r>
          <w:rPr>
            <w:rFonts w:ascii="Arial" w:hAnsi="Arial"/>
            <w:color w:val="1155CC"/>
            <w:u w:val="single"/>
          </w:rPr>
          <w:t>#698</w:t>
        </w:r>
      </w:hyperlink>
      <w:r>
        <w:t>: immutable package, tag, release, and cross-surface identity.</w:t>
      </w:r>
    </w:p>
    <w:p>
      <w:pPr>
        <w:pStyle w:val="CodeDecayListBullet"/>
        <w:numPr>
          <w:ilvl w:val="0"/>
          <w:numId w:val="23"/>
        </w:numPr>
      </w:pPr>
      <w:hyperlink r:id="rId17">
        <w:r>
          <w:rPr>
            <w:rFonts w:ascii="Arial" w:hAnsi="Arial"/>
            <w:color w:val="1155CC"/>
            <w:u w:val="single"/>
          </w:rPr>
          <w:t>#699</w:t>
        </w:r>
      </w:hyperlink>
      <w:r>
        <w:t>: public Google Doc, final link matrix, and BlockseBlock confirmation.</w:t>
      </w:r>
    </w:p>
    <w:p>
      <w:r>
        <w:t>Until those gates are complete, CodeDecay makes no claim of guaranteed safe merges, production accuracy, universal agent improvement, or staff-engineer equivalence.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before="0" w:after="80" w:line="276" w:lineRule="auto"/>
      </w:pPr>
      <w:rPr>
        <w:rFonts w:ascii="Arial" w:hAnsi="Arial"/>
      </w:rPr>
    </w:lvl>
  </w:abstractNum>
  <w:abstractNum w:abstractNumId="10">
    <w:multiLevelType w:val="singleLevel"/>
    <w:lvl w:ilvl="0">
      <w:start w:val="1"/>
      <w:numFmt w:val="decimal"/>
      <w:lvlText w:val="%1."/>
      <w:lvlJc w:val="left"/>
      <w:pPr>
        <w:tabs>
          <w:tab w:val="num" w:pos="720"/>
        </w:tabs>
        <w:ind w:left="720" w:hanging="360"/>
        <w:spacing w:before="0" w:after="80" w:line="276" w:lineRule="auto"/>
      </w:pPr>
      <w:rPr>
        <w:rFonts w:ascii="Arial" w:hAnsi="Arial"/>
      </w:rPr>
    </w:lvl>
  </w:abstractNum>
  <w:num w:numId="10">
    <w:abstractNumId w:val="9"/>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10"/>
    <w:lvlOverride w:ilvl="0">
      <w:startOverride w:val="1"/>
    </w:lvlOverride>
  </w:num>
  <w:num w:numId="22">
    <w:abstractNumId w:val="9"/>
    <w:lvlOverride w:ilvl="0">
      <w:startOverride w:val="1"/>
    </w:lvlOverride>
  </w:num>
  <w:num w:numId="2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DecayListBullet">
    <w:name w:val="CodeDecay List Bullet"/>
    <w:basedOn w:val="Normal"/>
    <w:pPr>
      <w:keepLines/>
      <w:spacing w:before="0" w:after="80" w:line="276" w:lineRule="auto"/>
      <w:ind w:left="720" w:hanging="360"/>
    </w:pPr>
    <w:rPr>
      <w:rFonts w:ascii="Arial" w:hAnsi="Arial" w:eastAsia="Arial"/>
      <w:color w:val="000000"/>
      <w:sz w:val="22"/>
    </w:rPr>
  </w:style>
  <w:style w:type="paragraph" w:customStyle="1" w:styleId="CodeDecayListNumber">
    <w:name w:val="CodeDecay List Number"/>
    <w:basedOn w:val="Normal"/>
    <w:pPr>
      <w:keepLines/>
      <w:spacing w:before="0" w:after="80" w:line="276" w:lineRule="auto"/>
      <w:ind w:left="720" w:hanging="360"/>
    </w:pPr>
    <w:rPr>
      <w:rFonts w:ascii="Arial" w:hAnsi="Arial" w:eastAsia="Arial"/>
      <w:color w:val="000000"/>
      <w:sz w:val="22"/>
    </w:rPr>
  </w:style>
  <w:style w:type="paragraph" w:customStyle="1" w:styleId="CodeBlock">
    <w:name w:val="Code Block"/>
    <w:pPr>
      <w:spacing w:before="0" w:after="0" w:line="240" w:lineRule="auto"/>
      <w:ind w:left="288" w:right="288"/>
    </w:pPr>
    <w:rPr>
      <w:rFonts w:ascii="Courier New" w:hAnsi="Courier New" w:eastAsia="Courier New"/>
      <w:color w:val="000000"/>
      <w:sz w:val="19"/>
    </w:rPr>
  </w:style>
  <w:style w:type="paragraph" w:customStyle="1" w:styleId="TableCitation">
    <w:name w:val="Table Citation"/>
    <w:pPr>
      <w:spacing w:before="80" w:after="80" w:line="276" w:lineRule="auto"/>
    </w:pPr>
    <w:rPr>
      <w:rFonts w:ascii="Arial" w:hAnsi="Arial" w:eastAsia="Arial"/>
      <w:color w:val="5555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dedecay-judge-lab.kunal277075.chatgpt.site" TargetMode="External"/><Relationship Id="rId10" Type="http://schemas.openxmlformats.org/officeDocument/2006/relationships/hyperlink" Target="https://github.com/SubmuxHQ/CodeDecay" TargetMode="External"/><Relationship Id="rId11" Type="http://schemas.openxmlformats.org/officeDocument/2006/relationships/hyperlink" Target="https://www.npmjs.com/package/@submuxhq/codedecay" TargetMode="External"/><Relationship Id="rId12" Type="http://schemas.openxmlformats.org/officeDocument/2006/relationships/hyperlink" Target="https://github.com/SubmuxHQ/CodeDecay/releases/tag/v0.3.5" TargetMode="External"/><Relationship Id="rId13" Type="http://schemas.openxmlformats.org/officeDocument/2006/relationships/hyperlink" Target="https://github.com/SubmuxHQ/CodeDecay/blob/main/docs/benchmark-corpus.md" TargetMode="External"/><Relationship Id="rId14" Type="http://schemas.openxmlformats.org/officeDocument/2006/relationships/hyperlink" Target="https://github.com/SubmuxHQ/CodeDecay/issues/694" TargetMode="External"/><Relationship Id="rId15" Type="http://schemas.openxmlformats.org/officeDocument/2006/relationships/hyperlink" Target="https://github.com/SubmuxHQ/CodeDecay/issues/698" TargetMode="External"/><Relationship Id="rId16" Type="http://schemas.openxmlformats.org/officeDocument/2006/relationships/hyperlink" Target="https://github.com/SubmuxHQ/CodeDecay/issues/696" TargetMode="External"/><Relationship Id="rId17" Type="http://schemas.openxmlformats.org/officeDocument/2006/relationships/hyperlink" Target="https://github.com/SubmuxHQ/CodeDecay/issues/699" TargetMode="External"/><Relationship Id="rId18" Type="http://schemas.openxmlformats.org/officeDocument/2006/relationships/hyperlink" Target="./originality-ledger.md" TargetMode="External"/><Relationship Id="rId19" Type="http://schemas.openxmlformats.org/officeDocument/2006/relationships/hyperlink" Target="https://github.com/SubmuxHQ/CodeDecay/issues/683" TargetMode="External"/><Relationship Id="rId20" Type="http://schemas.openxmlformats.org/officeDocument/2006/relationships/hyperlink" Target="https://github.com/SubmuxHQ/CodeDecay/issues/692" TargetMode="External"/><Relationship Id="rId21" Type="http://schemas.openxmlformats.org/officeDocument/2006/relationships/hyperlink" Target="https://github.com/SubmuxHQ/CodeDecay/issues/697" TargetMode="External"/><Relationship Id="rId22" Type="http://schemas.openxmlformats.org/officeDocument/2006/relationships/hyperlink" Target="https://github.com/SubmuxHQ/CodeDecay/pull/701" TargetMode="External"/><Relationship Id="rId23" Type="http://schemas.openxmlformats.org/officeDocument/2006/relationships/hyperlink" Target="https://github.com/SubmuxHQ/CodeDecay/issues/693" TargetMode="External"/><Relationship Id="rId24" Type="http://schemas.openxmlformats.org/officeDocument/2006/relationships/hyperlink" Target="https://github.com/SubmuxHQ/CodeDecay/pull/700" TargetMode="External"/><Relationship Id="rId25" Type="http://schemas.openxmlformats.org/officeDocument/2006/relationships/hyperlink" Target="https://github.com/SubmuxHQ/CodeDecay/issues/667" TargetMode="External"/><Relationship Id="rId26" Type="http://schemas.openxmlformats.org/officeDocument/2006/relationships/hyperlink" Target="https://github.com/SubmuxHQ/CodeDecay/pull/702" TargetMode="External"/><Relationship Id="rId27" Type="http://schemas.openxmlformats.org/officeDocument/2006/relationships/hyperlink" Target="https://github.com/SubmuxHQ/CodeDecay/issues/666" TargetMode="External"/><Relationship Id="rId28" Type="http://schemas.openxmlformats.org/officeDocument/2006/relationships/hyperlink" Target="https://github.com/SubmuxHQ/CodeDecay/pull/706" TargetMode="External"/><Relationship Id="rId29" Type="http://schemas.openxmlformats.org/officeDocument/2006/relationships/hyperlink" Target="https://github.com/SubmuxHQ/CodeDecay/issues/695" TargetMode="External"/><Relationship Id="rId30" Type="http://schemas.openxmlformats.org/officeDocument/2006/relationships/hyperlink" Target="https://github.com/SubmuxHQ/CodeDecay/pull/7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CodeDecay — Codex India Hackathon 2026</dc:title>
  <dc:subject>Building Evals submission description and originality evidence</dc:subject>
  <dc:creator>SubmuxHQ</dc:creator>
  <cp:keywords>CodeDecay, Codex, Building Evals, PR safety, hackathon</cp:keywords>
  <dc:description>Generated from docs/hackathon/submission-description.md and docs/hackathon/originality-ledger.md</dc:description>
  <cp:lastModifiedBy/>
  <cp:revision>1</cp:revision>
  <dcterms:created xsi:type="dcterms:W3CDTF">2013-12-23T23:15:00Z</dcterms:created>
  <dcterms:modified xsi:type="dcterms:W3CDTF">2013-12-23T23:15:00Z</dcterms:modified>
  <cp:category/>
</cp:coreProperties>
</file>