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>
<w:body><w:p><w:pPr><w:jc w:val="center"/></w:pPr><w:r><w:rPr><w:rFonts w:ascii="Arial" w:hAnsi="Arial"/><w:b/><w:sz w:val="20"/><w:color w:val="475569"/></w:rPr><w:t>PES UNIVERSITY — DEPARTMENT OF COMPUTER SCIENCE &amp; ENGINEERING</w:t></w:r></w:p><w:p><w:pPr><w:jc w:val="center"/></w:pPr><w:r><w:rPr><w:rFonts w:ascii="Arial" w:hAnsi="Arial"/><w:b/><w:sz w:val="22"/><w:color w:val="0284C7"/></w:rPr><w:t>Lab 3: Component Modelling &amp; Architectural Pattern Selection (Kiosk Scenario)</w:t></w:r></w:p><w:p><w:pPr><w:jc w:val="center"/></w:pPr><w:r><w:rPr><w:rFonts w:ascii="Arial" w:hAnsi="Arial"/><w:b/><w:sz w:val="26"/><w:color w:val="0F172A"/></w:rPr><w:t>Architectural Pattern Selection &amp; Component Modeling Justification</w:t></w:r></w:p><w:p><w:pPr><w:jc w:val="center"/></w:pPr><w:r><w:rPr><w:rFonts w:ascii="Arial" w:hAnsi="Arial"/><w:sz w:val="18"/><w:color w:val="64748B"/></w:rPr><w:t>Student: Subramani B M | SRN: PES1UG24CS473 | Section: H | Scenario: Self-Service Coffee Kiosk</w:t></w:r></w:p><w:p><w:pPr><w:pBdr><w:left w:val="single" w:sz="24" w:space="12" w:color="0284C7"/></w:pBdr><w:shd w:val="clear" w:color="auto" w:fill="F0F9FF"/></w:pPr><w:r><w:rPr><w:rFonts w:ascii="Arial" w:hAnsi="Arial"/><w:b/><w:sz w:val="20"/><w:color w:val="0369A1"/></w:rPr><w:t>Architecture Selection: &ldquo;We chose Layered / Client-Server Architecture for the Self-Service Coffee Kiosk System.&rdquo;</w:t></w:r></w:p><w:p><w:pPr><w:spacing w:before="120" w:after="40"/></w:pPr><w:r><w:rPr><w:rFonts w:ascii="Arial" w:hAnsi="Arial"/><w:b/><w:sz w:val="22"/><w:color w:val="0F172A"/></w:rPr><w:t>1. Architectural Choice</w:t></w:r></w:p><w:p><w:pPr><w:spacing w:after="80"/></w:pPr><w:r><w:rPr><w:rFonts w:ascii="Arial" w:hAnsi="Arial"/><w:sz w:val="19"/><w:color w:val="1E293B"/></w:rPr><w:t>We evaluated three candidate architectural styles: Microservices Architecture was deemed over-engineered for a standalone kiosk terminal. Layered Architecture was selected because it cleanly segments the kiosk software into distinct operational tiers: Touchscreen Presentation, Order Management Logic, Hardware Integration Adapters, and Data Persistence.</w:t></w:r></w:p><w:p><w:pPr><w:spacing w:before="120" w:after="40"/></w:pPr><w:r><w:rPr><w:rFonts w:ascii="Arial" w:hAnsi="Arial"/><w:b/><w:sz w:val="22"/><w:color w:val="0F172A"/></w:rPr><w:t>2. Two Specific Scenario-Related Reasons for Selection</w:t></w:r></w:p><w:p><w:pPr><w:spacing w:after="80"/></w:pPr><w:r><w:rPr><w:rFonts w:ascii="Arial" w:hAnsi="Arial"/><w:sz w:val="19"/><w:color w:val="1E293B"/></w:rPr><w:t>a. Deterministic Hardware Coordination &amp; Transactional Workflow: The kiosk coordinates user touch inputs (Espresso, Americano, Latte; Small, Large sizes) with strict hardware state transitions: order configuration &rarr; card reader PIN authorization &rarr; thermal receipt printing. The layered pattern enforces deterministic sequencing, ensuring the receipt printer and coffee dispense commands are triggered only upon validated payment confirmation.
b. Standalone Offline Resilience &amp; Low Resource Footprint: Embedding a local datastore (Menu &amp; Pricing DB) within the data layer enables the kiosk to operate autonomously, process orders, compute totals, and queue transactions without depending on distributed network availability.</w:t></w:r></w:p><w:p><w:pPr><w:spacing w:before="120" w:after="40"/></w:pPr><w:r><w:rPr><w:rFonts w:ascii="Arial" w:hAnsi="Arial"/><w:b/><w:sz w:val="22"/><w:color w:val="0F172A"/></w:rPr><w:t>3. Security Advantage</w:t></w:r></w:p><w:p><w:pPr><w:spacing w:after="80"/></w:pPr><w:r><w:rPr><w:rFonts w:ascii="Arial" w:hAnsi="Arial"/><w:sz w:val="19"/><w:color w:val="1E293B"/></w:rPr><w:t>Encapsulated PCI-DSS Payment Isolation &amp; Tokenized Card Processing: Because the system accepts credit cards only, the Payment Service Component completely isolates communication with the EMV chip/contactless card reader hardware over an encrypted serial link. The presentation, order management, and database components never handle or store raw card numbers, ensuring strict PCI-DSS compliance.</w:t></w:r></w:p><w:p><w:pPr><w:spacing w:before="120" w:after="40"/></w:pPr><w:r><w:rPr><w:rFonts w:ascii="Arial" w:hAnsi="Arial"/><w:b/><w:sz w:val="22"/><w:color w:val="0F172A"/></w:rPr><w:t>4. Performance Benefit</w:t></w:r></w:p><w:p><w:pPr><w:spacing w:after="80"/></w:pPr><w:r><w:rPr><w:rFonts w:ascii="Arial" w:hAnsi="Arial"/><w:sz w:val="19"/><w:color w:val="1E293B"/></w:rPr><w:t>Direct In-Memory Bus Execution &amp; Sub-Second Latency: Because all components execute within the kiosk local application runtime, communications across IOrderService, IPrinterDriver, and IMenuData occur via direct in-memory calls and local device drivers (ESC/POS protocol). This delivers instantaneous touchscreen feedback (&lt; 50 ms) and rapid receipt printing.</w:t></w:r></w:p><w:tbl><w:tblPr><w:tblW w:w="0" w:type="auto"/><w:tblBorders><w:top w:val="single" w:sz="4" w:space="0" w:color="CBD5E1"/><w:bottom w:val="single" w:sz="4" w:space="0" w:color="CBD5E1"/><w:insideH w:val="single" w:sz="4" w:space="0" w:color="CBD5E1"/><w:insideV w:val="none"/><w:left w:val="none"/><w:right w:val="none"/></w:tblBorders></w:tblPr><w:tr><w:trPr><w:tblHeader/></w:trPr><w:tc><w:tcPr><w:shd w:val="clear" w:color="auto" w:fill="0F172A"/><w:tcMar><w:top w:w="100" w:type="dxa"/><w:bottom w:w="100" w:type="dxa"/><w:left w:w="120" w:type="dxa"/><w:right w:w="120" w:type="dxa"/></w:tcMar></w:tcPr><w:p><w:r><w:rPr><w:rFonts w:ascii="Arial" w:hAnsi="Arial"/><w:b/><w:sz w:val="16"/><w:color w:val="FFFFFF"/></w:rPr><w:t>Component Name</w:t></w:r></w:p></w:tc><w:tc><w:tcPr><w:shd w:val="clear" w:color="auto" w:fill="0F172A"/><w:tcMar><w:top w:w="100" w:type="dxa"/><w:bottom w:w="100" w:type="dxa"/><w:left w:w="120" w:type="dxa"/><w:right w:w="120" w:type="dxa"/></w:tcMar></w:tcPr><w:p><w:r><w:rPr><w:rFonts w:ascii="Arial" w:hAnsi="Arial"/><w:b/><w:sz w:val="16"/><w:color w:val="FFFFFF"/></w:rPr><w:t>Provided Interface (Ball)</w:t></w:r></w:p></w:tc><w:tc><w:tcPr><w:shd w:val="clear" w:color="auto" w:fill="0F172A"/><w:tcMar><w:top w:w="100" w:type="dxa"/><w:bottom w:w="100" w:type="dxa"/><w:left w:w="120" w:type="dxa"/><w:right w:w="120" w:type="dxa"/></w:tcMar></w:tcPr><w:p><w:r><w:rPr><w:rFonts w:ascii="Arial" w:hAnsi="Arial"/><w:b/><w:sz w:val="16"/><w:color w:val="FFFFFF"/></w:rPr><w:t>Required Interface (Socket)</w:t></w:r></w:p></w:tc><w:tc><w:tcPr><w:shd w:val="clear" w:color="auto" w:fill="0F172A"/><w:tcMar><w:top w:w="100" w:type="dxa"/><w:bottom w:w="100" w:type="dxa"/><w:left w:w="120" w:type="dxa"/><w:right w:w="120" w:type="dxa"/></w:tcMar></w:tcPr><w:p><w:r><w:rPr><w:rFonts w:ascii="Arial" w:hAnsi="Arial"/><w:b/><w:sz w:val="16"/><w:color w:val="FFFFFF"/></w:rPr><w:t>Core Architectural Responsibility</w:t></w:r></w:p></w:tc></w:tr><w:tr><w:tc><w:tcPr><w:tcMar><w:top w:w="80" w:type="dxa"/><w:bottom w:w="80" w:type="dxa"/><w:left w:w="120" w:type="dxa"/><w:right w:w="120" w:type="dxa"/></w:tcMar></w:tcPr><w:p><w:r><w:rPr><w:rFonts w:ascii="Arial" w:hAnsi="Arial"/><w:sz w:val="16"/><w:color w:val="1E293B"/></w:rPr><w:t>Touchscreen UI</w:t></w:r></w:p></w:tc><w:tc><w:tcPr><w:tcMar><w:top w:w="80" w:type="dxa"/><w:bottom w:w="80" w:type="dxa"/><w:left w:w="120" w:type="dxa"/><w:right w:w="120" w:type="dxa"/></w:tcMar></w:tcPr><w:p><w:r><w:rPr><w:rFonts w:ascii="Arial" w:hAnsi="Arial"/><w:sz w:val="16"/><w:color w:val="1E293B"/></w:rPr><w:t>None (Customer Touch Screen)</w:t></w:r></w:p></w:tc><w:tc><w:tcPr><w:tcMar><w:top w:w="80" w:type="dxa"/><w:bottom w:w="80" w:type="dxa"/><w:left w:w="120" w:type="dxa"/><w:right w:w="120" w:type="dxa"/></w:tcMar></w:tcPr><w:p><w:r><w:rPr><w:rFonts w:ascii="Arial" w:hAnsi="Arial"/><w:sz w:val="16"/><w:color w:val="1E293B"/></w:rPr><w:t>IOrderService, IMenuData</w:t></w:r></w:p></w:tc><w:tc><w:tcPr><w:tcMar><w:top w:w="80" w:type="dxa"/><w:bottom w:w="80" w:type="dxa"/><w:left w:w="120" w:type="dxa"/><w:right w:w="120" w:type="dxa"/></w:tcMar></w:tcPr><w:p><w:r><w:rPr><w:rFonts w:ascii="Arial" w:hAnsi="Arial"/><w:sz w:val="16"/><w:color w:val="1E293B"/></w:rPr><w:t>Presents drink menu &amp; sizes, captures touch inputs, displays total</w:t></w:r></w:p></w:tc></w:tr><w:tr><w:tc><w:tcPr><w:tcMar><w:top w:w="80" w:type="dxa"/><w:bottom w:w="80" w:type="dxa"/><w:left w:w="120" w:type="dxa"/><w:right w:w="120" w:type="dxa"/></w:tcMar></w:tcPr><w:p><w:r><w:rPr><w:rFonts w:ascii="Arial" w:hAnsi="Arial"/><w:sz w:val="16"/><w:color w:val="1E293B"/></w:rPr><w:t>Order Manager</w:t></w:r></w:p></w:tc><w:tc><w:tcPr><w:tcMar><w:top w:w="80" w:type="dxa"/><w:bottom w:w="80" w:type="dxa"/><w:left w:w="120" w:type="dxa"/><w:right w:w="120" w:type="dxa"/></w:tcMar></w:tcPr><w:p><w:r><w:rPr><w:rFonts w:ascii="Arial" w:hAnsi="Arial"/><w:sz w:val="16"/><w:color w:val="1E293B"/></w:rPr><w:t>IOrderService (placeOrder, calcTotal)</w:t></w:r></w:p></w:tc><w:tc><w:tcPr><w:tcMar><w:top w:w="80" w:type="dxa"/><w:bottom w:w="80" w:type="dxa"/><w:left w:w="120" w:type="dxa"/><w:right w:w="120" w:type="dxa"/></w:tcMar></w:tcPr><w:p><w:r><w:rPr><w:rFonts w:ascii="Arial" w:hAnsi="Arial"/><w:sz w:val="16"/><w:color w:val="1E293B"/></w:rPr><w:t>IPaymentProcessor, IPrinterDriver</w:t></w:r></w:p></w:tc><w:tc><w:tcPr><w:tcMar><w:top w:w="80" w:type="dxa"/><w:bottom w:w="80" w:type="dxa"/><w:left w:w="120" w:type="dxa"/><w:right w:w="120" w:type="dxa"/></w:tcMar></w:tcPr><w:p><w:r><w:rPr><w:rFonts w:ascii="Arial" w:hAnsi="Arial"/><w:sz w:val="16"/><w:color w:val="1E293B"/></w:rPr><w:t>Manages order lifecycle, calculates prices/taxes, triggers payment/print</w:t></w:r></w:p></w:tc></w:tr><w:tr><w:tc><w:tcPr><w:tcMar><w:top w:w="80" w:type="dxa"/><w:bottom w:w="80" w:type="dxa"/><w:left w:w="120" w:type="dxa"/><w:right w:w="120" w:type="dxa"/></w:tcMar></w:tcPr><w:p><w:r><w:rPr><w:rFonts w:ascii="Arial" w:hAnsi="Arial"/><w:sz w:val="16"/><w:color w:val="1E293B"/></w:rPr><w:t>Payment Service</w:t></w:r></w:p></w:tc><w:tc><w:tcPr><w:tcMar><w:top w:w="80" w:type="dxa"/><w:bottom w:w="80" w:type="dxa"/><w:left w:w="120" w:type="dxa"/><w:right w:w="120" w:type="dxa"/></w:tcMar></w:tcPr><w:p><w:r><w:rPr><w:rFonts w:ascii="Arial" w:hAnsi="Arial"/><w:sz w:val="16"/><w:color w:val="1E293B"/></w:rPr><w:t>IPaymentProcessor (authCard, charge)</w:t></w:r></w:p></w:tc><w:tc><w:tcPr><w:tcMar><w:top w:w="80" w:type="dxa"/><w:bottom w:w="80" w:type="dxa"/><w:left w:w="120" w:type="dxa"/><w:right w:w="120" w:type="dxa"/></w:tcMar></w:tcPr><w:p><w:r><w:rPr><w:rFonts w:ascii="Arial" w:hAnsi="Arial"/><w:sz w:val="16"/><w:color w:val="1E293B"/></w:rPr><w:t>Card Reader USB Serial Driver</w:t></w:r></w:p></w:tc><w:tc><w:tcPr><w:tcMar><w:top w:w="80" w:type="dxa"/><w:bottom w:w="80" w:type="dxa"/><w:left w:w="120" w:type="dxa"/><w:right w:w="120" w:type="dxa"/></w:tcMar></w:tcPr><w:p><w:r><w:rPr><w:rFonts w:ascii="Arial" w:hAnsi="Arial"/><w:sz w:val="16"/><w:color w:val="1E293B"/></w:rPr><w:t>Interfaces with EMV reader, enforces credit card only, returns token</w:t></w:r></w:p></w:tc></w:tr><w:tr><w:tc><w:tcPr><w:tcMar><w:top w:w="80" w:type="dxa"/><w:bottom w:w="80" w:type="dxa"/><w:left w:w="120" w:type="dxa"/><w:right w:w="120" w:type="dxa"/></w:tcMar></w:tcPr><w:p><w:r><w:rPr><w:rFonts w:ascii="Arial" w:hAnsi="Arial"/><w:sz w:val="16"/><w:color w:val="1E293B"/></w:rPr><w:t>Printer Controller</w:t></w:r></w:p></w:tc><w:tc><w:tcPr><w:tcMar><w:top w:w="80" w:type="dxa"/><w:bottom w:w="80" w:type="dxa"/><w:left w:w="120" w:type="dxa"/><w:right w:w="120" w:type="dxa"/></w:tcMar></w:tcPr><w:p><w:r><w:rPr><w:rFonts w:ascii="Arial" w:hAnsi="Arial"/><w:sz w:val="16"/><w:color w:val="1E293B"/></w:rPr><w:t>IPrinterDriver (printReceipt)</w:t></w:r></w:p></w:tc><w:tc><w:tcPr><w:tcMar><w:top w:w="80" w:type="dxa"/><w:bottom w:w="80" w:type="dxa"/><w:left w:w="120" w:type="dxa"/><w:right w:w="120" w:type="dxa"/></w:tcMar></w:tcPr><w:p><w:r><w:rPr><w:rFonts w:ascii="Arial" w:hAnsi="Arial"/><w:sz w:val="16"/><w:color w:val="1E293B"/></w:rPr><w:t>Thermal Printer ESC/POS Driver</w:t></w:r></w:p></w:tc><w:tc><w:tcPr><w:tcMar><w:top w:w="80" w:type="dxa"/><w:bottom w:w="80" w:type="dxa"/><w:left w:w="120" w:type="dxa"/><w:right w:w="120" w:type="dxa"/></w:tcMar></w:tcPr><w:p><w:r><w:rPr><w:rFonts w:ascii="Arial" w:hAnsi="Arial"/><w:sz w:val="16"/><w:color w:val="1E293B"/></w:rPr><w:t>Formats itemized receipt, monitors paper status, triggers thermal print</w:t></w:r></w:p></w:tc></w:tr><w:tr><w:tc><w:tcPr><w:tcMar><w:top w:w="80" w:type="dxa"/><w:bottom w:w="80" w:type="dxa"/><w:left w:w="120" w:type="dxa"/><w:right w:w="120" w:type="dxa"/></w:tcMar></w:tcPr><w:p><w:r><w:rPr><w:rFonts w:ascii="Arial" w:hAnsi="Arial"/><w:sz w:val="16"/><w:color w:val="1E293B"/></w:rPr><w:t>Menu &amp; Pricing DB</w:t></w:r></w:p></w:tc><w:tc><w:tcPr><w:tcMar><w:top w:w="80" w:type="dxa"/><w:bottom w:w="80" w:type="dxa"/><w:left w:w="120" w:type="dxa"/><w:right w:w="120" w:type="dxa"/></w:tcMar></w:tcPr><w:p><w:r><w:rPr><w:rFonts w:ascii="Arial" w:hAnsi="Arial"/><w:sz w:val="16"/><w:color w:val="1E293B"/></w:rPr><w:t>IMenuData (getMenu, getPrices)</w:t></w:r></w:p></w:tc><w:tc><w:tcPr><w:tcMar><w:top w:w="80" w:type="dxa"/><w:bottom w:w="80" w:type="dxa"/><w:left w:w="120" w:type="dxa"/><w:right w:w="120" w:type="dxa"/></w:tcMar></w:tcPr><w:p><w:r><w:rPr><w:rFonts w:ascii="Arial" w:hAnsi="Arial"/><w:sz w:val="16"/><w:color w:val="1E293B"/></w:rPr><w:t>SQLite In-Memory Engine</w:t></w:r></w:p></w:tc><w:tc><w:tcPr><w:tcMar><w:top w:w="80" w:type="dxa"/><w:bottom w:w="80" w:type="dxa"/><w:left w:w="120" w:type="dxa"/><w:right w:w="120" w:type="dxa"/></w:tcMar></w:tcPr><w:p><w:r><w:rPr><w:rFonts w:ascii="Arial" w:hAnsi="Arial"/><w:sz w:val="16"/><w:color w:val="1E293B"/></w:rPr><w:t>Stores drink recipes (Espresso, Latte, Americano), sizes, and pricing</w:t></w:r></w:p></w:tc></w:tr></w:tbl><w:sectPr><w:pgSz w:w="12240" w:h="15840"/><w:pgMar w:top="720" w:right="720" w:bottom="720" w:left="720"/></w:sectPr></w:body></w:document>
</file>