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w:p><w:pPr><w:jc w:val="center"/></w:pPr><w:r><w:rPr><w:rFonts w:ascii="Arial" w:hAnsi="Arial"/><w:b/><w:sz w:val="20"/><w:color w:val="475569"/></w:rPr><w:t>PES UNIVERSITY — DEPARTMENT OF COMPUTER SCIENCE &amp; ENGINEERING</w:t></w:r></w:p><w:p><w:pPr><w:jc w:val="center"/></w:pPr><w:r><w:rPr><w:rFonts w:ascii="Arial" w:hAnsi="Arial"/><w:b/><w:sz w:val="22"/><w:color w:val="0284C7"/></w:rPr><w:t>Lab 3: Component Modelling &amp; Architectural Pattern Selection</w:t></w:r></w:p><w:p><w:pPr><w:jc w:val="center"/></w:pPr><w:r><w:rPr><w:rFonts w:ascii="Arial" w:hAnsi="Arial"/><w:b/><w:sz w:val="26"/><w:color w:val="0F172A"/></w:rPr><w:t>Architectural Pattern Selection &amp; Component Modeling Justification</w:t></w:r></w:p><w:p><w:pPr><w:jc w:val="center"/></w:pPr><w:r><w:rPr><w:rFonts w:ascii="Arial" w:hAnsi="Arial"/><w:sz w:val="18"/><w:color w:val="64748B"/></w:rPr><w:t>Student: Subramani B M | SRN: PES1UG24CS473 | Section: H | Problem Statement #42</w:t></w:r></w:p><w:p><w:pPr><w:pBdr><w:left w:val="single" w:sz="24" w:space="12" w:color="0284C7"/></w:pBdr><w:shd w:val="clear" w:color="auto" w:fill="F0F9FF"/></w:pPr><w:r><w:rPr><w:rFonts w:ascii="Arial" w:hAnsi="Arial"/><w:b/><w:sz w:val="20"/><w:color w:val="0369A1"/></w:rPr><w:t>Architecture Selection: &ldquo;We chose Microservices Architecture (Event-Driven with API Gateway) for the Internal Microservice Catalog &amp; Health Portal System.&rdquo;</w:t></w:r></w:p><w:p><w:pPr><w:spacing w:before="120" w:after="40"/></w:pPr><w:r><w:rPr><w:rFonts w:ascii="Arial" w:hAnsi="Arial"/><w:b/><w:sz w:val="22"/><w:color w:val="0F172A"/></w:rPr><w:t>1. Architectural Choice</w:t></w:r></w:p><w:p><w:pPr><w:spacing w:after="80"/></w:pPr><w:r><w:rPr><w:rFonts w:ascii="Arial" w:hAnsi="Arial"/><w:sz w:val="19"/><w:color w:val="1E293B"/></w:rPr><w:t>We evaluated three candidate architectural styles: Layered Architecture was rejected because high-frequency polling locks threads and creates a deployment bottleneck. Client-Server Architecture was rejected due to a centralized single-point-of-failure. Microservices Architecture was selected for autonomous lifecycles, fine-grained horizontal scaling, and event-driven decoupling between monitoring pingers and alerting dispatchers.</w:t></w:r></w:p><w:p><w:pPr><w:spacing w:before="120" w:after="40"/></w:pPr><w:r><w:rPr><w:rFonts w:ascii="Arial" w:hAnsi="Arial"/><w:b/><w:sz w:val="22"/><w:color w:val="0F172A"/></w:rPr><w:t>2. Two Specific Scenario-Related Reasons for Selection</w:t></w:r></w:p><w:p><w:pPr><w:spacing w:after="80"/></w:pPr><w:r><w:rPr><w:rFonts w:ascii="Arial" w:hAnsi="Arial"/><w:sz w:val="19"/><w:color w:val="1E293B"/></w:rPr><w:t>a. Decoupled Scaling &amp; Workload Isolation for 30s Health Probing: Continuous health probes across hundreds of microservices generate heavy I/O spikes. Decoupling the Health Monitoring Service from the Dependency Engine ensures probe latency never degrades the interactive rendering SLA of the 200-node dependency graph (&lt; 2s under NFR-001).
b. Autonomous Evolution &amp; Fault Isolation in Alerting &amp; Documentation: The portal integrates with external notification endpoints (Slack Webhooks, PagerDuty, SMTP) and ingests diverse OpenAPI specs. Isolating these services ensures external API rate limits or malformed specs cannot crash the core service catalog or halt background health probes.</w:t></w:r></w:p><w:p><w:pPr><w:spacing w:before="120" w:after="40"/></w:pPr><w:r><w:rPr><w:rFonts w:ascii="Arial" w:hAnsi="Arial"/><w:b/><w:sz w:val="22"/><w:color w:val="0F172A"/></w:rPr><w:t>3. Security Advantage</w:t></w:r></w:p><w:p><w:pPr><w:spacing w:after="80"/></w:pPr><w:r><w:rPr><w:rFonts w:ascii="Arial" w:hAnsi="Arial"/><w:sz w:val="19"/><w:color w:val="1E293B"/></w:rPr><w:t>Centralized Ingress Gateway &amp; Encrypted Secrets Isolation (NFR-002): All client interactions are terminated at an edge API Gateway &amp; Authentication Service enforcing enterprise SSO (OAuth 2.0 / SAML), TLS 1.2+ encryption, and RBAC. Health probe credentials and webhook secrets are stored in an encrypted Enterprise Secrets Vault (HashiCorp Vault/KMS) accessible only via mTLS.</w:t></w:r></w:p><w:p><w:pPr><w:spacing w:before="120" w:after="40"/></w:pPr><w:r><w:rPr><w:rFonts w:ascii="Arial" w:hAnsi="Arial"/><w:b/><w:sz w:val="22"/><w:color w:val="0F172A"/></w:rPr><w:t>4. Performance Benefit</w:t></w:r></w:p><w:p><w:pPr><w:spacing w:after="80"/></w:pPr><w:r><w:rPr><w:rFonts w:ascii="Arial" w:hAnsi="Arial"/><w:sz w:val="19"/><w:color w:val="1E293B"/></w:rPr><w:t>Asynchronous Messaging &amp; Specialized Polyglot Persistence: An AMQP/RabbitMQ Event Broker decouples outage detection from alerting, guaranteeing notification dispatch within 60s without stalling probe workers. The system leverages Polyglot Persistence: a dedicated Graph DB (Neo4j) executes sub-second traversals across 200+ nodes, TimescaleDB stores telemetry, and Redis accelerates catalog queries.</w:t></w:r></w:p><w:tbl><w:tblPr><w:tblW w:w="0" w:type="auto"/><w:tblBorders><w:top w:val="single" w:sz="4" w:space="0" w:color="CBD5E1"/><w:bottom w:val="single" w:sz="4" w:space="0" w:color="CBD5E1"/><w:insideH w:val="single" w:sz="4" w:space="0" w:color="CBD5E1"/><w:insideV w:val="none"/><w:left w:val="none"/><w:right w:val="none"/></w:tblBorders></w:tblPr><w:tr><w:trPr><w:tblHeader/></w:trPr><w:tc><w:tcPr><w:shd w:val="clear" w:color="auto" w:fill="0F172A"/><w:tcMar><w:top w:w="100" w:type="dxa"/><w:bottom w:w="100" w:type="dxa"/><w:left w:w="120" w:type="dxa"/><w:right w:w="120" w:type="dxa"/></w:tcMar></w:tcPr><w:p><w:r><w:rPr><w:rFonts w:ascii="Arial" w:hAnsi="Arial"/><w:b/><w:sz w:val="16"/><w:color w:val="FFFFFF"/></w:rPr><w:t>Component Name</w:t></w:r></w:p></w:tc><w:tc><w:tcPr><w:shd w:val="clear" w:color="auto" w:fill="0F172A"/><w:tcMar><w:top w:w="100" w:type="dxa"/><w:bottom w:w="100" w:type="dxa"/><w:left w:w="120" w:type="dxa"/><w:right w:w="120" w:type="dxa"/></w:tcMar></w:tcPr><w:p><w:r><w:rPr><w:rFonts w:ascii="Arial" w:hAnsi="Arial"/><w:b/><w:sz w:val="16"/><w:color w:val="FFFFFF"/></w:rPr><w:t>Provided Interface (Ball)</w:t></w:r></w:p></w:tc><w:tc><w:tcPr><w:shd w:val="clear" w:color="auto" w:fill="0F172A"/><w:tcMar><w:top w:w="100" w:type="dxa"/><w:bottom w:w="100" w:type="dxa"/><w:left w:w="120" w:type="dxa"/><w:right w:w="120" w:type="dxa"/></w:tcMar></w:tcPr><w:p><w:r><w:rPr><w:rFonts w:ascii="Arial" w:hAnsi="Arial"/><w:b/><w:sz w:val="16"/><w:color w:val="FFFFFF"/></w:rPr><w:t>Required Interface (Socket)</w:t></w:r></w:p></w:tc><w:tc><w:tcPr><w:shd w:val="clear" w:color="auto" w:fill="0F172A"/><w:tcMar><w:top w:w="100" w:type="dxa"/><w:bottom w:w="100" w:type="dxa"/><w:left w:w="120" w:type="dxa"/><w:right w:w="120" w:type="dxa"/></w:tcMar></w:tcPr><w:p><w:r><w:rPr><w:rFonts w:ascii="Arial" w:hAnsi="Arial"/><w:b/><w:sz w:val="16"/><w:color w:val="FFFFFF"/></w:rPr><w:t>Core Architectural Responsibility</w:t></w:r></w:p></w:tc></w:tr><w:tr><w:tc><w:tcPr><w:tcMar><w:top w:w="80" w:type="dxa"/><w:bottom w:w="80" w:type="dxa"/><w:left w:w="120" w:type="dxa"/><w:right w:w="120" w:type="dxa"/></w:tcMar></w:tcPr><w:p><w:r><w:rPr><w:rFonts w:ascii="Arial" w:hAnsi="Arial"/><w:sz w:val="16"/><w:color w:val="1E293B"/></w:rPr><w:t>API Gateway &amp; Auth</w:t></w:r></w:p></w:tc><w:tc><w:tcPr><w:tcMar><w:top w:w="80" w:type="dxa"/><w:bottom w:w="80" w:type="dxa"/><w:left w:w="120" w:type="dxa"/><w:right w:w="120" w:type="dxa"/></w:tcMar></w:tcPr><w:p><w:r><w:rPr><w:rFonts w:ascii="Arial" w:hAnsi="Arial"/><w:sz w:val="16"/><w:color w:val="1E293B"/></w:rPr><w:t>IPortalGateway (HTTPS/REST)</w:t></w:r></w:p></w:tc><w:tc><w:tcPr><w:tcMar><w:top w:w="80" w:type="dxa"/><w:bottom w:w="80" w:type="dxa"/><w:left w:w="120" w:type="dxa"/><w:right w:w="120" w:type="dxa"/></w:tcMar></w:tcPr><w:p><w:r><w:rPr><w:rFonts w:ascii="Arial" w:hAnsi="Arial"/><w:sz w:val="16"/><w:color w:val="1E293B"/></w:rPr><w:t>ICatalogService, IHealthStatus, IDependencyGraph, IDocViewer</w:t></w:r></w:p></w:tc><w:tc><w:tcPr><w:tcMar><w:top w:w="80" w:type="dxa"/><w:bottom w:w="80" w:type="dxa"/><w:left w:w="120" w:type="dxa"/><w:right w:w="120" w:type="dxa"/></w:tcMar></w:tcPr><w:p><w:r><w:rPr><w:rFonts w:ascii="Arial" w:hAnsi="Arial"/><w:sz w:val="16"/><w:color w:val="1E293B"/></w:rPr><w:t>TLS termination, SSO OAuth2/SAML validation, RBAC, traffic routing</w:t></w:r></w:p></w:tc></w:tr><w:tr><w:tc><w:tcPr><w:tcMar><w:top w:w="80" w:type="dxa"/><w:bottom w:w="80" w:type="dxa"/><w:left w:w="120" w:type="dxa"/><w:right w:w="120" w:type="dxa"/></w:tcMar></w:tcPr><w:p><w:r><w:rPr><w:rFonts w:ascii="Arial" w:hAnsi="Arial"/><w:sz w:val="16"/><w:color w:val="1E293B"/></w:rPr><w:t>Catalog &amp; Registry</w:t></w:r></w:p></w:tc><w:tc><w:tcPr><w:tcMar><w:top w:w="80" w:type="dxa"/><w:bottom w:w="80" w:type="dxa"/><w:left w:w="120" w:type="dxa"/><w:right w:w="120" w:type="dxa"/></w:tcMar></w:tcPr><w:p><w:r><w:rPr><w:rFonts w:ascii="Arial" w:hAnsi="Arial"/><w:sz w:val="16"/><w:color w:val="1E293B"/></w:rPr><w:t>ICatalogService (gRPC/REST)</w:t></w:r></w:p></w:tc><w:tc><w:tcPr><w:tcMar><w:top w:w="80" w:type="dxa"/><w:bottom w:w="80" w:type="dxa"/><w:left w:w="120" w:type="dxa"/><w:right w:w="120" w:type="dxa"/></w:tcMar></w:tcPr><w:p><w:r><w:rPr><w:rFonts w:ascii="Arial" w:hAnsi="Arial"/><w:sz w:val="16"/><w:color w:val="1E293B"/></w:rPr><w:t>JDBC / SQL (PostgreSQL)</w:t></w:r></w:p></w:tc><w:tc><w:tcPr><w:tcMar><w:top w:w="80" w:type="dxa"/><w:bottom w:w="80" w:type="dxa"/><w:left w:w="120" w:type="dxa"/><w:right w:w="120" w:type="dxa"/></w:tcMar></w:tcPr><w:p><w:r><w:rPr><w:rFonts w:ascii="Arial" w:hAnsi="Arial"/><w:sz w:val="16"/><w:color w:val="1E293B"/></w:rPr><w:t>Searchable service registry, metadata management, elastic indexing</w:t></w:r></w:p></w:tc></w:tr><w:tr><w:tc><w:tcPr><w:tcMar><w:top w:w="80" w:type="dxa"/><w:bottom w:w="80" w:type="dxa"/><w:left w:w="120" w:type="dxa"/><w:right w:w="120" w:type="dxa"/></w:tcMar></w:tcPr><w:p><w:r><w:rPr><w:rFonts w:ascii="Arial" w:hAnsi="Arial"/><w:sz w:val="16"/><w:color w:val="1E293B"/></w:rPr><w:t>Health Monitoring</w:t></w:r></w:p></w:tc><w:tc><w:tcPr><w:tcMar><w:top w:w="80" w:type="dxa"/><w:bottom w:w="80" w:type="dxa"/><w:left w:w="120" w:type="dxa"/><w:right w:w="120" w:type="dxa"/></w:tcMar></w:tcPr><w:p><w:r><w:rPr><w:rFonts w:ascii="Arial" w:hAnsi="Arial"/><w:sz w:val="16"/><w:color w:val="1E293B"/></w:rPr><w:t>IHealthStatus (WebSocket/REST)</w:t></w:r></w:p></w:tc><w:tc><w:tcPr><w:tcMar><w:top w:w="80" w:type="dxa"/><w:bottom w:w="80" w:type="dxa"/><w:left w:w="120" w:type="dxa"/><w:right w:w="120" w:type="dxa"/></w:tcMar></w:tcPr><w:p><w:r><w:rPr><w:rFonts w:ascii="Arial" w:hAnsi="Arial"/><w:sz w:val="16"/><w:color w:val="1E293B"/></w:rPr><w:t>IHealthProbe (HTTPS GET), IAlertPublisher (AMQP)</w:t></w:r></w:p></w:tc><w:tc><w:tcPr><w:tcMar><w:top w:w="80" w:type="dxa"/><w:bottom w:w="80" w:type="dxa"/><w:left w:w="120" w:type="dxa"/><w:right w:w="120" w:type="dxa"/></w:tcMar></w:tcPr><w:p><w:r><w:rPr><w:rFonts w:ascii="Arial" w:hAnsi="Arial"/><w:sz w:val="16"/><w:color w:val="1E293B"/></w:rPr><w:t>30s health pings, rolling 24h availability, outage detection</w:t></w:r></w:p></w:tc></w:tr><w:tr><w:tc><w:tcPr><w:tcMar><w:top w:w="80" w:type="dxa"/><w:bottom w:w="80" w:type="dxa"/><w:left w:w="120" w:type="dxa"/><w:right w:w="120" w:type="dxa"/></w:tcMar></w:tcPr><w:p><w:r><w:rPr><w:rFonts w:ascii="Arial" w:hAnsi="Arial"/><w:sz w:val="16"/><w:color w:val="1E293B"/></w:rPr><w:t>Dependency Engine</w:t></w:r></w:p></w:tc><w:tc><w:tcPr><w:tcMar><w:top w:w="80" w:type="dxa"/><w:bottom w:w="80" w:type="dxa"/><w:left w:w="120" w:type="dxa"/><w:right w:w="120" w:type="dxa"/></w:tcMar></w:tcPr><w:p><w:r><w:rPr><w:rFonts w:ascii="Arial" w:hAnsi="Arial"/><w:sz w:val="16"/><w:color w:val="1E293B"/></w:rPr><w:t>IDependencyGraph (GraphQL/JSON)</w:t></w:r></w:p></w:tc><w:tc><w:tcPr><w:tcMar><w:top w:w="80" w:type="dxa"/><w:bottom w:w="80" w:type="dxa"/><w:left w:w="120" w:type="dxa"/><w:right w:w="120" w:type="dxa"/></w:tcMar></w:tcPr><w:p><w:r><w:rPr><w:rFonts w:ascii="Arial" w:hAnsi="Arial"/><w:sz w:val="16"/><w:color w:val="1E293B"/></w:rPr><w:t>Bolt / Cypher (Neo4j), ICatalogService</w:t></w:r></w:p></w:tc><w:tc><w:tcPr><w:tcMar><w:top w:w="80" w:type="dxa"/><w:bottom w:w="80" w:type="dxa"/><w:left w:w="120" w:type="dxa"/><w:right w:w="120" w:type="dxa"/></w:tcMar></w:tcPr><w:p><w:r><w:rPr><w:rFonts w:ascii="Arial" w:hAnsi="Arial"/><w:sz w:val="16"/><w:color w:val="1E293B"/></w:rPr><w:t>Auto dependency mapping, 200+ node interactive graph (&lt;2s render)</w:t></w:r></w:p></w:tc></w:tr><w:tr><w:tc><w:tcPr><w:tcMar><w:top w:w="80" w:type="dxa"/><w:bottom w:w="80" w:type="dxa"/><w:left w:w="120" w:type="dxa"/><w:right w:w="120" w:type="dxa"/></w:tcMar></w:tcPr><w:p><w:r><w:rPr><w:rFonts w:ascii="Arial" w:hAnsi="Arial"/><w:sz w:val="16"/><w:color w:val="1E293B"/></w:rPr><w:t>Alerting &amp; Notification</w:t></w:r></w:p></w:tc><w:tc><w:tcPr><w:tcMar><w:top w:w="80" w:type="dxa"/><w:bottom w:w="80" w:type="dxa"/><w:left w:w="120" w:type="dxa"/><w:right w:w="120" w:type="dxa"/></w:tcMar></w:tcPr><w:p><w:r><w:rPr><w:rFonts w:ascii="Arial" w:hAnsi="Arial"/><w:sz w:val="16"/><w:color w:val="1E293B"/></w:rPr><w:t>IAlertConfig (REST)</w:t></w:r></w:p></w:tc><w:tc><w:tcPr><w:tcMar><w:top w:w="80" w:type="dxa"/><w:bottom w:w="80" w:type="dxa"/><w:left w:w="120" w:type="dxa"/><w:right w:w="120" w:type="dxa"/></w:tcMar></w:tcPr><w:p><w:r><w:rPr><w:rFonts w:ascii="Arial" w:hAnsi="Arial"/><w:sz w:val="16"/><w:color w:val="1E293B"/></w:rPr><w:t>IEventConsumer (AMQP), INotificationChannel (Slack/SMTP)</w:t></w:r></w:p></w:tc><w:tc><w:tcPr><w:tcMar><w:top w:w="80" w:type="dxa"/><w:bottom w:w="80" w:type="dxa"/><w:left w:w="120" w:type="dxa"/><w:right w:w="120" w:type="dxa"/></w:tcMar></w:tcPr><w:p><w:r><w:rPr><w:rFonts w:ascii="Arial" w:hAnsi="Arial"/><w:sz w:val="16"/><w:color w:val="1E293B"/></w:rPr><w:t>Outage event evaluation and multi-channel dispatch within 60s</w:t></w:r></w:p></w:tc></w:tr><w:tr><w:tc><w:tcPr><w:tcMar><w:top w:w="80" w:type="dxa"/><w:bottom w:w="80" w:type="dxa"/><w:left w:w="120" w:type="dxa"/><w:right w:w="120" w:type="dxa"/></w:tcMar></w:tcPr><w:p><w:r><w:rPr><w:rFonts w:ascii="Arial" w:hAnsi="Arial"/><w:sz w:val="16"/><w:color w:val="1E293B"/></w:rPr><w:t>API Doc Aggregator</w:t></w:r></w:p></w:tc><w:tc><w:tcPr><w:tcMar><w:top w:w="80" w:type="dxa"/><w:bottom w:w="80" w:type="dxa"/><w:left w:w="120" w:type="dxa"/><w:right w:w="120" w:type="dxa"/></w:tcMar></w:tcPr><w:p><w:r><w:rPr><w:rFonts w:ascii="Arial" w:hAnsi="Arial"/><w:sz w:val="16"/><w:color w:val="1E293B"/></w:rPr><w:t>IDocViewer (OpenAPI / Redoc)</w:t></w:r></w:p></w:tc><w:tc><w:tcPr><w:tcMar><w:top w:w="80" w:type="dxa"/><w:bottom w:w="80" w:type="dxa"/><w:left w:w="120" w:type="dxa"/><w:right w:w="120" w:type="dxa"/></w:tcMar></w:tcPr><w:p><w:r><w:rPr><w:rFonts w:ascii="Arial" w:hAnsi="Arial"/><w:sz w:val="16"/><w:color w:val="1E293B"/></w:rPr><w:t>ISpecFetcher (Git/HTTP), Redis Driver</w:t></w:r></w:p></w:tc><w:tc><w:tcPr><w:tcMar><w:top w:w="80" w:type="dxa"/><w:bottom w:w="80" w:type="dxa"/><w:left w:w="120" w:type="dxa"/><w:right w:w="120" w:type="dxa"/></w:tcMar></w:tcPr><w:p><w:r><w:rPr><w:rFonts w:ascii="Arial" w:hAnsi="Arial"/><w:sz w:val="16"/><w:color w:val="1E293B"/></w:rPr><w:t>OpenAPI 3.0 schema parsing, endpoint documentation, mock sandbox</w:t></w:r></w:p></w:tc></w:tr></w:tbl><w:sectPr><w:pgSz w:w="12240" w:h="15840"/><w:pgMar w:top="720" w:right="720" w:bottom="720" w:left="720"/></w:sectPr></w:body></w:document>
</file>