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BE3FE7" w14:textId="77777777" w:rsidR="00D265FB" w:rsidRDefault="00000000">
      <w:pPr>
        <w:pStyle w:val="Heading1"/>
      </w:pPr>
      <w:bookmarkStart w:id="0" w:name="header"/>
      <w:bookmarkStart w:id="1" w:name="Xbabf7a258ec42de98198744b9f94ee79cd9ccfb"/>
      <w:bookmarkStart w:id="2" w:name="content"/>
      <w:bookmarkEnd w:id="0"/>
      <w:r>
        <w:t>Landscape of Test-Time Adaptation and Memory in LLMs</w:t>
      </w:r>
    </w:p>
    <w:p w14:paraId="7DA667CB" w14:textId="77777777" w:rsidR="00D265FB" w:rsidRDefault="00000000">
      <w:pPr>
        <w:pStyle w:val="FirstParagraph"/>
      </w:pPr>
      <w:r>
        <w:t xml:space="preserve">Recent work treats an LLM’s context window as a </w:t>
      </w:r>
      <w:r>
        <w:rPr>
          <w:b/>
          <w:bCs/>
        </w:rPr>
        <w:t>POMDP</w:t>
      </w:r>
      <w:r>
        <w:t xml:space="preserve"> where the latent “belief” state must be tracked and updated. For example, agentic retrieval models formalize LLM inference as a POMDP: the model’s </w:t>
      </w:r>
      <w:r>
        <w:rPr>
          <w:b/>
          <w:bCs/>
        </w:rPr>
        <w:t>working memory</w:t>
      </w:r>
      <w:r>
        <w:t xml:space="preserve"> approximates the hidden belief state and is updated by retrieval, summarization or pruning at each step</w:t>
      </w:r>
      <w:hyperlink r:id="rId5" w:anchor=":~:text=is%20the%20dynamic%20working%20memory,of%20the%20belief%20state">
        <w:r>
          <w:rPr>
            <w:rStyle w:val="Hyperlink"/>
          </w:rPr>
          <w:t>[1]</w:t>
        </w:r>
      </w:hyperlink>
      <w:hyperlink r:id="rId6" w:anchor=":~:text=In%20practice%2C%20maintaining%20an%20exact,Such%20approximations%20enable%20tractable">
        <w:r>
          <w:rPr>
            <w:rStyle w:val="Hyperlink"/>
          </w:rPr>
          <w:t>[2]</w:t>
        </w:r>
      </w:hyperlink>
      <w:r>
        <w:t>. Similarly, ABBEL (“Acting through Belief Bottlenecks in Language”) replaces long interaction history with a concise natural-language belief summary, updating this belief at each step to choose actions</w:t>
      </w:r>
      <w:hyperlink r:id="rId7" w:anchor=":~:text=,We%20systematically">
        <w:r>
          <w:rPr>
            <w:rStyle w:val="Hyperlink"/>
          </w:rPr>
          <w:t>[3]</w:t>
        </w:r>
      </w:hyperlink>
      <w:r>
        <w:t xml:space="preserve">. However, bottleneck methods suffer </w:t>
      </w:r>
      <w:r>
        <w:rPr>
          <w:b/>
          <w:bCs/>
        </w:rPr>
        <w:t>error propagation</w:t>
      </w:r>
      <w:r>
        <w:t xml:space="preserve"> – if the summary is wrong early on, performance degrades</w:t>
      </w:r>
      <w:hyperlink r:id="rId8" w:anchor=":~:text=finding%20that%20ABBEL%20supports%20generating,act%20on%20beliefs%20within%20the">
        <w:r>
          <w:rPr>
            <w:rStyle w:val="Hyperlink"/>
          </w:rPr>
          <w:t>[4]</w:t>
        </w:r>
      </w:hyperlink>
      <w:r>
        <w:t xml:space="preserve">. In practice, LLMs often </w:t>
      </w:r>
      <w:r>
        <w:rPr>
          <w:i/>
          <w:iCs/>
        </w:rPr>
        <w:t>fail</w:t>
      </w:r>
      <w:r>
        <w:t xml:space="preserve"> to update their implicit beliefs: one study found an LLM planner frequently </w:t>
      </w:r>
      <w:r>
        <w:rPr>
          <w:i/>
          <w:iCs/>
        </w:rPr>
        <w:t>repeated</w:t>
      </w:r>
      <w:r>
        <w:t xml:space="preserve"> earlier instructions as if it had not incorporated prior observations</w:t>
      </w:r>
      <w:hyperlink r:id="rId9" w:anchor=":~:text=,such%20situations%2C%20as%20it%20prevented">
        <w:r>
          <w:rPr>
            <w:rStyle w:val="Hyperlink"/>
          </w:rPr>
          <w:t>[5]</w:t>
        </w:r>
      </w:hyperlink>
      <w:r>
        <w:t xml:space="preserve">. Architectures like </w:t>
      </w:r>
      <w:r>
        <w:rPr>
          <w:b/>
          <w:bCs/>
        </w:rPr>
        <w:t>Titans</w:t>
      </w:r>
      <w:r>
        <w:t xml:space="preserve"> address this by adding a parallel long-term memory module that is explicitly trained at inference to store past context</w:t>
      </w:r>
      <w:hyperlink r:id="rId10" w:anchor=":~:text=a%20quadratic%20cost%2C%20limiting%20the,term%2C%20more%20persistent%2C%20memory">
        <w:r>
          <w:rPr>
            <w:rStyle w:val="Hyperlink"/>
          </w:rPr>
          <w:t>[6]</w:t>
        </w:r>
      </w:hyperlink>
      <w:r>
        <w:t>.</w:t>
      </w:r>
    </w:p>
    <w:p w14:paraId="73E8BFA5" w14:textId="77777777" w:rsidR="00D265FB" w:rsidRDefault="00000000">
      <w:pPr>
        <w:pStyle w:val="BodyText"/>
      </w:pPr>
      <w:r>
        <w:t xml:space="preserve">On the </w:t>
      </w:r>
      <w:r>
        <w:rPr>
          <w:b/>
          <w:bCs/>
        </w:rPr>
        <w:t>test-time training (TTT)</w:t>
      </w:r>
      <w:r>
        <w:t xml:space="preserve"> front, academia has explored self-supervised online fine-tuning. One recent TTL method (TLM) shows large gains (≳20% on adaptation tasks) by minimizing </w:t>
      </w:r>
      <w:r>
        <w:rPr>
          <w:i/>
          <w:iCs/>
        </w:rPr>
        <w:t>input</w:t>
      </w:r>
      <w:r>
        <w:t xml:space="preserve"> perplexity and weighting high-entropy samples, using LoRA updates to mitigate forgetting</w:t>
      </w:r>
      <w:hyperlink r:id="rId11" w:anchor=":~:text=thereby%20facilitating%20efficient%20parameter%20updates,benchmark%20named%20AdaptEval%20for%20TTL">
        <w:r>
          <w:rPr>
            <w:rStyle w:val="Hyperlink"/>
          </w:rPr>
          <w:t>[7]</w:t>
        </w:r>
      </w:hyperlink>
      <w:hyperlink r:id="rId12" w:anchor=":~:text=Benchmark%20and%20Experimental%20Validation%20of,original%20LLMs%20on%20domain%20knowledge">
        <w:r>
          <w:rPr>
            <w:rStyle w:val="Hyperlink"/>
          </w:rPr>
          <w:t>[8]</w:t>
        </w:r>
      </w:hyperlink>
      <w:r>
        <w:t xml:space="preserve">. Crucially, they observe </w:t>
      </w:r>
      <w:r>
        <w:rPr>
          <w:b/>
          <w:bCs/>
        </w:rPr>
        <w:t>LoRA outperforms full fine-tuning</w:t>
      </w:r>
      <w:r>
        <w:t xml:space="preserve"> in retaining prior knowledge</w:t>
      </w:r>
      <w:hyperlink r:id="rId13" w:anchor=":~:text=thereby%20facilitating%20efficient%20parameter%20updates,benchmark%20named%20AdaptEval%20for%20TTL">
        <w:r>
          <w:rPr>
            <w:rStyle w:val="Hyperlink"/>
          </w:rPr>
          <w:t>[7]</w:t>
        </w:r>
      </w:hyperlink>
      <w:r>
        <w:t>. These findings align with Parameter Golf reports: aggressive optimizers (AdamW) caused catastrophic forgetting in small quantized models, whereas simple SGD updates (even though crude) preserved stability</w:t>
      </w:r>
      <w:hyperlink r:id="rId14" w:anchor=":~:text=and%20tuned%20training%20schedules,The%20competition%20runs">
        <w:r>
          <w:rPr>
            <w:rStyle w:val="Hyperlink"/>
          </w:rPr>
          <w:t>[9]</w:t>
        </w:r>
      </w:hyperlink>
      <w:r>
        <w:t>. Leaderboard entries reflect this: the state-of-art run used “score-first” TTT (3 epochs of SGD on all layers, unfrozen) with a bigram hash, plus a “parameter banking” trick</w:t>
      </w:r>
      <w:hyperlink r:id="rId15" w:anchor=":~:text=2,all%20eval%20under%2010%20min">
        <w:r>
          <w:rPr>
            <w:rStyle w:val="Hyperlink"/>
          </w:rPr>
          <w:t>[10]</w:t>
        </w:r>
      </w:hyperlink>
      <w:r>
        <w:t>. In contrast, a naïve per-document LoRA update (Rank-8 LoRA on a few matrices with Adam) only yielded marginal improvements</w:t>
      </w:r>
      <w:hyperlink r:id="rId16" w:anchor=":~:text=14,Same%20training%2C%20smarter%20eval">
        <w:r>
          <w:rPr>
            <w:rStyle w:val="Hyperlink"/>
          </w:rPr>
          <w:t>[11]</w:t>
        </w:r>
      </w:hyperlink>
      <w:r>
        <w:t>.</w:t>
      </w:r>
    </w:p>
    <w:p w14:paraId="430D022B" w14:textId="77777777" w:rsidR="00D265FB" w:rsidRDefault="00000000">
      <w:pPr>
        <w:pStyle w:val="BodyText"/>
      </w:pPr>
      <w:r>
        <w:t xml:space="preserve">In summary, academic approaches rely on </w:t>
      </w:r>
      <w:r>
        <w:rPr>
          <w:b/>
          <w:bCs/>
        </w:rPr>
        <w:t>structured memory and belief tracking</w:t>
      </w:r>
      <w:r>
        <w:t xml:space="preserve"> (agentic RAG, TTL with LoRA) to prevent forgetting, whereas leaderboard solutions have used </w:t>
      </w:r>
      <w:r>
        <w:rPr>
          <w:b/>
          <w:bCs/>
        </w:rPr>
        <w:t>brute-force adaptation</w:t>
      </w:r>
      <w:r>
        <w:t xml:space="preserve"> (TTT on all weights or LoRA) and external token hashing. The key lesson is that targeted updates and memory mechanisms help avoid catastrophic forgetting</w:t>
      </w:r>
      <w:hyperlink r:id="rId17" w:anchor=":~:text=thereby%20facilitating%20efficient%20parameter%20updates,benchmark%20named%20AdaptEval%20for%20TTL">
        <w:r>
          <w:rPr>
            <w:rStyle w:val="Hyperlink"/>
          </w:rPr>
          <w:t>[7]</w:t>
        </w:r>
      </w:hyperlink>
      <w:hyperlink r:id="rId18" w:anchor=":~:text=and%20tuned%20training%20schedules,The%20competition%20runs">
        <w:r>
          <w:rPr>
            <w:rStyle w:val="Hyperlink"/>
          </w:rPr>
          <w:t>[9]</w:t>
        </w:r>
      </w:hyperlink>
      <w:r>
        <w:t>.</w:t>
      </w:r>
    </w:p>
    <w:p w14:paraId="651914BE" w14:textId="77777777" w:rsidR="00D265FB" w:rsidRDefault="00000000">
      <w:pPr>
        <w:pStyle w:val="Heading2"/>
      </w:pPr>
      <w:bookmarkStart w:id="3" w:name="X7f0d9c8404da8f0dc6365b58a08f423685402fa"/>
      <w:r>
        <w:t xml:space="preserve">Novel Architecture 1: </w:t>
      </w:r>
      <w:r>
        <w:rPr>
          <w:b/>
          <w:bCs/>
        </w:rPr>
        <w:t>“Multi-Agent Latent Slots (MALS)”</w:t>
      </w:r>
    </w:p>
    <w:p w14:paraId="0E3DB729" w14:textId="77777777" w:rsidR="00D265FB" w:rsidRDefault="00000000">
      <w:pPr>
        <w:pStyle w:val="FirstParagraph"/>
      </w:pPr>
      <w:r>
        <w:rPr>
          <w:b/>
          <w:bCs/>
        </w:rPr>
        <w:t>Mechanism:</w:t>
      </w:r>
      <w:r>
        <w:t xml:space="preserve"> Introduce </w:t>
      </w:r>
      <w:r>
        <w:rPr>
          <w:i/>
          <w:iCs/>
        </w:rPr>
        <w:t>K</w:t>
      </w:r>
      <w:r>
        <w:t xml:space="preserve"> parallel latent “slot” vectors ${\ell_1,\dots,\ell_K}$ (e.g. $K=3$) that act as multiple belief-state agents. At each token, the base hidden state $h$ from the transformer is </w:t>
      </w:r>
      <w:r>
        <w:rPr>
          <w:b/>
          <w:bCs/>
        </w:rPr>
        <w:t>augmented</w:t>
      </w:r>
      <w:r>
        <w:t xml:space="preserve"> by each slot in turn: compute $h_i = h + \ell_i$ for $i=1..K$. Each $h_i$ produces a candidate token distribution $p_i = \text{softmax}(W_e h_i)$ using the shared output embedding matrix $W_e$. We then </w:t>
      </w:r>
      <w:r>
        <w:rPr>
          <w:b/>
          <w:bCs/>
        </w:rPr>
        <w:t>score</w:t>
      </w:r>
      <w:r>
        <w:t xml:space="preserve"> each agent’s proposal (for example by the log-probability it assigns to the correct token). The agent with the highest score is the </w:t>
      </w:r>
      <w:r>
        <w:rPr>
          <w:i/>
          <w:iCs/>
        </w:rPr>
        <w:t>winner</w:t>
      </w:r>
      <w:r>
        <w:t xml:space="preserve"> for this step. We then perform a gradient step </w:t>
      </w:r>
      <w:r>
        <w:rPr>
          <w:i/>
          <w:iCs/>
        </w:rPr>
        <w:t>only on its slot vector</w:t>
      </w:r>
      <w:r>
        <w:t xml:space="preserve"> $\ell_{i^*}$ (holding $W_e$ fixed), effectively updating that agent’s internal belief to better </w:t>
      </w:r>
      <w:r>
        <w:lastRenderedPageBreak/>
        <w:t>fit the token. This is analogous to a game-theoretic fictitious play among agents, where each latent slot “bids” its prediction and only the best-responding agent is updated. Over time, each slot specializes (e.g. one may focus on syntax patterns, another on semantic cues). This implements a POMDP-style belief update: multiple hypotheses are maintained and the most promising is reinforced.</w:t>
      </w:r>
    </w:p>
    <w:p w14:paraId="70A85637" w14:textId="77777777" w:rsidR="00D265FB" w:rsidRDefault="00000000">
      <w:pPr>
        <w:pStyle w:val="BodyText"/>
      </w:pPr>
      <w:r>
        <w:rPr>
          <w:b/>
          <w:bCs/>
        </w:rPr>
        <w:t>Implementation (pure PyTorch, no custom kernels):</w:t>
      </w:r>
      <w:r>
        <w:br/>
        <w:t xml:space="preserve">- </w:t>
      </w:r>
      <w:r>
        <w:rPr>
          <w:b/>
          <w:bCs/>
        </w:rPr>
        <w:t>Define slots:</w:t>
      </w:r>
      <w:r>
        <w:t xml:space="preserve"> Initialize $K$ learnable vectors $\ell_i\in\mathbb{R}^d$ (dimension $d=512$) as part of the model state.</w:t>
      </w:r>
      <w:r>
        <w:br/>
        <w:t xml:space="preserve">- </w:t>
      </w:r>
      <w:r>
        <w:rPr>
          <w:b/>
          <w:bCs/>
        </w:rPr>
        <w:t>Compute candidate outputs:</w:t>
      </w:r>
      <w:r>
        <w:t xml:space="preserve"> At each token forward pass, compute $H = h \otimes \mathbf{1}</w:t>
      </w:r>
      <w:r>
        <w:rPr>
          <w:i/>
          <w:iCs/>
        </w:rPr>
        <w:t xml:space="preserve">K + [\ell_1;\dots;\ell_K]$ (broadcast addition), yielding a $K\times d$ matrix. Multiply by $W_e^\top$ to get $K$ logit vectors. (This is $K$ independent matrix multiplies, no gather/scatter – e.g. </w:t>
      </w:r>
      <w:r>
        <w:rPr>
          <w:rStyle w:val="VerbatimChar"/>
          <w:i/>
          <w:iCs/>
        </w:rPr>
        <w:t>logits = (h + slots).matmul(W_e)</w:t>
      </w:r>
      <w:r>
        <w:rPr>
          <w:i/>
          <w:iCs/>
        </w:rPr>
        <w:t>).</w:t>
      </w:r>
      <w:r>
        <w:br/>
      </w:r>
      <w:r>
        <w:rPr>
          <w:i/>
          <w:iCs/>
        </w:rPr>
        <w:t xml:space="preserve">- </w:t>
      </w:r>
      <w:r>
        <w:rPr>
          <w:b/>
          <w:bCs/>
          <w:i/>
          <w:iCs/>
        </w:rPr>
        <w:t>Select winner:</w:t>
      </w:r>
      <w:r>
        <w:rPr>
          <w:i/>
          <w:iCs/>
        </w:rPr>
        <w:t xml:space="preserve"> Compare the cross-entropy loss for the true next token under each of the $K$ distributions. Identify index $i^ = \arg\min_i {\text{CE}(p_i)}$.</w:t>
      </w:r>
      <w:r>
        <w:br/>
      </w:r>
      <w:r>
        <w:rPr>
          <w:i/>
          <w:iCs/>
        </w:rPr>
        <w:t>- Update: Backpropagate the loss through only $p_{i^}$ to update $\ell</w:t>
      </w:r>
      <w:r>
        <w:t>{i^</w:t>
      </w:r>
      <w:r>
        <w:rPr>
          <w:i/>
          <w:iCs/>
        </w:rPr>
        <w:t xml:space="preserve">}$ (others get no gradient). In code, one can do e.g. </w:t>
      </w:r>
      <w:r>
        <w:rPr>
          <w:rStyle w:val="VerbatimChar"/>
          <w:i/>
          <w:iCs/>
        </w:rPr>
        <w:t>loss = CE_loss(p_winner, target)</w:t>
      </w:r>
      <w:r>
        <w:rPr>
          <w:i/>
          <w:iCs/>
        </w:rPr>
        <w:t xml:space="preserve"> then </w:t>
      </w:r>
      <w:r>
        <w:rPr>
          <w:rStyle w:val="VerbatimChar"/>
          <w:i/>
          <w:iCs/>
        </w:rPr>
        <w:t>loss.backward()</w:t>
      </w:r>
      <w:r>
        <w:rPr>
          <w:i/>
          <w:iCs/>
        </w:rPr>
        <w:t xml:space="preserve"> (slots have </w:t>
      </w:r>
      <w:r>
        <w:rPr>
          <w:rStyle w:val="VerbatimChar"/>
          <w:i/>
          <w:iCs/>
        </w:rPr>
        <w:t>requires_grad=True</w:t>
      </w:r>
      <w:r>
        <w:rPr>
          <w:i/>
          <w:iCs/>
        </w:rPr>
        <w:t>), ensuring only $\ell_{i^</w:t>
      </w:r>
      <w:r>
        <w:t>}$ receives nonzero gradient.</w:t>
      </w:r>
      <w:r>
        <w:br/>
        <w:t xml:space="preserve">- </w:t>
      </w:r>
      <w:r>
        <w:rPr>
          <w:b/>
          <w:bCs/>
        </w:rPr>
        <w:t>No custom ops:</w:t>
      </w:r>
      <w:r>
        <w:t xml:space="preserve"> All steps are standard arithmetic and PyTorch backward. No dynamic token routing or scattering is needed.</w:t>
      </w:r>
    </w:p>
    <w:p w14:paraId="05007046" w14:textId="77777777" w:rsidR="00D265FB" w:rsidRDefault="00000000">
      <w:pPr>
        <w:pStyle w:val="BodyText"/>
      </w:pPr>
      <w:r>
        <w:rPr>
          <w:b/>
          <w:bCs/>
        </w:rPr>
        <w:t>Rationale and BPB impact:</w:t>
      </w:r>
      <w:r>
        <w:t xml:space="preserve"> By effectively </w:t>
      </w:r>
      <w:r>
        <w:rPr>
          <w:i/>
          <w:iCs/>
        </w:rPr>
        <w:t>multiplying</w:t>
      </w:r>
      <w:r>
        <w:t xml:space="preserve"> the model’s inference capacity with $K$ hypotheses, MALS can capture more complex context patterns without growing the model. Each slot learns a different facet of the distribution, so tokens that are high-entropy under one slot might be low-entropy under another. In effect, the model behaves like a tiny mixture-of-experts with shared weights. This focused competition accelerates learning on difficult tokens: only the best-predicting slot is adjusted, reducing “noise” from irrelevant gradients. We estimate this could yield a </w:t>
      </w:r>
      <w:r>
        <w:rPr>
          <w:b/>
          <w:bCs/>
        </w:rPr>
        <w:t>substantial perplexity drop</w:t>
      </w:r>
      <w:r>
        <w:t xml:space="preserve"> relative to single-slot TTT. For example, if one slot alone could already recover ~2–3% BPB (∼0.02–0.03) by specialized adaptation on rare patterns, then $K=3$ slots might cover 3× as many scenarios, potentially pushing improvements to the 0.05 bpb range. Even a conservative 3% relative gain on the current ~1.12 bpb (about 0.03 bpb) would outperform existing tweaks. (Academic TTL reports ~20% relative perplexity improvement on domain shifts</w:t>
      </w:r>
      <w:hyperlink r:id="rId19" w:anchor=":~:text=Benchmark%20and%20Experimental%20Validation%20of,original%20LLMs%20on%20domain%20knowledge">
        <w:r>
          <w:rPr>
            <w:rStyle w:val="Hyperlink"/>
          </w:rPr>
          <w:t>[8]</w:t>
        </w:r>
      </w:hyperlink>
      <w:r>
        <w:t>; our approach concentrates adaptation power on hard tokens, so a few-percent BPB reduction is plausible.)</w:t>
      </w:r>
    </w:p>
    <w:p w14:paraId="7CDFDD4E" w14:textId="77777777" w:rsidR="00D265FB" w:rsidRDefault="00000000">
      <w:pPr>
        <w:pStyle w:val="Heading2"/>
      </w:pPr>
      <w:bookmarkStart w:id="4" w:name="X43daa3cf0956127bfcc98747f40aa32339a91e6"/>
      <w:bookmarkEnd w:id="3"/>
      <w:r>
        <w:t xml:space="preserve">Novel Architecture 2: </w:t>
      </w:r>
      <w:r>
        <w:rPr>
          <w:b/>
          <w:bCs/>
        </w:rPr>
        <w:t>“Token-Auction Slot Mixture (TASM)”</w:t>
      </w:r>
    </w:p>
    <w:p w14:paraId="3339FC29" w14:textId="77777777" w:rsidR="00D265FB" w:rsidRDefault="00000000">
      <w:pPr>
        <w:pStyle w:val="FirstParagraph"/>
      </w:pPr>
      <w:r>
        <w:rPr>
          <w:b/>
          <w:bCs/>
        </w:rPr>
        <w:t>Mechanism:</w:t>
      </w:r>
      <w:r>
        <w:t xml:space="preserve"> Build on a token-auction concept</w:t>
      </w:r>
      <w:hyperlink r:id="rId20" w:anchor=":~:text=1,qi%20qi%20from%20their%20LLM">
        <w:r>
          <w:rPr>
            <w:rStyle w:val="Hyperlink"/>
          </w:rPr>
          <w:t>[12]</w:t>
        </w:r>
      </w:hyperlink>
      <w:r>
        <w:t xml:space="preserve">. Each of </w:t>
      </w:r>
      <w:r>
        <w:rPr>
          <w:i/>
          <w:iCs/>
        </w:rPr>
        <w:t>K</w:t>
      </w:r>
      <w:r>
        <w:t xml:space="preserve"> slot agents again produces a candidate next-token distribution $p_i(h_i)$. Simultaneously, compute a </w:t>
      </w:r>
      <w:r>
        <w:rPr>
          <w:b/>
          <w:bCs/>
        </w:rPr>
        <w:t>bid weight</w:t>
      </w:r>
      <w:r>
        <w:t xml:space="preserve"> $w_i$ for each slot via a small gating network: e.g. project $h$ through a $d\times K$ linear layer and softmax so $\sum_i w_i=1$. The final output distribution is the </w:t>
      </w:r>
      <w:r>
        <w:rPr>
          <w:b/>
          <w:bCs/>
        </w:rPr>
        <w:t>weighted mix</w:t>
      </w:r>
      <w:r>
        <w:t xml:space="preserve"> $\;p = \sum_i w_i p_i$. At high-entropy tokens, each agent “bids” its confidence ($w_i$) and the aggregation favors the highest bidders (like a log-linear or linear auction</w:t>
      </w:r>
      <w:hyperlink r:id="rId21" w:anchor=":~:text=1,qi%20qi%20from%20their%20LLM">
        <w:r>
          <w:rPr>
            <w:rStyle w:val="Hyperlink"/>
          </w:rPr>
          <w:t>[12]</w:t>
        </w:r>
      </w:hyperlink>
      <w:r>
        <w:t xml:space="preserve">). For </w:t>
      </w:r>
      <w:r>
        <w:lastRenderedPageBreak/>
        <w:t xml:space="preserve">adaptation, we still update the </w:t>
      </w:r>
      <w:r>
        <w:rPr>
          <w:i/>
          <w:iCs/>
        </w:rPr>
        <w:t>winning</w:t>
      </w:r>
      <w:r>
        <w:t xml:space="preserve"> slot: identify $i^</w:t>
      </w:r>
      <w:r>
        <w:rPr>
          <w:i/>
          <w:iCs/>
        </w:rPr>
        <w:t>=\arg\max_i w_i$ (largest bid) or $\arg\min\text{CE}(p_i)$, and apply gradient only to $\ell_{i^</w:t>
      </w:r>
      <w:r>
        <w:t>}$. Thus the output reflects a cooperative aggregation of all agents, but the gradient (the learning signal) goes to the one that most influenced the decision (the highest bidder). This mimics an incentive-compatible auction: agents influence the outcome by their bids, but only winners “pay” (get updated).</w:t>
      </w:r>
    </w:p>
    <w:p w14:paraId="528B9047" w14:textId="77777777" w:rsidR="00D265FB" w:rsidRDefault="00000000">
      <w:pPr>
        <w:pStyle w:val="BodyText"/>
      </w:pPr>
      <w:r>
        <w:rPr>
          <w:b/>
          <w:bCs/>
        </w:rPr>
        <w:t>Implementation (hardware constraints):</w:t>
      </w:r>
      <w:r>
        <w:br/>
        <w:t xml:space="preserve">- </w:t>
      </w:r>
      <w:r>
        <w:rPr>
          <w:b/>
          <w:bCs/>
        </w:rPr>
        <w:t>Gating weights:</w:t>
      </w:r>
      <w:r>
        <w:t xml:space="preserve"> Add a linear layer $G: \mathbb{R}^d \to \mathbb{R}^K$ (trainable) and compute $w = \text{softmax}(G(h))$. (This is just one extra matrix multiply of size $d\times K$.)</w:t>
      </w:r>
      <w:r>
        <w:br/>
        <w:t xml:space="preserve">- </w:t>
      </w:r>
      <w:r>
        <w:rPr>
          <w:b/>
          <w:bCs/>
        </w:rPr>
        <w:t>Mixture output:</w:t>
      </w:r>
      <w:r>
        <w:t xml:space="preserve"> After computing $p_i$ for each slot as in Arch.1, form the weighted sum $p = \sum_i w_i p_i$. In practice, compute each slot’s logits and do </w:t>
      </w:r>
      <w:r>
        <w:rPr>
          <w:rStyle w:val="VerbatimChar"/>
        </w:rPr>
        <w:t>logits_final = sum(w[i] * logits_i)</w:t>
      </w:r>
      <w:r>
        <w:t>, then softmax. All operations are linear/algebraic.</w:t>
      </w:r>
      <w:r>
        <w:br/>
        <w:t xml:space="preserve">- </w:t>
      </w:r>
      <w:r>
        <w:rPr>
          <w:b/>
          <w:bCs/>
        </w:rPr>
        <w:t>Winner selection:</w:t>
      </w:r>
      <w:r>
        <w:t xml:space="preserve"> Choose $i^ </w:t>
      </w:r>
      <w:r>
        <w:rPr>
          <w:i/>
          <w:iCs/>
        </w:rPr>
        <w:t>= \arg\max_i w_i$ (the slot with highest bid).</w:t>
      </w:r>
      <w:r>
        <w:br/>
      </w:r>
      <w:r>
        <w:rPr>
          <w:i/>
          <w:iCs/>
        </w:rPr>
        <w:t>-</w:t>
      </w:r>
      <w:r>
        <w:t xml:space="preserve"> </w:t>
      </w:r>
      <w:r>
        <w:rPr>
          <w:i/>
          <w:iCs/>
        </w:rPr>
        <w:t>Slot update:</w:t>
      </w:r>
      <w:r>
        <w:t xml:space="preserve"> </w:t>
      </w:r>
      <w:r>
        <w:rPr>
          <w:i/>
          <w:iCs/>
        </w:rPr>
        <w:t>As before, backpropagate through $p$; since $w_{i^</w:t>
      </w:r>
      <w:r>
        <w:t>}$ is highest, most gradient flows into $\ell_{i^</w:t>
      </w:r>
      <w:r>
        <w:rPr>
          <w:i/>
          <w:iCs/>
        </w:rPr>
        <w:t>}$. (One can also explicitly backprop only through $p_{i^</w:t>
      </w:r>
      <w:r>
        <w:t>}$ if desired.)</w:t>
      </w:r>
      <w:r>
        <w:br/>
        <w:t xml:space="preserve">- </w:t>
      </w:r>
      <w:r>
        <w:rPr>
          <w:b/>
          <w:bCs/>
        </w:rPr>
        <w:t>No custom kernels:</w:t>
      </w:r>
      <w:r>
        <w:t xml:space="preserve"> All steps use dense matrix multiplies and elementwise ops. The “aggregation” is implemented by weighted averaging of logits – no scatter or dynamic graph changes.</w:t>
      </w:r>
    </w:p>
    <w:p w14:paraId="4F2AD666" w14:textId="77777777" w:rsidR="00D265FB" w:rsidRDefault="00000000">
      <w:pPr>
        <w:pStyle w:val="BodyText"/>
      </w:pPr>
      <w:r>
        <w:rPr>
          <w:b/>
          <w:bCs/>
        </w:rPr>
        <w:t>Rationale and BPB impact:</w:t>
      </w:r>
      <w:r>
        <w:t xml:space="preserve"> TASM lets all agents contribute to each prediction, improving robustness: the final output is a consensus, reducing errors due to any single slot. At the same time, it preserves targeted adaptation: slots still specialize (high bidders) and receive direct updates. The auction/softmax gating enforces that higher-confidence agents have more influence, similar to the proven token-auction model</w:t>
      </w:r>
      <w:hyperlink r:id="rId22" w:anchor=":~:text=1,qi%20qi%20from%20their%20LLM">
        <w:r>
          <w:rPr>
            <w:rStyle w:val="Hyperlink"/>
          </w:rPr>
          <w:t>[12]</w:t>
        </w:r>
      </w:hyperlink>
      <w:r>
        <w:t>. Because the output is a mixture, the effective model distribution can be sharper than any single agent’s, lowering perplexity. We expect BPB improvements comparable to or slightly below MALS: the soft blending dilutes some update focus but adds ensemble benefits. Roughly, if MALS could cut BPB by ~0.03–0.05, TASM might achieve ~0.02–0.04 BPB reduction (since it still directs learning but also smooths outputs). In practical terms, even a ~2% absolute BPB drop (0.02 on 1.12) is significant. This is consistent with TTL findings: focusing training on high-uncertainty samples and combining multiple perspectives yields large gains</w:t>
      </w:r>
      <w:hyperlink r:id="rId23" w:anchor=":~:text=Benchmark%20and%20Experimental%20Validation%20of,original%20LLMs%20on%20domain%20knowledge">
        <w:r>
          <w:rPr>
            <w:rStyle w:val="Hyperlink"/>
          </w:rPr>
          <w:t>[8]</w:t>
        </w:r>
      </w:hyperlink>
      <w:hyperlink r:id="rId24" w:anchor=":~:text=1,qi%20qi%20from%20their%20LLM">
        <w:r>
          <w:rPr>
            <w:rStyle w:val="Hyperlink"/>
          </w:rPr>
          <w:t>[12]</w:t>
        </w:r>
      </w:hyperlink>
      <w:r>
        <w:t>.</w:t>
      </w:r>
    </w:p>
    <w:p w14:paraId="396FE265" w14:textId="77777777" w:rsidR="00D265FB" w:rsidRDefault="00000000">
      <w:pPr>
        <w:pStyle w:val="Heading2"/>
      </w:pPr>
      <w:bookmarkStart w:id="5" w:name="implementation-hardware-reality"/>
      <w:bookmarkEnd w:id="4"/>
      <w:r>
        <w:t>Implementation &amp; Hardware Reality</w:t>
      </w:r>
    </w:p>
    <w:p w14:paraId="144D0048" w14:textId="77777777" w:rsidR="00D265FB" w:rsidRDefault="00000000">
      <w:pPr>
        <w:pStyle w:val="FirstParagraph"/>
      </w:pPr>
      <w:r>
        <w:t xml:space="preserve">Both proposals fit the 11-layer PyTorch transformer chassis with no exotic ops. Each adds only a few extra weight matrices/vectors (on the order of </w:t>
      </w:r>
      <w:r>
        <w:rPr>
          <w:i/>
          <w:iCs/>
        </w:rPr>
        <w:t>K</w:t>
      </w:r>
      <w:r>
        <w:t xml:space="preserve">×512 floats) and a small gating projection. All new computations are simple additions and matrix multiplies. There is </w:t>
      </w:r>
      <w:r>
        <w:rPr>
          <w:b/>
          <w:bCs/>
        </w:rPr>
        <w:t>no</w:t>
      </w:r>
      <w:r>
        <w:t xml:space="preserve"> token routing or custom CUDA: we explicitly compute each slot’s contribution and combine them with standard PyTorch. Quantization (INT6) and zstd compression apply equally to the added weights. Training remains 10 min on 8×H100 as usual, since overhead is minimal (only </w:t>
      </w:r>
      <w:r>
        <w:rPr>
          <w:i/>
          <w:iCs/>
        </w:rPr>
        <w:t>K</w:t>
      </w:r>
      <w:r>
        <w:t xml:space="preserve"> forward passes per token). In summary, each design can be implemented end-to-end in pure PyTorch with existing ops </w:t>
      </w:r>
      <w:r>
        <w:lastRenderedPageBreak/>
        <w:t>(F.scaled_dot_product_attention is unchanged, plus ordinary linear layers) and respects the artifact-size and time constraints.</w:t>
      </w:r>
    </w:p>
    <w:p w14:paraId="6910777C" w14:textId="77777777" w:rsidR="00D265FB" w:rsidRDefault="00000000">
      <w:pPr>
        <w:pStyle w:val="Heading2"/>
      </w:pPr>
      <w:bookmarkStart w:id="6" w:name="expected-bits-per-byte-impact-ev"/>
      <w:bookmarkEnd w:id="5"/>
      <w:r>
        <w:t>Expected Bits-Per-Byte Impact (EV)</w:t>
      </w:r>
    </w:p>
    <w:p w14:paraId="53EAC447" w14:textId="2049AC01" w:rsidR="00D265FB" w:rsidRDefault="00000000" w:rsidP="006B7BC2">
      <w:pPr>
        <w:pStyle w:val="FirstParagraph"/>
      </w:pPr>
      <w:r>
        <w:t xml:space="preserve">By giving the model multiple adaptive “heads” for test-time learning, we effectively </w:t>
      </w:r>
      <w:r>
        <w:rPr>
          <w:b/>
          <w:bCs/>
        </w:rPr>
        <w:t>increase its context-fitting capacity</w:t>
      </w:r>
      <w:r>
        <w:t xml:space="preserve"> within the same parameter budget. Empirically, test-time adaptation and memory modules can yield large relative gains (e.g. &gt;20% performance boost reported for domain adaptation</w:t>
      </w:r>
      <w:hyperlink r:id="rId25" w:anchor=":~:text=Benchmark%20and%20Experimental%20Validation%20of,original%20LLMs%20on%20domain%20knowledge">
        <w:r>
          <w:rPr>
            <w:rStyle w:val="Hyperlink"/>
          </w:rPr>
          <w:t>[8]</w:t>
        </w:r>
      </w:hyperlink>
      <w:r>
        <w:t>). Translating to BPB: current SOTA is ~1.1147; a 5–10% relative perplexity reduction (~0.05–0.10 BPB) would be groundbreaking. Concretely, if MALS or TASM can capture even a fraction of the 20% improvement seen in TTL, we expect at least a few hundredths of BPB dropped. For instance, a conservative 2–3% overall perplexity gain (≈0.02–0.03 bpb) would lower 1.12</w:t>
      </w:r>
      <w:r>
        <w:rPr>
          <w:rFonts w:ascii="Arial" w:hAnsi="Arial" w:cs="Arial"/>
        </w:rPr>
        <w:t> </w:t>
      </w:r>
      <w:r>
        <w:t>bpb to ~1.09–1.10, outpacing current methods. (By comparison, naive TTT moves were ≈0.03</w:t>
      </w:r>
      <w:r>
        <w:rPr>
          <w:rFonts w:ascii="Arial" w:hAnsi="Arial" w:cs="Arial"/>
        </w:rPr>
        <w:t> </w:t>
      </w:r>
      <w:r>
        <w:t>bpb</w:t>
      </w:r>
      <w:hyperlink r:id="rId26" w:anchor=":~:text=and%20tuned%20training%20schedules,The%20competition%20runs">
        <w:r>
          <w:rPr>
            <w:rStyle w:val="Hyperlink"/>
          </w:rPr>
          <w:t>[9]</w:t>
        </w:r>
      </w:hyperlink>
      <w:hyperlink r:id="rId27" w:anchor=":~:text=2,all%20eval%20under%2010%20min">
        <w:r>
          <w:rPr>
            <w:rStyle w:val="Hyperlink"/>
          </w:rPr>
          <w:t>[10]</w:t>
        </w:r>
      </w:hyperlink>
      <w:r>
        <w:t>.) Given the difficulty of the final digits, even small gains matter: e.g. 0.01</w:t>
      </w:r>
      <w:r>
        <w:rPr>
          <w:rFonts w:ascii="Arial" w:hAnsi="Arial" w:cs="Arial"/>
        </w:rPr>
        <w:t> </w:t>
      </w:r>
      <w:r>
        <w:t xml:space="preserve">bpb is a &gt;0.9% relative win. In short, both architectures target precisely the hard frontier tokens that dominate bits-per-byte, so we anticipate they yield </w:t>
      </w:r>
      <w:r>
        <w:rPr>
          <w:b/>
          <w:bCs/>
        </w:rPr>
        <w:t>non-negligible BPB reductions</w:t>
      </w:r>
      <w:r>
        <w:t xml:space="preserve"> beyond existing SOTA.</w:t>
      </w:r>
      <w:bookmarkStart w:id="7" w:name="citations"/>
      <w:bookmarkEnd w:id="1"/>
      <w:bookmarkEnd w:id="2"/>
      <w:bookmarkEnd w:id="6"/>
      <w:bookmarkEnd w:id="7"/>
    </w:p>
    <w:sectPr w:rsidR="00D265FB"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78F6194C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" w16cid:durableId="9051422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5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D265FB"/>
    <w:rsid w:val="00621F79"/>
    <w:rsid w:val="006B7BC2"/>
    <w:rsid w:val="00D265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C8D415"/>
  <w15:docId w15:val="{BDA1DA45-06D9-1D44-AD2E-030EE5C98E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arxiv.org/abs/2512.20111" TargetMode="External"/><Relationship Id="rId13" Type="http://schemas.openxmlformats.org/officeDocument/2006/relationships/hyperlink" Target="https://arxiv.org/html/2505.20633v1" TargetMode="External"/><Relationship Id="rId18" Type="http://schemas.openxmlformats.org/officeDocument/2006/relationships/hyperlink" Target="https://www.linkedin.com/posts/saizen-acuity_reinforcementlearning-dqn-ai-activity-7442163710628024321-NXMa" TargetMode="External"/><Relationship Id="rId26" Type="http://schemas.openxmlformats.org/officeDocument/2006/relationships/hyperlink" Target="https://www.linkedin.com/posts/saizen-acuity_reinforcementlearning-dqn-ai-activity-7442163710628024321-NXMa" TargetMode="External"/><Relationship Id="rId3" Type="http://schemas.openxmlformats.org/officeDocument/2006/relationships/settings" Target="settings.xml"/><Relationship Id="rId21" Type="http://schemas.openxmlformats.org/officeDocument/2006/relationships/hyperlink" Target="https://mlops.substack.com/p/token-auction-model" TargetMode="External"/><Relationship Id="rId7" Type="http://schemas.openxmlformats.org/officeDocument/2006/relationships/hyperlink" Target="https://arxiv.org/abs/2512.20111" TargetMode="External"/><Relationship Id="rId12" Type="http://schemas.openxmlformats.org/officeDocument/2006/relationships/hyperlink" Target="https://arxiv.org/html/2505.20633v1" TargetMode="External"/><Relationship Id="rId17" Type="http://schemas.openxmlformats.org/officeDocument/2006/relationships/hyperlink" Target="https://arxiv.org/html/2505.20633v1" TargetMode="External"/><Relationship Id="rId25" Type="http://schemas.openxmlformats.org/officeDocument/2006/relationships/hyperlink" Target="https://arxiv.org/html/2505.20633v1" TargetMode="External"/><Relationship Id="rId2" Type="http://schemas.openxmlformats.org/officeDocument/2006/relationships/styles" Target="styles.xml"/><Relationship Id="rId16" Type="http://schemas.openxmlformats.org/officeDocument/2006/relationships/hyperlink" Target="https://golfsummit.dev/post/9fa732ea-c3e8-4486-bba5-ad710d848f37" TargetMode="External"/><Relationship Id="rId20" Type="http://schemas.openxmlformats.org/officeDocument/2006/relationships/hyperlink" Target="https://mlops.substack.com/p/token-auction-model" TargetMode="External"/><Relationship Id="rId29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hyperlink" Target="https://arxiv.org/html/2603.07379v1" TargetMode="External"/><Relationship Id="rId11" Type="http://schemas.openxmlformats.org/officeDocument/2006/relationships/hyperlink" Target="https://arxiv.org/html/2505.20633v1" TargetMode="External"/><Relationship Id="rId24" Type="http://schemas.openxmlformats.org/officeDocument/2006/relationships/hyperlink" Target="https://mlops.substack.com/p/token-auction-model" TargetMode="External"/><Relationship Id="rId5" Type="http://schemas.openxmlformats.org/officeDocument/2006/relationships/hyperlink" Target="https://arxiv.org/html/2603.07379v1" TargetMode="External"/><Relationship Id="rId15" Type="http://schemas.openxmlformats.org/officeDocument/2006/relationships/hyperlink" Target="https://golfsummit.dev/post/9fa732ea-c3e8-4486-bba5-ad710d848f37" TargetMode="External"/><Relationship Id="rId23" Type="http://schemas.openxmlformats.org/officeDocument/2006/relationships/hyperlink" Target="https://arxiv.org/html/2505.20633v1" TargetMode="External"/><Relationship Id="rId28" Type="http://schemas.openxmlformats.org/officeDocument/2006/relationships/fontTable" Target="fontTable.xml"/><Relationship Id="rId10" Type="http://schemas.openxmlformats.org/officeDocument/2006/relationships/hyperlink" Target="https://ar5iv.labs.arxiv.org/html/2501.00663" TargetMode="External"/><Relationship Id="rId19" Type="http://schemas.openxmlformats.org/officeDocument/2006/relationships/hyperlink" Target="https://arxiv.org/html/2505.20633v1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frontiersin.org/journals/artificial-intelligence/articles/10.3389/frai.2025.1730614/full" TargetMode="External"/><Relationship Id="rId14" Type="http://schemas.openxmlformats.org/officeDocument/2006/relationships/hyperlink" Target="https://www.linkedin.com/posts/saizen-acuity_reinforcementlearning-dqn-ai-activity-7442163710628024321-NXMa" TargetMode="External"/><Relationship Id="rId22" Type="http://schemas.openxmlformats.org/officeDocument/2006/relationships/hyperlink" Target="https://mlops.substack.com/p/token-auction-model" TargetMode="External"/><Relationship Id="rId27" Type="http://schemas.openxmlformats.org/officeDocument/2006/relationships/hyperlink" Target="https://golfsummit.dev/post/9fa732ea-c3e8-4486-bba5-ad710d848f37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4</Pages>
  <Words>1967</Words>
  <Characters>12058</Characters>
  <Application>Microsoft Office Word</Application>
  <DocSecurity>0</DocSecurity>
  <Lines>191</Lines>
  <Paragraphs>44</Paragraphs>
  <ScaleCrop>false</ScaleCrop>
  <Company/>
  <LinksUpToDate>false</LinksUpToDate>
  <CharactersWithSpaces>13981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Bala Subramanyam Duggirala</cp:lastModifiedBy>
  <cp:revision>2</cp:revision>
  <dcterms:created xsi:type="dcterms:W3CDTF">2026-04-07T00:41:00Z</dcterms:created>
  <dcterms:modified xsi:type="dcterms:W3CDTF">2026-04-07T00:41:00Z</dcterms:modified>
  <dc:language>en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enerator">
    <vt:lpwstr>ChatGPT Deep Research</vt:lpwstr>
  </property>
</Properties>
</file>