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6C2BD9"/>
          <w:sz w:val="40"/>
          <w:szCs w:val="40"/>
        </w:rPr>
        <w:t xml:space="preserve">Conversion Workbench — Features Overview</w:t>
      </w:r>
    </w:p>
    <w:p>
      <w:pPr>
        <w:pBdr>
          <w:bottom w:val="single" w:color="D9D2F2" w:sz="6"/>
        </w:pBdr>
        <w:spacing w:after="240"/>
      </w:pPr>
      <w:r>
        <w:rPr>
          <w:i/>
          <w:iCs/>
          <w:color w:val="5F5E5A"/>
          <w:sz w:val="22"/>
          <w:szCs w:val="22"/>
        </w:rPr>
        <w:t xml:space="preserve">What the tool does, and how it is put together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In short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The Conversion Workbench converts legacy ERP and PLM master data into Oracle Fusion load files, FBDI for ERP objects and HDL for HCM, and keeps every analyst decision as a reusable rule so later conversions run with far less manual work. The diagram below shows how the pieces fit.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F5E5A"/>
          <w:sz w:val="18"/>
          <w:szCs w:val="18"/>
        </w:rPr>
        <w:t xml:space="preserve">How the tool is put together.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Sources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Excel and CSV files, including the messy exports real systems produce; the parser handles wrong file signatures, HTML-as-xls, UTF-16 and corrupt stylesheets.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NetSuite, Infor SyteLine, Arena/eBOS (EBOS, Ratana Lee, Anaplan), Workday and Salesforce.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Direct database and Oracle EBS connections, with synonym and view resolution.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Column profiling on upload (type, distinct count, fill rate, samples), stored so it survives a restart.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What it produces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Oracle Fusion FBDI: one CSV per interface sheet, zipped, in the template's column order and with Oracle's exact headers.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Oracle HCM HDL (.dat) for HCM objects.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The full multi-sheet set per object: Customer (19 sheets), Item / Product Hub (17 sheets), Supplier (6 objects), and others.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One source file can produce a whole related object set in a single pass.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Mapping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A fixed order of preference: golden record, learnings, mapping workbook, your rules, the deterministic matcher, defaults, and AI last.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A deterministic matcher that reads column names, a synonym dictionary, field descriptions, the actual values against the target list, sample patterns and data types, so most fields never reach the AI.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AI only for the leftover fields, batched with samples and a confidence score; the model is selectable to manage cost.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On large objects the AI pass is skipped, and the deterministic and learned layers do the work.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Ranked alternative source columns offered for each field.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Transformations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Value crosswalks (for example Approved becomes SPEND_AUTHORIZED).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Conditional logic on a source column (Email Transactions = Yes becomes EMAIL).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Phone and fax splitting into country, area, number and extension.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Boolean mapping, conditional dates, concatenation, coalesce, prefix/suffix, date reformatting and computed values.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Fixed constants pinned into a field for every row.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The knowledge base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Rules are stored as column mappings, field suppressions, default values, do-not-map flags and reference standards.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They are scoped to a client, or marked global when they describe a source system rather than one engagement.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Approvals, gold-verified values, fixed values and rules are captured automatically.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Stored rules apply ahead of AI on the next matching conversion.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The Item and Supplier analyst mapping documents are already loaded as rules, value crosswalks included.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The Rule Library and Crosswalk Library let you read and edit them; noisy source columns can be flagged as do-not-map so AI leaves them alone.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Gold standards and steering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Upload a known-good output and the tool reads its mappings, defaults and blank fields and applies them at generate.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Gold files can be kept in a shared library without a project, uploaded several at a time.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A typed instruction can nudge a mapping in plain English.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Coded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Each field's allowed values and lookup type are read from the FBDI template.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The tool reports how many source values resolve against the target list, by exact match, meaning, synonym or fuzzy match.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Lookup codes can be imported and crosswalks managed; coded columns that still need attention are flagged before you generate.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Data quality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Legacy placeholders (NULL, N/A, NONE) are cleared to empty cells.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Dates are normalised to Oracle's YYYYMMDD.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Hyphens are preserved in item numbers, class codes and part numbers.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AI can flag data-quality problems, suggest cleansing, and explain load errors with a fix.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Validation and Simulate Load run before the real load.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Generation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Runs in the background with a live status, so large loads do not time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Writes one sheet at a time to keep memory flat on wide files.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Fills only the sheets that carry real data and leaves the optional ones as empty headers.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Produces a CSV zip quickly, with an XLSX option, and can bundle a whole object set for download.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Repairs a conversion that is on the wrong template automatically, at mapping time.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The review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A drag-to-map canvas and a table view, with a bar showing which layer decided each field.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Fields that repeat across interface sheets carry their sheet name so the copies are distinct.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Fixed-value, override, custom-rule and reset-default controls on each field.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A suggestions panel with Apply and Apply &amp; Learn.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The highest-priority mapping per field wins, so a rejected mapping never exports as a suggestion.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Environments and platform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DEV, QA, UAT and PROD with promotion between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Migration Monitor, Load Runs, Error Traceback and a Dependency Graph for the load sequence.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Dataset management (delete, replace, cascade) and a new-engagement flow for file or database sources.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Built on FastAPI with MongoDB and GridFS, a React and TypeScript front end, hosted on Render, with seeders that run on startup.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Performance and scale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Built and tuned on 40 MB extracts of 100,000+ rows, so files of a few thousand rows are routine.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The row transform runs in chunks of 25,000 rows, each on a worker thread, then concatenated. Because the transforms are row-local, chunk-then-concat gives byte-identical output to a single pass, while peak memory stays at about one chunk rather than the whole file.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The heavy work (the transform, coded-value enforcement and the file write) runs off the event loop through asyncio.to_thread, so a large conversion does not block other users.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Generation is a background job that the screen polls, so a big load never runs into the gateway timeout.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Output is written one interface sheet at a time and freed before the next, so a 19-sheet Customer load never holds every sheet in memory at once; the CSVs stream into a compressed zip.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Excel is read in read-only mode and CSV through the fast C parser. Profiling works on a 3,000-row sample while the true row count comes from a cheap dimension read, and column profiles are written in one bulk insert.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Mapping is deterministic-first, and on objects with more than 300 fields the AI pass is skipped, so most runs make few or no AI calls regardless of row count.</w:t>
      </w:r>
    </w:p>
    <w:p>
      <w:pPr>
        <w:pStyle w:val="Heading1"/>
        <w:spacing w:after="100" w:before="260"/>
      </w:pPr>
      <w:r>
        <w:rPr>
          <w:b/>
          <w:bCs/>
          <w:color w:val="6C2BD9"/>
          <w:sz w:val="28"/>
          <w:szCs w:val="28"/>
        </w:rPr>
        <w:t xml:space="preserve">Still to come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Extensible Flexfields for Item. Most of NextPower's item attributes load as EFF rather than standard columns; the design is written up and waiting on the client's flexfield configuration export.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222"/>
          <w:sz w:val="21"/>
          <w:szCs w:val="21"/>
        </w:rPr>
        <w:t xml:space="preserve">Supplier value crosswalks for Tax Organization Type and Supplier Type, once the real source values are available.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708a9f792aa9ddd70a534efd4433dcfc0ad919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2026-07-22T02:21:41.316Z</dcterms:created>
  <dcterms:modified xsi:type="dcterms:W3CDTF">2026-07-22T02:21:41.316Z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