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TRINAMIX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Conversion Workbench — Feature Overview</w:t>
      </w:r>
    </w:p>
    <w:p>
      <w:pPr>
        <w:pBdr>
          <w:bottom w:val="single" w:color="2E75B6" w:sz="12"/>
        </w:pBdr>
        <w:spacing w:after="4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 plain-language guide for business users</w:t>
      </w:r>
    </w:p>
    <w:p>
      <w:pPr>
        <w:spacing w:after="220" w:before="1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AI-powered features are highlighted in </w:t>
      </w: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green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. Every AI feature has a safe fallback — if the AI service is unavailable, the tool uses its built-in rules instead, so a conversion never stalls.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Everyday features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Bring in your data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Upload Excel or CSV files or connect a system; for multi-tab workbooks, choose which sheets to import (each becomes its own source).</w:t>
            </w:r>
          </w:p>
        </w:tc>
      </w:tr>
      <w:tr>
        <w:tc>
          <w:tcPr>
            <w:tcW w:type="dxa" w:w="30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Organize by client and project</w:t>
            </w:r>
          </w:p>
        </w:tc>
        <w:tc>
          <w:tcPr>
            <w:tcW w:type="dxa" w:w="63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Every engagement keeps its own source files, mappings, and history, scoped to the client.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Oracle template library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Built-in Oracle interfaces for Supplier, Item, BOM, Customer, and Employee, ready to map against.</w:t>
            </w:r>
          </w:p>
        </w:tc>
      </w:tr>
      <w:tr>
        <w:tc>
          <w:tcPr>
            <w:tcW w:type="dxa" w:w="30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Review and adjust mappings</w:t>
            </w:r>
          </w:p>
        </w:tc>
        <w:tc>
          <w:tcPr>
            <w:tcW w:type="dxa" w:w="63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Approve, change, or set fixed values; export the mapping as a clean Excel workbook grouped by confidence.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Generate load-ready output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Produce the Oracle-ready CSV bundle, or the real Oracle template filled in with your data.</w:t>
            </w:r>
          </w:p>
        </w:tc>
      </w:tr>
      <w:tr>
        <w:tc>
          <w:tcPr>
            <w:tcW w:type="dxa" w:w="30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Combine many sources into one</w:t>
            </w:r>
          </w:p>
        </w:tc>
        <w:tc>
          <w:tcPr>
            <w:tcW w:type="dxa" w:w="63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Several source files for one interface merge into a single de-duplicated, validated file.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Cutover readiness score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0-100 readiness score and effort estimate per object, so you can see what's ready to load.</w:t>
            </w:r>
          </w:p>
        </w:tc>
      </w:tr>
      <w:tr>
        <w:tc>
          <w:tcPr>
            <w:tcW w:type="dxa" w:w="30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Sample test data</w:t>
            </w:r>
          </w:p>
        </w:tc>
        <w:tc>
          <w:tcPr>
            <w:tcW w:type="dxa" w:w="63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Generate realistic sample rows for a load rehearsal or a demo, with no real client data.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Load and reconcile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Load to Oracle, then reconcile source vs output vs loaded record counts.</w:t>
            </w:r>
          </w:p>
        </w:tc>
      </w:tr>
      <w:tr>
        <w:tc>
          <w:tcPr>
            <w:tcW w:type="dxa" w:w="30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Reusable knowledge library</w:t>
            </w:r>
          </w:p>
        </w:tc>
        <w:tc>
          <w:tcPr>
            <w:tcW w:type="dxa" w:w="63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Approved mappings and gold-standard files are remembered and reused on the next engagement.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E7B34"/>
          <w:sz w:val="28"/>
          <w:szCs w:val="28"/>
        </w:rPr>
        <w:t xml:space="preserve">AI-powered features</w:t>
      </w:r>
    </w:p>
    <w:p>
      <w:pPr>
        <w:spacing w:after="140" w:before="0" w:line="276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These accelerate the work; results are always reviewable before they affect anything.</w:t>
      </w:r>
    </w:p>
    <w:tbl>
      <w:tblPr>
        <w:tblW w:type="dxa" w:w="9360"/>
        <w:tblBorders>
          <w:top w:val="single" w:color="9FD8B3" w:sz="4"/>
          <w:left w:val="single" w:color="9FD8B3" w:sz="4"/>
          <w:bottom w:val="single" w:color="9FD8B3" w:sz="4"/>
          <w:right w:val="single" w:color="9FD8B3" w:sz="4"/>
          <w:insideH w:val="single" w:color="9FD8B3" w:sz="4"/>
          <w:insideV w:val="single" w:color="9FD8B3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7B3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shd w:fill="1E7B3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Auto-map fields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Suggests the best source column for each Oracle field, with a confidence score and a reason.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Find duplicate records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Spots the same supplier or customer even when names and IDs differ (e.g. 'Acme Inc' vs 'ACME, Incorporated').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Data-quality review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Flags messy source values before they fail the load, and explains the risk in plain language.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Value crosswalks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Translates legacy codes into the exact values Oracle expects.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Proven by other clients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Suggests mappings and crosswalks other clients already approved for the same object.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Plain-English rules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Type a rule in everyday language and it becomes a working transformation you can confirm.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Draft quality rules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Proposes cleansing and validation rules from your data and the Oracle field spec.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Ask the copilot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Answers questions about a conversion ('why is this blank?') and cites where each answer came from.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Draft a conversion plan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Drafts the map, generate, and validate plan for every interface, for you to review and approve.</w:t>
            </w:r>
          </w:p>
        </w:tc>
      </w:tr>
      <w:tr>
        <w:tc>
          <w:tcPr>
            <w:tcW w:type="dxa" w:w="300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20"/>
                <w:szCs w:val="20"/>
              </w:rPr>
              <w:t xml:space="preserve">Explain load errors</w:t>
            </w:r>
          </w:p>
        </w:tc>
        <w:tc>
          <w:tcPr>
            <w:tcW w:type="dxa" w:w="6360"/>
            <w:shd w:fill="E7F6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E7B34"/>
                <w:sz w:val="20"/>
                <w:szCs w:val="20"/>
              </w:rPr>
              <w:t xml:space="preserve">Turns cryptic Oracle rejection messages into a plain cause and a concrete fix.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2026-07-27T14:02:39.268Z</dcterms:created>
  <dcterms:modified xsi:type="dcterms:W3CDTF">2026-07-27T14:02:39.270Z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