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TRINAMIX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Conversion Workbench — Feature Verification Guide</w:t>
      </w:r>
    </w:p>
    <w:p>
      <w:pPr>
        <w:pBdr>
          <w:bottom w:val="single" w:color="2E75B6" w:sz="12"/>
        </w:pBdr>
        <w:spacing w:after="40"/>
      </w:pPr>
      <w:r>
        <w:rPr>
          <w:rFonts w:ascii="Calibri" w:cs="Calibri" w:eastAsia="Calibri" w:hAnsi="Calibri"/>
          <w:i/>
          <w:iCs/>
          <w:color w:val="6B7280"/>
          <w:sz w:val="23"/>
          <w:szCs w:val="23"/>
        </w:rPr>
        <w:t xml:space="preserve">Step-by-step UAT checklist — each feature shown on the live app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to use: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follow the steps for each feature and confirm the expected result against the screenshot below it, captured from the live app. A few interaction-only steps show a dashed box with a note — capture those during UAT. AI-powered features are marked </w:t>
      </w: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green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Tester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Environment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Overall result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0.  One-time setup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Sign in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https://tx-conversion-workbench.onrender.com in a browser.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Sign in with your Conversion Workbench credentials.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Confirm the dashboard loads.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You land on the dashboard with the left navigation visible.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dashboard right after sign-in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Choose the client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Use the client picker at the top of the page.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Select the client you're working on (e.g. NextPower).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The selected client name shows, and lists are scoped to that client.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client picker with the client selected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 Everyday features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Bring in your data (multi-sheet workbook)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Go to Datasets and click Create Dataset.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Drop or browse to a workbook that has more than one tab (e.g. a Customer + Address workbook).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When the sheet picker appears, tick the sheets you want to import.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Click 'Upload N sheets &amp; profile'.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One source dataset is created per selected sheet, each showing that sheet's own columns (not just the largest sheet).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Create Dataset modal showing the multi-sheet picker with checkboxes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Shown: the Datasets area. The multi-sheet picker with checkboxes appears in the Create Dataset dialog while a multi-tab workbook uploads.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Organize by client and project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Go to Projects and open (or create) a project for the client.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Review the conversions listed under the project.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The project shows its interface objects (conversions) and their status.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Project Overview with its conversions list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Oracle template library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FBDI Templates from the left navigation.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Confirm the Oracle interfaces are present (Supplier, Item, BOM, Customer, Employee).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Each template lists its fields and sheets.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FBDI Templates list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Review and adjust mappings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conversion and go to Mapping Review.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Change a mapping, set a fixed value on a field, or approve a suggestion.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The change is saved and reflected in the mapping row.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Mapping Review table with a field selected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Export the mapping as Excel (Issue #3)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In Mapping Review, click 'Export mapping (Excel)'.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Open the downloaded workbook.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Summary sheet lists a count per confidence band, plus one sheet per non-empty band (Target FBDI Field / Suggested Source Field / Confidence % / Reason / Excluded).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downloaded workbook — Summary tab and one confidence-band tab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The 'Export mapping (Excel)' button is top-right of the table. The downloaded workbook has a Summary tab plus one tab per confidence band.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Generate load-ready output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conversion and go to Output Preview.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 Re-generate, then 'This file (.csv)' to download the FBDI CSV bundle.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On Project Overview, click the per-row 'Excel' button to download the filled-in Oracle template.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The CSV bundle downloads and opens cleanly; the .xlsm opens with your data in the correct sheet (e.g. POZ_SUPPLIERS_INT), sample rows removed.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Output Preview and the opened filled Oracle template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Output Preview with the 'This file (.csv)' and 'Download all FBDI' buttons. The per-row 'Excel' button on Project Overview downloads the filled-in Oracle .xlsm.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Combine many sources into one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project where one interface has two source files (e.g. eBOS + NetSuite supplier).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 'Download all FBDI' (or 'Download all (Excel templates)').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One merged, de-duplicated file per interface — not one per source.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downloaded .zip contents (one file per interface)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'Download all FBDI' and 'Download all (Excel templates)' merge every source for an interface into one de-duplicated file.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Cutover readiness score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conversion's detail page.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Find the 'Cutover readiness' card.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0-100 score, a band (Ready / Needs minor work / …), coverage %, and an effort estimate.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Cutover readiness card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Sample test data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Go to FBDI Templates.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 the 'Sample data' (flask) button on a template row.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Open the downloaded file.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Realistic, type-valid sample rows for that interface (for a load rehearsal or demo).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downloaded sample-data file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Use the 'Sample data' (flask) button on a template row; a type-valid sample file downloads to your computer.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Load and reconcile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the Load Runs / Reconciliation area for a conversion.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Source vs output vs loaded counts with a written reconciliation summary.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Reconciliation view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Reusable knowledge library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Gold Standards and Learning Center from the left navigation.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Approved mappings and gold-standard files are listed and reused on new conversions.</w:t>
      </w:r>
    </w:p>
    <w:tbl>
      <w:tblPr>
        <w:tblW w:type="dxa" w:w="9360"/>
        <w:tblBorders>
          <w:top w:val="single" w:color="B4B2A9" w:sz="6"/>
          <w:left w:val="single" w:color="B4B2A9" w:sz="6"/>
          <w:bottom w:val="single" w:color="B4B2A9" w:sz="6"/>
          <w:right w:val="single" w:color="B4B2A9" w:sz="6"/>
          <w:insideH w:val="single" w:color="B4B2A9" w:sz="6"/>
          <w:insideV w:val="single" w:color="B4B2A9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A"/>
                <w:sz w:val="19"/>
                <w:szCs w:val="19"/>
              </w:rPr>
              <w:t xml:space="preserve">Screenshot: the Learning Center (or Gold Standards) list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E7B34"/>
          <w:sz w:val="26"/>
          <w:szCs w:val="26"/>
        </w:rPr>
        <w:t xml:space="preserve">2.  AI-powered features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Each AI feature is assistive and reviewable; if the AI service is unavailable the tool falls back to its built-in rules.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Auto-map fields (confidence — Issue #4)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In Mapping Review, click 'Run AI Mapping'.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Review the Confidence % column and the top suggestion per field.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Genuine matches show a meaningful confidence (e.g. a lifecycle-phase source column maps to Lifecycle Phase around 80%), while unrelated columns stay low.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Mapping Review table showing the Confidence % column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Find duplicate records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conversion and go to Output Preview.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Open the 'Duplicate suspects' tab.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Optionally click 'Adjudicate with AI'.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Groups of records that are likely the same entity (e.g. 'Acme Inc' vs 'ACME, Incorporated') with a confidence and the fields matched.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Duplicate suspects tab with at least one group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This sample was clean, so the scan reports no near-duplicates; suspected groups appear here when present, with 'Adjudicate with AI'.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Source data-quality review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Dataset's detail page.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Open the 'Anomalies' tab.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Optionally click 'Explain risks with AI'.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Flags for nulls, mixed types, outliers, embedded units, casing variants, etc., each with severity, count and examples.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Anomalies tab listing findings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Per-column profiling flags missing %, distinct counts and type issues; the side panel proposes de-dup and fill rules.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Value crosswalks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In Mapping Review, select a mapped field.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Open the value-mappings panel and review the suggested legacy-value → Oracle-code pairs; accept one.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Legacy values are translated to valid Oracle lookup codes for that column.</w:t>
      </w:r>
    </w:p>
    <w:tbl>
      <w:tblPr>
        <w:tblW w:type="dxa" w:w="9360"/>
        <w:tblBorders>
          <w:top w:val="dashed" w:color="9FD8B3" w:sz="6"/>
          <w:left w:val="dashed" w:color="9FD8B3" w:sz="6"/>
          <w:bottom w:val="dashed" w:color="9FD8B3" w:sz="6"/>
          <w:right w:val="dashed" w:color="9FD8B3" w:sz="6"/>
          <w:insideH w:val="dashed" w:color="9FD8B3" w:sz="6"/>
          <w:insideV w:val="dashed" w:color="9FD8B3" w:sz="6"/>
        </w:tblBorders>
      </w:tblPr>
      <w:tblGrid>
        <w:gridCol w:w="9360"/>
      </w:tblGrid>
      <w:tr>
        <w:tc>
          <w:tcPr>
            <w:tcW w:type="dxa" w:w="9360"/>
            <w:shd w:fill="E7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value-crosswalk panel with suggestions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Interactive — open a coded field's value panel (see 'Coded values (Oracle LOVs)' in Mapping Review) and capture during UAT.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Proven by other clients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conversion's detail page.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Find the 'Proven by other clients' card and click Show suggestions.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Mappings/crosswalks other clients approved for the same object, ranked by how many clients use each.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Proven by other clients card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</w:rPr>
              <w:t xml:space="preserve">The 'Proven by other clients' card; click 'Show suggestions' to list mappings other clients approved for this object.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Plain-English rules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In Mapping Review, open the rule author for a field.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Type an instruction in plain language (e.g. 'if status is X set it to Y') and generate the rule.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structured transformation rule is drafted for you to confirm and save.</w:t>
      </w:r>
    </w:p>
    <w:tbl>
      <w:tblPr>
        <w:tblW w:type="dxa" w:w="9360"/>
        <w:tblBorders>
          <w:top w:val="dashed" w:color="9FD8B3" w:sz="6"/>
          <w:left w:val="dashed" w:color="9FD8B3" w:sz="6"/>
          <w:bottom w:val="dashed" w:color="9FD8B3" w:sz="6"/>
          <w:right w:val="dashed" w:color="9FD8B3" w:sz="6"/>
          <w:insideH w:val="dashed" w:color="9FD8B3" w:sz="6"/>
          <w:insideV w:val="dashed" w:color="9FD8B3" w:sz="6"/>
        </w:tblBorders>
      </w:tblPr>
      <w:tblGrid>
        <w:gridCol w:w="9360"/>
      </w:tblGrid>
      <w:tr>
        <w:tc>
          <w:tcPr>
            <w:tcW w:type="dxa" w:w="9360"/>
            <w:shd w:fill="E7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rule author showing the drafted rule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Interactive — open the rule author on a field, type an instruction, and capture the drafted rule during UAT.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Draft data-quality rules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the Validation &amp; Cleansing (Data Quality Rules) page.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 'AI suggest rules'.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Proposed cleansing and validation rules, for review and bulk-save.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DQ Rules page with AI-suggested rules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Ask the copilot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conversion's detail page.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In the 'Ask the copilot' card, type a question or click a suggested one (e.g. 'which required fields are unmapped?').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concise answer grounded in this conversion's data, with citations to where it came from.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Ask the copilot card with a cited answer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Draft a conversion plan (agentic)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Project Overview.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In the 'Agentic conversion plan (preview)' card, click Draft plan.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per-interface plan (map → generate → validate) with blockers and the precedence layer for each step. Nothing runs until approved.</w:t>
      </w:r>
    </w:p>
    <w:tbl>
      <w:tblPr>
        <w:tblW w:type="dxa" w:w="9360"/>
        <w:tblBorders>
          <w:top w:val="single" w:color="9FD8B3" w:sz="6"/>
          <w:left w:val="single" w:color="9FD8B3" w:sz="6"/>
          <w:bottom w:val="single" w:color="9FD8B3" w:sz="6"/>
          <w:right w:val="single" w:color="9FD8B3" w:sz="6"/>
          <w:insideH w:val="single" w:color="9FD8B3" w:sz="6"/>
          <w:insideV w:val="single" w:color="9FD8B3" w:sz="6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Agentic conversion plan card with per-object steps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E7B34"/>
          <w:sz w:val="22"/>
          <w:szCs w:val="22"/>
        </w:rPr>
        <w:t xml:space="preserve">Explain load errors</w:t>
      </w:r>
      <w:r>
        <w:rPr>
          <w:rFonts w:ascii="Calibri" w:cs="Calibri" w:eastAsia="Calibri" w:hAnsi="Calibri"/>
          <w:b/>
          <w:bCs/>
          <w:color w:val="1E7B34"/>
          <w:sz w:val="14"/>
          <w:szCs w:val="14"/>
        </w:rPr>
        <w:t xml:space="preserve">   AI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Open a load run that produced Oracle rejections.</w:t>
      </w:r>
    </w:p>
    <w:p>
      <w:pPr>
        <w:spacing w:after="40" w:line="260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 'Explain errors'.</w:t>
      </w:r>
    </w:p>
    <w:p>
      <w:pPr>
        <w:spacing w:after="80" w:line="260"/>
        <w:ind w:left="3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Expected: </w:t>
      </w: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Each error is turned into a plain-English root cause and a concrete fix.</w:t>
      </w:r>
    </w:p>
    <w:tbl>
      <w:tblPr>
        <w:tblW w:type="dxa" w:w="9360"/>
        <w:tblBorders>
          <w:top w:val="dashed" w:color="9FD8B3" w:sz="6"/>
          <w:left w:val="dashed" w:color="9FD8B3" w:sz="6"/>
          <w:bottom w:val="dashed" w:color="9FD8B3" w:sz="6"/>
          <w:right w:val="dashed" w:color="9FD8B3" w:sz="6"/>
          <w:insideH w:val="dashed" w:color="9FD8B3" w:sz="6"/>
          <w:insideV w:val="dashed" w:color="9FD8B3" w:sz="6"/>
        </w:tblBorders>
      </w:tblPr>
      <w:tblGrid>
        <w:gridCol w:w="9360"/>
      </w:tblGrid>
      <w:tr>
        <w:tc>
          <w:tcPr>
            <w:tcW w:type="dxa" w:w="9360"/>
            <w:shd w:fill="E7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Screenshot: the load-error explanations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Requires a load run with Oracle rejections; capture the 'Explain errors' output during UAT.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8518c9e12e152fec3d3f3f33d417a0b8fbeec7.jpg"/><Relationship Id="rId8" Type="http://schemas.openxmlformats.org/officeDocument/2006/relationships/image" Target="media/75399eb94d1db568facc173ce5e5ac0b3decaf91.jpg"/><Relationship Id="rId9" Type="http://schemas.openxmlformats.org/officeDocument/2006/relationships/image" Target="media/c801eee3939530e96214aa30ba6424598880d918.jpg"/><Relationship Id="rId10" Type="http://schemas.openxmlformats.org/officeDocument/2006/relationships/image" Target="media/19ef497689f35fccc3f92281501f820c7203fd33.jpg"/><Relationship Id="rId11" Type="http://schemas.openxmlformats.org/officeDocument/2006/relationships/image" Target="media/5cf7b943f0c36e1e31f84cf60b4c174e62b8bc56.jpg"/><Relationship Id="rId12" Type="http://schemas.openxmlformats.org/officeDocument/2006/relationships/image" Target="media/df00ed02a0ce5fe6cb2a37c27d00bde11533a6da.jpg"/><Relationship Id="rId13" Type="http://schemas.openxmlformats.org/officeDocument/2006/relationships/image" Target="media/a09e22ead16d7fbd56ae70ad53a800c3edd3fd65.jpg"/><Relationship Id="rId14" Type="http://schemas.openxmlformats.org/officeDocument/2006/relationships/image" Target="media/3c3049b0fc5687fc7b88a55d88e41c25a3af0ff2.jpg"/><Relationship Id="rId15" Type="http://schemas.openxmlformats.org/officeDocument/2006/relationships/image" Target="media/d65da410cc6eead1bfe8c5289065eeb7bc7c7f04.jpg"/><Relationship Id="rId16" Type="http://schemas.openxmlformats.org/officeDocument/2006/relationships/image" Target="media/579b064c7e4689596357a6f2555be980ec5ec564.jpg"/><Relationship Id="rId17" Type="http://schemas.openxmlformats.org/officeDocument/2006/relationships/image" Target="media/84a74b28cc510bb069e43cc61a25bf218daf2b33.jpg"/><Relationship Id="rId18" Type="http://schemas.openxmlformats.org/officeDocument/2006/relationships/image" Target="media/186357fa99f2e850f19346120a7f3af58a85577e.jpg"/><Relationship Id="rId19" Type="http://schemas.openxmlformats.org/officeDocument/2006/relationships/image" Target="media/dca1494802d879ea15368f39feb17677e57928a4.jpg"/><Relationship Id="rId20" Type="http://schemas.openxmlformats.org/officeDocument/2006/relationships/image" Target="media/fb9e0e9267d027d9700d39bca602d4eb7bdb9b4a.jpg"/><Relationship Id="rId21" Type="http://schemas.openxmlformats.org/officeDocument/2006/relationships/image" Target="media/4b6d702545c93ba20f0ea9ccbf98926d843d2a9b.jpg"/><Relationship Id="rId22" Type="http://schemas.openxmlformats.org/officeDocument/2006/relationships/image" Target="media/29b74aff1a2d32249ee3b70072571e7ce6557485.jpg"/><Relationship Id="rId23" Type="http://schemas.openxmlformats.org/officeDocument/2006/relationships/image" Target="media/c60eb0710cd9713009d120653e9ccb76fdbb73fd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2026-07-27T14:50:43.989Z</dcterms:created>
  <dcterms:modified xsi:type="dcterms:W3CDTF">2026-07-27T14:50:43.990Z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