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a2233"/>
          <w:sz w:val="34"/>
          <w:szCs w:val="34"/>
        </w:rPr>
        <w:t xml:space="preserve">Trinamix Conversion Workbench</w:t>
      </w:r>
    </w:p>
    <w:p>
      <w:pPr>
        <w:pBdr>
          <w:bottom w:val="single" w:color="dfe4ec" w:sz="6" w:space="8"/>
        </w:pBdr>
        <w:spacing w:after="60"/>
      </w:pPr>
      <w:r>
        <w:rPr>
          <w:rFonts w:ascii="Calibri" w:cs="Calibri" w:eastAsia="Calibri" w:hAnsi="Calibri"/>
          <w:color w:val="595e6b"/>
          <w:sz w:val="21"/>
          <w:szCs w:val="21"/>
        </w:rPr>
        <w:t xml:space="preserve">Legacy ERP to Oracle Fusion Cloud data conversion — architecture overview</w:t>
      </w:r>
    </w:p>
    <w:p>
      <w:pPr>
        <w:spacing w:after="120" w:before="200"/>
        <w:jc w:val="center"/>
      </w:pPr>
      <w:r>
        <w:drawing>
          <wp:inline distT="0" distB="0" distL="0" distR="0">
            <wp:extent cx="8572500" cy="489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Calibri" w:cs="Calibri" w:eastAsia="Calibri" w:hAnsi="Calibri"/>
          <w:i/>
          <w:iCs/>
          <w:color w:val="595e6b"/>
          <w:sz w:val="16"/>
          <w:szCs w:val="16"/>
        </w:rPr>
        <w:t xml:space="preserve">Conceptual overview. Component boundaries are indicative and do not represent deployment topology, data model or internal design.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2233"/>
          <w:sz w:val="34"/>
          <w:szCs w:val="34"/>
        </w:rPr>
        <w:t xml:space="preserve">How a conversion flows</w:t>
      </w:r>
    </w:p>
    <w:p>
      <w:pPr>
        <w:pBdr>
          <w:bottom w:val="single" w:color="dfe4ec" w:sz="6" w:space="8"/>
        </w:pBdr>
        <w:spacing w:after="60"/>
      </w:pPr>
      <w:r>
        <w:rPr>
          <w:rFonts w:ascii="Calibri" w:cs="Calibri" w:eastAsia="Calibri" w:hAnsi="Calibri"/>
          <w:color w:val="595e6b"/>
          <w:sz w:val="21"/>
          <w:szCs w:val="21"/>
        </w:rPr>
        <w:t xml:space="preserve">Four stages, run and re-run as often as the data requires</w:t>
      </w:r>
    </w:p>
    <w:p>
      <w:pPr>
        <w:spacing w:after="0" w:before="200"/>
      </w:pPr>
      <w:r>
        <w:rPr>
          <w:sz w:val="2"/>
          <w:szCs w:val="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40"/>
      </w:tblGrid>
      <w:tr>
        <w:tc>
          <w:tcPr>
            <w:tcW w:type="dxa" w:w="2800"/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233"/>
                <w:sz w:val="19"/>
                <w:szCs w:val="19"/>
              </w:rPr>
              <w:t xml:space="preserve">Stage</w:t>
            </w:r>
          </w:p>
        </w:tc>
        <w:tc>
          <w:tcPr>
            <w:tcW w:type="dxa" w:w="11040"/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233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233"/>
                <w:sz w:val="19"/>
                <w:szCs w:val="19"/>
              </w:rPr>
              <w:t xml:space="preserve">Ingest &amp; profile</w:t>
            </w:r>
          </w:p>
        </w:tc>
        <w:tc>
          <w:tcPr>
            <w:tcW w:type="dxa" w:w="1104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Reads the legacy extract, detects which system it came from and which Oracle object it feeds.</w:t>
            </w:r>
          </w:p>
        </w:tc>
      </w:tr>
      <w:tr>
        <w:tc>
          <w:tcPr>
            <w:tcW w:type="dxa" w:w="28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233"/>
                <w:sz w:val="19"/>
                <w:szCs w:val="19"/>
              </w:rPr>
              <w:t xml:space="preserve">Map</w:t>
            </w:r>
          </w:p>
        </w:tc>
        <w:tc>
          <w:tcPr>
            <w:tcW w:type="dxa" w:w="1104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Proposes the field mapping, constant defaults and transformations for review.</w:t>
            </w:r>
          </w:p>
        </w:tc>
      </w:tr>
      <w:tr>
        <w:tc>
          <w:tcPr>
            <w:tcW w:type="dxa" w:w="28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233"/>
                <w:sz w:val="19"/>
                <w:szCs w:val="19"/>
              </w:rPr>
              <w:t xml:space="preserve">Cleanse &amp; validate</w:t>
            </w:r>
          </w:p>
        </w:tc>
        <w:tc>
          <w:tcPr>
            <w:tcW w:type="dxa" w:w="1104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Applies data-quality checks, coded-value handling and required-field verification.</w:t>
            </w:r>
          </w:p>
        </w:tc>
      </w:tr>
      <w:tr>
        <w:tc>
          <w:tcPr>
            <w:tcW w:type="dxa" w:w="28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233"/>
                <w:sz w:val="19"/>
                <w:szCs w:val="19"/>
              </w:rPr>
              <w:t xml:space="preserve">Generate</w:t>
            </w:r>
          </w:p>
        </w:tc>
        <w:tc>
          <w:tcPr>
            <w:tcW w:type="dxa" w:w="1104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Builds the load files in the exact layout Oracle expects, in load-sequence order.</w:t>
            </w:r>
          </w:p>
        </w:tc>
      </w:tr>
    </w:tbl>
    <w:p>
      <w:pPr>
        <w:spacing w:after="110" w:before="320"/>
      </w:pPr>
      <w:r>
        <w:rPr>
          <w:rFonts w:ascii="Calibri" w:cs="Calibri" w:eastAsia="Calibri" w:hAnsi="Calibri"/>
          <w:b/>
          <w:bCs/>
          <w:color w:val="1a2233"/>
          <w:sz w:val="23"/>
          <w:szCs w:val="23"/>
        </w:rPr>
        <w:t xml:space="preserve">Two properties worth noting</w:t>
      </w:r>
    </w:p>
    <w:p>
      <w:pPr>
        <w:spacing w:after="130" w:before="0"/>
      </w:pPr>
      <w:r>
        <w:rPr>
          <w:rFonts w:ascii="Calibri" w:cs="Calibri" w:eastAsia="Calibri" w:hAnsi="Calibri"/>
          <w:color w:val="1a2233"/>
          <w:sz w:val="20"/>
          <w:szCs w:val="20"/>
        </w:rPr>
        <w:t xml:space="preserve">Decisions are made once. A mapping, default or correction approved by an analyst is retained for that client and source system, and reused automatically across every conversion — current and future. Where decisions compete, the most recent one governs.</w:t>
      </w:r>
    </w:p>
    <w:p>
      <w:pPr>
        <w:spacing w:after="0" w:before="0"/>
      </w:pPr>
      <w:r>
        <w:rPr>
          <w:rFonts w:ascii="Calibri" w:cs="Calibri" w:eastAsia="Calibri" w:hAnsi="Calibri"/>
          <w:color w:val="1a2233"/>
          <w:sz w:val="20"/>
          <w:szCs w:val="20"/>
        </w:rPr>
        <w:t xml:space="preserve">Runs are repeatable. Regenerating a conversion from the same inputs and the same decisions produces the same output, so a load can be rebuilt and reconciled with confidence.</w:t>
      </w:r>
    </w:p>
    <w:p>
      <w:pPr>
        <w:pBdr>
          <w:top w:val="single" w:color="dfe4ec" w:sz="6" w:space="8"/>
        </w:pBdr>
        <w:spacing w:before="320"/>
      </w:pPr>
      <w:r>
        <w:rPr>
          <w:rFonts w:ascii="Calibri" w:cs="Calibri" w:eastAsia="Calibri" w:hAnsi="Calibri"/>
          <w:i/>
          <w:iCs/>
          <w:color w:val="595e6b"/>
          <w:sz w:val="16"/>
          <w:szCs w:val="16"/>
        </w:rPr>
        <w:t xml:space="preserve">Confidential — for client discussion only.  ·  © Trinamix. All rights reserved.</w:t>
      </w:r>
    </w:p>
    <w:sectPr>
      <w:pgSz w:w="15840" w:h="12240" w:orient="landscape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ee34020b259b508ce3157afe04f426b3600349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Trinamix Conversion Workbench — Architecture Overview</dc:title>
  <dc:creator>Trinamix</dc:creator>
  <cp:lastModifiedBy>Un-named</cp:lastModifiedBy>
  <cp:revision>1</cp:revision>
  <dcterms:created xsi:type="dcterms:W3CDTF">2026-08-03T13:34:49.419Z</dcterms:created>
  <dcterms:modified xsi:type="dcterms:W3CDTF">2026-08-03T13:34:49.419Z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