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TRINAMIX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Conversion Workbench</w:t>
      </w:r>
    </w:p>
    <w:p>
      <w:pPr>
        <w:pBdr>
          <w:bottom w:val="single" w:color="2E75B6" w:sz="12"/>
        </w:pBdr>
        <w:spacing w:after="40"/>
      </w:pPr>
      <w:r>
        <w:rPr>
          <w:rFonts w:ascii="Calibri" w:cs="Calibri" w:eastAsia="Calibri" w:hAnsi="Calibri"/>
          <w:i/>
          <w:iCs/>
          <w:color w:val="6B7280"/>
          <w:sz w:val="24"/>
          <w:szCs w:val="24"/>
        </w:rPr>
        <w:t xml:space="preserve">User Guide</w:t>
      </w:r>
    </w:p>
    <w:p>
      <w:pPr>
        <w:spacing w:after="240" w:before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Oracle Fusion Cloud conversion accelerator  ·  FBDI &amp; HDL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 What it is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The Trinamix Conversion Workbench is an accelerator for migrating master and transactional data from legacy ERP systems (eBOS, NetSuite, SyteLine, Arena, AS/400 and others) into Oracle Fusion Cloud. It ingests source extracts, maps them to the correct Oracle interface, applies transformation, cleansing and validation rules, and produces load-ready output — either the headerless FBDI CSV bundle Oracle ingests or the filled-in Oracle FBDI Excel template — with data-quality checks and reconciliation built in.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B7280"/>
          <w:sz w:val="21"/>
          <w:szCs w:val="21"/>
        </w:rPr>
        <w:t xml:space="preserve">The tool learns from every engagement: approved mappings, gold-standard outputs and analyst corrections are captured as reusable knowledge, so each successive client and object is mapped faster and more accurately.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 Core concepts</w:t>
      </w:r>
    </w:p>
    <w:tbl>
      <w:tblPr>
        <w:tblW w:type="dxa" w:w="9360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E75B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760"/>
            <w:shd w:fill="2E75B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Client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 tenant. Learnings and gold standards are scoped per client, with an Oracle-standard global layer shared across all clients.</w:t>
            </w:r>
          </w:p>
        </w:tc>
      </w:tr>
      <w:tr>
        <w:tc>
          <w:tcPr>
            <w:tcW w:type="dxa" w:w="260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Engagement (Project)</w:t>
            </w:r>
          </w:p>
        </w:tc>
        <w:tc>
          <w:tcPr>
            <w:tcW w:type="dxa" w:w="676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 unit of work for one client — holds the source datasets and the conversions that produce Oracle output.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Source dataset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An uploaded legacy extract (CSV/Excel) or a live EBS table. One interface can be fed by several sources.</w:t>
            </w:r>
          </w:p>
        </w:tc>
      </w:tr>
      <w:tr>
        <w:tc>
          <w:tcPr>
            <w:tcW w:type="dxa" w:w="260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Conversion</w:t>
            </w:r>
          </w:p>
        </w:tc>
        <w:tc>
          <w:tcPr>
            <w:tcW w:type="dxa" w:w="676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One source mapped to one target Oracle object. Multiple conversions can target the same interface (one per source).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 object / FBDI template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Oracle interface being loaded (Supplier, Item, BOM, Customer, Employee…) and its field/sheet definition.</w:t>
            </w:r>
          </w:p>
        </w:tc>
      </w:tr>
      <w:tr>
        <w:tc>
          <w:tcPr>
            <w:tcW w:type="dxa" w:w="260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Mapping</w:t>
            </w:r>
          </w:p>
        </w:tc>
        <w:tc>
          <w:tcPr>
            <w:tcW w:type="dxa" w:w="676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link from a source column to a target field, with an optional transformation rule.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Gold standard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 client's approved output file for an object. The tool learns its defaults, suppressions and column mappings.</w:t>
            </w:r>
          </w:p>
        </w:tc>
      </w:tr>
      <w:tr>
        <w:tc>
          <w:tcPr>
            <w:tcW w:type="dxa" w:w="260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Learnings</w:t>
            </w:r>
          </w:p>
        </w:tc>
        <w:tc>
          <w:tcPr>
            <w:tcW w:type="dxa" w:w="676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Reusable mapping/default/suppression knowledge captured from gold files, approvals and corrections.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Data-quality rules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Cleansing and validation rules scoped by object + client, applied automatically at generation.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 The conversion workflow</w:t>
      </w:r>
    </w:p>
    <w:p>
      <w:pPr>
        <w:spacing w:after="120" w:before="0" w:line="276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A typical engagement runs end to end as follows.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1.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Sign in and choose the client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Pick the client tenant so mappings, learnings and gold standards are scoped correctly.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2.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Create an engagement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Create a project for the client and module (e.g. Procurement, Product Hub, Receivables, HCM).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3.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Add source file(s)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Upload one or more legacy extracts per interface. Heterogeneous sources (e.g. eBOS + NetSuite suppliers) are supported — each is a conversion with its own mapping.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4.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Bind the target object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Each conversion is bound to its Oracle interface and template automatically; multi-sheet objects (Item, Customer, BOM) load the full interface set.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5.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Auto-map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Run mapping. The engine applies gold → learnings → mapping workbook → deterministic rules → defaults, using AI only for the residual, then presents suggestions for review.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6.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Review and refine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In Mapping Review adjust mappings (table or canvas view, sort by Required), accept value crosswalks, set control defaults, apply plain-English steering, and author transformation rules.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7.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Set data-quality rules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Extract rules from the FBDI template, upload a rules workbook, add them manually, or let AI propose cleansing/validation rules from a data sample.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8.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Preview the output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Preview each source individually and the merged interface result before committing.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9.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Generate and download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Generate the FBDI CSV bundle and/or the filled-in Oracle Excel template. For multi-source interfaces the outputs are merged, de-duplicated, cleansed and validated into one file per interface.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Step 10.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Pre-load, load and reconcile</w:t>
      </w:r>
    </w:p>
    <w:p>
      <w:pPr>
        <w:spacing w:after="100" w:line="264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Review the predictive pre-load report, load to Fusion, then reconcile source vs output vs load and get plain-English remediation for any Oracle rejections.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 Output formats</w:t>
      </w:r>
    </w:p>
    <w:tbl>
      <w:tblPr>
        <w:tblW w:type="dxa" w:w="9360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shd w:fill="2E75B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2400"/>
            <w:shd w:fill="2E75B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</w:t>
            </w:r>
          </w:p>
        </w:tc>
        <w:tc>
          <w:tcPr>
            <w:tcW w:type="dxa" w:w="4560"/>
            <w:shd w:fill="2E75B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FBDI CSV bundle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load format Oracle ingests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Headerless CSVs (data only, END terminator per row), columns in Oracle interface order, Oracle file names, packaged in a .zip. A header row can be toggled on.</w:t>
            </w:r>
          </w:p>
        </w:tc>
      </w:tr>
      <w:tr>
        <w:tc>
          <w:tcPr>
            <w:tcW w:type="dxa" w:w="240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Filled Oracle Excel template</w:t>
            </w:r>
          </w:p>
        </w:tc>
        <w:tc>
          <w:tcPr>
            <w:tcW w:type="dxa" w:w="240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Review, hand-off, manual load</w:t>
            </w:r>
          </w:p>
        </w:tc>
        <w:tc>
          <w:tcPr>
            <w:tcW w:type="dxa" w:w="456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real Oracle FBDI workbook (macros/instructions preserved) with your data written into the correct sheet and rows; shipped sample rows removed.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HDL .dat (HCM)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Employee / worker loads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Pipe-delimited HCM Data Loader files — used for HCM objects, which are not FBDI.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6B7280"/>
          <w:sz w:val="21"/>
          <w:szCs w:val="21"/>
        </w:rPr>
        <w:t xml:space="preserve">Both FBDI formats are available side by side — use the CSV bundle for the actual load and the filled Excel template for analyst review or manual upload.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 Multiple sources, one clean interface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When an interface is fed by several source files, each source keeps its own mapping (so different schemas map correctly), but the outputs converge into a single Oracle file per interface: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Merge — </w:t>
      </w:r>
      <w:r>
        <w:rPr>
          <w:rFonts w:ascii="Calibri" w:cs="Calibri" w:eastAsia="Calibri" w:hAnsi="Calibri"/>
          <w:sz w:val="21"/>
          <w:szCs w:val="21"/>
        </w:rPr>
        <w:t xml:space="preserve">all per-source outputs for the interface are combined.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De-duplicate — </w:t>
      </w:r>
      <w:r>
        <w:rPr>
          <w:rFonts w:ascii="Calibri" w:cs="Calibri" w:eastAsia="Calibri" w:hAnsi="Calibri"/>
          <w:sz w:val="21"/>
          <w:szCs w:val="21"/>
        </w:rPr>
        <w:t xml:space="preserve">records are collapsed on the business key, honouring source priority; child interfaces keep their distinct rows.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Survivorship — </w:t>
      </w:r>
      <w:r>
        <w:rPr>
          <w:rFonts w:ascii="Calibri" w:cs="Calibri" w:eastAsia="Calibri" w:hAnsi="Calibri"/>
          <w:sz w:val="21"/>
          <w:szCs w:val="21"/>
        </w:rPr>
        <w:t xml:space="preserve">the surviving golden record takes the first non-blank value per field across sources, so gaps in the priority source are back-filled from the others.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Cleanse &amp; validate — </w:t>
      </w:r>
      <w:r>
        <w:rPr>
          <w:rFonts w:ascii="Calibri" w:cs="Calibri" w:eastAsia="Calibri" w:hAnsi="Calibri"/>
          <w:sz w:val="21"/>
          <w:szCs w:val="21"/>
        </w:rPr>
        <w:t xml:space="preserve">cleansing rules are applied to the merged data and validation runs against Oracle's requirements before download.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B7280"/>
          <w:sz w:val="21"/>
          <w:szCs w:val="21"/>
        </w:rPr>
        <w:t xml:space="preserve">The result is one merged, de-duplicated, cleansed and validated file per interface — previewable before you download.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 Tips &amp; good practice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Upload a gold-standard output whenever you have one — </w:t>
      </w:r>
      <w:r>
        <w:rPr>
          <w:rFonts w:ascii="Calibri" w:cs="Calibri" w:eastAsia="Calibri" w:hAnsi="Calibri"/>
          <w:sz w:val="21"/>
          <w:szCs w:val="21"/>
        </w:rPr>
        <w:t xml:space="preserve">it teaches the tool exactly what to populate, default and leave blank for that object.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Approve mappings you trust — </w:t>
      </w:r>
      <w:r>
        <w:rPr>
          <w:rFonts w:ascii="Calibri" w:cs="Calibri" w:eastAsia="Calibri" w:hAnsi="Calibri"/>
          <w:sz w:val="21"/>
          <w:szCs w:val="21"/>
        </w:rPr>
        <w:t xml:space="preserve">approvals become learnings that speed up every future conversion of the object.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Review the pre-load report before loading — </w:t>
      </w:r>
      <w:r>
        <w:rPr>
          <w:rFonts w:ascii="Calibri" w:cs="Calibri" w:eastAsia="Calibri" w:hAnsi="Calibri"/>
          <w:sz w:val="21"/>
          <w:szCs w:val="21"/>
        </w:rPr>
        <w:t xml:space="preserve">it predicts what Oracle will reject and how to fix it, saving a load cycle.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Use plain-English steering for one-off overrides (e.g. "default Business Relationship to PROSPECTIVE") instead of editing fields one by one.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 wide objects (Item, Customer), generation runs in the background — </w:t>
      </w:r>
      <w:r>
        <w:rPr>
          <w:rFonts w:ascii="Calibri" w:cs="Calibri" w:eastAsia="Calibri" w:hAnsi="Calibri"/>
          <w:sz w:val="21"/>
          <w:szCs w:val="21"/>
        </w:rPr>
        <w:t xml:space="preserve">start it, then download once it reports ready.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 Glossary</w:t>
      </w:r>
    </w:p>
    <w:tbl>
      <w:tblPr>
        <w:tblW w:type="dxa" w:w="9360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E75B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760"/>
            <w:shd w:fill="2E75B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FBDI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File-Based Data Import — Oracle's spreadsheet/CSV load framework for Fusion Cloud.</w:t>
            </w:r>
          </w:p>
        </w:tc>
      </w:tr>
      <w:tr>
        <w:tc>
          <w:tcPr>
            <w:tcW w:type="dxa" w:w="260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HDL</w:t>
            </w:r>
          </w:p>
        </w:tc>
        <w:tc>
          <w:tcPr>
            <w:tcW w:type="dxa" w:w="676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HCM Data Loader — the pipe-delimited load framework for HCM objects.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Interface / target object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An Oracle load table (e.g. POZ_SUPPLIERS_INT, EGP_SYSTEM_ITEMS_INTERFACE).</w:t>
            </w:r>
          </w:p>
        </w:tc>
      </w:tr>
      <w:tr>
        <w:tc>
          <w:tcPr>
            <w:tcW w:type="dxa" w:w="260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Survivorship</w:t>
            </w:r>
          </w:p>
        </w:tc>
        <w:tc>
          <w:tcPr>
            <w:tcW w:type="dxa" w:w="6760"/>
            <w:shd w:fill="F3F6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Choosing the best value per field when merging duplicate records across sources.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Control default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 standard constant written to a target field that has no source column.</w:t>
            </w:r>
          </w:p>
        </w:tc>
      </w:tr>
    </w:tbl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Trinamix Conversion Workbench — User Guide   ·   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2026-07-28T01:04:22.949Z</dcterms:created>
  <dcterms:modified xsi:type="dcterms:W3CDTF">2026-07-28T01:04:22.950Z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