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TRINAMIX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Conversion Workbench</w:t>
      </w:r>
    </w:p>
    <w:p>
      <w:pPr>
        <w:pBdr>
          <w:bottom w:val="single" w:color="2E75B6" w:sz="12"/>
        </w:pBdr>
        <w:spacing w:after="4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Feature Catalogue</w:t>
      </w:r>
    </w:p>
    <w:p>
      <w:pPr>
        <w:spacing w:after="240" w:before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Oracle Fusion Cloud conversion accelerator  ·  FBDI &amp; HDL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concise catalogue of what the Conversion Workbench does. Platform features are grouped by area; AI-powered features are listed separately in Part 2. Every AI step is assistive and falls back to deterministic logic, so the workflow never depends on a model being available.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Part 1 — Platform features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Engagements &amp; multi-tenancy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 scoping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Per-client tenants with a shared Oracle-standard global layer for learnings and templates.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Engagements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Projects group a client's source data and conversions; dashboard shows active engagements and conversion counts.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 picker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Switch client context across mapping, learnings, gold standards and templates.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Source data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File ingestion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CSV/Excel legacy extracts; automatic column profiling (type, null %, distinct, samples).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Live EBS sourcing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 source rows directly from EBS tables as an alternative to files.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Multiple sources per interface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Feed one Oracle interface from several source files, each with its own mapping.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Dataset preparation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Inspect, split and prepare source files (e.g. splitting a combined item file into Arena + SyteLine).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Templates &amp; target objects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Bundled Oracle templates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 Oracle FBDI/HDL templates for Supplier (6 interfaces), Item, BOM, Customer and Employee, seeded on startup.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Template upload &amp; parsing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a template; fields, sheets, data types, required flags and lists-of-values are parsed automatically.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Multi-sheet objects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interface sets for Item (18 sheets), Customer (19) and BOM (4) are handled as one object.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Durable storage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Template bytes are stored so they survive redeploys and can be re-parsed or re-filled.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Mapping &amp; review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Deterministic mapping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Name/type/sample matching plus a curated mapping catalogue and do-not-map guards.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 precedence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Gold record → learnings → mapping workbook → user rule → deterministic → default → AI.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Table &amp; canvas review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Two review views, sortable by Required; consistent source/target ordering.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Transformation engine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types incl. value maps, CASE/WHEN, phone/fax split, boolean mapping, conditional dates, concat/coalesce.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 crosswalks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Normalize legacy values to valid Oracle lookup codes for a mapped column.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 defaults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 and set standard constants for target fields with no source column.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 workbook import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Ingest analyst mapping specifications and translate them into rules.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Approvals &amp; audit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Approve/override mappings; changes tracked for governance.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Output generation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FBDI CSV bundle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Headerless, END-terminated, Oracle-ordered, Oracle-named CSVs zipped per object; header row toggle.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Filled Oracle Excel templates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written into the real Oracle workbook (macros/instructions preserved), samples removed.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HDL .dat output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Pipe-delimited HCM Data Loader files for employee/worker objects.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Background generation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Wide objects generate off the request thread and are polled, avoiding gateway timeouts.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Supplier e-mail masking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Supplier e-mail columns are neutralised so a test load can't trigger real notifications.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Explicit mapping outranks constants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field the analyst deliberately mapped is not overwritten by a standard control constant, so the file matches what the screen shows.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Approved defaults reach the file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default approved on screen is written into the generated FBDI, including for fields with no source column.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Multi-source convergence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Merge by interface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Many sources for one interface produce one merged Oracle file (not one per source).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Business-key de-duplication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Collapse duplicate records on the natural key with source-priority ordering.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Golden-record survivorship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 non-blank value per field across sources; child interfaces keep distinct rows.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Merged preview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Preview the converged interface result across all sources before download.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Multi-sheet source workbooks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Every sheet imported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workbook with several data sheets (e.g. Customer + Address) imports each sheet, instead of silently keeping only the largest one.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One conversion, one bundle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sheets of a workbook bind to a single conversion, so the object still produces one FBDI bundle.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Per-interface-sheet routing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Each Oracle interface sheet is fed by the source sheet that supplies its mapped columns — party/account/contact from the Customer sheet, addresses from the Address sheet.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Different row grains respected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Parent and child interfaces keep their own row counts (e.g. 5,489 parties vs 22,505 addresses) rather than being flattened into one frame.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Union of source columns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Mapping sees the columns of every bound sheet, so fields that exist only on a secondary sheet are still mapped.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Mapping documentation &amp; export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Banded mapping workbook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Excel export with a Summary tab plus one sheet per confidence band (exact, 95-100, 90-95, 85-90, 75-85, 50-75, 0-50, no match).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Flat All Fields sheet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single one-row-per-field sheet alongside the bands, for filtering and pivoting.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Reasons per alternative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Each runner-up source column carries a written reason, not just a probability.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 crosswalk column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Legacy-to-Oracle value pairs are exported beside the field they belong to.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Available in both views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Vet-with-AI and the Excel export are reachable from the canvas view as well as the table view.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Data quality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 store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Cleansing and validation rules scoped by object + client, applied automatically at generation.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 sources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Extract from the FBDI template, upload a rules workbook, or author manually.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Generate-time DQ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Cleansing applied to the data; validation produces an advisory report; hard errors can block.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Rules export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Export the full rule set (e.g. per client, by module) as a workbook.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Load, monitoring &amp; reconciliation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Predictive pre-load report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Predicts what Oracle will reject and how to fix it, before loading.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Load runs &amp; monitor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 load runs and errors; migration monitor and load dashboard.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Source vs merged output vs load counts with a written narrative.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Dependency &amp; load order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Interface load order and dependency graph for correct sequencing.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Learning &amp; reuse library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Gold-standard library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approved outputs; the tool learns defaults, suppressions and column mappings.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Learning center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 and manage learnings captured from gold files, approvals and corrections.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Crosswalk &amp; rule libraries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Reusable value crosswalks and transformation rules across engagements.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 from example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Apply a gold file to a conversion to teach exactly what to populate and leave blank.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Retired learnings stay retired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Deleting a learning is durable: seeding, auto-capture after generation and re-uploading a gold file cannot resurrect it.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Restore a retired learning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Retired items remain reviewable in a list and can be restored, so a deletion is reversible rather than a black hole.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Defaults learned on save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fixed value set in Mapping Review is captured as a reusable default immediately, without waiting for a generation run.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Editable saved rules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Re-opening a custom transformation rule loads its saved definition for editing in place, instead of stacking a duplicate rule.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Governance &amp; audit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Events and changes are recorded across mapping, generation and load.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Governance &amp; sign-offs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Runbook, rehearsals, risks and sign-off tracking for cutover readiness.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Approvals workflow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and approval gates for mappings and outputs.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Part 2 — AI-powered features</w:t>
      </w:r>
    </w:p>
    <w:p>
      <w:pPr>
        <w:pBdr>
          <w:bottom w:val="single" w:color="2F5496" w:sz="12"/>
        </w:pBdr>
        <w:spacing w:after="1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Assistive AI, applied only where deterministic logic leaves a gap — always with a fallback.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(Anthropic Claude, via a pluggable provider) is used as the last step in the mapping precedence and to accelerate review, quality and remediation tasks. Every AI call degrades gracefully: on any failure or missing key the tool falls back to deterministic rules, so output is always produced.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50"/>
        <w:gridCol w:w="5210"/>
        <w:gridCol w:w="1800"/>
      </w:tblGrid>
      <w:tr>
        <w:trPr>
          <w:tblHeader/>
        </w:trPr>
        <w:tc>
          <w:tcPr>
            <w:tcW w:type="dxa" w:w="235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21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AI does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Auto-Map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Maps residual source columns to FBDI target fields with confidence, reason and a suggested transformation; run in bounded concurrent batches.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rule-based mapper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Mapping-candidate vetting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Writes a plain-English verdict on questionable candidate mappings to speed analyst review.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semantic guard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 crosswalks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Proposes legacy-value → Oracle lookup-code mappings for a column from the distinct source values.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LOV / string matching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Control-default inference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Suggests standardization constants for target fields that have no source column.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Curated defaults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Plain-English steering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Turns typed instructions (e.g. "set Tax Organization Type = Corporation") into mapping/default overrides.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directive parser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Natural-language rule authoring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Converts a free-text rule description into a structured transformation rule the analyst can confirm.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rule parser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Fill blanks with AI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Optionally fills unmapped/blank target cells using AI when no source or rule provides a value.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Left blank / default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AI-drafted DQ rules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Proposes cleansing and validation rules from a data sample plus the FBDI field spec.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rule proposals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data-quality review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Flags data problems that trip FBDI loads — inconsistent dates/phones/casing, embedded units, mixed formats.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Built-in DQ checks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Load-error remediation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Turns terse Oracle rejection messages into a root cause and a concrete fix, de-duplicated by message.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Static error explanations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Reconciliation narrative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Generates the plain-English source-vs-output-vs-load reconciliation summary.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Numeric reconciliation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Copilot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Conversational assistant with project context for questions and guided actions.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Manual navigation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How AI is applied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Last, not first — </w:t>
      </w:r>
      <w:r>
        <w:rPr>
          <w:rFonts w:ascii="Calibri" w:cs="Calibri" w:eastAsia="Calibri" w:hAnsi="Calibri"/>
          <w:sz w:val="21"/>
          <w:szCs w:val="21"/>
        </w:rPr>
        <w:t xml:space="preserve">deterministic rules, learnings and gold standards win; AI fills only what they leave open.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Always reversible — </w:t>
      </w:r>
      <w:r>
        <w:rPr>
          <w:rFonts w:ascii="Calibri" w:cs="Calibri" w:eastAsia="Calibri" w:hAnsi="Calibri"/>
          <w:sz w:val="21"/>
          <w:szCs w:val="21"/>
        </w:rPr>
        <w:t xml:space="preserve">every suggestion is reviewable and editable before it affects output.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Always safe — </w:t>
      </w:r>
      <w:r>
        <w:rPr>
          <w:rFonts w:ascii="Calibri" w:cs="Calibri" w:eastAsia="Calibri" w:hAnsi="Calibri"/>
          <w:sz w:val="21"/>
          <w:szCs w:val="21"/>
        </w:rPr>
        <w:t xml:space="preserve">a missing key or failed call transparently falls back to deterministic logic; the workflow never breaks.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Learns over time — </w:t>
      </w:r>
      <w:r>
        <w:rPr>
          <w:rFonts w:ascii="Calibri" w:cs="Calibri" w:eastAsia="Calibri" w:hAnsi="Calibri"/>
          <w:sz w:val="21"/>
          <w:szCs w:val="21"/>
        </w:rPr>
        <w:t xml:space="preserve">accepted AI results are captured as learnings, reducing reliance on the model on the next run.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Trinamix Conversion Workbench — Feature Catalogue   ·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2026-07-28T01:04:23.027Z</dcterms:created>
  <dcterms:modified xsi:type="dcterms:W3CDTF">2026-07-28T01:04:23.027Z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