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C2BD9"/>
          <w:sz w:val="40"/>
          <w:szCs w:val="40"/>
        </w:rPr>
        <w:t xml:space="preserve">Conversion Workbench — Features Overview</w:t>
      </w:r>
    </w:p>
    <w:p>
      <w:pPr>
        <w:pBdr>
          <w:bottom w:val="single" w:color="D9D2F2" w:sz="6"/>
        </w:pBdr>
        <w:spacing w:after="240"/>
      </w:pPr>
      <w:r>
        <w:rPr>
          <w:i/>
          <w:iCs/>
          <w:color w:val="5F5E5A"/>
          <w:sz w:val="22"/>
          <w:szCs w:val="22"/>
        </w:rPr>
        <w:t xml:space="preserve">What the tool does, and how it is put together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In short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Conversion Workbench converts legacy ERP and PLM master data into Oracle Fusion load files, FBDI for ERP objects and HDL for HCM, and keeps every analyst decision as a reusable rule so later conversions run with far less manual work. The diagram below shows how the pieces fit.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F5E5A"/>
          <w:sz w:val="18"/>
          <w:szCs w:val="18"/>
        </w:rPr>
        <w:t xml:space="preserve">How the tool is put together.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Excel and CSV files, including the messy exports real systems produce; the parser handles wrong file signatures, HTML-as-xls, UTF-16 and corrupt stylesheets.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NetSuite, Infor SyteLine, Arena/eBOS (EBOS, Ratana Lee, Anaplan), Workday and Salesforce.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Direct database and Oracle EBS connections, with synonym and view resolution.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Column profiling on upload (type, distinct count, fill rate, samples), stored so it survives a restart.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What it produces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Oracle Fusion FBDI: one CSV per interface sheet, zipped, in the template's column order and with Oracle's exact headers.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Oracle HCM HDL (.dat) for HCM objects.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full multi-sheet set per object: Customer (19 sheets), Item / Product Hub (17 sheets), Supplier (6 objects), and others.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One source file can produce a whole related object set in a single pass.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Mapping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 fixed order of preference: golden record, learnings, mapping workbook, your rules, the deterministic matcher, defaults, and AI last.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 deterministic matcher that reads column names, a synonym dictionary, field descriptions, the actual values against the target list, sample patterns and data types, so most fields never reach the AI.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AI only for the leftover fields, batched with samples and a confidence score; the model is selectable to manage cost.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On large objects the AI pass is skipped, and the deterministic and learned layers do the work.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Ranked alternative source columns offered for each field.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Transformations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Value crosswalks (for example Approved becomes SPEND_AUTHORIZED).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Conditional logic on a source column (Email Transactions = Yes becomes EMAIL).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Phone and fax splitting into country, area, number and extension.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Boolean mapping, conditional dates, concatenation, coalesce, prefix/suffix, date reformatting and computed values.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Fixed constants pinned into a field for every row.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The knowledge base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Rules are stored as column mappings, field suppressions, default values, do-not-map flags and reference standards.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They are scoped to a client, or marked global when they describe a source system rather than one engagement.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Approvals, gold-verified values, fixed values and rules are captured automatically.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Stored rules apply ahead of AI on the next matching conversion.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Item and Supplier analyst mapping documents are already loaded as rules, value crosswalks included.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Rule Library and Crosswalk Library let you read and edit them; noisy source columns can be flagged as do-not-map so AI leaves them alone.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Gold standards and steering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Upload a known-good output and the tool reads its mappings, defaults and blank fields and applies them at generate.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Gold files can be kept in a shared library without a project, uploaded several at a 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 typed instruction can nudge a mapping in plain English.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Coded values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Each field's allowed values and lookup type are read from the FBDI template.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tool reports how many source values resolve against the target list, by exact match, meaning, synonym or fuzzy match.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Lookup codes can be imported and crosswalks managed; coded columns that still need attention are flagged before you generate.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Data quality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Legacy placeholders (NULL, N/A, NONE) are cleared to empty cells.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Dates are normalised to Oracle's YYYYMMDD.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Hyphens are preserved in item numbers, class codes and part numbers.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AI can flag data-quality problems, suggest cleansing, and explain load errors with a fix.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Validation and Simulate Load run before the real load.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Generation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Runs in the background with a live status, so large loads do not time 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Writes one sheet at a time to keep memory flat on wide files.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Fills only the sheets that carry real data and leaves the optional ones as empty headers.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Produces a CSV zip quickly, with an XLSX option, and can bundle a whole object set for download.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Repairs a conversion that is on the wrong template automatically, at mapping time.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The review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 drag-to-map canvas and a table view, with a bar showing which layer decided each field.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Fields that repeat across interface sheets carry their sheet name so the copies are distinct.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Fixed-value, override, custom-rule and reset-default controls on each field.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 suggestions panel with Apply and Apply &amp; Learn.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 highest-priority mapping per field wins, so a rejected mapping never exports as a suggestion.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Environments and platform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DEV, QA, UAT and PROD with promotion between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Migration Monitor, Load Runs, Error Traceback and a Dependency Graph for the load sequence.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Dataset management (delete, replace, cascade) and a new-engagement flow for file or database sources.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Built on FastAPI with MongoDB and GridFS, a React and TypeScript front end, hosted on Render, with seeders that run on startup.</w:t>
      </w:r>
    </w:p>
    <w:p>
      <w:pPr>
        <w:pStyle w:val="Heading1"/>
        <w:spacing w:after="100" w:before="260"/>
      </w:pPr>
      <w:r>
        <w:rPr>
          <w:b/>
          <w:bCs/>
          <w:color w:val="6C2BD9"/>
          <w:sz w:val="28"/>
          <w:szCs w:val="28"/>
        </w:rPr>
        <w:t xml:space="preserve">Still to come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Extensible Flexfields for Item. Most of NextPower's item attributes load as EFF rather than standard columns; the design is written up and waiting on the client's flexfield configuration export.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Supplier value crosswalks for Tax Organization Type and Supplier Type, once the real source values are available.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08a9f792aa9ddd70a534efd4433dcfc0ad91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2026-07-21T22:33:40.268Z</dcterms:created>
  <dcterms:modified xsi:type="dcterms:W3CDTF">2026-07-21T22:33:40.268Z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