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TRINAMIX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Conversion Workbench</w:t>
      </w:r>
    </w:p>
    <w:p>
      <w:pPr>
        <w:pBdr>
          <w:bottom w:val="single" w:color="2E75B6" w:sz="12"/>
        </w:pBdr>
        <w:spacing w:after="4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User Guide</w:t>
      </w:r>
    </w:p>
    <w:p>
      <w:pPr>
        <w:spacing w:after="240" w:before="1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Oracle Fusion Cloud conversion accelerator  ·  FBDI &amp; HDL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 What it is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Trinamix Conversion Workbench is an accelerator for migrating master and transactional data from legacy ERP systems (eBOS, NetSuite, SyteLine, Arena, AS/400 and others) into Oracle Fusion Cloud. It ingests source extracts, maps them to the correct Oracle interface, applies transformation, cleansing and validation rules, and produces load-ready output — either the headerless FBDI CSV bundle Oracle ingests or the filled-in Oracle FBDI Excel template — with data-quality checks and reconciliation built in.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The tool learns from every engagement: approved mappings, gold-standard outputs and analyst corrections are captured as reusable knowledge, so each successive client and object is mapped faster and more accurately.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 Core concepts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tenant. Learnings and gold standards are scoped per client, with an Oracle-standard global layer shared across all clients.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Engagement (Project)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unit of work for one client — holds the source datasets and the conversions that produce Oracle output.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Source dataset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 uploaded legacy extract (CSV/Excel) or a live EBS table. One interface can be fed by several sources.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Conversion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source mapped to one target Oracle object. Multiple conversions can target the same interface (one per source).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Target object / FBDI template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Oracle interface being loaded (Supplier, Item, BOM, Customer, Employee…) and its field/sheet definition.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Mapping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link from a source column to a target field, with an optional transformation rule.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Gold standard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client's approved output file for an object. The tool learns its defaults, suppressions and column mappings.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Learnings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Reusable mapping/default/suppression knowledge captured from gold files, approvals and corrections.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Data-quality rules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Cleansing and validation rules scoped by object + client, applied automatically at generation.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 The conversion workflow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A typical engagement runs end to end as follows.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1.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Sign in and choose the client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Pick the client tenant so mappings, learnings and gold standards are scoped correctly.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2.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Create an engagement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Create a project for the client and module (e.g. Procurement, Product Hub, Receivables, HCM).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3.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Add source file(s)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Upload one or more legacy extracts per interface. Heterogeneous sources (e.g. eBOS + NetSuite suppliers) are supported — each is a conversion with its own mapping.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4.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Bind the target object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Each conversion is bound to its Oracle interface and template automatically; multi-sheet objects (Item, Customer, BOM) load the full interface set.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5.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Auto-map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Run mapping. The engine applies gold → learnings → mapping workbook → deterministic rules → defaults, using AI only for the residual, then presents suggestions for review.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6.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Review and refine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In Mapping Review adjust mappings (table or canvas view, sort by Required), accept value crosswalks, set control defaults, apply plain-English steering, and author transformation rules.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7.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Set data-quality rules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Extract rules from the FBDI template, upload a rules workbook, add them manually, or let AI propose cleansing/validation rules from a data sample.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8.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Preview the output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Preview each source individually and the merged interface result before committing.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9.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Generate and download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Generate the FBDI CSV bundle and/or the filled-in Oracle Excel template. For multi-source interfaces the outputs are merged, de-duplicated, cleansed and validated into one file per interface.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10.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Pre-load, load and reconcile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Review the predictive pre-load report, load to Fusion, then reconcile source vs output vs load and get plain-English remediation for any Oracle rejections.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 Output formats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45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FBDI CSV bundle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load format Oracle ingests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Headerless CSVs (data only, END terminator per row), columns in Oracle interface order, Oracle file names, packaged in a .zip. A header row can be toggled on.</w:t>
            </w:r>
          </w:p>
        </w:tc>
      </w:tr>
      <w:tr>
        <w:tc>
          <w:tcPr>
            <w:tcW w:type="dxa" w:w="24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Filled Oracle Excel template</w:t>
            </w:r>
          </w:p>
        </w:tc>
        <w:tc>
          <w:tcPr>
            <w:tcW w:type="dxa" w:w="24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Review, hand-off, manual load</w:t>
            </w:r>
          </w:p>
        </w:tc>
        <w:tc>
          <w:tcPr>
            <w:tcW w:type="dxa" w:w="45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real Oracle FBDI workbook (macros/instructions preserved) with your data written into the correct sheet and rows; shipped sample rows removed.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HDL .dat (HCM)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 / worker loads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Pipe-delimited HCM Data Loader files — used for HCM objects, which are not FBDI.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Both FBDI formats are available side by side — use the CSV bundle for the actual load and the filled Excel template for analyst review or manual upload.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 Multiple sources, one clean interface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When an interface is fed by several source files, each source keeps its own mapping (so different schemas map correctly), but the outputs converge into a single Oracle file per interface: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Merge — </w:t>
      </w:r>
      <w:r>
        <w:rPr>
          <w:rFonts w:ascii="Calibri" w:cs="Calibri" w:eastAsia="Calibri" w:hAnsi="Calibri"/>
          <w:sz w:val="21"/>
          <w:szCs w:val="21"/>
        </w:rPr>
        <w:t xml:space="preserve">all per-source outputs for the interface are combined.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De-duplicate — </w:t>
      </w:r>
      <w:r>
        <w:rPr>
          <w:rFonts w:ascii="Calibri" w:cs="Calibri" w:eastAsia="Calibri" w:hAnsi="Calibri"/>
          <w:sz w:val="21"/>
          <w:szCs w:val="21"/>
        </w:rPr>
        <w:t xml:space="preserve">records are collapsed on the business key, honouring source priority; child interfaces keep their distinct rows.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Survivorship — </w:t>
      </w:r>
      <w:r>
        <w:rPr>
          <w:rFonts w:ascii="Calibri" w:cs="Calibri" w:eastAsia="Calibri" w:hAnsi="Calibri"/>
          <w:sz w:val="21"/>
          <w:szCs w:val="21"/>
        </w:rPr>
        <w:t xml:space="preserve">the surviving golden record takes the first non-blank value per field across sources, so gaps in the priority source are back-filled from the others.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Cleanse &amp; validate — </w:t>
      </w:r>
      <w:r>
        <w:rPr>
          <w:rFonts w:ascii="Calibri" w:cs="Calibri" w:eastAsia="Calibri" w:hAnsi="Calibri"/>
          <w:sz w:val="21"/>
          <w:szCs w:val="21"/>
        </w:rPr>
        <w:t xml:space="preserve">cleansing rules are applied to the merged data and validation runs against Oracle's requirements before download.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The result is one merged, de-duplicated, cleansed and validated file per interface — previewable before you download.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 Tips &amp; good practice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Upload a gold-standard output whenever you have one — </w:t>
      </w:r>
      <w:r>
        <w:rPr>
          <w:rFonts w:ascii="Calibri" w:cs="Calibri" w:eastAsia="Calibri" w:hAnsi="Calibri"/>
          <w:sz w:val="21"/>
          <w:szCs w:val="21"/>
        </w:rPr>
        <w:t xml:space="preserve">it teaches the tool exactly what to populate, default and leave blank for that object.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Approve mappings you trust — </w:t>
      </w:r>
      <w:r>
        <w:rPr>
          <w:rFonts w:ascii="Calibri" w:cs="Calibri" w:eastAsia="Calibri" w:hAnsi="Calibri"/>
          <w:sz w:val="21"/>
          <w:szCs w:val="21"/>
        </w:rPr>
        <w:t xml:space="preserve">approvals become learnings that speed up every future conversion of the object.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Review the pre-load report before loading — </w:t>
      </w:r>
      <w:r>
        <w:rPr>
          <w:rFonts w:ascii="Calibri" w:cs="Calibri" w:eastAsia="Calibri" w:hAnsi="Calibri"/>
          <w:sz w:val="21"/>
          <w:szCs w:val="21"/>
        </w:rPr>
        <w:t xml:space="preserve">it predicts what Oracle will reject and how to fix it, saving a load cycle.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Use plain-English steering for one-off overrides (e.g. "default Business Relationship to PROSPECTIVE") instead of editing fields one by one.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 wide objects (Item, Customer), generation runs in the background — </w:t>
      </w:r>
      <w:r>
        <w:rPr>
          <w:rFonts w:ascii="Calibri" w:cs="Calibri" w:eastAsia="Calibri" w:hAnsi="Calibri"/>
          <w:sz w:val="21"/>
          <w:szCs w:val="21"/>
        </w:rPr>
        <w:t xml:space="preserve">start it, then download once it reports ready.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 Glossary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FBDI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File-Based Data Import — Oracle's spreadsheet/CSV load framework for Fusion Cloud.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HDL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HCM Data Loader — the pipe-delimited load framework for HCM objects.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Interface / target object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 Oracle load table (e.g. POZ_SUPPLIERS_INT, EGP_SYSTEM_ITEMS_INTERFACE).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Survivorship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Choosing the best value per field when merging duplicate records across sources.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 default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standard constant written to a target field that has no source column.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Trinamix Conversion Workbench — User Guide   ·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2026-07-24T22:33:29.778Z</dcterms:created>
  <dcterms:modified xsi:type="dcterms:W3CDTF">2026-07-24T22:33:29.778Z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