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20"/>
      </w:pPr>
      <w:r>
        <w:rPr>
          <w:b/>
          <w:bCs/>
          <w:color w:val="1F2933"/>
          <w:sz w:val="52"/>
          <w:szCs w:val="52"/>
        </w:rPr>
        <w:t xml:space="preserve">Trinamix Conversion Workbench</w:t>
      </w:r>
    </w:p>
    <w:p>
      <w:pPr>
        <w:spacing w:after="280"/>
      </w:pPr>
      <w:r>
        <w:rPr>
          <w:color w:val="0F7B6C"/>
          <w:sz w:val="34"/>
          <w:szCs w:val="34"/>
        </w:rPr>
        <w:t xml:space="preserve">Hosting &amp; Infrastructure Specification</w:t>
      </w:r>
    </w:p>
    <w:p>
      <w:pPr>
        <w:spacing w:after="120" w:line="276"/>
      </w:pPr>
      <w:r>
        <w:rPr>
          <w:color w:val="5B6B7C"/>
          <w:sz w:val="22"/>
          <w:szCs w:val="22"/>
        </w:rPr>
        <w:t xml:space="preserve">Prepared for the Database Administration and Infrastructure teams</w:t>
      </w:r>
    </w:p>
    <w:p>
      <w:pPr>
        <w:spacing w:after="120" w:line="276"/>
      </w:pPr>
      <w:r>
        <w:rPr>
          <w:color w:val="5B6B7C"/>
          <w:sz w:val="22"/>
          <w:szCs w:val="22"/>
        </w:rPr>
        <w:t xml:space="preserve">Target: corporate cloud subscription (Microsoft Azure, AWS or Oracle Cloud Infrastructure)</w:t>
      </w:r>
    </w:p>
    <w:p>
      <w:pPr>
        <w:spacing w:after="140" w:line="276"/>
      </w:pPr>
      <w:r>
        <w:rPr>
          <w:color w:val="5B6B7C"/>
          <w:sz w:val="20"/>
          <w:szCs w:val="20"/>
        </w:rPr>
        <w:t xml:space="preserve">Document version 1.0 — 30 July 2026</w:t>
      </w:r>
    </w:p>
    <w:p>
      <w:pPr>
        <w:spacing w:after="280" w:line="276"/>
      </w:pPr>
      <w:r>
        <w:rPr>
          <w:i/>
          <w:iCs/>
          <w:color w:val="5B6B7C"/>
          <w:sz w:val="18"/>
          <w:szCs w:val="18"/>
        </w:rPr>
        <w:t xml:space="preserve">Prepared by the Conversion Workbench development team. Every figure here is taken from the repository or from a measured run; nothing is estimated unless it says so.</w:t>
      </w:r>
    </w:p>
    <w:p>
      <w:pPr>
        <w:pStyle w:val="Heading1"/>
        <w:spacing w:after="160" w:before="320"/>
      </w:pPr>
      <w:r>
        <w:t xml:space="preserve">1. What this application is</w:t>
      </w:r>
    </w:p>
    <w:p>
      <w:pPr>
        <w:spacing w:after="120" w:line="276"/>
      </w:pPr>
      <w:r>
        <w:rPr>
          <w:color w:val="1F2933"/>
          <w:sz w:val="20"/>
          <w:szCs w:val="20"/>
        </w:rPr>
        <w:t xml:space="preserve">The Conversion Workbench is an internal data-migration tool. It reads extracts from legacy ERP systems (NetSuite, Infor SyteLine, Arena eBOS and optionally Oracle EBS), applies mapping and transformation rules, and produces Oracle Fusion Cloud load files — FBDI workbooks and HCM Data Loader .dat bundles. Those files reach Fusion by one of two paths, described in §4.1.</w:t>
      </w:r>
    </w:p>
    <w:p>
      <w:pPr>
        <w:spacing w:after="120" w:line="276"/>
      </w:pPr>
      <w:r>
        <w:rPr>
          <w:color w:val="1F2933"/>
          <w:sz w:val="20"/>
          <w:szCs w:val="20"/>
        </w:rPr>
        <w:t xml:space="preserve">It is not a transaction system and it is not customer-facing. Load is bursty and human-paced — a handful of analysts generating files during a migration cycle, not continuous traffic.</w:t>
      </w:r>
    </w:p>
    <w:p>
      <w:pPr>
        <w:pStyle w:val="Heading2"/>
        <w:spacing w:after="120" w:before="260"/>
      </w:pPr>
      <w:r>
        <w:t xml:space="preserve">Why this matters for sizing</w:t>
      </w:r>
    </w:p>
    <w:p>
      <w:pPr>
        <w:pStyle w:val="ListParagraph"/>
        <w:numPr>
          <w:ilvl w:val="0"/>
          <w:numId w:val="1"/>
        </w:numPr>
        <w:spacing w:after="80" w:line="276"/>
      </w:pPr>
      <w:r>
        <w:t xml:space="preserve">Traffic to Oracle Fusion is outbound only, and only on the direct-load path. There is no inbound path from Fusion.</w:t>
      </w:r>
    </w:p>
    <w:p>
      <w:pPr>
        <w:pStyle w:val="ListParagraph"/>
        <w:numPr>
          <w:ilvl w:val="0"/>
          <w:numId w:val="1"/>
        </w:numPr>
        <w:spacing w:after="80" w:line="276"/>
      </w:pPr>
      <w:r>
        <w:t xml:space="preserve">Legacy extracts arrive as files uploaded through the browser. There is no scheduled feed.</w:t>
      </w:r>
    </w:p>
    <w:p>
      <w:pPr>
        <w:pStyle w:val="ListParagraph"/>
        <w:numPr>
          <w:ilvl w:val="0"/>
          <w:numId w:val="1"/>
        </w:numPr>
        <w:spacing w:after="80" w:line="276"/>
      </w:pPr>
      <w:r>
        <w:t xml:space="preserve">The workload is CPU- and memory-bound during file generation, and close to idle otherwise.</w:t>
      </w:r>
    </w:p>
    <w:p>
      <w:pPr>
        <w:pStyle w:val="ListParagraph"/>
        <w:numPr>
          <w:ilvl w:val="0"/>
          <w:numId w:val="1"/>
        </w:numPr>
        <w:spacing w:after="80" w:line="276"/>
      </w:pPr>
      <w:r>
        <w:t xml:space="preserve">Availability requirement is business-hours. This is not a 24/7 tier-1 service.</w:t>
      </w:r>
    </w:p>
    <w:p>
      <w:pPr>
        <w:pStyle w:val="Heading1"/>
        <w:spacing w:after="160" w:before="320"/>
      </w:pPr>
      <w:r>
        <w:t xml:space="preserve">2. Architecture at a glance</w:t>
      </w:r>
    </w:p>
    <w:p>
      <w:pPr>
        <w:spacing w:after="120" w:line="276"/>
      </w:pPr>
      <w:r>
        <w:rPr>
          <w:color w:val="1F2933"/>
          <w:sz w:val="20"/>
          <w:szCs w:val="20"/>
        </w:rPr>
        <w:t xml:space="preserve">The next page shows the target deployment. Every version, port and path in it was taken from the repository — Dockerfiles, render.yaml, app/config.py — not from recollection.</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600"/>
        <w:gridCol w:w="6760"/>
      </w:tblGrid>
      <w:tr>
        <w:trPr>
          <w:cantSplit/>
          <w:tblHeader/>
        </w:trPr>
        <w:tc>
          <w:tcPr>
            <w:tcW w:type="dxa" w:w="2600"/>
            <w:shd w:fill="EDF1F5" w:color="auto" w:val="clear"/>
            <w:tcMar>
              <w:top w:type="dxa" w:w="90"/>
              <w:left w:type="dxa" w:w="130"/>
              <w:bottom w:type="dxa" w:w="90"/>
              <w:right w:type="dxa" w:w="130"/>
            </w:tcMar>
          </w:tcPr>
          <w:p>
            <w:pPr>
              <w:spacing w:after="0" w:line="250"/>
            </w:pPr>
            <w:r>
              <w:rPr>
                <w:b/>
                <w:bCs/>
                <w:color w:val="1F2933"/>
                <w:sz w:val="18"/>
                <w:szCs w:val="18"/>
              </w:rPr>
              <w:t xml:space="preserve">Layer</w:t>
            </w:r>
          </w:p>
        </w:tc>
        <w:tc>
          <w:tcPr>
            <w:tcW w:type="dxa" w:w="6760"/>
            <w:shd w:fill="EDF1F5" w:color="auto" w:val="clear"/>
            <w:tcMar>
              <w:top w:type="dxa" w:w="90"/>
              <w:left w:type="dxa" w:w="130"/>
              <w:bottom w:type="dxa" w:w="90"/>
              <w:right w:type="dxa" w:w="130"/>
            </w:tcMar>
          </w:tcPr>
          <w:p>
            <w:pPr>
              <w:spacing w:after="0" w:line="250"/>
            </w:pPr>
            <w:r>
              <w:rPr>
                <w:b/>
                <w:bCs/>
                <w:color w:val="1F2933"/>
                <w:sz w:val="18"/>
                <w:szCs w:val="18"/>
              </w:rPr>
              <w:t xml:space="preserve">What it is</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Presentation</w:t>
            </w:r>
          </w:p>
        </w:tc>
        <w:tc>
          <w:tcPr>
            <w:tcW w:type="dxa" w:w="6760"/>
            <w:tcMar>
              <w:top w:type="dxa" w:w="90"/>
              <w:left w:type="dxa" w:w="130"/>
              <w:bottom w:type="dxa" w:w="90"/>
              <w:right w:type="dxa" w:w="130"/>
            </w:tcMar>
          </w:tcPr>
          <w:p>
            <w:pPr>
              <w:spacing w:after="0" w:line="250"/>
            </w:pPr>
            <w:r>
              <w:rPr>
                <w:color w:val="5B6B7C"/>
                <w:sz w:val="18"/>
                <w:szCs w:val="18"/>
              </w:rPr>
              <w:t xml:space="preserve">Single-page React application, served as static files by nginx. No server-side rendering, no session state.</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Application</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FastAPI (Python 3.12) under uvicorn. Stateless — any replica can serve any request.</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Data</w:t>
            </w:r>
          </w:p>
        </w:tc>
        <w:tc>
          <w:tcPr>
            <w:tcW w:type="dxa" w:w="6760"/>
            <w:tcMar>
              <w:top w:type="dxa" w:w="90"/>
              <w:left w:type="dxa" w:w="130"/>
              <w:bottom w:type="dxa" w:w="90"/>
              <w:right w:type="dxa" w:w="130"/>
            </w:tcMar>
          </w:tcPr>
          <w:p>
            <w:pPr>
              <w:spacing w:after="0" w:line="250"/>
            </w:pPr>
            <w:r>
              <w:rPr>
                <w:color w:val="5B6B7C"/>
                <w:sz w:val="18"/>
                <w:szCs w:val="18"/>
              </w:rPr>
              <w:t xml:space="preserve">MongoDB. 43 collections plus a GridFS bucket that holds the durable copy of every uploaded source file.</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Files</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A shared read-write-many volume for working files. It is a cache, not the system of record — see §6.</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Egress</w:t>
            </w:r>
          </w:p>
        </w:tc>
        <w:tc>
          <w:tcPr>
            <w:tcW w:type="dxa" w:w="6760"/>
            <w:tcMar>
              <w:top w:type="dxa" w:w="90"/>
              <w:left w:type="dxa" w:w="130"/>
              <w:bottom w:type="dxa" w:w="90"/>
              <w:right w:type="dxa" w:w="130"/>
            </w:tcMar>
          </w:tcPr>
          <w:p>
            <w:pPr>
              <w:spacing w:after="0" w:line="250"/>
            </w:pPr>
            <w:r>
              <w:rPr>
                <w:color w:val="5B6B7C"/>
                <w:sz w:val="18"/>
                <w:szCs w:val="18"/>
              </w:rPr>
              <w:t xml:space="preserve">Outbound HTTPS to the Oracle Fusion pod (direct-load path) and, optionally, to an AI provider. Both are outbound only.</w:t>
            </w:r>
          </w:p>
        </w:tc>
      </w:tr>
    </w:tbl>
    <w:p>
      <w:pPr>
        <w:sectPr>
          <w:footerReference w:type="default" r:id="rId7"/>
          <w:pgSz w:w="12240" w:h="15840" w:orient="portrait"/>
          <w:pgMar w:top="1440" w:right="1440" w:bottom="1440" w:left="1440" w:header="708" w:footer="708" w:gutter="0"/>
          <w:pgNumType/>
          <w:docGrid w:linePitch="360"/>
        </w:sectPr>
      </w:pPr>
    </w:p>
    <w:p>
      <w:pPr>
        <w:spacing w:after="160"/>
      </w:pPr>
      <w:r>
        <w:rPr>
          <w:b/>
          <w:bCs/>
          <w:color w:val="1F2933"/>
          <w:sz w:val="28"/>
          <w:szCs w:val="28"/>
        </w:rPr>
        <w:t xml:space="preserve">Target deployment architecture</w:t>
      </w:r>
    </w:p>
    <w:p>
      <w:pPr>
        <w:jc w:val="center"/>
      </w:pPr>
      <w:r>
        <w:drawing>
          <wp:inline distT="0" distB="0" distL="0" distR="0">
            <wp:extent cx="8763000"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0" cy="5724525"/>
                    </a:xfrm>
                    <a:prstGeom prst="rect">
                      <a:avLst/>
                    </a:prstGeom>
                  </pic:spPr>
                </pic:pic>
              </a:graphicData>
            </a:graphic>
          </wp:inline>
        </w:drawing>
      </w:r>
    </w:p>
    <w:p>
      <w:pPr>
        <w:sectPr>
          <w:footerReference w:type="default" r:id="rId8"/>
          <w:pgSz w:w="15840" w:h="12240" w:orient="landscape"/>
          <w:pgMar w:top="1080" w:right="1080" w:bottom="1080" w:left="1080" w:header="708" w:footer="708" w:gutter="0"/>
          <w:pgNumType/>
          <w:docGrid w:linePitch="360"/>
        </w:sectPr>
      </w:pPr>
    </w:p>
    <w:p>
      <w:pPr>
        <w:pStyle w:val="Heading1"/>
        <w:spacing w:after="160" w:before="320"/>
      </w:pPr>
      <w:r>
        <w:t xml:space="preserve">3. Component inventory</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100"/>
        <w:gridCol w:w="2500"/>
        <w:gridCol w:w="2200"/>
        <w:gridCol w:w="2560"/>
      </w:tblGrid>
      <w:tr>
        <w:trPr>
          <w:cantSplit/>
          <w:tblHeader/>
        </w:trPr>
        <w:tc>
          <w:tcPr>
            <w:tcW w:type="dxa" w:w="2100"/>
            <w:shd w:fill="EDF1F5" w:color="auto" w:val="clear"/>
            <w:tcMar>
              <w:top w:type="dxa" w:w="90"/>
              <w:left w:type="dxa" w:w="130"/>
              <w:bottom w:type="dxa" w:w="90"/>
              <w:right w:type="dxa" w:w="130"/>
            </w:tcMar>
          </w:tcPr>
          <w:p>
            <w:pPr>
              <w:spacing w:after="0" w:line="250"/>
            </w:pPr>
            <w:r>
              <w:rPr>
                <w:b/>
                <w:bCs/>
                <w:color w:val="1F2933"/>
                <w:sz w:val="18"/>
                <w:szCs w:val="18"/>
              </w:rPr>
              <w:t xml:space="preserve">Component</w:t>
            </w:r>
          </w:p>
        </w:tc>
        <w:tc>
          <w:tcPr>
            <w:tcW w:type="dxa" w:w="2500"/>
            <w:shd w:fill="EDF1F5" w:color="auto" w:val="clear"/>
            <w:tcMar>
              <w:top w:type="dxa" w:w="90"/>
              <w:left w:type="dxa" w:w="130"/>
              <w:bottom w:type="dxa" w:w="90"/>
              <w:right w:type="dxa" w:w="130"/>
            </w:tcMar>
          </w:tcPr>
          <w:p>
            <w:pPr>
              <w:spacing w:after="0" w:line="250"/>
            </w:pPr>
            <w:r>
              <w:rPr>
                <w:b/>
                <w:bCs/>
                <w:color w:val="1F2933"/>
                <w:sz w:val="18"/>
                <w:szCs w:val="18"/>
              </w:rPr>
              <w:t xml:space="preserve">Base image / runtime</w:t>
            </w:r>
          </w:p>
        </w:tc>
        <w:tc>
          <w:tcPr>
            <w:tcW w:type="dxa" w:w="2200"/>
            <w:shd w:fill="EDF1F5" w:color="auto" w:val="clear"/>
            <w:tcMar>
              <w:top w:type="dxa" w:w="90"/>
              <w:left w:type="dxa" w:w="130"/>
              <w:bottom w:type="dxa" w:w="90"/>
              <w:right w:type="dxa" w:w="130"/>
            </w:tcMar>
          </w:tcPr>
          <w:p>
            <w:pPr>
              <w:spacing w:after="0" w:line="250"/>
            </w:pPr>
            <w:r>
              <w:rPr>
                <w:b/>
                <w:bCs/>
                <w:color w:val="1F2933"/>
                <w:sz w:val="18"/>
                <w:szCs w:val="18"/>
              </w:rPr>
              <w:t xml:space="preserve">Listens on</w:t>
            </w:r>
          </w:p>
        </w:tc>
        <w:tc>
          <w:tcPr>
            <w:tcW w:type="dxa" w:w="2560"/>
            <w:shd w:fill="EDF1F5" w:color="auto" w:val="clear"/>
            <w:tcMar>
              <w:top w:type="dxa" w:w="90"/>
              <w:left w:type="dxa" w:w="130"/>
              <w:bottom w:type="dxa" w:w="90"/>
              <w:right w:type="dxa" w:w="130"/>
            </w:tcMar>
          </w:tcPr>
          <w:p>
            <w:pPr>
              <w:spacing w:after="0" w:line="250"/>
            </w:pPr>
            <w:r>
              <w:rPr>
                <w:b/>
                <w:bCs/>
                <w:color w:val="1F2933"/>
                <w:sz w:val="18"/>
                <w:szCs w:val="18"/>
              </w:rPr>
              <w:t xml:space="preserve">State</w:t>
            </w:r>
          </w:p>
        </w:tc>
      </w:tr>
      <w:tr>
        <w:trPr>
          <w:cantSplit/>
        </w:trPr>
        <w:tc>
          <w:tcPr>
            <w:tcW w:type="dxa" w:w="2100"/>
            <w:tcMar>
              <w:top w:type="dxa" w:w="90"/>
              <w:left w:type="dxa" w:w="130"/>
              <w:bottom w:type="dxa" w:w="90"/>
              <w:right w:type="dxa" w:w="130"/>
            </w:tcMar>
          </w:tcPr>
          <w:p>
            <w:pPr>
              <w:spacing w:after="0" w:line="250"/>
            </w:pPr>
            <w:r>
              <w:rPr>
                <w:color w:val="5B6B7C"/>
                <w:sz w:val="18"/>
                <w:szCs w:val="18"/>
              </w:rPr>
              <w:t xml:space="preserve">Frontend</w:t>
            </w:r>
          </w:p>
        </w:tc>
        <w:tc>
          <w:tcPr>
            <w:tcW w:type="dxa" w:w="25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nginx:1.27-alpine</w:t>
            </w:r>
          </w:p>
        </w:tc>
        <w:tc>
          <w:tcPr>
            <w:tcW w:type="dxa" w:w="2200"/>
            <w:tcMar>
              <w:top w:type="dxa" w:w="90"/>
              <w:left w:type="dxa" w:w="130"/>
              <w:bottom w:type="dxa" w:w="90"/>
              <w:right w:type="dxa" w:w="130"/>
            </w:tcMar>
          </w:tcPr>
          <w:p>
            <w:pPr>
              <w:spacing w:after="0" w:line="250"/>
            </w:pPr>
            <w:r>
              <w:rPr>
                <w:color w:val="5B6B7C"/>
                <w:sz w:val="18"/>
                <w:szCs w:val="18"/>
              </w:rPr>
              <w:t xml:space="preserve">TCP 80</w:t>
            </w:r>
          </w:p>
        </w:tc>
        <w:tc>
          <w:tcPr>
            <w:tcW w:type="dxa" w:w="2560"/>
            <w:tcMar>
              <w:top w:type="dxa" w:w="90"/>
              <w:left w:type="dxa" w:w="130"/>
              <w:bottom w:type="dxa" w:w="90"/>
              <w:right w:type="dxa" w:w="130"/>
            </w:tcMar>
          </w:tcPr>
          <w:p>
            <w:pPr>
              <w:spacing w:after="0" w:line="250"/>
            </w:pPr>
            <w:r>
              <w:rPr>
                <w:color w:val="5B6B7C"/>
                <w:sz w:val="18"/>
                <w:szCs w:val="18"/>
              </w:rPr>
              <w:t xml:space="preserve">Stateless. Static bundle only.</w:t>
            </w:r>
          </w:p>
        </w:tc>
      </w:tr>
      <w:tr>
        <w:trPr>
          <w:cantSplit/>
        </w:trPr>
        <w:tc>
          <w:tcPr>
            <w:tcW w:type="dxa" w:w="2100"/>
            <w:shd w:fill="F8FAFB" w:color="auto" w:val="clear"/>
            <w:tcMar>
              <w:top w:type="dxa" w:w="90"/>
              <w:left w:type="dxa" w:w="130"/>
              <w:bottom w:type="dxa" w:w="90"/>
              <w:right w:type="dxa" w:w="130"/>
            </w:tcMar>
          </w:tcPr>
          <w:p>
            <w:pPr>
              <w:spacing w:after="0" w:line="250"/>
            </w:pPr>
            <w:r>
              <w:rPr>
                <w:color w:val="5B6B7C"/>
                <w:sz w:val="18"/>
                <w:szCs w:val="18"/>
              </w:rPr>
              <w:t xml:space="preserve">Backend</w:t>
            </w:r>
          </w:p>
        </w:tc>
        <w:tc>
          <w:tcPr>
            <w:tcW w:type="dxa" w:w="2500"/>
            <w:shd w:fill="F8FAFB" w:color="auto" w:val="clear"/>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python:3.12-slim</w:t>
            </w:r>
          </w:p>
          <w:p>
            <w:pPr>
              <w:spacing w:after="0" w:line="250"/>
            </w:pPr>
            <w:r>
              <w:rPr>
                <w:rFonts w:ascii="Consolas" w:cs="Consolas" w:eastAsia="Consolas" w:hAnsi="Consolas"/>
                <w:color w:val="5B6B7C"/>
                <w:sz w:val="18"/>
                <w:szCs w:val="18"/>
              </w:rPr>
              <w:t xml:space="preserve">+ default-jre-headless</w:t>
            </w:r>
          </w:p>
        </w:tc>
        <w:tc>
          <w:tcPr>
            <w:tcW w:type="dxa" w:w="2200"/>
            <w:shd w:fill="F8FAFB" w:color="auto" w:val="clear"/>
            <w:tcMar>
              <w:top w:type="dxa" w:w="90"/>
              <w:left w:type="dxa" w:w="130"/>
              <w:bottom w:type="dxa" w:w="90"/>
              <w:right w:type="dxa" w:w="130"/>
            </w:tcMar>
          </w:tcPr>
          <w:p>
            <w:pPr>
              <w:spacing w:after="0" w:line="250"/>
            </w:pPr>
            <w:r>
              <w:rPr>
                <w:color w:val="5B6B7C"/>
                <w:sz w:val="18"/>
                <w:szCs w:val="18"/>
              </w:rPr>
              <w:t xml:space="preserve">TCP 8000</w:t>
            </w:r>
          </w:p>
        </w:tc>
        <w:tc>
          <w:tcPr>
            <w:tcW w:type="dxa" w:w="2560"/>
            <w:shd w:fill="F8FAFB" w:color="auto" w:val="clear"/>
            <w:tcMar>
              <w:top w:type="dxa" w:w="90"/>
              <w:left w:type="dxa" w:w="130"/>
              <w:bottom w:type="dxa" w:w="90"/>
              <w:right w:type="dxa" w:w="130"/>
            </w:tcMar>
          </w:tcPr>
          <w:p>
            <w:pPr>
              <w:spacing w:after="0" w:line="250"/>
            </w:pPr>
            <w:r>
              <w:rPr>
                <w:color w:val="5B6B7C"/>
                <w:sz w:val="18"/>
                <w:szCs w:val="18"/>
              </w:rPr>
              <w:t xml:space="preserve">Stateless. Writes to the shared volume and to MongoDB.</w:t>
            </w:r>
          </w:p>
        </w:tc>
      </w:tr>
      <w:tr>
        <w:trPr>
          <w:cantSplit/>
        </w:trPr>
        <w:tc>
          <w:tcPr>
            <w:tcW w:type="dxa" w:w="2100"/>
            <w:tcMar>
              <w:top w:type="dxa" w:w="90"/>
              <w:left w:type="dxa" w:w="130"/>
              <w:bottom w:type="dxa" w:w="90"/>
              <w:right w:type="dxa" w:w="130"/>
            </w:tcMar>
          </w:tcPr>
          <w:p>
            <w:pPr>
              <w:spacing w:after="0" w:line="250"/>
            </w:pPr>
            <w:r>
              <w:rPr>
                <w:color w:val="5B6B7C"/>
                <w:sz w:val="18"/>
                <w:szCs w:val="18"/>
              </w:rPr>
              <w:t xml:space="preserve">Database</w:t>
            </w:r>
          </w:p>
        </w:tc>
        <w:tc>
          <w:tcPr>
            <w:tcW w:type="dxa" w:w="25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MongoDB 6.0 or later</w:t>
            </w:r>
          </w:p>
        </w:tc>
        <w:tc>
          <w:tcPr>
            <w:tcW w:type="dxa" w:w="2200"/>
            <w:tcMar>
              <w:top w:type="dxa" w:w="90"/>
              <w:left w:type="dxa" w:w="130"/>
              <w:bottom w:type="dxa" w:w="90"/>
              <w:right w:type="dxa" w:w="130"/>
            </w:tcMar>
          </w:tcPr>
          <w:p>
            <w:pPr>
              <w:spacing w:after="0" w:line="250"/>
            </w:pPr>
            <w:r>
              <w:rPr>
                <w:color w:val="5B6B7C"/>
                <w:sz w:val="18"/>
                <w:szCs w:val="18"/>
              </w:rPr>
              <w:t xml:space="preserve">TCP 27017</w:t>
            </w:r>
          </w:p>
        </w:tc>
        <w:tc>
          <w:tcPr>
            <w:tcW w:type="dxa" w:w="2560"/>
            <w:tcMar>
              <w:top w:type="dxa" w:w="90"/>
              <w:left w:type="dxa" w:w="130"/>
              <w:bottom w:type="dxa" w:w="90"/>
              <w:right w:type="dxa" w:w="130"/>
            </w:tcMar>
          </w:tcPr>
          <w:p>
            <w:pPr>
              <w:spacing w:after="0" w:line="250"/>
            </w:pPr>
            <w:r>
              <w:rPr>
                <w:color w:val="5B6B7C"/>
                <w:sz w:val="18"/>
                <w:szCs w:val="18"/>
              </w:rPr>
              <w:t xml:space="preserve">Stateful. The system of record.</w:t>
            </w:r>
          </w:p>
        </w:tc>
      </w:tr>
      <w:tr>
        <w:trPr>
          <w:cantSplit/>
        </w:trPr>
        <w:tc>
          <w:tcPr>
            <w:tcW w:type="dxa" w:w="2100"/>
            <w:shd w:fill="F8FAFB" w:color="auto" w:val="clear"/>
            <w:tcMar>
              <w:top w:type="dxa" w:w="90"/>
              <w:left w:type="dxa" w:w="130"/>
              <w:bottom w:type="dxa" w:w="90"/>
              <w:right w:type="dxa" w:w="130"/>
            </w:tcMar>
          </w:tcPr>
          <w:p>
            <w:pPr>
              <w:spacing w:after="0" w:line="250"/>
            </w:pPr>
            <w:r>
              <w:rPr>
                <w:color w:val="5B6B7C"/>
                <w:sz w:val="18"/>
                <w:szCs w:val="18"/>
              </w:rPr>
              <w:t xml:space="preserve">File volume</w:t>
            </w:r>
          </w:p>
        </w:tc>
        <w:tc>
          <w:tcPr>
            <w:tcW w:type="dxa" w:w="2500"/>
            <w:shd w:fill="F8FAFB" w:color="auto" w:val="clear"/>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RWX block or file share</w:t>
            </w:r>
          </w:p>
        </w:tc>
        <w:tc>
          <w:tcPr>
            <w:tcW w:type="dxa" w:w="2200"/>
            <w:shd w:fill="F8FAFB" w:color="auto" w:val="clear"/>
            <w:tcMar>
              <w:top w:type="dxa" w:w="90"/>
              <w:left w:type="dxa" w:w="130"/>
              <w:bottom w:type="dxa" w:w="90"/>
              <w:right w:type="dxa" w:w="130"/>
            </w:tcMar>
          </w:tcPr>
          <w:p>
            <w:pPr>
              <w:spacing w:after="0" w:line="250"/>
            </w:pPr>
            <w:r>
              <w:rPr>
                <w:color w:val="5B6B7C"/>
                <w:sz w:val="18"/>
                <w:szCs w:val="18"/>
              </w:rPr>
              <w:t xml:space="preserve">n/a</w:t>
            </w:r>
          </w:p>
        </w:tc>
        <w:tc>
          <w:tcPr>
            <w:tcW w:type="dxa" w:w="2560"/>
            <w:shd w:fill="F8FAFB" w:color="auto" w:val="clear"/>
            <w:tcMar>
              <w:top w:type="dxa" w:w="90"/>
              <w:left w:type="dxa" w:w="130"/>
              <w:bottom w:type="dxa" w:w="90"/>
              <w:right w:type="dxa" w:w="130"/>
            </w:tcMar>
          </w:tcPr>
          <w:p>
            <w:pPr>
              <w:spacing w:after="0" w:line="250"/>
            </w:pPr>
            <w:r>
              <w:rPr>
                <w:color w:val="5B6B7C"/>
                <w:sz w:val="18"/>
                <w:szCs w:val="18"/>
              </w:rPr>
              <w:t xml:space="preserve">Stateful but reconstructible from GridFS.</w:t>
            </w:r>
          </w:p>
        </w:tc>
      </w:tr>
    </w:tbl>
    <w:p>
      <w:pPr>
        <w:spacing w:after="120" w:line="276"/>
      </w:pPr>
      <w:r>
        <w:rPr>
          <w:color w:val="5B6B7C"/>
          <w:sz w:val="18"/>
          <w:szCs w:val="18"/>
        </w:rPr>
        <w:t xml:space="preserve">The Java runtime in the backend image is there only for the Oracle JDBC driver (ojdbc11), used when an analyst points the tool at an Oracle EBS database directly. If that feature is not in scope for your rollout, the JRE and the driver can be dropped from the image.</w:t>
      </w:r>
    </w:p>
    <w:p>
      <w:pPr>
        <w:pStyle w:val="Heading1"/>
        <w:spacing w:after="160" w:before="320"/>
      </w:pPr>
      <w:r>
        <w:t xml:space="preserve">4. Network and firewall requirements</w:t>
      </w:r>
    </w:p>
    <w:p>
      <w:pPr>
        <w:spacing w:after="120" w:line="276"/>
      </w:pPr>
      <w:r>
        <w:rPr>
          <w:color w:val="1F2933"/>
          <w:sz w:val="20"/>
          <w:szCs w:val="20"/>
        </w:rPr>
        <w:t xml:space="preserve">This is the complete list. Anything not on it is not needed.</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500"/>
        <w:gridCol w:w="2500"/>
        <w:gridCol w:w="1300"/>
        <w:gridCol w:w="3060"/>
      </w:tblGrid>
      <w:tr>
        <w:trPr>
          <w:cantSplit/>
          <w:tblHeader/>
        </w:trPr>
        <w:tc>
          <w:tcPr>
            <w:tcW w:type="dxa" w:w="2500"/>
            <w:shd w:fill="EDF1F5" w:color="auto" w:val="clear"/>
            <w:tcMar>
              <w:top w:type="dxa" w:w="90"/>
              <w:left w:type="dxa" w:w="130"/>
              <w:bottom w:type="dxa" w:w="90"/>
              <w:right w:type="dxa" w:w="130"/>
            </w:tcMar>
          </w:tcPr>
          <w:p>
            <w:pPr>
              <w:spacing w:after="0" w:line="250"/>
            </w:pPr>
            <w:r>
              <w:rPr>
                <w:b/>
                <w:bCs/>
                <w:color w:val="1F2933"/>
                <w:sz w:val="18"/>
                <w:szCs w:val="18"/>
              </w:rPr>
              <w:t xml:space="preserve">Source</w:t>
            </w:r>
          </w:p>
        </w:tc>
        <w:tc>
          <w:tcPr>
            <w:tcW w:type="dxa" w:w="2500"/>
            <w:shd w:fill="EDF1F5" w:color="auto" w:val="clear"/>
            <w:tcMar>
              <w:top w:type="dxa" w:w="90"/>
              <w:left w:type="dxa" w:w="130"/>
              <w:bottom w:type="dxa" w:w="90"/>
              <w:right w:type="dxa" w:w="130"/>
            </w:tcMar>
          </w:tcPr>
          <w:p>
            <w:pPr>
              <w:spacing w:after="0" w:line="250"/>
            </w:pPr>
            <w:r>
              <w:rPr>
                <w:b/>
                <w:bCs/>
                <w:color w:val="1F2933"/>
                <w:sz w:val="18"/>
                <w:szCs w:val="18"/>
              </w:rPr>
              <w:t xml:space="preserve">Destination</w:t>
            </w:r>
          </w:p>
        </w:tc>
        <w:tc>
          <w:tcPr>
            <w:tcW w:type="dxa" w:w="1300"/>
            <w:shd w:fill="EDF1F5" w:color="auto" w:val="clear"/>
            <w:tcMar>
              <w:top w:type="dxa" w:w="90"/>
              <w:left w:type="dxa" w:w="130"/>
              <w:bottom w:type="dxa" w:w="90"/>
              <w:right w:type="dxa" w:w="130"/>
            </w:tcMar>
          </w:tcPr>
          <w:p>
            <w:pPr>
              <w:spacing w:after="0" w:line="250"/>
            </w:pPr>
            <w:r>
              <w:rPr>
                <w:b/>
                <w:bCs/>
                <w:color w:val="1F2933"/>
                <w:sz w:val="18"/>
                <w:szCs w:val="18"/>
              </w:rPr>
              <w:t xml:space="preserve">Port</w:t>
            </w:r>
          </w:p>
        </w:tc>
        <w:tc>
          <w:tcPr>
            <w:tcW w:type="dxa" w:w="3060"/>
            <w:shd w:fill="EDF1F5" w:color="auto" w:val="clear"/>
            <w:tcMar>
              <w:top w:type="dxa" w:w="90"/>
              <w:left w:type="dxa" w:w="130"/>
              <w:bottom w:type="dxa" w:w="90"/>
              <w:right w:type="dxa" w:w="130"/>
            </w:tcMar>
          </w:tcPr>
          <w:p>
            <w:pPr>
              <w:spacing w:after="0" w:line="250"/>
            </w:pPr>
            <w:r>
              <w:rPr>
                <w:b/>
                <w:bCs/>
                <w:color w:val="1F2933"/>
                <w:sz w:val="18"/>
                <w:szCs w:val="18"/>
              </w:rPr>
              <w:t xml:space="preserve">Purpose</w:t>
            </w:r>
          </w:p>
        </w:tc>
      </w:tr>
      <w:tr>
        <w:trPr>
          <w:cantSplit/>
        </w:trPr>
        <w:tc>
          <w:tcPr>
            <w:tcW w:type="dxa" w:w="2500"/>
            <w:tcMar>
              <w:top w:type="dxa" w:w="90"/>
              <w:left w:type="dxa" w:w="130"/>
              <w:bottom w:type="dxa" w:w="90"/>
              <w:right w:type="dxa" w:w="130"/>
            </w:tcMar>
          </w:tcPr>
          <w:p>
            <w:pPr>
              <w:spacing w:after="0" w:line="250"/>
            </w:pPr>
            <w:r>
              <w:rPr>
                <w:color w:val="5B6B7C"/>
                <w:sz w:val="18"/>
                <w:szCs w:val="18"/>
              </w:rPr>
              <w:t xml:space="preserve">Analyst workstation</w:t>
            </w:r>
          </w:p>
          <w:p>
            <w:pPr>
              <w:spacing w:after="0" w:line="250"/>
            </w:pPr>
            <w:r>
              <w:rPr>
                <w:color w:val="5B6B7C"/>
                <w:sz w:val="18"/>
                <w:szCs w:val="18"/>
              </w:rPr>
              <w:t xml:space="preserve">(corporate network / VPN)</w:t>
            </w:r>
          </w:p>
        </w:tc>
        <w:tc>
          <w:tcPr>
            <w:tcW w:type="dxa" w:w="2500"/>
            <w:tcMar>
              <w:top w:type="dxa" w:w="90"/>
              <w:left w:type="dxa" w:w="130"/>
              <w:bottom w:type="dxa" w:w="90"/>
              <w:right w:type="dxa" w:w="130"/>
            </w:tcMar>
          </w:tcPr>
          <w:p>
            <w:pPr>
              <w:spacing w:after="0" w:line="250"/>
            </w:pPr>
            <w:r>
              <w:rPr>
                <w:color w:val="5B6B7C"/>
                <w:sz w:val="18"/>
                <w:szCs w:val="18"/>
              </w:rPr>
              <w:t xml:space="preserve">Ingress / load balancer</w:t>
            </w:r>
          </w:p>
        </w:tc>
        <w:tc>
          <w:tcPr>
            <w:tcW w:type="dxa" w:w="13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443/tcp</w:t>
            </w:r>
          </w:p>
        </w:tc>
        <w:tc>
          <w:tcPr>
            <w:tcW w:type="dxa" w:w="3060"/>
            <w:tcMar>
              <w:top w:type="dxa" w:w="90"/>
              <w:left w:type="dxa" w:w="130"/>
              <w:bottom w:type="dxa" w:w="90"/>
              <w:right w:type="dxa" w:w="130"/>
            </w:tcMar>
          </w:tcPr>
          <w:p>
            <w:pPr>
              <w:spacing w:after="0" w:line="250"/>
            </w:pPr>
            <w:r>
              <w:rPr>
                <w:color w:val="5B6B7C"/>
                <w:sz w:val="18"/>
                <w:szCs w:val="18"/>
              </w:rPr>
              <w:t xml:space="preserve">The only inbound path. TLS terminates here.</w:t>
            </w:r>
          </w:p>
        </w:tc>
      </w:tr>
      <w:tr>
        <w:trPr>
          <w:cantSplit/>
        </w:trPr>
        <w:tc>
          <w:tcPr>
            <w:tcW w:type="dxa" w:w="2500"/>
            <w:shd w:fill="F8FAFB" w:color="auto" w:val="clear"/>
            <w:tcMar>
              <w:top w:type="dxa" w:w="90"/>
              <w:left w:type="dxa" w:w="130"/>
              <w:bottom w:type="dxa" w:w="90"/>
              <w:right w:type="dxa" w:w="130"/>
            </w:tcMar>
          </w:tcPr>
          <w:p>
            <w:pPr>
              <w:spacing w:after="0" w:line="250"/>
            </w:pPr>
            <w:r>
              <w:rPr>
                <w:color w:val="5B6B7C"/>
                <w:sz w:val="18"/>
                <w:szCs w:val="18"/>
              </w:rPr>
              <w:t xml:space="preserve">Ingress</w:t>
            </w:r>
          </w:p>
        </w:tc>
        <w:tc>
          <w:tcPr>
            <w:tcW w:type="dxa" w:w="2500"/>
            <w:shd w:fill="F8FAFB" w:color="auto" w:val="clear"/>
            <w:tcMar>
              <w:top w:type="dxa" w:w="90"/>
              <w:left w:type="dxa" w:w="130"/>
              <w:bottom w:type="dxa" w:w="90"/>
              <w:right w:type="dxa" w:w="130"/>
            </w:tcMar>
          </w:tcPr>
          <w:p>
            <w:pPr>
              <w:spacing w:after="0" w:line="250"/>
            </w:pPr>
            <w:r>
              <w:rPr>
                <w:color w:val="5B6B7C"/>
                <w:sz w:val="18"/>
                <w:szCs w:val="18"/>
              </w:rPr>
              <w:t xml:space="preserve">Frontend container</w:t>
            </w:r>
          </w:p>
        </w:tc>
        <w:tc>
          <w:tcPr>
            <w:tcW w:type="dxa" w:w="1300"/>
            <w:shd w:fill="F8FAFB" w:color="auto" w:val="clear"/>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80/tcp</w:t>
            </w:r>
          </w:p>
        </w:tc>
        <w:tc>
          <w:tcPr>
            <w:tcW w:type="dxa" w:w="3060"/>
            <w:shd w:fill="F8FAFB" w:color="auto" w:val="clear"/>
            <w:tcMar>
              <w:top w:type="dxa" w:w="90"/>
              <w:left w:type="dxa" w:w="130"/>
              <w:bottom w:type="dxa" w:w="90"/>
              <w:right w:type="dxa" w:w="130"/>
            </w:tcMar>
          </w:tcPr>
          <w:p>
            <w:pPr>
              <w:spacing w:after="0" w:line="250"/>
            </w:pPr>
            <w:r>
              <w:rPr>
                <w:color w:val="5B6B7C"/>
                <w:sz w:val="18"/>
                <w:szCs w:val="18"/>
              </w:rPr>
              <w:t xml:space="preserve">Static assets.</w:t>
            </w:r>
          </w:p>
        </w:tc>
      </w:tr>
      <w:tr>
        <w:trPr>
          <w:cantSplit/>
        </w:trPr>
        <w:tc>
          <w:tcPr>
            <w:tcW w:type="dxa" w:w="2500"/>
            <w:tcMar>
              <w:top w:type="dxa" w:w="90"/>
              <w:left w:type="dxa" w:w="130"/>
              <w:bottom w:type="dxa" w:w="90"/>
              <w:right w:type="dxa" w:w="130"/>
            </w:tcMar>
          </w:tcPr>
          <w:p>
            <w:pPr>
              <w:spacing w:after="0" w:line="250"/>
            </w:pPr>
            <w:r>
              <w:rPr>
                <w:color w:val="5B6B7C"/>
                <w:sz w:val="18"/>
                <w:szCs w:val="18"/>
              </w:rPr>
              <w:t xml:space="preserve">Ingress</w:t>
            </w:r>
          </w:p>
        </w:tc>
        <w:tc>
          <w:tcPr>
            <w:tcW w:type="dxa" w:w="2500"/>
            <w:tcMar>
              <w:top w:type="dxa" w:w="90"/>
              <w:left w:type="dxa" w:w="130"/>
              <w:bottom w:type="dxa" w:w="90"/>
              <w:right w:type="dxa" w:w="130"/>
            </w:tcMar>
          </w:tcPr>
          <w:p>
            <w:pPr>
              <w:spacing w:after="0" w:line="250"/>
            </w:pPr>
            <w:r>
              <w:rPr>
                <w:color w:val="5B6B7C"/>
                <w:sz w:val="18"/>
                <w:szCs w:val="18"/>
              </w:rPr>
              <w:t xml:space="preserve">Backend container</w:t>
            </w:r>
          </w:p>
        </w:tc>
        <w:tc>
          <w:tcPr>
            <w:tcW w:type="dxa" w:w="13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8000/tcp</w:t>
            </w:r>
          </w:p>
        </w:tc>
        <w:tc>
          <w:tcPr>
            <w:tcW w:type="dxa" w:w="3060"/>
            <w:tcMar>
              <w:top w:type="dxa" w:w="90"/>
              <w:left w:type="dxa" w:w="130"/>
              <w:bottom w:type="dxa" w:w="90"/>
              <w:right w:type="dxa" w:w="130"/>
            </w:tcMar>
          </w:tcPr>
          <w:p>
            <w:pPr>
              <w:spacing w:after="0" w:line="250"/>
            </w:pPr>
            <w:r>
              <w:rPr>
                <w:color w:val="5B6B7C"/>
                <w:sz w:val="18"/>
                <w:szCs w:val="18"/>
              </w:rPr>
              <w:t xml:space="preserve">All /api/* traffic.</w:t>
            </w:r>
          </w:p>
        </w:tc>
      </w:tr>
      <w:tr>
        <w:trPr>
          <w:cantSplit/>
        </w:trPr>
        <w:tc>
          <w:tcPr>
            <w:tcW w:type="dxa" w:w="2500"/>
            <w:shd w:fill="F8FAFB" w:color="auto" w:val="clear"/>
            <w:tcMar>
              <w:top w:type="dxa" w:w="90"/>
              <w:left w:type="dxa" w:w="130"/>
              <w:bottom w:type="dxa" w:w="90"/>
              <w:right w:type="dxa" w:w="130"/>
            </w:tcMar>
          </w:tcPr>
          <w:p>
            <w:pPr>
              <w:spacing w:after="0" w:line="250"/>
            </w:pPr>
            <w:r>
              <w:rPr>
                <w:color w:val="5B6B7C"/>
                <w:sz w:val="18"/>
                <w:szCs w:val="18"/>
              </w:rPr>
              <w:t xml:space="preserve">Backend container</w:t>
            </w:r>
          </w:p>
        </w:tc>
        <w:tc>
          <w:tcPr>
            <w:tcW w:type="dxa" w:w="2500"/>
            <w:shd w:fill="F8FAFB" w:color="auto" w:val="clear"/>
            <w:tcMar>
              <w:top w:type="dxa" w:w="90"/>
              <w:left w:type="dxa" w:w="130"/>
              <w:bottom w:type="dxa" w:w="90"/>
              <w:right w:type="dxa" w:w="130"/>
            </w:tcMar>
          </w:tcPr>
          <w:p>
            <w:pPr>
              <w:spacing w:after="0" w:line="250"/>
            </w:pPr>
            <w:r>
              <w:rPr>
                <w:color w:val="5B6B7C"/>
                <w:sz w:val="18"/>
                <w:szCs w:val="18"/>
              </w:rPr>
              <w:t xml:space="preserve">MongoDB</w:t>
            </w:r>
          </w:p>
        </w:tc>
        <w:tc>
          <w:tcPr>
            <w:tcW w:type="dxa" w:w="1300"/>
            <w:shd w:fill="F8FAFB" w:color="auto" w:val="clear"/>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27017/tcp</w:t>
            </w:r>
          </w:p>
        </w:tc>
        <w:tc>
          <w:tcPr>
            <w:tcW w:type="dxa" w:w="3060"/>
            <w:shd w:fill="F8FAFB" w:color="auto" w:val="clear"/>
            <w:tcMar>
              <w:top w:type="dxa" w:w="90"/>
              <w:left w:type="dxa" w:w="130"/>
              <w:bottom w:type="dxa" w:w="90"/>
              <w:right w:type="dxa" w:w="130"/>
            </w:tcMar>
          </w:tcPr>
          <w:p>
            <w:pPr>
              <w:spacing w:after="0" w:line="250"/>
            </w:pPr>
            <w:r>
              <w:rPr>
                <w:color w:val="5B6B7C"/>
                <w:sz w:val="18"/>
                <w:szCs w:val="18"/>
              </w:rPr>
              <w:t xml:space="preserve">Application data. TLS required.</w:t>
            </w:r>
          </w:p>
        </w:tc>
      </w:tr>
      <w:tr>
        <w:trPr>
          <w:cantSplit/>
        </w:trPr>
        <w:tc>
          <w:tcPr>
            <w:tcW w:type="dxa" w:w="2500"/>
            <w:tcMar>
              <w:top w:type="dxa" w:w="90"/>
              <w:left w:type="dxa" w:w="130"/>
              <w:bottom w:type="dxa" w:w="90"/>
              <w:right w:type="dxa" w:w="130"/>
            </w:tcMar>
          </w:tcPr>
          <w:p>
            <w:pPr>
              <w:spacing w:after="0" w:line="250"/>
            </w:pPr>
            <w:r>
              <w:rPr>
                <w:color w:val="5B6B7C"/>
                <w:sz w:val="18"/>
                <w:szCs w:val="18"/>
              </w:rPr>
              <w:t xml:space="preserve">Backend container</w:t>
            </w:r>
          </w:p>
        </w:tc>
        <w:tc>
          <w:tcPr>
            <w:tcW w:type="dxa" w:w="2500"/>
            <w:tcMar>
              <w:top w:type="dxa" w:w="90"/>
              <w:left w:type="dxa" w:w="130"/>
              <w:bottom w:type="dxa" w:w="90"/>
              <w:right w:type="dxa" w:w="130"/>
            </w:tcMar>
          </w:tcPr>
          <w:p>
            <w:pPr>
              <w:spacing w:after="0" w:line="250"/>
            </w:pPr>
            <w:r>
              <w:rPr>
                <w:color w:val="5B6B7C"/>
                <w:sz w:val="18"/>
                <w:szCs w:val="18"/>
              </w:rPr>
              <w:t xml:space="preserve">Oracle Fusion pod</w:t>
            </w:r>
          </w:p>
          <w:p>
            <w:pPr>
              <w:spacing w:after="0" w:line="250"/>
            </w:pPr>
            <w:r>
              <w:rPr>
                <w:color w:val="5B6B7C"/>
                <w:sz w:val="18"/>
                <w:szCs w:val="18"/>
              </w:rPr>
              <w:t xml:space="preserve">(*.oraclecloud.com)</w:t>
            </w:r>
          </w:p>
        </w:tc>
        <w:tc>
          <w:tcPr>
            <w:tcW w:type="dxa" w:w="13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443/tcp</w:t>
            </w:r>
          </w:p>
        </w:tc>
        <w:tc>
          <w:tcPr>
            <w:tcW w:type="dxa" w:w="3060"/>
            <w:tcMar>
              <w:top w:type="dxa" w:w="90"/>
              <w:left w:type="dxa" w:w="130"/>
              <w:bottom w:type="dxa" w:w="90"/>
              <w:right w:type="dxa" w:w="130"/>
            </w:tcMar>
          </w:tcPr>
          <w:p>
            <w:pPr>
              <w:spacing w:after="0" w:line="250"/>
            </w:pPr>
            <w:r>
              <w:rPr>
                <w:color w:val="5B6B7C"/>
                <w:sz w:val="18"/>
                <w:szCs w:val="18"/>
              </w:rPr>
              <w:t xml:space="preserve">ERP Integration REST. Required for the direct-load path — see §4.1.</w:t>
            </w:r>
          </w:p>
        </w:tc>
      </w:tr>
      <w:tr>
        <w:trPr>
          <w:cantSplit/>
        </w:trPr>
        <w:tc>
          <w:tcPr>
            <w:tcW w:type="dxa" w:w="2500"/>
            <w:shd w:fill="F8FAFB" w:color="auto" w:val="clear"/>
            <w:tcMar>
              <w:top w:type="dxa" w:w="90"/>
              <w:left w:type="dxa" w:w="130"/>
              <w:bottom w:type="dxa" w:w="90"/>
              <w:right w:type="dxa" w:w="130"/>
            </w:tcMar>
          </w:tcPr>
          <w:p>
            <w:pPr>
              <w:spacing w:after="0" w:line="250"/>
            </w:pPr>
            <w:r>
              <w:rPr>
                <w:color w:val="5B6B7C"/>
                <w:sz w:val="18"/>
                <w:szCs w:val="18"/>
              </w:rPr>
              <w:t xml:space="preserve">Backend container</w:t>
            </w:r>
          </w:p>
        </w:tc>
        <w:tc>
          <w:tcPr>
            <w:tcW w:type="dxa" w:w="2500"/>
            <w:shd w:fill="F8FAFB" w:color="auto" w:val="clear"/>
            <w:tcMar>
              <w:top w:type="dxa" w:w="90"/>
              <w:left w:type="dxa" w:w="130"/>
              <w:bottom w:type="dxa" w:w="90"/>
              <w:right w:type="dxa" w:w="130"/>
            </w:tcMar>
          </w:tcPr>
          <w:p>
            <w:pPr>
              <w:spacing w:after="0" w:line="250"/>
            </w:pPr>
            <w:r>
              <w:rPr>
                <w:color w:val="5B6B7C"/>
                <w:sz w:val="18"/>
                <w:szCs w:val="18"/>
              </w:rPr>
              <w:t xml:space="preserve">api.anthropic.com</w:t>
            </w:r>
          </w:p>
          <w:p>
            <w:pPr>
              <w:spacing w:after="0" w:line="250"/>
            </w:pPr>
            <w:r>
              <w:rPr>
                <w:color w:val="5B6B7C"/>
                <w:sz w:val="18"/>
                <w:szCs w:val="18"/>
              </w:rPr>
              <w:t xml:space="preserve">or api.openai.com</w:t>
            </w:r>
          </w:p>
        </w:tc>
        <w:tc>
          <w:tcPr>
            <w:tcW w:type="dxa" w:w="1300"/>
            <w:shd w:fill="F8FAFB" w:color="auto" w:val="clear"/>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443/tcp</w:t>
            </w:r>
          </w:p>
        </w:tc>
        <w:tc>
          <w:tcPr>
            <w:tcW w:type="dxa" w:w="3060"/>
            <w:shd w:fill="F8FAFB" w:color="auto" w:val="clear"/>
            <w:tcMar>
              <w:top w:type="dxa" w:w="90"/>
              <w:left w:type="dxa" w:w="130"/>
              <w:bottom w:type="dxa" w:w="90"/>
              <w:right w:type="dxa" w:w="130"/>
            </w:tcMar>
          </w:tcPr>
          <w:p>
            <w:pPr>
              <w:spacing w:after="0" w:line="250"/>
            </w:pPr>
            <w:r>
              <w:rPr>
                <w:color w:val="5B6B7C"/>
                <w:sz w:val="18"/>
                <w:szCs w:val="18"/>
              </w:rPr>
              <w:t xml:space="preserve">OPTIONAL — only when AI_PROVIDER is set. Omit the rule to disable.</w:t>
            </w:r>
          </w:p>
        </w:tc>
      </w:tr>
      <w:tr>
        <w:trPr>
          <w:cantSplit/>
        </w:trPr>
        <w:tc>
          <w:tcPr>
            <w:tcW w:type="dxa" w:w="2500"/>
            <w:tcMar>
              <w:top w:type="dxa" w:w="90"/>
              <w:left w:type="dxa" w:w="130"/>
              <w:bottom w:type="dxa" w:w="90"/>
              <w:right w:type="dxa" w:w="130"/>
            </w:tcMar>
          </w:tcPr>
          <w:p>
            <w:pPr>
              <w:spacing w:after="0" w:line="250"/>
            </w:pPr>
            <w:r>
              <w:rPr>
                <w:color w:val="5B6B7C"/>
                <w:sz w:val="18"/>
                <w:szCs w:val="18"/>
              </w:rPr>
              <w:t xml:space="preserve">Backend container</w:t>
            </w:r>
          </w:p>
        </w:tc>
        <w:tc>
          <w:tcPr>
            <w:tcW w:type="dxa" w:w="2500"/>
            <w:tcMar>
              <w:top w:type="dxa" w:w="90"/>
              <w:left w:type="dxa" w:w="130"/>
              <w:bottom w:type="dxa" w:w="90"/>
              <w:right w:type="dxa" w:w="130"/>
            </w:tcMar>
          </w:tcPr>
          <w:p>
            <w:pPr>
              <w:spacing w:after="0" w:line="250"/>
            </w:pPr>
            <w:r>
              <w:rPr>
                <w:color w:val="5B6B7C"/>
                <w:sz w:val="18"/>
                <w:szCs w:val="18"/>
              </w:rPr>
              <w:t xml:space="preserve">Oracle EBS database</w:t>
            </w:r>
          </w:p>
        </w:tc>
        <w:tc>
          <w:tcPr>
            <w:tcW w:type="dxa" w:w="13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1521/tcp</w:t>
            </w:r>
          </w:p>
        </w:tc>
        <w:tc>
          <w:tcPr>
            <w:tcW w:type="dxa" w:w="3060"/>
            <w:tcMar>
              <w:top w:type="dxa" w:w="90"/>
              <w:left w:type="dxa" w:w="130"/>
              <w:bottom w:type="dxa" w:w="90"/>
              <w:right w:type="dxa" w:w="130"/>
            </w:tcMar>
          </w:tcPr>
          <w:p>
            <w:pPr>
              <w:spacing w:after="0" w:line="250"/>
            </w:pPr>
            <w:r>
              <w:rPr>
                <w:color w:val="5B6B7C"/>
                <w:sz w:val="18"/>
                <w:szCs w:val="18"/>
              </w:rPr>
              <w:t xml:space="preserve">OPTIONAL — direct source read. Read-only account.</w:t>
            </w:r>
          </w:p>
        </w:tc>
      </w:tr>
      <w:tr>
        <w:trPr>
          <w:cantSplit/>
        </w:trPr>
        <w:tc>
          <w:tcPr>
            <w:tcW w:type="dxa" w:w="2500"/>
            <w:shd w:fill="F8FAFB" w:color="auto" w:val="clear"/>
            <w:tcMar>
              <w:top w:type="dxa" w:w="90"/>
              <w:left w:type="dxa" w:w="130"/>
              <w:bottom w:type="dxa" w:w="90"/>
              <w:right w:type="dxa" w:w="130"/>
            </w:tcMar>
          </w:tcPr>
          <w:p>
            <w:pPr>
              <w:spacing w:after="0" w:line="250"/>
            </w:pPr>
            <w:r>
              <w:rPr>
                <w:color w:val="5B6B7C"/>
                <w:sz w:val="18"/>
                <w:szCs w:val="18"/>
              </w:rPr>
              <w:t xml:space="preserve">Build agent</w:t>
            </w:r>
          </w:p>
        </w:tc>
        <w:tc>
          <w:tcPr>
            <w:tcW w:type="dxa" w:w="2500"/>
            <w:shd w:fill="F8FAFB" w:color="auto" w:val="clear"/>
            <w:tcMar>
              <w:top w:type="dxa" w:w="90"/>
              <w:left w:type="dxa" w:w="130"/>
              <w:bottom w:type="dxa" w:w="90"/>
              <w:right w:type="dxa" w:w="130"/>
            </w:tcMar>
          </w:tcPr>
          <w:p>
            <w:pPr>
              <w:spacing w:after="0" w:line="250"/>
            </w:pPr>
            <w:r>
              <w:rPr>
                <w:color w:val="5B6B7C"/>
                <w:sz w:val="18"/>
                <w:szCs w:val="18"/>
              </w:rPr>
              <w:t xml:space="preserve">Container registry</w:t>
            </w:r>
          </w:p>
          <w:p>
            <w:pPr>
              <w:spacing w:after="0" w:line="250"/>
            </w:pPr>
            <w:r>
              <w:rPr>
                <w:color w:val="5B6B7C"/>
                <w:sz w:val="18"/>
                <w:szCs w:val="18"/>
              </w:rPr>
              <w:t xml:space="preserve">Maven Central</w:t>
            </w:r>
          </w:p>
        </w:tc>
        <w:tc>
          <w:tcPr>
            <w:tcW w:type="dxa" w:w="1300"/>
            <w:shd w:fill="F8FAFB" w:color="auto" w:val="clear"/>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443/tcp</w:t>
            </w:r>
          </w:p>
        </w:tc>
        <w:tc>
          <w:tcPr>
            <w:tcW w:type="dxa" w:w="3060"/>
            <w:shd w:fill="F8FAFB" w:color="auto" w:val="clear"/>
            <w:tcMar>
              <w:top w:type="dxa" w:w="90"/>
              <w:left w:type="dxa" w:w="130"/>
              <w:bottom w:type="dxa" w:w="90"/>
              <w:right w:type="dxa" w:w="130"/>
            </w:tcMar>
          </w:tcPr>
          <w:p>
            <w:pPr>
              <w:spacing w:after="0" w:line="250"/>
            </w:pPr>
            <w:r>
              <w:rPr>
                <w:color w:val="5B6B7C"/>
                <w:sz w:val="18"/>
                <w:szCs w:val="18"/>
              </w:rPr>
              <w:t xml:space="preserve">Build and deploy time only. No runtime dependency.</w:t>
            </w:r>
          </w:p>
        </w:tc>
      </w:tr>
    </w:tbl>
    <w:p>
      <w:pPr>
        <w:pStyle w:val="Heading2"/>
        <w:spacing w:after="120" w:before="260"/>
      </w:pPr>
      <w:r>
        <w:t xml:space="preserve">Not required</w:t>
      </w:r>
    </w:p>
    <w:p>
      <w:pPr>
        <w:pStyle w:val="ListParagraph"/>
        <w:numPr>
          <w:ilvl w:val="0"/>
          <w:numId w:val="1"/>
        </w:numPr>
        <w:spacing w:after="80" w:line="276"/>
      </w:pPr>
      <w:r>
        <w:t xml:space="preserve">No inbound access from the public internet to any component.</w:t>
      </w:r>
    </w:p>
    <w:p>
      <w:pPr>
        <w:pStyle w:val="ListParagraph"/>
        <w:numPr>
          <w:ilvl w:val="0"/>
          <w:numId w:val="1"/>
        </w:numPr>
        <w:spacing w:after="80" w:line="276"/>
      </w:pPr>
      <w:r>
        <w:t xml:space="preserve">No SMTP or email relay. The application sends no mail.</w:t>
      </w:r>
    </w:p>
    <w:p>
      <w:pPr>
        <w:pStyle w:val="ListParagraph"/>
        <w:numPr>
          <w:ilvl w:val="0"/>
          <w:numId w:val="1"/>
        </w:numPr>
        <w:spacing w:after="80" w:line="276"/>
      </w:pPr>
      <w:r>
        <w:t xml:space="preserve">No message broker, queue or scheduler.</w:t>
      </w:r>
    </w:p>
    <w:p>
      <w:pPr>
        <w:pStyle w:val="ListParagraph"/>
        <w:numPr>
          <w:ilvl w:val="0"/>
          <w:numId w:val="1"/>
        </w:numPr>
        <w:spacing w:after="80" w:line="276"/>
      </w:pPr>
      <w:r>
        <w:t xml:space="preserve">No shared filesystem mounted to any other corporate system.</w:t>
      </w:r>
    </w:p>
    <w:p>
      <w:pPr>
        <w:pStyle w:val="ListParagraph"/>
        <w:numPr>
          <w:ilvl w:val="0"/>
          <w:numId w:val="1"/>
        </w:numPr>
        <w:spacing w:after="80" w:line="276"/>
      </w:pPr>
      <w:r>
        <w:t xml:space="preserve">No inbound path from Oracle Fusion. The integration is outbound only — the application calls Fusion, never the reverse.</w:t>
      </w:r>
    </w:p>
    <w:p>
      <w:pPr>
        <w:pStyle w:val="Heading2"/>
        <w:spacing w:after="120" w:before="260"/>
      </w:pPr>
      <w:r>
        <w:t xml:space="preserve">4.1 How files reach Oracle Fusion</w:t>
      </w:r>
    </w:p>
    <w:p>
      <w:pPr>
        <w:spacing w:after="120" w:line="276"/>
      </w:pPr>
      <w:r>
        <w:rPr>
          <w:color w:val="1F2933"/>
          <w:sz w:val="20"/>
          <w:szCs w:val="20"/>
        </w:rPr>
        <w:t xml:space="preserve">There are two paths, and the distinction matters to whoever writes the firewall rule.</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200"/>
        <w:gridCol w:w="7160"/>
      </w:tblGrid>
      <w:tr>
        <w:trPr>
          <w:cantSplit/>
          <w:tblHeader/>
        </w:trPr>
        <w:tc>
          <w:tcPr>
            <w:tcW w:type="dxa" w:w="2200"/>
            <w:shd w:fill="EDF1F5" w:color="auto" w:val="clear"/>
            <w:tcMar>
              <w:top w:type="dxa" w:w="90"/>
              <w:left w:type="dxa" w:w="130"/>
              <w:bottom w:type="dxa" w:w="90"/>
              <w:right w:type="dxa" w:w="130"/>
            </w:tcMar>
          </w:tcPr>
          <w:p>
            <w:pPr>
              <w:spacing w:after="0" w:line="250"/>
            </w:pPr>
            <w:r>
              <w:rPr>
                <w:b/>
                <w:bCs/>
                <w:color w:val="1F2933"/>
                <w:sz w:val="18"/>
                <w:szCs w:val="18"/>
              </w:rPr>
              <w:t xml:space="preserve">Path</w:t>
            </w:r>
          </w:p>
        </w:tc>
        <w:tc>
          <w:tcPr>
            <w:tcW w:type="dxa" w:w="7160"/>
            <w:shd w:fill="EDF1F5" w:color="auto" w:val="clear"/>
            <w:tcMar>
              <w:top w:type="dxa" w:w="90"/>
              <w:left w:type="dxa" w:w="130"/>
              <w:bottom w:type="dxa" w:w="90"/>
              <w:right w:type="dxa" w:w="130"/>
            </w:tcMar>
          </w:tcPr>
          <w:p>
            <w:pPr>
              <w:spacing w:after="0" w:line="250"/>
            </w:pPr>
            <w:r>
              <w:rPr>
                <w:b/>
                <w:bCs/>
                <w:color w:val="1F2933"/>
                <w:sz w:val="18"/>
                <w:szCs w:val="18"/>
              </w:rPr>
              <w:t xml:space="preserve">Detail</w:t>
            </w:r>
          </w:p>
        </w:tc>
      </w:tr>
      <w:tr>
        <w:trPr>
          <w:cantSplit/>
        </w:trPr>
        <w:tc>
          <w:tcPr>
            <w:tcW w:type="dxa" w:w="2200"/>
            <w:tcMar>
              <w:top w:type="dxa" w:w="90"/>
              <w:left w:type="dxa" w:w="130"/>
              <w:bottom w:type="dxa" w:w="90"/>
              <w:right w:type="dxa" w:w="130"/>
            </w:tcMar>
          </w:tcPr>
          <w:p>
            <w:pPr>
              <w:spacing w:after="0" w:line="250"/>
            </w:pPr>
            <w:r>
              <w:rPr>
                <w:color w:val="5B6B7C"/>
                <w:sz w:val="18"/>
                <w:szCs w:val="18"/>
              </w:rPr>
              <w:t xml:space="preserve">A — manual</w:t>
            </w:r>
          </w:p>
          <w:p>
            <w:pPr>
              <w:spacing w:after="0" w:line="250"/>
            </w:pPr>
            <w:r>
              <w:rPr>
                <w:color w:val="5B6B7C"/>
                <w:sz w:val="18"/>
                <w:szCs w:val="18"/>
              </w:rPr>
              <w:t xml:space="preserve">(in use today)</w:t>
            </w:r>
          </w:p>
        </w:tc>
        <w:tc>
          <w:tcPr>
            <w:tcW w:type="dxa" w:w="7160"/>
            <w:tcMar>
              <w:top w:type="dxa" w:w="90"/>
              <w:left w:type="dxa" w:w="130"/>
              <w:bottom w:type="dxa" w:w="90"/>
              <w:right w:type="dxa" w:w="130"/>
            </w:tcMar>
          </w:tcPr>
          <w:p>
            <w:pPr>
              <w:spacing w:after="0" w:line="250"/>
            </w:pPr>
            <w:r>
              <w:rPr>
                <w:color w:val="5B6B7C"/>
                <w:sz w:val="18"/>
                <w:szCs w:val="18"/>
              </w:rPr>
              <w:t xml:space="preserve">The analyst downloads the generated bundle and uploads it through Fusion's own import screens. No connectivity from this application is needed.</w:t>
            </w:r>
          </w:p>
        </w:tc>
      </w:tr>
      <w:tr>
        <w:trPr>
          <w:cantSplit/>
        </w:trPr>
        <w:tc>
          <w:tcPr>
            <w:tcW w:type="dxa" w:w="2200"/>
            <w:shd w:fill="F8FAFB" w:color="auto" w:val="clear"/>
            <w:tcMar>
              <w:top w:type="dxa" w:w="90"/>
              <w:left w:type="dxa" w:w="130"/>
              <w:bottom w:type="dxa" w:w="90"/>
              <w:right w:type="dxa" w:w="130"/>
            </w:tcMar>
          </w:tcPr>
          <w:p>
            <w:pPr>
              <w:spacing w:after="0" w:line="250"/>
            </w:pPr>
            <w:r>
              <w:rPr>
                <w:color w:val="5B6B7C"/>
                <w:sz w:val="18"/>
                <w:szCs w:val="18"/>
              </w:rPr>
              <w:t xml:space="preserve">B — direct load</w:t>
            </w:r>
          </w:p>
          <w:p>
            <w:pPr>
              <w:spacing w:after="0" w:line="250"/>
            </w:pPr>
            <w:r>
              <w:rPr>
                <w:color w:val="5B6B7C"/>
                <w:sz w:val="18"/>
                <w:szCs w:val="18"/>
              </w:rPr>
              <w:t xml:space="preserve">(BUILT, NOT YET TESTED)</w:t>
            </w:r>
          </w:p>
        </w:tc>
        <w:tc>
          <w:tcPr>
            <w:tcW w:type="dxa" w:w="7160"/>
            <w:shd w:fill="F8FAFB" w:color="auto" w:val="clear"/>
            <w:tcMar>
              <w:top w:type="dxa" w:w="90"/>
              <w:left w:type="dxa" w:w="130"/>
              <w:bottom w:type="dxa" w:w="90"/>
              <w:right w:type="dxa" w:w="130"/>
            </w:tcMar>
          </w:tcPr>
          <w:p>
            <w:pPr>
              <w:spacing w:after="0" w:line="250"/>
            </w:pPr>
            <w:r>
              <w:rPr>
                <w:color w:val="5B6B7C"/>
                <w:sz w:val="18"/>
                <w:szCs w:val="18"/>
              </w:rPr>
              <w:t xml:space="preserve">The application calls the Fusion ERP Integration REST service at /fscmRestApi/resources/11.13.18.05/erpintegrations, using importBulkData: it stages the FBDI zip to UCM and submits the ESS import job in one call. There is also a Test Connection check against the same API. Authentication is HTTP basic.</w:t>
            </w:r>
          </w:p>
        </w:tc>
      </w:tr>
    </w:tbl>
    <w:p>
      <w:pPr>
        <w:spacing w:after="120" w:line="276"/>
      </w:pPr>
      <w:r>
        <w:rPr>
          <w:color w:val="5B6B7C"/>
          <w:sz w:val="18"/>
          <w:szCs w:val="18"/>
        </w:rPr>
        <w:t xml:space="preserve">Path B is written, wired to the Load Management screen and covered by the object-to-ESS-job metadata for twenty business objects — but it has not been exercised against a real pod. Treat it as functionality that exists and is unproven, not as a plan. If you would rather not open the rule until it has been tested, the application is fully usable on Path A in the meantime.</w:t>
      </w:r>
    </w:p>
    <w:p>
      <w:pPr>
        <w:spacing w:after="120" w:line="276"/>
      </w:pPr>
      <w:r>
        <w:rPr>
          <w:color w:val="5B6B7C"/>
          <w:sz w:val="18"/>
          <w:szCs w:val="18"/>
        </w:rPr>
        <w:t xml:space="preserve">The Fusion service account needs the SCM / ERP Integration privileges for the objects being loaded. The Test Connection check distinguishes unreachable, authenticated-but-unauthorised, and module-not-provisioned, so a misconfigured account is diagnosable before a load is attempted.</w:t>
      </w:r>
    </w:p>
    <w:p>
      <w:pPr>
        <w:pStyle w:val="Heading1"/>
        <w:spacing w:after="160" w:before="320"/>
      </w:pPr>
      <w:r>
        <w:t xml:space="preserve">5. Compute sizing</w:t>
      </w:r>
    </w:p>
    <w:p>
      <w:pPr>
        <w:spacing w:after="120" w:line="276"/>
      </w:pPr>
      <w:r>
        <w:rPr>
          <w:color w:val="1F2933"/>
          <w:sz w:val="20"/>
          <w:szCs w:val="20"/>
        </w:rPr>
        <w:t xml:space="preserve">The figures below come from measured behaviour on a real supplier migration: a 7,495-row NetSuite extract expanded into six FBDI workbooks across 3,872 suppliers.</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100"/>
        <w:gridCol w:w="1500"/>
        <w:gridCol w:w="1500"/>
        <w:gridCol w:w="1500"/>
        <w:gridCol w:w="2760"/>
      </w:tblGrid>
      <w:tr>
        <w:trPr>
          <w:cantSplit/>
          <w:tblHeader/>
        </w:trPr>
        <w:tc>
          <w:tcPr>
            <w:tcW w:type="dxa" w:w="2100"/>
            <w:shd w:fill="EDF1F5" w:color="auto" w:val="clear"/>
            <w:tcMar>
              <w:top w:type="dxa" w:w="90"/>
              <w:left w:type="dxa" w:w="130"/>
              <w:bottom w:type="dxa" w:w="90"/>
              <w:right w:type="dxa" w:w="130"/>
            </w:tcMar>
          </w:tcPr>
          <w:p>
            <w:pPr>
              <w:spacing w:after="0" w:line="250"/>
            </w:pPr>
            <w:r>
              <w:rPr>
                <w:b/>
                <w:bCs/>
                <w:color w:val="1F2933"/>
                <w:sz w:val="18"/>
                <w:szCs w:val="18"/>
              </w:rPr>
              <w:t xml:space="preserve">Component</w:t>
            </w:r>
          </w:p>
        </w:tc>
        <w:tc>
          <w:tcPr>
            <w:tcW w:type="dxa" w:w="1500"/>
            <w:shd w:fill="EDF1F5" w:color="auto" w:val="clear"/>
            <w:tcMar>
              <w:top w:type="dxa" w:w="90"/>
              <w:left w:type="dxa" w:w="130"/>
              <w:bottom w:type="dxa" w:w="90"/>
              <w:right w:type="dxa" w:w="130"/>
            </w:tcMar>
          </w:tcPr>
          <w:p>
            <w:pPr>
              <w:spacing w:after="0" w:line="250"/>
            </w:pPr>
            <w:r>
              <w:rPr>
                <w:b/>
                <w:bCs/>
                <w:color w:val="1F2933"/>
                <w:sz w:val="18"/>
                <w:szCs w:val="18"/>
              </w:rPr>
              <w:t xml:space="preserve">vCPU</w:t>
            </w:r>
          </w:p>
        </w:tc>
        <w:tc>
          <w:tcPr>
            <w:tcW w:type="dxa" w:w="1500"/>
            <w:shd w:fill="EDF1F5" w:color="auto" w:val="clear"/>
            <w:tcMar>
              <w:top w:type="dxa" w:w="90"/>
              <w:left w:type="dxa" w:w="130"/>
              <w:bottom w:type="dxa" w:w="90"/>
              <w:right w:type="dxa" w:w="130"/>
            </w:tcMar>
          </w:tcPr>
          <w:p>
            <w:pPr>
              <w:spacing w:after="0" w:line="250"/>
            </w:pPr>
            <w:r>
              <w:rPr>
                <w:b/>
                <w:bCs/>
                <w:color w:val="1F2933"/>
                <w:sz w:val="18"/>
                <w:szCs w:val="18"/>
              </w:rPr>
              <w:t xml:space="preserve">Memory</w:t>
            </w:r>
          </w:p>
        </w:tc>
        <w:tc>
          <w:tcPr>
            <w:tcW w:type="dxa" w:w="1500"/>
            <w:shd w:fill="EDF1F5" w:color="auto" w:val="clear"/>
            <w:tcMar>
              <w:top w:type="dxa" w:w="90"/>
              <w:left w:type="dxa" w:w="130"/>
              <w:bottom w:type="dxa" w:w="90"/>
              <w:right w:type="dxa" w:w="130"/>
            </w:tcMar>
          </w:tcPr>
          <w:p>
            <w:pPr>
              <w:spacing w:after="0" w:line="250"/>
            </w:pPr>
            <w:r>
              <w:rPr>
                <w:b/>
                <w:bCs/>
                <w:color w:val="1F2933"/>
                <w:sz w:val="18"/>
                <w:szCs w:val="18"/>
              </w:rPr>
              <w:t xml:space="preserve">Replicas</w:t>
            </w:r>
          </w:p>
        </w:tc>
        <w:tc>
          <w:tcPr>
            <w:tcW w:type="dxa" w:w="2760"/>
            <w:shd w:fill="EDF1F5" w:color="auto" w:val="clear"/>
            <w:tcMar>
              <w:top w:type="dxa" w:w="90"/>
              <w:left w:type="dxa" w:w="130"/>
              <w:bottom w:type="dxa" w:w="90"/>
              <w:right w:type="dxa" w:w="130"/>
            </w:tcMar>
          </w:tcPr>
          <w:p>
            <w:pPr>
              <w:spacing w:after="0" w:line="250"/>
            </w:pPr>
            <w:r>
              <w:rPr>
                <w:b/>
                <w:bCs/>
                <w:color w:val="1F2933"/>
                <w:sz w:val="18"/>
                <w:szCs w:val="18"/>
              </w:rPr>
              <w:t xml:space="preserve">Notes</w:t>
            </w:r>
          </w:p>
        </w:tc>
      </w:tr>
      <w:tr>
        <w:trPr>
          <w:cantSplit/>
        </w:trPr>
        <w:tc>
          <w:tcPr>
            <w:tcW w:type="dxa" w:w="2100"/>
            <w:tcMar>
              <w:top w:type="dxa" w:w="90"/>
              <w:left w:type="dxa" w:w="130"/>
              <w:bottom w:type="dxa" w:w="90"/>
              <w:right w:type="dxa" w:w="130"/>
            </w:tcMar>
          </w:tcPr>
          <w:p>
            <w:pPr>
              <w:spacing w:after="0" w:line="250"/>
            </w:pPr>
            <w:r>
              <w:rPr>
                <w:color w:val="5B6B7C"/>
                <w:sz w:val="18"/>
                <w:szCs w:val="18"/>
              </w:rPr>
              <w:t xml:space="preserve">Frontend</w:t>
            </w:r>
          </w:p>
        </w:tc>
        <w:tc>
          <w:tcPr>
            <w:tcW w:type="dxa" w:w="1500"/>
            <w:tcMar>
              <w:top w:type="dxa" w:w="90"/>
              <w:left w:type="dxa" w:w="130"/>
              <w:bottom w:type="dxa" w:w="90"/>
              <w:right w:type="dxa" w:w="130"/>
            </w:tcMar>
          </w:tcPr>
          <w:p>
            <w:pPr>
              <w:spacing w:after="0" w:line="250"/>
            </w:pPr>
            <w:r>
              <w:rPr>
                <w:color w:val="5B6B7C"/>
                <w:sz w:val="18"/>
                <w:szCs w:val="18"/>
              </w:rPr>
              <w:t xml:space="preserve">0.25</w:t>
            </w:r>
          </w:p>
        </w:tc>
        <w:tc>
          <w:tcPr>
            <w:tcW w:type="dxa" w:w="1500"/>
            <w:tcMar>
              <w:top w:type="dxa" w:w="90"/>
              <w:left w:type="dxa" w:w="130"/>
              <w:bottom w:type="dxa" w:w="90"/>
              <w:right w:type="dxa" w:w="130"/>
            </w:tcMar>
          </w:tcPr>
          <w:p>
            <w:pPr>
              <w:spacing w:after="0" w:line="250"/>
            </w:pPr>
            <w:r>
              <w:rPr>
                <w:color w:val="5B6B7C"/>
                <w:sz w:val="18"/>
                <w:szCs w:val="18"/>
              </w:rPr>
              <w:t xml:space="preserve">512 MB</w:t>
            </w:r>
          </w:p>
        </w:tc>
        <w:tc>
          <w:tcPr>
            <w:tcW w:type="dxa" w:w="1500"/>
            <w:tcMar>
              <w:top w:type="dxa" w:w="90"/>
              <w:left w:type="dxa" w:w="130"/>
              <w:bottom w:type="dxa" w:w="90"/>
              <w:right w:type="dxa" w:w="130"/>
            </w:tcMar>
          </w:tcPr>
          <w:p>
            <w:pPr>
              <w:spacing w:after="0" w:line="250"/>
            </w:pPr>
            <w:r>
              <w:rPr>
                <w:color w:val="5B6B7C"/>
                <w:sz w:val="18"/>
                <w:szCs w:val="18"/>
              </w:rPr>
              <w:t xml:space="preserve">2</w:t>
            </w:r>
          </w:p>
        </w:tc>
        <w:tc>
          <w:tcPr>
            <w:tcW w:type="dxa" w:w="2760"/>
            <w:tcMar>
              <w:top w:type="dxa" w:w="90"/>
              <w:left w:type="dxa" w:w="130"/>
              <w:bottom w:type="dxa" w:w="90"/>
              <w:right w:type="dxa" w:w="130"/>
            </w:tcMar>
          </w:tcPr>
          <w:p>
            <w:pPr>
              <w:spacing w:after="0" w:line="250"/>
            </w:pPr>
            <w:r>
              <w:rPr>
                <w:color w:val="5B6B7C"/>
                <w:sz w:val="18"/>
                <w:szCs w:val="18"/>
              </w:rPr>
              <w:t xml:space="preserve">Trivial load. Two replicas for rolling deploys, not capacity.</w:t>
            </w:r>
          </w:p>
        </w:tc>
      </w:tr>
      <w:tr>
        <w:trPr>
          <w:cantSplit/>
        </w:trPr>
        <w:tc>
          <w:tcPr>
            <w:tcW w:type="dxa" w:w="2100"/>
            <w:shd w:fill="F8FAFB" w:color="auto" w:val="clear"/>
            <w:tcMar>
              <w:top w:type="dxa" w:w="90"/>
              <w:left w:type="dxa" w:w="130"/>
              <w:bottom w:type="dxa" w:w="90"/>
              <w:right w:type="dxa" w:w="130"/>
            </w:tcMar>
          </w:tcPr>
          <w:p>
            <w:pPr>
              <w:spacing w:after="0" w:line="250"/>
            </w:pPr>
            <w:r>
              <w:rPr>
                <w:color w:val="5B6B7C"/>
                <w:sz w:val="18"/>
                <w:szCs w:val="18"/>
              </w:rPr>
              <w:t xml:space="preserve">Backend</w:t>
            </w:r>
          </w:p>
        </w:tc>
        <w:tc>
          <w:tcPr>
            <w:tcW w:type="dxa" w:w="1500"/>
            <w:shd w:fill="F8FAFB" w:color="auto" w:val="clear"/>
            <w:tcMar>
              <w:top w:type="dxa" w:w="90"/>
              <w:left w:type="dxa" w:w="130"/>
              <w:bottom w:type="dxa" w:w="90"/>
              <w:right w:type="dxa" w:w="130"/>
            </w:tcMar>
          </w:tcPr>
          <w:p>
            <w:pPr>
              <w:spacing w:after="0" w:line="250"/>
            </w:pPr>
            <w:r>
              <w:rPr>
                <w:color w:val="5B6B7C"/>
                <w:sz w:val="18"/>
                <w:szCs w:val="18"/>
              </w:rPr>
              <w:t xml:space="preserve">1–2</w:t>
            </w:r>
          </w:p>
        </w:tc>
        <w:tc>
          <w:tcPr>
            <w:tcW w:type="dxa" w:w="1500"/>
            <w:shd w:fill="F8FAFB" w:color="auto" w:val="clear"/>
            <w:tcMar>
              <w:top w:type="dxa" w:w="90"/>
              <w:left w:type="dxa" w:w="130"/>
              <w:bottom w:type="dxa" w:w="90"/>
              <w:right w:type="dxa" w:w="130"/>
            </w:tcMar>
          </w:tcPr>
          <w:p>
            <w:pPr>
              <w:spacing w:after="0" w:line="250"/>
            </w:pPr>
            <w:r>
              <w:rPr>
                <w:color w:val="5B6B7C"/>
                <w:sz w:val="18"/>
                <w:szCs w:val="18"/>
              </w:rPr>
              <w:t xml:space="preserve">4 GB</w:t>
            </w:r>
          </w:p>
        </w:tc>
        <w:tc>
          <w:tcPr>
            <w:tcW w:type="dxa" w:w="1500"/>
            <w:shd w:fill="F8FAFB" w:color="auto" w:val="clear"/>
            <w:tcMar>
              <w:top w:type="dxa" w:w="90"/>
              <w:left w:type="dxa" w:w="130"/>
              <w:bottom w:type="dxa" w:w="90"/>
              <w:right w:type="dxa" w:w="130"/>
            </w:tcMar>
          </w:tcPr>
          <w:p>
            <w:pPr>
              <w:spacing w:after="0" w:line="250"/>
            </w:pPr>
            <w:r>
              <w:rPr>
                <w:color w:val="5B6B7C"/>
                <w:sz w:val="18"/>
                <w:szCs w:val="18"/>
              </w:rPr>
              <w:t xml:space="preserve">2</w:t>
            </w:r>
          </w:p>
        </w:tc>
        <w:tc>
          <w:tcPr>
            <w:tcW w:type="dxa" w:w="2760"/>
            <w:shd w:fill="F8FAFB" w:color="auto" w:val="clear"/>
            <w:tcMar>
              <w:top w:type="dxa" w:w="90"/>
              <w:left w:type="dxa" w:w="130"/>
              <w:bottom w:type="dxa" w:w="90"/>
              <w:right w:type="dxa" w:w="130"/>
            </w:tcMar>
          </w:tcPr>
          <w:p>
            <w:pPr>
              <w:spacing w:after="0" w:line="250"/>
            </w:pPr>
            <w:r>
              <w:rPr>
                <w:color w:val="5B6B7C"/>
                <w:sz w:val="18"/>
                <w:szCs w:val="18"/>
              </w:rPr>
              <w:t xml:space="preserve">Peak working set is roughly 1.5 GB during generation. 4 GB gives headroom for two concurrent jobs per replica.</w:t>
            </w:r>
          </w:p>
        </w:tc>
      </w:tr>
      <w:tr>
        <w:trPr>
          <w:cantSplit/>
        </w:trPr>
        <w:tc>
          <w:tcPr>
            <w:tcW w:type="dxa" w:w="2100"/>
            <w:tcMar>
              <w:top w:type="dxa" w:w="90"/>
              <w:left w:type="dxa" w:w="130"/>
              <w:bottom w:type="dxa" w:w="90"/>
              <w:right w:type="dxa" w:w="130"/>
            </w:tcMar>
          </w:tcPr>
          <w:p>
            <w:pPr>
              <w:spacing w:after="0" w:line="250"/>
            </w:pPr>
            <w:r>
              <w:rPr>
                <w:color w:val="5B6B7C"/>
                <w:sz w:val="18"/>
                <w:szCs w:val="18"/>
              </w:rPr>
              <w:t xml:space="preserve">MongoDB</w:t>
            </w:r>
          </w:p>
        </w:tc>
        <w:tc>
          <w:tcPr>
            <w:tcW w:type="dxa" w:w="1500"/>
            <w:tcMar>
              <w:top w:type="dxa" w:w="90"/>
              <w:left w:type="dxa" w:w="130"/>
              <w:bottom w:type="dxa" w:w="90"/>
              <w:right w:type="dxa" w:w="130"/>
            </w:tcMar>
          </w:tcPr>
          <w:p>
            <w:pPr>
              <w:spacing w:after="0" w:line="250"/>
            </w:pPr>
            <w:r>
              <w:rPr>
                <w:color w:val="5B6B7C"/>
                <w:sz w:val="18"/>
                <w:szCs w:val="18"/>
              </w:rPr>
              <w:t xml:space="preserve">2</w:t>
            </w:r>
          </w:p>
        </w:tc>
        <w:tc>
          <w:tcPr>
            <w:tcW w:type="dxa" w:w="1500"/>
            <w:tcMar>
              <w:top w:type="dxa" w:w="90"/>
              <w:left w:type="dxa" w:w="130"/>
              <w:bottom w:type="dxa" w:w="90"/>
              <w:right w:type="dxa" w:w="130"/>
            </w:tcMar>
          </w:tcPr>
          <w:p>
            <w:pPr>
              <w:spacing w:after="0" w:line="250"/>
            </w:pPr>
            <w:r>
              <w:rPr>
                <w:color w:val="5B6B7C"/>
                <w:sz w:val="18"/>
                <w:szCs w:val="18"/>
              </w:rPr>
              <w:t xml:space="preserve">8 GB</w:t>
            </w:r>
          </w:p>
        </w:tc>
        <w:tc>
          <w:tcPr>
            <w:tcW w:type="dxa" w:w="1500"/>
            <w:tcMar>
              <w:top w:type="dxa" w:w="90"/>
              <w:left w:type="dxa" w:w="130"/>
              <w:bottom w:type="dxa" w:w="90"/>
              <w:right w:type="dxa" w:w="130"/>
            </w:tcMar>
          </w:tcPr>
          <w:p>
            <w:pPr>
              <w:spacing w:after="0" w:line="250"/>
            </w:pPr>
            <w:r>
              <w:rPr>
                <w:color w:val="5B6B7C"/>
                <w:sz w:val="18"/>
                <w:szCs w:val="18"/>
              </w:rPr>
              <w:t xml:space="preserve">3 (replica set)</w:t>
            </w:r>
          </w:p>
        </w:tc>
        <w:tc>
          <w:tcPr>
            <w:tcW w:type="dxa" w:w="2760"/>
            <w:tcMar>
              <w:top w:type="dxa" w:w="90"/>
              <w:left w:type="dxa" w:w="130"/>
              <w:bottom w:type="dxa" w:w="90"/>
              <w:right w:type="dxa" w:w="130"/>
            </w:tcMar>
          </w:tcPr>
          <w:p>
            <w:pPr>
              <w:spacing w:after="0" w:line="250"/>
            </w:pPr>
            <w:r>
              <w:rPr>
                <w:color w:val="5B6B7C"/>
                <w:sz w:val="18"/>
                <w:szCs w:val="18"/>
              </w:rPr>
              <w:t xml:space="preserve">Or the equivalent managed tier. See §7.</w:t>
            </w:r>
          </w:p>
        </w:tc>
      </w:tr>
    </w:tbl>
    <w:p>
      <w:pPr>
        <w:pStyle w:val="Heading2"/>
        <w:spacing w:after="120" w:before="260"/>
      </w:pPr>
      <w:r>
        <w:t xml:space="preserve">Scaling behaviour</w:t>
      </w:r>
    </w:p>
    <w:p>
      <w:pPr>
        <w:pStyle w:val="ListParagraph"/>
        <w:numPr>
          <w:ilvl w:val="0"/>
          <w:numId w:val="1"/>
        </w:numPr>
        <w:spacing w:after="80" w:line="276"/>
      </w:pPr>
      <w:r>
        <w:t xml:space="preserve">Generation is CPU-bound and processes rows in chunks, so memory stays bounded as extracts grow.</w:t>
      </w:r>
    </w:p>
    <w:p>
      <w:pPr>
        <w:pStyle w:val="ListParagraph"/>
        <w:numPr>
          <w:ilvl w:val="0"/>
          <w:numId w:val="1"/>
        </w:numPr>
        <w:spacing w:after="80" w:line="276"/>
      </w:pPr>
      <w:r>
        <w:t xml:space="preserve">Horizontal scaling of the backend is safe: replicas share nothing except MongoDB and the file volume.</w:t>
      </w:r>
    </w:p>
    <w:p>
      <w:pPr>
        <w:pStyle w:val="ListParagraph"/>
        <w:numPr>
          <w:ilvl w:val="0"/>
          <w:numId w:val="1"/>
        </w:numPr>
        <w:spacing w:after="80" w:line="276"/>
      </w:pPr>
      <w:r>
        <w:t xml:space="preserve">If a single extract ever exceeds roughly 100,000 rows, raise backend memory before adding replicas.</w:t>
      </w:r>
    </w:p>
    <w:p>
      <w:pPr>
        <w:pStyle w:val="Heading1"/>
        <w:spacing w:after="160" w:before="320"/>
      </w:pPr>
      <w:r>
        <w:t xml:space="preserve">6. Storage</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600"/>
        <w:gridCol w:w="6760"/>
      </w:tblGrid>
      <w:tr>
        <w:trPr>
          <w:cantSplit/>
          <w:tblHeader/>
        </w:trPr>
        <w:tc>
          <w:tcPr>
            <w:tcW w:type="dxa" w:w="2600"/>
            <w:shd w:fill="EDF1F5" w:color="auto" w:val="clear"/>
            <w:tcMar>
              <w:top w:type="dxa" w:w="90"/>
              <w:left w:type="dxa" w:w="130"/>
              <w:bottom w:type="dxa" w:w="90"/>
              <w:right w:type="dxa" w:w="130"/>
            </w:tcMar>
          </w:tcPr>
          <w:p>
            <w:pPr>
              <w:spacing w:after="0" w:line="250"/>
            </w:pPr>
            <w:r>
              <w:rPr>
                <w:b/>
                <w:bCs/>
                <w:color w:val="1F2933"/>
                <w:sz w:val="18"/>
                <w:szCs w:val="18"/>
              </w:rPr>
              <w:t xml:space="preserve">Item</w:t>
            </w:r>
          </w:p>
        </w:tc>
        <w:tc>
          <w:tcPr>
            <w:tcW w:type="dxa" w:w="6760"/>
            <w:shd w:fill="EDF1F5" w:color="auto" w:val="clear"/>
            <w:tcMar>
              <w:top w:type="dxa" w:w="90"/>
              <w:left w:type="dxa" w:w="130"/>
              <w:bottom w:type="dxa" w:w="90"/>
              <w:right w:type="dxa" w:w="130"/>
            </w:tcMar>
          </w:tcPr>
          <w:p>
            <w:pPr>
              <w:spacing w:after="0" w:line="250"/>
            </w:pPr>
            <w:r>
              <w:rPr>
                <w:b/>
                <w:bCs/>
                <w:color w:val="1F2933"/>
                <w:sz w:val="18"/>
                <w:szCs w:val="18"/>
              </w:rPr>
              <w:t xml:space="preserve">Requirement</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Shared volume</w:t>
            </w:r>
          </w:p>
        </w:tc>
        <w:tc>
          <w:tcPr>
            <w:tcW w:type="dxa" w:w="6760"/>
            <w:tcMar>
              <w:top w:type="dxa" w:w="90"/>
              <w:left w:type="dxa" w:w="130"/>
              <w:bottom w:type="dxa" w:w="90"/>
              <w:right w:type="dxa" w:w="130"/>
            </w:tcMar>
          </w:tcPr>
          <w:p>
            <w:pPr>
              <w:spacing w:after="0" w:line="250"/>
            </w:pPr>
            <w:r>
              <w:rPr>
                <w:color w:val="5B6B7C"/>
                <w:sz w:val="18"/>
                <w:szCs w:val="18"/>
              </w:rPr>
              <w:t xml:space="preserve">ReadWriteMany, mounted at /var/data. Azure Files, AWS EFS or OCI File Storage are all suitable. 100 GB is a comfortable start.</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Contents</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/var/data/uploads (source extracts) and /var/data/outputs (generated FBDI and HDL bundles).</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Durability</w:t>
            </w:r>
          </w:p>
        </w:tc>
        <w:tc>
          <w:tcPr>
            <w:tcW w:type="dxa" w:w="6760"/>
            <w:tcMar>
              <w:top w:type="dxa" w:w="90"/>
              <w:left w:type="dxa" w:w="130"/>
              <w:bottom w:type="dxa" w:w="90"/>
              <w:right w:type="dxa" w:w="130"/>
            </w:tcMar>
          </w:tcPr>
          <w:p>
            <w:pPr>
              <w:spacing w:after="0" w:line="250"/>
            </w:pPr>
            <w:r>
              <w:rPr>
                <w:color w:val="5B6B7C"/>
                <w:sz w:val="18"/>
                <w:szCs w:val="18"/>
              </w:rPr>
              <w:t xml:space="preserve">The volume does NOT need to be backed up. Every uploaded file also lives in MongoDB GridFS, and the application rehydrates the volume from GridFS automatically after a redeploy or node loss.</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Growth</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Roughly the size of the extracts plus the generated bundles. The largest artifact observed to date is a 3.4 MB zip.</w:t>
            </w:r>
          </w:p>
        </w:tc>
      </w:tr>
    </w:tbl>
    <w:p>
      <w:pPr>
        <w:spacing w:after="120" w:line="276"/>
      </w:pPr>
      <w:r>
        <w:rPr>
          <w:color w:val="5B6B7C"/>
          <w:sz w:val="18"/>
          <w:szCs w:val="18"/>
        </w:rPr>
        <w:t xml:space="preserve">This is worth stating plainly to avoid over-engineering: the file volume is a working cache. Losing it costs regeneration time, not data.</w:t>
      </w:r>
    </w:p>
    <w:p>
      <w:pPr>
        <w:pStyle w:val="Heading1"/>
        <w:spacing w:after="160" w:before="320"/>
      </w:pPr>
      <w:r>
        <w:t xml:space="preserve">7. Database — for the DBA team</w:t>
      </w:r>
    </w:p>
    <w:p>
      <w:pPr>
        <w:spacing w:after="120" w:line="276"/>
      </w:pPr>
      <w:r>
        <w:rPr>
          <w:color w:val="1F2933"/>
          <w:sz w:val="20"/>
          <w:szCs w:val="20"/>
        </w:rPr>
        <w:t xml:space="preserve">MongoDB is the system of record. Both hosting options below are supported by the application without any code change; the only difference is the connection string.</w:t>
      </w:r>
    </w:p>
    <w:p>
      <w:pPr>
        <w:pStyle w:val="Heading2"/>
        <w:spacing w:after="120" w:before="260"/>
      </w:pPr>
      <w:r>
        <w:t xml:space="preserve">7.1 Option A — managed service</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600"/>
        <w:gridCol w:w="6760"/>
      </w:tblGrid>
      <w:tr>
        <w:trPr>
          <w:cantSplit/>
          <w:tblHeader/>
        </w:trPr>
        <w:tc>
          <w:tcPr>
            <w:tcW w:type="dxa" w:w="2600"/>
            <w:shd w:fill="EDF1F5" w:color="auto" w:val="clear"/>
            <w:tcMar>
              <w:top w:type="dxa" w:w="90"/>
              <w:left w:type="dxa" w:w="130"/>
              <w:bottom w:type="dxa" w:w="90"/>
              <w:right w:type="dxa" w:w="130"/>
            </w:tcMar>
          </w:tcPr>
          <w:p>
            <w:pPr>
              <w:spacing w:after="0" w:line="250"/>
            </w:pPr>
            <w:r>
              <w:rPr>
                <w:b/>
                <w:bCs/>
                <w:color w:val="1F2933"/>
                <w:sz w:val="18"/>
                <w:szCs w:val="18"/>
              </w:rPr>
              <w:t xml:space="preserve">Aspect</w:t>
            </w:r>
          </w:p>
        </w:tc>
        <w:tc>
          <w:tcPr>
            <w:tcW w:type="dxa" w:w="6760"/>
            <w:shd w:fill="EDF1F5" w:color="auto" w:val="clear"/>
            <w:tcMar>
              <w:top w:type="dxa" w:w="90"/>
              <w:left w:type="dxa" w:w="130"/>
              <w:bottom w:type="dxa" w:w="90"/>
              <w:right w:type="dxa" w:w="130"/>
            </w:tcMar>
          </w:tcPr>
          <w:p>
            <w:pPr>
              <w:spacing w:after="0" w:line="250"/>
            </w:pPr>
            <w:r>
              <w:rPr>
                <w:b/>
                <w:bCs/>
                <w:color w:val="1F2933"/>
                <w:sz w:val="18"/>
                <w:szCs w:val="18"/>
              </w:rPr>
              <w:t xml:space="preserve">Detail</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Candidates</w:t>
            </w:r>
          </w:p>
        </w:tc>
        <w:tc>
          <w:tcPr>
            <w:tcW w:type="dxa" w:w="6760"/>
            <w:tcMar>
              <w:top w:type="dxa" w:w="90"/>
              <w:left w:type="dxa" w:w="130"/>
              <w:bottom w:type="dxa" w:w="90"/>
              <w:right w:type="dxa" w:w="130"/>
            </w:tcMar>
          </w:tcPr>
          <w:p>
            <w:pPr>
              <w:spacing w:after="0" w:line="250"/>
            </w:pPr>
            <w:r>
              <w:rPr>
                <w:color w:val="5B6B7C"/>
                <w:sz w:val="18"/>
                <w:szCs w:val="18"/>
              </w:rPr>
              <w:t xml:space="preserve">MongoDB Atlas, Azure Cosmos DB for MongoDB (vCore), or AWS DocumentDB. Atlas is the reference platform and the one currently in use.</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Sizing</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M10 equivalent or above: 2 vCPU, 8 GB RAM, 40 GB storage.</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Networking</w:t>
            </w:r>
          </w:p>
        </w:tc>
        <w:tc>
          <w:tcPr>
            <w:tcW w:type="dxa" w:w="6760"/>
            <w:tcMar>
              <w:top w:type="dxa" w:w="90"/>
              <w:left w:type="dxa" w:w="130"/>
              <w:bottom w:type="dxa" w:w="90"/>
              <w:right w:type="dxa" w:w="130"/>
            </w:tcMar>
          </w:tcPr>
          <w:p>
            <w:pPr>
              <w:spacing w:after="0" w:line="250"/>
            </w:pPr>
            <w:r>
              <w:rPr>
                <w:color w:val="5B6B7C"/>
                <w:sz w:val="18"/>
                <w:szCs w:val="18"/>
              </w:rPr>
              <w:t xml:space="preserve">Private endpoint or VNet/VPC peering. Do not expose a public endpoint.</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Advantages</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Backup, patching, failover and monitoring are handled by the provider. Lower operational load on the DBA team.</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Watch out for</w:t>
            </w:r>
          </w:p>
        </w:tc>
        <w:tc>
          <w:tcPr>
            <w:tcW w:type="dxa" w:w="6760"/>
            <w:tcMar>
              <w:top w:type="dxa" w:w="90"/>
              <w:left w:type="dxa" w:w="130"/>
              <w:bottom w:type="dxa" w:w="90"/>
              <w:right w:type="dxa" w:w="130"/>
            </w:tcMar>
          </w:tcPr>
          <w:p>
            <w:pPr>
              <w:spacing w:after="0" w:line="250"/>
            </w:pPr>
            <w:r>
              <w:rPr>
                <w:color w:val="5B6B7C"/>
                <w:sz w:val="18"/>
                <w:szCs w:val="18"/>
              </w:rPr>
              <w:t xml:space="preserve">Cosmos and DocumentDB are API-compatible rather than identical. Confirm GridFS support and aggregation coverage before committing.</w:t>
            </w:r>
          </w:p>
        </w:tc>
      </w:tr>
    </w:tbl>
    <w:p>
      <w:pPr>
        <w:pStyle w:val="Heading2"/>
        <w:spacing w:after="120" w:before="260"/>
      </w:pPr>
      <w:r>
        <w:t xml:space="preserve">7.2 Option B — self-hosted, DBA-managed</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600"/>
        <w:gridCol w:w="6760"/>
      </w:tblGrid>
      <w:tr>
        <w:trPr>
          <w:cantSplit/>
          <w:tblHeader/>
        </w:trPr>
        <w:tc>
          <w:tcPr>
            <w:tcW w:type="dxa" w:w="2600"/>
            <w:shd w:fill="EDF1F5" w:color="auto" w:val="clear"/>
            <w:tcMar>
              <w:top w:type="dxa" w:w="90"/>
              <w:left w:type="dxa" w:w="130"/>
              <w:bottom w:type="dxa" w:w="90"/>
              <w:right w:type="dxa" w:w="130"/>
            </w:tcMar>
          </w:tcPr>
          <w:p>
            <w:pPr>
              <w:spacing w:after="0" w:line="250"/>
            </w:pPr>
            <w:r>
              <w:rPr>
                <w:b/>
                <w:bCs/>
                <w:color w:val="1F2933"/>
                <w:sz w:val="18"/>
                <w:szCs w:val="18"/>
              </w:rPr>
              <w:t xml:space="preserve">Aspect</w:t>
            </w:r>
          </w:p>
        </w:tc>
        <w:tc>
          <w:tcPr>
            <w:tcW w:type="dxa" w:w="6760"/>
            <w:shd w:fill="EDF1F5" w:color="auto" w:val="clear"/>
            <w:tcMar>
              <w:top w:type="dxa" w:w="90"/>
              <w:left w:type="dxa" w:w="130"/>
              <w:bottom w:type="dxa" w:w="90"/>
              <w:right w:type="dxa" w:w="130"/>
            </w:tcMar>
          </w:tcPr>
          <w:p>
            <w:pPr>
              <w:spacing w:after="0" w:line="250"/>
            </w:pPr>
            <w:r>
              <w:rPr>
                <w:b/>
                <w:bCs/>
                <w:color w:val="1F2933"/>
                <w:sz w:val="18"/>
                <w:szCs w:val="18"/>
              </w:rPr>
              <w:t xml:space="preserve">Detail</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Topology</w:t>
            </w:r>
          </w:p>
        </w:tc>
        <w:tc>
          <w:tcPr>
            <w:tcW w:type="dxa" w:w="6760"/>
            <w:tcMar>
              <w:top w:type="dxa" w:w="90"/>
              <w:left w:type="dxa" w:w="130"/>
              <w:bottom w:type="dxa" w:w="90"/>
              <w:right w:type="dxa" w:w="130"/>
            </w:tcMar>
          </w:tcPr>
          <w:p>
            <w:pPr>
              <w:spacing w:after="0" w:line="250"/>
            </w:pPr>
            <w:r>
              <w:rPr>
                <w:color w:val="5B6B7C"/>
                <w:sz w:val="18"/>
                <w:szCs w:val="18"/>
              </w:rPr>
              <w:t xml:space="preserve">Three-node replica set. One primary, two secondaries, majority write concern.</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Version</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MongoDB 6.0 or later. WiredTiger storage engine.</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Sizing</w:t>
            </w:r>
          </w:p>
        </w:tc>
        <w:tc>
          <w:tcPr>
            <w:tcW w:type="dxa" w:w="6760"/>
            <w:tcMar>
              <w:top w:type="dxa" w:w="90"/>
              <w:left w:type="dxa" w:w="130"/>
              <w:bottom w:type="dxa" w:w="90"/>
              <w:right w:type="dxa" w:w="130"/>
            </w:tcMar>
          </w:tcPr>
          <w:p>
            <w:pPr>
              <w:spacing w:after="0" w:line="250"/>
            </w:pPr>
            <w:r>
              <w:rPr>
                <w:color w:val="5B6B7C"/>
                <w:sz w:val="18"/>
                <w:szCs w:val="18"/>
              </w:rPr>
              <w:t xml:space="preserve">2 vCPU, 8 GB RAM, 100 GB SSD per node to start.</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Security</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TLS in transit, SCRAM authentication, a dedicated application user scoped to one database. Encryption at rest per corporate standard.</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Backup</w:t>
            </w:r>
          </w:p>
        </w:tc>
        <w:tc>
          <w:tcPr>
            <w:tcW w:type="dxa" w:w="6760"/>
            <w:tcMar>
              <w:top w:type="dxa" w:w="90"/>
              <w:left w:type="dxa" w:w="130"/>
              <w:bottom w:type="dxa" w:w="90"/>
              <w:right w:type="dxa" w:w="130"/>
            </w:tcMar>
          </w:tcPr>
          <w:p>
            <w:pPr>
              <w:spacing w:after="0" w:line="250"/>
            </w:pPr>
            <w:r>
              <w:rPr>
                <w:color w:val="5B6B7C"/>
                <w:sz w:val="18"/>
                <w:szCs w:val="18"/>
              </w:rPr>
              <w:t xml:space="preserve">Point-in-time recovery, or a daily snapshot plus oplog. RPO and RTO to be set by the DBA team — the application has no opinion.</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Advantages</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Full control, data stays inside the corporate estate, no third-party processor.</w:t>
            </w:r>
          </w:p>
        </w:tc>
      </w:tr>
    </w:tbl>
    <w:p>
      <w:pPr>
        <w:pStyle w:val="Heading2"/>
        <w:spacing w:after="120" w:before="260"/>
      </w:pPr>
      <w:r>
        <w:t xml:space="preserve">7.3 What the application does to the database</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600"/>
        <w:gridCol w:w="6760"/>
      </w:tblGrid>
      <w:tr>
        <w:trPr>
          <w:cantSplit/>
          <w:tblHeader/>
        </w:trPr>
        <w:tc>
          <w:tcPr>
            <w:tcW w:type="dxa" w:w="2600"/>
            <w:shd w:fill="EDF1F5" w:color="auto" w:val="clear"/>
            <w:tcMar>
              <w:top w:type="dxa" w:w="90"/>
              <w:left w:type="dxa" w:w="130"/>
              <w:bottom w:type="dxa" w:w="90"/>
              <w:right w:type="dxa" w:w="130"/>
            </w:tcMar>
          </w:tcPr>
          <w:p>
            <w:pPr>
              <w:spacing w:after="0" w:line="250"/>
            </w:pPr>
            <w:r>
              <w:rPr>
                <w:b/>
                <w:bCs/>
                <w:color w:val="1F2933"/>
                <w:sz w:val="18"/>
                <w:szCs w:val="18"/>
              </w:rPr>
              <w:t xml:space="preserve">Item</w:t>
            </w:r>
          </w:p>
        </w:tc>
        <w:tc>
          <w:tcPr>
            <w:tcW w:type="dxa" w:w="6760"/>
            <w:shd w:fill="EDF1F5" w:color="auto" w:val="clear"/>
            <w:tcMar>
              <w:top w:type="dxa" w:w="90"/>
              <w:left w:type="dxa" w:w="130"/>
              <w:bottom w:type="dxa" w:w="90"/>
              <w:right w:type="dxa" w:w="130"/>
            </w:tcMar>
          </w:tcPr>
          <w:p>
            <w:pPr>
              <w:spacing w:after="0" w:line="250"/>
            </w:pPr>
            <w:r>
              <w:rPr>
                <w:b/>
                <w:bCs/>
                <w:color w:val="1F2933"/>
                <w:sz w:val="18"/>
                <w:szCs w:val="18"/>
              </w:rPr>
              <w:t xml:space="preserve">Detail</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Database name</w:t>
            </w:r>
          </w:p>
        </w:tc>
        <w:tc>
          <w:tcPr>
            <w:tcW w:type="dxa" w:w="6760"/>
            <w:tcMar>
              <w:top w:type="dxa" w:w="90"/>
              <w:left w:type="dxa" w:w="130"/>
              <w:bottom w:type="dxa" w:w="90"/>
              <w:right w:type="dxa" w:w="130"/>
            </w:tcMar>
          </w:tcPr>
          <w:p>
            <w:pPr>
              <w:spacing w:after="0" w:line="250"/>
            </w:pPr>
            <w:r>
              <w:rPr>
                <w:color w:val="5B6B7C"/>
                <w:sz w:val="18"/>
                <w:szCs w:val="18"/>
              </w:rPr>
              <w:t xml:space="preserve">conversion_workbench (configurable via MONGODB_DB).</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Collections</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43. Created automatically on first startup.</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Indexes</w:t>
            </w:r>
          </w:p>
        </w:tc>
        <w:tc>
          <w:tcPr>
            <w:tcW w:type="dxa" w:w="6760"/>
            <w:tcMar>
              <w:top w:type="dxa" w:w="90"/>
              <w:left w:type="dxa" w:w="130"/>
              <w:bottom w:type="dxa" w:w="90"/>
              <w:right w:type="dxa" w:w="130"/>
            </w:tcMar>
          </w:tcPr>
          <w:p>
            <w:pPr>
              <w:spacing w:after="0" w:line="250"/>
            </w:pPr>
            <w:r>
              <w:rPr>
                <w:color w:val="5B6B7C"/>
                <w:sz w:val="18"/>
                <w:szCs w:val="18"/>
              </w:rPr>
              <w:t xml:space="preserve">Declared in the application models and created by the ODM at startup. No manual DDL is required, and none should be applied by hand.</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GridFS</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One bucket holding a durable copy of each uploaded source file. This is the largest consumer of storage.</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Access pattern</w:t>
            </w:r>
          </w:p>
        </w:tc>
        <w:tc>
          <w:tcPr>
            <w:tcW w:type="dxa" w:w="6760"/>
            <w:tcMar>
              <w:top w:type="dxa" w:w="90"/>
              <w:left w:type="dxa" w:w="130"/>
              <w:bottom w:type="dxa" w:w="90"/>
              <w:right w:type="dxa" w:w="130"/>
            </w:tcMar>
          </w:tcPr>
          <w:p>
            <w:pPr>
              <w:spacing w:after="0" w:line="250"/>
            </w:pPr>
            <w:r>
              <w:rPr>
                <w:color w:val="5B6B7C"/>
                <w:sz w:val="18"/>
                <w:szCs w:val="18"/>
              </w:rPr>
              <w:t xml:space="preserve">Read-heavy. Writes are small and bursty, concentrated when an analyst approves mappings or generates output.</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Transactions</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Not used. The application does not require a multi-document transaction.</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Connection</w:t>
            </w:r>
          </w:p>
        </w:tc>
        <w:tc>
          <w:tcPr>
            <w:tcW w:type="dxa" w:w="6760"/>
            <w:tcMar>
              <w:top w:type="dxa" w:w="90"/>
              <w:left w:type="dxa" w:w="130"/>
              <w:bottom w:type="dxa" w:w="90"/>
              <w:right w:type="dxa" w:w="130"/>
            </w:tcMar>
          </w:tcPr>
          <w:p>
            <w:pPr>
              <w:spacing w:after="0" w:line="250"/>
            </w:pPr>
            <w:r>
              <w:rPr>
                <w:color w:val="5B6B7C"/>
                <w:sz w:val="18"/>
                <w:szCs w:val="18"/>
              </w:rPr>
              <w:t xml:space="preserve">Async driver (Motor 3.6) with the default pool. A single connection string is the only configuration.</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Data volume</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Modest. Tens of thousands of documents per migration project, not millions.</w:t>
            </w:r>
          </w:p>
        </w:tc>
      </w:tr>
    </w:tbl>
    <w:p>
      <w:pPr>
        <w:spacing w:after="120" w:line="276"/>
      </w:pPr>
      <w:r>
        <w:rPr>
          <w:color w:val="5B6B7C"/>
          <w:sz w:val="18"/>
          <w:szCs w:val="18"/>
        </w:rPr>
        <w:t xml:space="preserve">One operational note that matters at startup: the application runs a set of idempotent seeders in the background AFTER it reports ready. They parse template workbooks and can take a minute or two. Readiness probes must not wait on them, and a restart during seeding is safe.</w:t>
      </w:r>
    </w:p>
    <w:p>
      <w:pPr>
        <w:pStyle w:val="Heading1"/>
        <w:spacing w:after="160" w:before="320"/>
      </w:pPr>
      <w:r>
        <w:t xml:space="preserve">8. Configuration</w:t>
      </w:r>
    </w:p>
    <w:p>
      <w:pPr>
        <w:spacing w:after="120" w:line="276"/>
      </w:pPr>
      <w:r>
        <w:rPr>
          <w:color w:val="1F2933"/>
          <w:sz w:val="20"/>
          <w:szCs w:val="20"/>
        </w:rPr>
        <w:t xml:space="preserve">All configuration is environment variables. Nothing is read from a config file at runtime.</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600"/>
        <w:gridCol w:w="1900"/>
        <w:gridCol w:w="4860"/>
      </w:tblGrid>
      <w:tr>
        <w:trPr>
          <w:cantSplit/>
          <w:tblHeader/>
        </w:trPr>
        <w:tc>
          <w:tcPr>
            <w:tcW w:type="dxa" w:w="2600"/>
            <w:shd w:fill="EDF1F5" w:color="auto" w:val="clear"/>
            <w:tcMar>
              <w:top w:type="dxa" w:w="90"/>
              <w:left w:type="dxa" w:w="130"/>
              <w:bottom w:type="dxa" w:w="90"/>
              <w:right w:type="dxa" w:w="130"/>
            </w:tcMar>
          </w:tcPr>
          <w:p>
            <w:pPr>
              <w:spacing w:after="0" w:line="250"/>
            </w:pPr>
            <w:r>
              <w:rPr>
                <w:b/>
                <w:bCs/>
                <w:color w:val="1F2933"/>
                <w:sz w:val="18"/>
                <w:szCs w:val="18"/>
              </w:rPr>
              <w:t xml:space="preserve">Variable</w:t>
            </w:r>
          </w:p>
        </w:tc>
        <w:tc>
          <w:tcPr>
            <w:tcW w:type="dxa" w:w="1900"/>
            <w:shd w:fill="EDF1F5" w:color="auto" w:val="clear"/>
            <w:tcMar>
              <w:top w:type="dxa" w:w="90"/>
              <w:left w:type="dxa" w:w="130"/>
              <w:bottom w:type="dxa" w:w="90"/>
              <w:right w:type="dxa" w:w="130"/>
            </w:tcMar>
          </w:tcPr>
          <w:p>
            <w:pPr>
              <w:spacing w:after="0" w:line="250"/>
            </w:pPr>
            <w:r>
              <w:rPr>
                <w:b/>
                <w:bCs/>
                <w:color w:val="1F2933"/>
                <w:sz w:val="18"/>
                <w:szCs w:val="18"/>
              </w:rPr>
              <w:t xml:space="preserve">Required</w:t>
            </w:r>
          </w:p>
        </w:tc>
        <w:tc>
          <w:tcPr>
            <w:tcW w:type="dxa" w:w="4860"/>
            <w:shd w:fill="EDF1F5" w:color="auto" w:val="clear"/>
            <w:tcMar>
              <w:top w:type="dxa" w:w="90"/>
              <w:left w:type="dxa" w:w="130"/>
              <w:bottom w:type="dxa" w:w="90"/>
              <w:right w:type="dxa" w:w="130"/>
            </w:tcMar>
          </w:tcPr>
          <w:p>
            <w:pPr>
              <w:spacing w:after="0" w:line="250"/>
            </w:pPr>
            <w:r>
              <w:rPr>
                <w:b/>
                <w:bCs/>
                <w:color w:val="1F2933"/>
                <w:sz w:val="18"/>
                <w:szCs w:val="18"/>
              </w:rPr>
              <w:t xml:space="preserve">Purpose</w:t>
            </w:r>
          </w:p>
        </w:tc>
      </w:tr>
      <w:tr>
        <w:trPr>
          <w:cantSplit/>
        </w:trPr>
        <w:tc>
          <w:tcPr>
            <w:tcW w:type="dxa" w:w="26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MONGODB_URI</w:t>
            </w:r>
          </w:p>
        </w:tc>
        <w:tc>
          <w:tcPr>
            <w:tcW w:type="dxa" w:w="1900"/>
            <w:tcMar>
              <w:top w:type="dxa" w:w="90"/>
              <w:left w:type="dxa" w:w="130"/>
              <w:bottom w:type="dxa" w:w="90"/>
              <w:right w:type="dxa" w:w="130"/>
            </w:tcMar>
          </w:tcPr>
          <w:p>
            <w:pPr>
              <w:spacing w:after="0" w:line="250"/>
            </w:pPr>
            <w:r>
              <w:rPr>
                <w:color w:val="5B6B7C"/>
                <w:sz w:val="18"/>
                <w:szCs w:val="18"/>
              </w:rPr>
              <w:t xml:space="preserve">Yes</w:t>
            </w:r>
          </w:p>
        </w:tc>
        <w:tc>
          <w:tcPr>
            <w:tcW w:type="dxa" w:w="4860"/>
            <w:tcMar>
              <w:top w:type="dxa" w:w="90"/>
              <w:left w:type="dxa" w:w="130"/>
              <w:bottom w:type="dxa" w:w="90"/>
              <w:right w:type="dxa" w:w="130"/>
            </w:tcMar>
          </w:tcPr>
          <w:p>
            <w:pPr>
              <w:spacing w:after="0" w:line="250"/>
            </w:pPr>
            <w:r>
              <w:rPr>
                <w:color w:val="5B6B7C"/>
                <w:sz w:val="18"/>
                <w:szCs w:val="18"/>
              </w:rPr>
              <w:t xml:space="preserve">Connection string. Hold it in a secret store, not in the deployment manifest.</w:t>
            </w:r>
          </w:p>
        </w:tc>
      </w:tr>
      <w:tr>
        <w:trPr>
          <w:cantSplit/>
        </w:trPr>
        <w:tc>
          <w:tcPr>
            <w:tcW w:type="dxa" w:w="2600"/>
            <w:shd w:fill="F8FAFB" w:color="auto" w:val="clear"/>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MONGODB_DB</w:t>
            </w:r>
          </w:p>
        </w:tc>
        <w:tc>
          <w:tcPr>
            <w:tcW w:type="dxa" w:w="1900"/>
            <w:shd w:fill="F8FAFB" w:color="auto" w:val="clear"/>
            <w:tcMar>
              <w:top w:type="dxa" w:w="90"/>
              <w:left w:type="dxa" w:w="130"/>
              <w:bottom w:type="dxa" w:w="90"/>
              <w:right w:type="dxa" w:w="130"/>
            </w:tcMar>
          </w:tcPr>
          <w:p>
            <w:pPr>
              <w:spacing w:after="0" w:line="250"/>
            </w:pPr>
            <w:r>
              <w:rPr>
                <w:color w:val="5B6B7C"/>
                <w:sz w:val="18"/>
                <w:szCs w:val="18"/>
              </w:rPr>
              <w:t xml:space="preserve">No</w:t>
            </w:r>
          </w:p>
        </w:tc>
        <w:tc>
          <w:tcPr>
            <w:tcW w:type="dxa" w:w="4860"/>
            <w:shd w:fill="F8FAFB" w:color="auto" w:val="clear"/>
            <w:tcMar>
              <w:top w:type="dxa" w:w="90"/>
              <w:left w:type="dxa" w:w="130"/>
              <w:bottom w:type="dxa" w:w="90"/>
              <w:right w:type="dxa" w:w="130"/>
            </w:tcMar>
          </w:tcPr>
          <w:p>
            <w:pPr>
              <w:spacing w:after="0" w:line="250"/>
            </w:pPr>
            <w:r>
              <w:rPr>
                <w:color w:val="5B6B7C"/>
                <w:sz w:val="18"/>
                <w:szCs w:val="18"/>
              </w:rPr>
              <w:t xml:space="preserve">Database name. Defaults to conversion_workbench.</w:t>
            </w:r>
          </w:p>
        </w:tc>
      </w:tr>
      <w:tr>
        <w:trPr>
          <w:cantSplit/>
        </w:trPr>
        <w:tc>
          <w:tcPr>
            <w:tcW w:type="dxa" w:w="26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JWT_SECRET</w:t>
            </w:r>
          </w:p>
        </w:tc>
        <w:tc>
          <w:tcPr>
            <w:tcW w:type="dxa" w:w="1900"/>
            <w:tcMar>
              <w:top w:type="dxa" w:w="90"/>
              <w:left w:type="dxa" w:w="130"/>
              <w:bottom w:type="dxa" w:w="90"/>
              <w:right w:type="dxa" w:w="130"/>
            </w:tcMar>
          </w:tcPr>
          <w:p>
            <w:pPr>
              <w:spacing w:after="0" w:line="250"/>
            </w:pPr>
            <w:r>
              <w:rPr>
                <w:color w:val="5B6B7C"/>
                <w:sz w:val="18"/>
                <w:szCs w:val="18"/>
              </w:rPr>
              <w:t xml:space="preserve">Yes</w:t>
            </w:r>
          </w:p>
        </w:tc>
        <w:tc>
          <w:tcPr>
            <w:tcW w:type="dxa" w:w="4860"/>
            <w:tcMar>
              <w:top w:type="dxa" w:w="90"/>
              <w:left w:type="dxa" w:w="130"/>
              <w:bottom w:type="dxa" w:w="90"/>
              <w:right w:type="dxa" w:w="130"/>
            </w:tcMar>
          </w:tcPr>
          <w:p>
            <w:pPr>
              <w:spacing w:after="0" w:line="250"/>
            </w:pPr>
            <w:r>
              <w:rPr>
                <w:color w:val="5B6B7C"/>
                <w:sz w:val="18"/>
                <w:szCs w:val="18"/>
              </w:rPr>
              <w:t xml:space="preserve">Signing key for session tokens. Generate per environment; rotating it logs everyone out.</w:t>
            </w:r>
          </w:p>
        </w:tc>
      </w:tr>
      <w:tr>
        <w:trPr>
          <w:cantSplit/>
        </w:trPr>
        <w:tc>
          <w:tcPr>
            <w:tcW w:type="dxa" w:w="2600"/>
            <w:shd w:fill="F8FAFB" w:color="auto" w:val="clear"/>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DATA_DIR</w:t>
            </w:r>
          </w:p>
        </w:tc>
        <w:tc>
          <w:tcPr>
            <w:tcW w:type="dxa" w:w="1900"/>
            <w:shd w:fill="F8FAFB" w:color="auto" w:val="clear"/>
            <w:tcMar>
              <w:top w:type="dxa" w:w="90"/>
              <w:left w:type="dxa" w:w="130"/>
              <w:bottom w:type="dxa" w:w="90"/>
              <w:right w:type="dxa" w:w="130"/>
            </w:tcMar>
          </w:tcPr>
          <w:p>
            <w:pPr>
              <w:spacing w:after="0" w:line="250"/>
            </w:pPr>
            <w:r>
              <w:rPr>
                <w:color w:val="5B6B7C"/>
                <w:sz w:val="18"/>
                <w:szCs w:val="18"/>
              </w:rPr>
              <w:t xml:space="preserve">Yes</w:t>
            </w:r>
          </w:p>
        </w:tc>
        <w:tc>
          <w:tcPr>
            <w:tcW w:type="dxa" w:w="4860"/>
            <w:shd w:fill="F8FAFB" w:color="auto" w:val="clear"/>
            <w:tcMar>
              <w:top w:type="dxa" w:w="90"/>
              <w:left w:type="dxa" w:w="130"/>
              <w:bottom w:type="dxa" w:w="90"/>
              <w:right w:type="dxa" w:w="130"/>
            </w:tcMar>
          </w:tcPr>
          <w:p>
            <w:pPr>
              <w:spacing w:after="0" w:line="250"/>
            </w:pPr>
            <w:r>
              <w:rPr>
                <w:color w:val="5B6B7C"/>
                <w:sz w:val="18"/>
                <w:szCs w:val="18"/>
              </w:rPr>
              <w:t xml:space="preserve">Mount path of the shared volume. Set to /var/data.</w:t>
            </w:r>
          </w:p>
        </w:tc>
      </w:tr>
      <w:tr>
        <w:trPr>
          <w:cantSplit/>
        </w:trPr>
        <w:tc>
          <w:tcPr>
            <w:tcW w:type="dxa" w:w="26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ADMIN_EMAIL</w:t>
            </w:r>
          </w:p>
          <w:p>
            <w:pPr>
              <w:spacing w:after="0" w:line="250"/>
            </w:pPr>
            <w:r>
              <w:rPr>
                <w:rFonts w:ascii="Consolas" w:cs="Consolas" w:eastAsia="Consolas" w:hAnsi="Consolas"/>
                <w:color w:val="5B6B7C"/>
                <w:sz w:val="18"/>
                <w:szCs w:val="18"/>
              </w:rPr>
              <w:t xml:space="preserve">ADMIN_PASSWORD</w:t>
            </w:r>
          </w:p>
        </w:tc>
        <w:tc>
          <w:tcPr>
            <w:tcW w:type="dxa" w:w="1900"/>
            <w:tcMar>
              <w:top w:type="dxa" w:w="90"/>
              <w:left w:type="dxa" w:w="130"/>
              <w:bottom w:type="dxa" w:w="90"/>
              <w:right w:type="dxa" w:w="130"/>
            </w:tcMar>
          </w:tcPr>
          <w:p>
            <w:pPr>
              <w:spacing w:after="0" w:line="250"/>
            </w:pPr>
            <w:r>
              <w:rPr>
                <w:color w:val="5B6B7C"/>
                <w:sz w:val="18"/>
                <w:szCs w:val="18"/>
              </w:rPr>
              <w:t xml:space="preserve">Yes</w:t>
            </w:r>
          </w:p>
        </w:tc>
        <w:tc>
          <w:tcPr>
            <w:tcW w:type="dxa" w:w="4860"/>
            <w:tcMar>
              <w:top w:type="dxa" w:w="90"/>
              <w:left w:type="dxa" w:w="130"/>
              <w:bottom w:type="dxa" w:w="90"/>
              <w:right w:type="dxa" w:w="130"/>
            </w:tcMar>
          </w:tcPr>
          <w:p>
            <w:pPr>
              <w:spacing w:after="0" w:line="250"/>
            </w:pPr>
            <w:r>
              <w:rPr>
                <w:color w:val="5B6B7C"/>
                <w:sz w:val="18"/>
                <w:szCs w:val="18"/>
              </w:rPr>
              <w:t xml:space="preserve">Seeds the first administrator on an empty database. Change the password immediately after the first deployment.</w:t>
            </w:r>
          </w:p>
        </w:tc>
      </w:tr>
      <w:tr>
        <w:trPr>
          <w:cantSplit/>
        </w:trPr>
        <w:tc>
          <w:tcPr>
            <w:tcW w:type="dxa" w:w="2600"/>
            <w:shd w:fill="F8FAFB" w:color="auto" w:val="clear"/>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AI_PROVIDER</w:t>
            </w:r>
          </w:p>
        </w:tc>
        <w:tc>
          <w:tcPr>
            <w:tcW w:type="dxa" w:w="1900"/>
            <w:shd w:fill="F8FAFB" w:color="auto" w:val="clear"/>
            <w:tcMar>
              <w:top w:type="dxa" w:w="90"/>
              <w:left w:type="dxa" w:w="130"/>
              <w:bottom w:type="dxa" w:w="90"/>
              <w:right w:type="dxa" w:w="130"/>
            </w:tcMar>
          </w:tcPr>
          <w:p>
            <w:pPr>
              <w:spacing w:after="0" w:line="250"/>
            </w:pPr>
            <w:r>
              <w:rPr>
                <w:color w:val="5B6B7C"/>
                <w:sz w:val="18"/>
                <w:szCs w:val="18"/>
              </w:rPr>
              <w:t xml:space="preserve">No</w:t>
            </w:r>
          </w:p>
        </w:tc>
        <w:tc>
          <w:tcPr>
            <w:tcW w:type="dxa" w:w="4860"/>
            <w:shd w:fill="F8FAFB" w:color="auto" w:val="clear"/>
            <w:tcMar>
              <w:top w:type="dxa" w:w="90"/>
              <w:left w:type="dxa" w:w="130"/>
              <w:bottom w:type="dxa" w:w="90"/>
              <w:right w:type="dxa" w:w="130"/>
            </w:tcMar>
          </w:tcPr>
          <w:p>
            <w:pPr>
              <w:spacing w:after="0" w:line="250"/>
            </w:pPr>
            <w:r>
              <w:rPr>
                <w:color w:val="5B6B7C"/>
                <w:sz w:val="18"/>
                <w:szCs w:val="18"/>
              </w:rPr>
              <w:t xml:space="preserve">none, anthropic or openai. Defaults to none, which disables all outbound AI calls.</w:t>
            </w:r>
          </w:p>
        </w:tc>
      </w:tr>
      <w:tr>
        <w:trPr>
          <w:cantSplit/>
        </w:trPr>
        <w:tc>
          <w:tcPr>
            <w:tcW w:type="dxa" w:w="26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ANTHROPIC_API_KEY</w:t>
            </w:r>
          </w:p>
          <w:p>
            <w:pPr>
              <w:spacing w:after="0" w:line="250"/>
            </w:pPr>
            <w:r>
              <w:rPr>
                <w:rFonts w:ascii="Consolas" w:cs="Consolas" w:eastAsia="Consolas" w:hAnsi="Consolas"/>
                <w:color w:val="5B6B7C"/>
                <w:sz w:val="18"/>
                <w:szCs w:val="18"/>
              </w:rPr>
              <w:t xml:space="preserve">OPENAI_API_KEY</w:t>
            </w:r>
          </w:p>
        </w:tc>
        <w:tc>
          <w:tcPr>
            <w:tcW w:type="dxa" w:w="1900"/>
            <w:tcMar>
              <w:top w:type="dxa" w:w="90"/>
              <w:left w:type="dxa" w:w="130"/>
              <w:bottom w:type="dxa" w:w="90"/>
              <w:right w:type="dxa" w:w="130"/>
            </w:tcMar>
          </w:tcPr>
          <w:p>
            <w:pPr>
              <w:spacing w:after="0" w:line="250"/>
            </w:pPr>
            <w:r>
              <w:rPr>
                <w:color w:val="5B6B7C"/>
                <w:sz w:val="18"/>
                <w:szCs w:val="18"/>
              </w:rPr>
              <w:t xml:space="preserve">No</w:t>
            </w:r>
          </w:p>
        </w:tc>
        <w:tc>
          <w:tcPr>
            <w:tcW w:type="dxa" w:w="4860"/>
            <w:tcMar>
              <w:top w:type="dxa" w:w="90"/>
              <w:left w:type="dxa" w:w="130"/>
              <w:bottom w:type="dxa" w:w="90"/>
              <w:right w:type="dxa" w:w="130"/>
            </w:tcMar>
          </w:tcPr>
          <w:p>
            <w:pPr>
              <w:spacing w:after="0" w:line="250"/>
            </w:pPr>
            <w:r>
              <w:rPr>
                <w:color w:val="5B6B7C"/>
                <w:sz w:val="18"/>
                <w:szCs w:val="18"/>
              </w:rPr>
              <w:t xml:space="preserve">Only when AI_PROVIDER is set. Hold in a secret store.</w:t>
            </w:r>
          </w:p>
        </w:tc>
      </w:tr>
      <w:tr>
        <w:trPr>
          <w:cantSplit/>
        </w:trPr>
        <w:tc>
          <w:tcPr>
            <w:tcW w:type="dxa" w:w="2600"/>
            <w:shd w:fill="F8FAFB" w:color="auto" w:val="clear"/>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FRONTEND_ORIGIN</w:t>
            </w:r>
          </w:p>
        </w:tc>
        <w:tc>
          <w:tcPr>
            <w:tcW w:type="dxa" w:w="1900"/>
            <w:shd w:fill="F8FAFB" w:color="auto" w:val="clear"/>
            <w:tcMar>
              <w:top w:type="dxa" w:w="90"/>
              <w:left w:type="dxa" w:w="130"/>
              <w:bottom w:type="dxa" w:w="90"/>
              <w:right w:type="dxa" w:w="130"/>
            </w:tcMar>
          </w:tcPr>
          <w:p>
            <w:pPr>
              <w:spacing w:after="0" w:line="250"/>
            </w:pPr>
            <w:r>
              <w:rPr>
                <w:color w:val="5B6B7C"/>
                <w:sz w:val="18"/>
                <w:szCs w:val="18"/>
              </w:rPr>
              <w:t xml:space="preserve">Yes</w:t>
            </w:r>
          </w:p>
        </w:tc>
        <w:tc>
          <w:tcPr>
            <w:tcW w:type="dxa" w:w="4860"/>
            <w:shd w:fill="F8FAFB" w:color="auto" w:val="clear"/>
            <w:tcMar>
              <w:top w:type="dxa" w:w="90"/>
              <w:left w:type="dxa" w:w="130"/>
              <w:bottom w:type="dxa" w:w="90"/>
              <w:right w:type="dxa" w:w="130"/>
            </w:tcMar>
          </w:tcPr>
          <w:p>
            <w:pPr>
              <w:spacing w:after="0" w:line="250"/>
            </w:pPr>
            <w:r>
              <w:rPr>
                <w:color w:val="5B6B7C"/>
                <w:sz w:val="18"/>
                <w:szCs w:val="18"/>
              </w:rPr>
              <w:t xml:space="preserve">Allowed CORS origin — the public URL of the frontend.</w:t>
            </w:r>
          </w:p>
        </w:tc>
      </w:tr>
      <w:tr>
        <w:trPr>
          <w:cantSplit/>
        </w:trPr>
        <w:tc>
          <w:tcPr>
            <w:tcW w:type="dxa" w:w="2600"/>
            <w:tcMar>
              <w:top w:type="dxa" w:w="90"/>
              <w:left w:type="dxa" w:w="130"/>
              <w:bottom w:type="dxa" w:w="90"/>
              <w:right w:type="dxa" w:w="130"/>
            </w:tcMar>
          </w:tcPr>
          <w:p>
            <w:pPr>
              <w:spacing w:after="0" w:line="250"/>
            </w:pPr>
            <w:r>
              <w:rPr>
                <w:rFonts w:ascii="Consolas" w:cs="Consolas" w:eastAsia="Consolas" w:hAnsi="Consolas"/>
                <w:color w:val="5B6B7C"/>
                <w:sz w:val="18"/>
                <w:szCs w:val="18"/>
              </w:rPr>
              <w:t xml:space="preserve">FERNET_KEY</w:t>
            </w:r>
          </w:p>
        </w:tc>
        <w:tc>
          <w:tcPr>
            <w:tcW w:type="dxa" w:w="1900"/>
            <w:tcMar>
              <w:top w:type="dxa" w:w="90"/>
              <w:left w:type="dxa" w:w="130"/>
              <w:bottom w:type="dxa" w:w="90"/>
              <w:right w:type="dxa" w:w="130"/>
            </w:tcMar>
          </w:tcPr>
          <w:p>
            <w:pPr>
              <w:spacing w:after="0" w:line="250"/>
            </w:pPr>
            <w:r>
              <w:rPr>
                <w:color w:val="5B6B7C"/>
                <w:sz w:val="18"/>
                <w:szCs w:val="18"/>
              </w:rPr>
              <w:t xml:space="preserve">Yes, if</w:t>
            </w:r>
          </w:p>
          <w:p>
            <w:pPr>
              <w:spacing w:after="0" w:line="250"/>
            </w:pPr>
            <w:r>
              <w:rPr>
                <w:color w:val="5B6B7C"/>
                <w:sz w:val="18"/>
                <w:szCs w:val="18"/>
              </w:rPr>
              <w:t xml:space="preserve">Path B or the</w:t>
            </w:r>
          </w:p>
          <w:p>
            <w:pPr>
              <w:spacing w:after="0" w:line="250"/>
            </w:pPr>
            <w:r>
              <w:rPr>
                <w:color w:val="5B6B7C"/>
                <w:sz w:val="18"/>
                <w:szCs w:val="18"/>
              </w:rPr>
              <w:t xml:space="preserve">EBS reader</w:t>
            </w:r>
          </w:p>
          <w:p>
            <w:pPr>
              <w:spacing w:after="0" w:line="250"/>
            </w:pPr>
            <w:r>
              <w:rPr>
                <w:color w:val="5B6B7C"/>
                <w:sz w:val="18"/>
                <w:szCs w:val="18"/>
              </w:rPr>
              <w:t xml:space="preserve">is used</w:t>
            </w:r>
          </w:p>
        </w:tc>
        <w:tc>
          <w:tcPr>
            <w:tcW w:type="dxa" w:w="4860"/>
            <w:tcMar>
              <w:top w:type="dxa" w:w="90"/>
              <w:left w:type="dxa" w:w="130"/>
              <w:bottom w:type="dxa" w:w="90"/>
              <w:right w:type="dxa" w:w="130"/>
            </w:tcMar>
          </w:tcPr>
          <w:p>
            <w:pPr>
              <w:spacing w:after="0" w:line="250"/>
            </w:pPr>
            <w:r>
              <w:rPr>
                <w:color w:val="5B6B7C"/>
                <w:sz w:val="18"/>
                <w:szCs w:val="18"/>
              </w:rPr>
              <w:t xml:space="preserve">Encryption key for stored connection credentials. IF IT IS NOT SET, credentials are written to the database in plaintext with a PLAIN: prefix. See §10.</w:t>
            </w:r>
          </w:p>
        </w:tc>
      </w:tr>
    </w:tbl>
    <w:p>
      <w:pPr>
        <w:pStyle w:val="Heading1"/>
        <w:spacing w:after="160" w:before="320"/>
      </w:pPr>
      <w:r>
        <w:t xml:space="preserve">9. Deployment and operations</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2600"/>
        <w:gridCol w:w="6760"/>
      </w:tblGrid>
      <w:tr>
        <w:trPr>
          <w:cantSplit/>
          <w:tblHeader/>
        </w:trPr>
        <w:tc>
          <w:tcPr>
            <w:tcW w:type="dxa" w:w="2600"/>
            <w:shd w:fill="EDF1F5" w:color="auto" w:val="clear"/>
            <w:tcMar>
              <w:top w:type="dxa" w:w="90"/>
              <w:left w:type="dxa" w:w="130"/>
              <w:bottom w:type="dxa" w:w="90"/>
              <w:right w:type="dxa" w:w="130"/>
            </w:tcMar>
          </w:tcPr>
          <w:p>
            <w:pPr>
              <w:spacing w:after="0" w:line="250"/>
            </w:pPr>
            <w:r>
              <w:rPr>
                <w:b/>
                <w:bCs/>
                <w:color w:val="1F2933"/>
                <w:sz w:val="18"/>
                <w:szCs w:val="18"/>
              </w:rPr>
              <w:t xml:space="preserve">Topic</w:t>
            </w:r>
          </w:p>
        </w:tc>
        <w:tc>
          <w:tcPr>
            <w:tcW w:type="dxa" w:w="6760"/>
            <w:shd w:fill="EDF1F5" w:color="auto" w:val="clear"/>
            <w:tcMar>
              <w:top w:type="dxa" w:w="90"/>
              <w:left w:type="dxa" w:w="130"/>
              <w:bottom w:type="dxa" w:w="90"/>
              <w:right w:type="dxa" w:w="130"/>
            </w:tcMar>
          </w:tcPr>
          <w:p>
            <w:pPr>
              <w:spacing w:after="0" w:line="250"/>
            </w:pPr>
            <w:r>
              <w:rPr>
                <w:b/>
                <w:bCs/>
                <w:color w:val="1F2933"/>
                <w:sz w:val="18"/>
                <w:szCs w:val="18"/>
              </w:rPr>
              <w:t xml:space="preserve">Detail</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Packaging</w:t>
            </w:r>
          </w:p>
        </w:tc>
        <w:tc>
          <w:tcPr>
            <w:tcW w:type="dxa" w:w="6760"/>
            <w:tcMar>
              <w:top w:type="dxa" w:w="90"/>
              <w:left w:type="dxa" w:w="130"/>
              <w:bottom w:type="dxa" w:w="90"/>
              <w:right w:type="dxa" w:w="130"/>
            </w:tcMar>
          </w:tcPr>
          <w:p>
            <w:pPr>
              <w:spacing w:after="0" w:line="250"/>
            </w:pPr>
            <w:r>
              <w:rPr>
                <w:color w:val="5B6B7C"/>
                <w:sz w:val="18"/>
                <w:szCs w:val="18"/>
              </w:rPr>
              <w:t xml:space="preserve">Two container images, built from the Dockerfiles in the repository. Any container platform will do: AKS, EKS, OKE, Azure Container Apps, ECS or plain Docker Compose for a pilot.</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Health and readiness</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GET /api/health returns 200 when the process is serving. Use it for both probes.</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Startup</w:t>
            </w:r>
          </w:p>
        </w:tc>
        <w:tc>
          <w:tcPr>
            <w:tcW w:type="dxa" w:w="6760"/>
            <w:tcMar>
              <w:top w:type="dxa" w:w="90"/>
              <w:left w:type="dxa" w:w="130"/>
              <w:bottom w:type="dxa" w:w="90"/>
              <w:right w:type="dxa" w:w="130"/>
            </w:tcMar>
          </w:tcPr>
          <w:p>
            <w:pPr>
              <w:spacing w:after="0" w:line="250"/>
            </w:pPr>
            <w:r>
              <w:rPr>
                <w:color w:val="5B6B7C"/>
                <w:sz w:val="18"/>
                <w:szCs w:val="18"/>
              </w:rPr>
              <w:t xml:space="preserve">Background seeders run after readiness is reported. Give the container a generous liveness grace period on first boot against an empty database.</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Rolling updates</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Safe. The backend is stateless and holds no in-memory session.</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Logging</w:t>
            </w:r>
          </w:p>
        </w:tc>
        <w:tc>
          <w:tcPr>
            <w:tcW w:type="dxa" w:w="6760"/>
            <w:tcMar>
              <w:top w:type="dxa" w:w="90"/>
              <w:left w:type="dxa" w:w="130"/>
              <w:bottom w:type="dxa" w:w="90"/>
              <w:right w:type="dxa" w:w="130"/>
            </w:tcMar>
          </w:tcPr>
          <w:p>
            <w:pPr>
              <w:spacing w:after="0" w:line="250"/>
            </w:pPr>
            <w:r>
              <w:rPr>
                <w:color w:val="5B6B7C"/>
                <w:sz w:val="18"/>
                <w:szCs w:val="18"/>
              </w:rPr>
              <w:t xml:space="preserve">Structured output to stdout. Forward to the corporate log platform.</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Metrics to watch</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5xx rate, p95 request latency, backend container memory during generation.</w:t>
            </w:r>
          </w:p>
        </w:tc>
      </w:tr>
      <w:tr>
        <w:trPr>
          <w:cantSplit/>
        </w:trPr>
        <w:tc>
          <w:tcPr>
            <w:tcW w:type="dxa" w:w="2600"/>
            <w:tcMar>
              <w:top w:type="dxa" w:w="90"/>
              <w:left w:type="dxa" w:w="130"/>
              <w:bottom w:type="dxa" w:w="90"/>
              <w:right w:type="dxa" w:w="130"/>
            </w:tcMar>
          </w:tcPr>
          <w:p>
            <w:pPr>
              <w:spacing w:after="0" w:line="250"/>
            </w:pPr>
            <w:r>
              <w:rPr>
                <w:color w:val="5B6B7C"/>
                <w:sz w:val="18"/>
                <w:szCs w:val="18"/>
              </w:rPr>
              <w:t xml:space="preserve">Backup scope</w:t>
            </w:r>
          </w:p>
        </w:tc>
        <w:tc>
          <w:tcPr>
            <w:tcW w:type="dxa" w:w="6760"/>
            <w:tcMar>
              <w:top w:type="dxa" w:w="90"/>
              <w:left w:type="dxa" w:w="130"/>
              <w:bottom w:type="dxa" w:w="90"/>
              <w:right w:type="dxa" w:w="130"/>
            </w:tcMar>
          </w:tcPr>
          <w:p>
            <w:pPr>
              <w:spacing w:after="0" w:line="250"/>
            </w:pPr>
            <w:r>
              <w:rPr>
                <w:color w:val="5B6B7C"/>
                <w:sz w:val="18"/>
                <w:szCs w:val="18"/>
              </w:rPr>
              <w:t xml:space="preserve">MongoDB only. The file volume is reconstructible.</w:t>
            </w:r>
          </w:p>
        </w:tc>
      </w:tr>
      <w:tr>
        <w:trPr>
          <w:cantSplit/>
        </w:trPr>
        <w:tc>
          <w:tcPr>
            <w:tcW w:type="dxa" w:w="2600"/>
            <w:shd w:fill="F8FAFB" w:color="auto" w:val="clear"/>
            <w:tcMar>
              <w:top w:type="dxa" w:w="90"/>
              <w:left w:type="dxa" w:w="130"/>
              <w:bottom w:type="dxa" w:w="90"/>
              <w:right w:type="dxa" w:w="130"/>
            </w:tcMar>
          </w:tcPr>
          <w:p>
            <w:pPr>
              <w:spacing w:after="0" w:line="250"/>
            </w:pPr>
            <w:r>
              <w:rPr>
                <w:color w:val="5B6B7C"/>
                <w:sz w:val="18"/>
                <w:szCs w:val="18"/>
              </w:rPr>
              <w:t xml:space="preserve">Disaster recovery</w:t>
            </w:r>
          </w:p>
        </w:tc>
        <w:tc>
          <w:tcPr>
            <w:tcW w:type="dxa" w:w="6760"/>
            <w:shd w:fill="F8FAFB" w:color="auto" w:val="clear"/>
            <w:tcMar>
              <w:top w:type="dxa" w:w="90"/>
              <w:left w:type="dxa" w:w="130"/>
              <w:bottom w:type="dxa" w:w="90"/>
              <w:right w:type="dxa" w:w="130"/>
            </w:tcMar>
          </w:tcPr>
          <w:p>
            <w:pPr>
              <w:spacing w:after="0" w:line="250"/>
            </w:pPr>
            <w:r>
              <w:rPr>
                <w:color w:val="5B6B7C"/>
                <w:sz w:val="18"/>
                <w:szCs w:val="18"/>
              </w:rPr>
              <w:t xml:space="preserve">Restore MongoDB, redeploy both containers, point them at the restored database. The file volume repopulates itself on demand.</w:t>
            </w:r>
          </w:p>
        </w:tc>
      </w:tr>
    </w:tbl>
    <w:p>
      <w:pPr>
        <w:pStyle w:val="Heading1"/>
        <w:spacing w:after="160" w:before="320"/>
      </w:pPr>
      <w:r>
        <w:t xml:space="preserve">10. Security posture</w:t>
      </w:r>
    </w:p>
    <w:p>
      <w:pPr>
        <w:pStyle w:val="ListParagraph"/>
        <w:numPr>
          <w:ilvl w:val="0"/>
          <w:numId w:val="1"/>
        </w:numPr>
        <w:spacing w:after="80" w:line="276"/>
      </w:pPr>
      <w:r>
        <w:t xml:space="preserve">Authentication is username and password with JWT session tokens (HS256, eight-hour expiry). Passwords are bcrypt-hashed.</w:t>
      </w:r>
    </w:p>
    <w:p>
      <w:pPr>
        <w:pStyle w:val="ListParagraph"/>
        <w:numPr>
          <w:ilvl w:val="0"/>
          <w:numId w:val="1"/>
        </w:numPr>
        <w:spacing w:after="80" w:line="276"/>
      </w:pPr>
      <w:r>
        <w:t xml:space="preserve">Single sign-on is not implemented. If corporate SSO is mandatory, raise it before rollout — it is a development item.</w:t>
      </w:r>
    </w:p>
    <w:p>
      <w:pPr>
        <w:pStyle w:val="ListParagraph"/>
        <w:numPr>
          <w:ilvl w:val="0"/>
          <w:numId w:val="1"/>
        </w:numPr>
        <w:spacing w:after="80" w:line="276"/>
      </w:pPr>
      <w:r>
        <w:t xml:space="preserve">It stores supplier, customer, item and employee master data. Classify the database as you would the source ERP.</w:t>
      </w:r>
    </w:p>
    <w:p>
      <w:pPr>
        <w:pStyle w:val="ListParagraph"/>
        <w:numPr>
          <w:ilvl w:val="0"/>
          <w:numId w:val="1"/>
        </w:numPr>
        <w:spacing w:after="80" w:line="276"/>
      </w:pPr>
      <w:r>
        <w:t xml:space="preserve">Employee HDL conversions may include personal data. Confirm the retention policy for the file volume and GridFS with your data-protection owner.</w:t>
      </w:r>
    </w:p>
    <w:p>
      <w:pPr>
        <w:pStyle w:val="ListParagraph"/>
        <w:numPr>
          <w:ilvl w:val="0"/>
          <w:numId w:val="1"/>
        </w:numPr>
        <w:spacing w:after="80" w:line="276"/>
      </w:pPr>
      <w:r>
        <w:t xml:space="preserve">Connection credentials for Oracle Fusion and Oracle EBS are stored IN THE DATABASE, not in the environment. They are encrypted with Fernet only when FERNET_KEY is set; without it they are written as plaintext with a PLAIN: prefix. Set FERNET_KEY before anyone saves a connection.</w:t>
      </w:r>
    </w:p>
    <w:p>
      <w:pPr>
        <w:pStyle w:val="ListParagraph"/>
        <w:numPr>
          <w:ilvl w:val="0"/>
          <w:numId w:val="1"/>
        </w:numPr>
        <w:spacing w:after="80" w:line="276"/>
      </w:pPr>
      <w:r>
        <w:t xml:space="preserve">Application secrets other than those — the Mongo URI, the JWT signing key, AI keys — are read from the environment and never written to disk.</w:t>
      </w:r>
    </w:p>
    <w:p>
      <w:pPr>
        <w:pStyle w:val="ListParagraph"/>
        <w:numPr>
          <w:ilvl w:val="0"/>
          <w:numId w:val="1"/>
        </w:numPr>
        <w:spacing w:after="80" w:line="276"/>
      </w:pPr>
      <w:r>
        <w:t xml:space="preserve">When AI_PROVIDER is set, column names and sample values go to the provider for mapping suggestions. If policy forbids that, leave it at none — every deterministic feature still works.</w:t>
      </w:r>
    </w:p>
    <w:p>
      <w:pPr>
        <w:pStyle w:val="Heading1"/>
        <w:spacing w:after="160" w:before="320"/>
      </w:pPr>
      <w:r>
        <w:t xml:space="preserve">11. Open items for the receiving teams</w:t>
      </w:r>
    </w:p>
    <w:tbl>
      <w:tblPr>
        <w:tblW w:type="dxa" w:w="9360"/>
        <w:tblBorders>
          <w:top w:val="single" w:color="C6D0DA" w:sz="2"/>
          <w:left w:val="single" w:color="C6D0DA" w:sz="2"/>
          <w:bottom w:val="single" w:color="C6D0DA" w:sz="2"/>
          <w:right w:val="single" w:color="C6D0DA" w:sz="2"/>
          <w:insideH w:val="single" w:color="DCE3EA" w:sz="2"/>
          <w:insideV w:val="single" w:color="DCE3EA" w:sz="2"/>
        </w:tblBorders>
      </w:tblPr>
      <w:tblGrid>
        <w:gridCol w:w="700"/>
        <w:gridCol w:w="4800"/>
        <w:gridCol w:w="3860"/>
      </w:tblGrid>
      <w:tr>
        <w:trPr>
          <w:cantSplit/>
          <w:tblHeader/>
        </w:trPr>
        <w:tc>
          <w:tcPr>
            <w:tcW w:type="dxa" w:w="700"/>
            <w:shd w:fill="EDF1F5" w:color="auto" w:val="clear"/>
            <w:tcMar>
              <w:top w:type="dxa" w:w="90"/>
              <w:left w:type="dxa" w:w="130"/>
              <w:bottom w:type="dxa" w:w="90"/>
              <w:right w:type="dxa" w:w="130"/>
            </w:tcMar>
          </w:tcPr>
          <w:p>
            <w:pPr>
              <w:spacing w:after="0" w:line="250"/>
            </w:pPr>
            <w:r>
              <w:rPr>
                <w:b/>
                <w:bCs/>
                <w:color w:val="1F2933"/>
                <w:sz w:val="18"/>
                <w:szCs w:val="18"/>
              </w:rPr>
              <w:t xml:space="preserve">#</w:t>
            </w:r>
          </w:p>
        </w:tc>
        <w:tc>
          <w:tcPr>
            <w:tcW w:type="dxa" w:w="4800"/>
            <w:shd w:fill="EDF1F5" w:color="auto" w:val="clear"/>
            <w:tcMar>
              <w:top w:type="dxa" w:w="90"/>
              <w:left w:type="dxa" w:w="130"/>
              <w:bottom w:type="dxa" w:w="90"/>
              <w:right w:type="dxa" w:w="130"/>
            </w:tcMar>
          </w:tcPr>
          <w:p>
            <w:pPr>
              <w:spacing w:after="0" w:line="250"/>
            </w:pPr>
            <w:r>
              <w:rPr>
                <w:b/>
                <w:bCs/>
                <w:color w:val="1F2933"/>
                <w:sz w:val="18"/>
                <w:szCs w:val="18"/>
              </w:rPr>
              <w:t xml:space="preserve">Question</w:t>
            </w:r>
          </w:p>
        </w:tc>
        <w:tc>
          <w:tcPr>
            <w:tcW w:type="dxa" w:w="3860"/>
            <w:shd w:fill="EDF1F5" w:color="auto" w:val="clear"/>
            <w:tcMar>
              <w:top w:type="dxa" w:w="90"/>
              <w:left w:type="dxa" w:w="130"/>
              <w:bottom w:type="dxa" w:w="90"/>
              <w:right w:type="dxa" w:w="130"/>
            </w:tcMar>
          </w:tcPr>
          <w:p>
            <w:pPr>
              <w:spacing w:after="0" w:line="250"/>
            </w:pPr>
            <w:r>
              <w:rPr>
                <w:b/>
                <w:bCs/>
                <w:color w:val="1F2933"/>
                <w:sz w:val="18"/>
                <w:szCs w:val="18"/>
              </w:rPr>
              <w:t xml:space="preserve">Owner</w:t>
            </w:r>
          </w:p>
        </w:tc>
      </w:tr>
      <w:tr>
        <w:trPr>
          <w:cantSplit/>
        </w:trPr>
        <w:tc>
          <w:tcPr>
            <w:tcW w:type="dxa" w:w="700"/>
            <w:tcMar>
              <w:top w:type="dxa" w:w="90"/>
              <w:left w:type="dxa" w:w="130"/>
              <w:bottom w:type="dxa" w:w="90"/>
              <w:right w:type="dxa" w:w="130"/>
            </w:tcMar>
          </w:tcPr>
          <w:p>
            <w:pPr>
              <w:spacing w:after="0" w:line="250"/>
            </w:pPr>
            <w:r>
              <w:rPr>
                <w:color w:val="5B6B7C"/>
                <w:sz w:val="18"/>
                <w:szCs w:val="18"/>
              </w:rPr>
              <w:t xml:space="preserve">1</w:t>
            </w:r>
          </w:p>
        </w:tc>
        <w:tc>
          <w:tcPr>
            <w:tcW w:type="dxa" w:w="4800"/>
            <w:tcMar>
              <w:top w:type="dxa" w:w="90"/>
              <w:left w:type="dxa" w:w="130"/>
              <w:bottom w:type="dxa" w:w="90"/>
              <w:right w:type="dxa" w:w="130"/>
            </w:tcMar>
          </w:tcPr>
          <w:p>
            <w:pPr>
              <w:spacing w:after="0" w:line="250"/>
            </w:pPr>
            <w:r>
              <w:rPr>
                <w:color w:val="5B6B7C"/>
                <w:sz w:val="18"/>
                <w:szCs w:val="18"/>
              </w:rPr>
              <w:t xml:space="preserve">Managed MongoDB or self-hosted replica set? Section 7 sets out both.</w:t>
            </w:r>
          </w:p>
        </w:tc>
        <w:tc>
          <w:tcPr>
            <w:tcW w:type="dxa" w:w="3860"/>
            <w:tcMar>
              <w:top w:type="dxa" w:w="90"/>
              <w:left w:type="dxa" w:w="130"/>
              <w:bottom w:type="dxa" w:w="90"/>
              <w:right w:type="dxa" w:w="130"/>
            </w:tcMar>
          </w:tcPr>
          <w:p>
            <w:pPr>
              <w:spacing w:after="0" w:line="250"/>
            </w:pPr>
            <w:r>
              <w:rPr>
                <w:color w:val="5B6B7C"/>
                <w:sz w:val="18"/>
                <w:szCs w:val="18"/>
              </w:rPr>
              <w:t xml:space="preserve">DBA</w:t>
            </w:r>
          </w:p>
        </w:tc>
      </w:tr>
      <w:tr>
        <w:trPr>
          <w:cantSplit/>
        </w:trPr>
        <w:tc>
          <w:tcPr>
            <w:tcW w:type="dxa" w:w="700"/>
            <w:shd w:fill="F8FAFB" w:color="auto" w:val="clear"/>
            <w:tcMar>
              <w:top w:type="dxa" w:w="90"/>
              <w:left w:type="dxa" w:w="130"/>
              <w:bottom w:type="dxa" w:w="90"/>
              <w:right w:type="dxa" w:w="130"/>
            </w:tcMar>
          </w:tcPr>
          <w:p>
            <w:pPr>
              <w:spacing w:after="0" w:line="250"/>
            </w:pPr>
            <w:r>
              <w:rPr>
                <w:color w:val="5B6B7C"/>
                <w:sz w:val="18"/>
                <w:szCs w:val="18"/>
              </w:rPr>
              <w:t xml:space="preserve">2</w:t>
            </w:r>
          </w:p>
        </w:tc>
        <w:tc>
          <w:tcPr>
            <w:tcW w:type="dxa" w:w="4800"/>
            <w:shd w:fill="F8FAFB" w:color="auto" w:val="clear"/>
            <w:tcMar>
              <w:top w:type="dxa" w:w="90"/>
              <w:left w:type="dxa" w:w="130"/>
              <w:bottom w:type="dxa" w:w="90"/>
              <w:right w:type="dxa" w:w="130"/>
            </w:tcMar>
          </w:tcPr>
          <w:p>
            <w:pPr>
              <w:spacing w:after="0" w:line="250"/>
            </w:pPr>
            <w:r>
              <w:rPr>
                <w:color w:val="5B6B7C"/>
                <w:sz w:val="18"/>
                <w:szCs w:val="18"/>
              </w:rPr>
              <w:t xml:space="preserve">RPO and RTO targets for the database.</w:t>
            </w:r>
          </w:p>
        </w:tc>
        <w:tc>
          <w:tcPr>
            <w:tcW w:type="dxa" w:w="3860"/>
            <w:shd w:fill="F8FAFB" w:color="auto" w:val="clear"/>
            <w:tcMar>
              <w:top w:type="dxa" w:w="90"/>
              <w:left w:type="dxa" w:w="130"/>
              <w:bottom w:type="dxa" w:w="90"/>
              <w:right w:type="dxa" w:w="130"/>
            </w:tcMar>
          </w:tcPr>
          <w:p>
            <w:pPr>
              <w:spacing w:after="0" w:line="250"/>
            </w:pPr>
            <w:r>
              <w:rPr>
                <w:color w:val="5B6B7C"/>
                <w:sz w:val="18"/>
                <w:szCs w:val="18"/>
              </w:rPr>
              <w:t xml:space="preserve">DBA</w:t>
            </w:r>
          </w:p>
        </w:tc>
      </w:tr>
      <w:tr>
        <w:trPr>
          <w:cantSplit/>
        </w:trPr>
        <w:tc>
          <w:tcPr>
            <w:tcW w:type="dxa" w:w="700"/>
            <w:tcMar>
              <w:top w:type="dxa" w:w="90"/>
              <w:left w:type="dxa" w:w="130"/>
              <w:bottom w:type="dxa" w:w="90"/>
              <w:right w:type="dxa" w:w="130"/>
            </w:tcMar>
          </w:tcPr>
          <w:p>
            <w:pPr>
              <w:spacing w:after="0" w:line="250"/>
            </w:pPr>
            <w:r>
              <w:rPr>
                <w:color w:val="5B6B7C"/>
                <w:sz w:val="18"/>
                <w:szCs w:val="18"/>
              </w:rPr>
              <w:t xml:space="preserve">3</w:t>
            </w:r>
          </w:p>
        </w:tc>
        <w:tc>
          <w:tcPr>
            <w:tcW w:type="dxa" w:w="4800"/>
            <w:tcMar>
              <w:top w:type="dxa" w:w="90"/>
              <w:left w:type="dxa" w:w="130"/>
              <w:bottom w:type="dxa" w:w="90"/>
              <w:right w:type="dxa" w:w="130"/>
            </w:tcMar>
          </w:tcPr>
          <w:p>
            <w:pPr>
              <w:spacing w:after="0" w:line="250"/>
            </w:pPr>
            <w:r>
              <w:rPr>
                <w:color w:val="5B6B7C"/>
                <w:sz w:val="18"/>
                <w:szCs w:val="18"/>
              </w:rPr>
              <w:t xml:space="preserve">Is outbound HTTPS to an AI provider permitted? If not, we deploy with AI_PROVIDER=none.</w:t>
            </w:r>
          </w:p>
        </w:tc>
        <w:tc>
          <w:tcPr>
            <w:tcW w:type="dxa" w:w="3860"/>
            <w:tcMar>
              <w:top w:type="dxa" w:w="90"/>
              <w:left w:type="dxa" w:w="130"/>
              <w:bottom w:type="dxa" w:w="90"/>
              <w:right w:type="dxa" w:w="130"/>
            </w:tcMar>
          </w:tcPr>
          <w:p>
            <w:pPr>
              <w:spacing w:after="0" w:line="250"/>
            </w:pPr>
            <w:r>
              <w:rPr>
                <w:color w:val="5B6B7C"/>
                <w:sz w:val="18"/>
                <w:szCs w:val="18"/>
              </w:rPr>
              <w:t xml:space="preserve">Security / Infra</w:t>
            </w:r>
          </w:p>
        </w:tc>
      </w:tr>
      <w:tr>
        <w:trPr>
          <w:cantSplit/>
        </w:trPr>
        <w:tc>
          <w:tcPr>
            <w:tcW w:type="dxa" w:w="700"/>
            <w:shd w:fill="F8FAFB" w:color="auto" w:val="clear"/>
            <w:tcMar>
              <w:top w:type="dxa" w:w="90"/>
              <w:left w:type="dxa" w:w="130"/>
              <w:bottom w:type="dxa" w:w="90"/>
              <w:right w:type="dxa" w:w="130"/>
            </w:tcMar>
          </w:tcPr>
          <w:p>
            <w:pPr>
              <w:spacing w:after="0" w:line="250"/>
            </w:pPr>
            <w:r>
              <w:rPr>
                <w:color w:val="5B6B7C"/>
                <w:sz w:val="18"/>
                <w:szCs w:val="18"/>
              </w:rPr>
              <w:t xml:space="preserve">4</w:t>
            </w:r>
          </w:p>
        </w:tc>
        <w:tc>
          <w:tcPr>
            <w:tcW w:type="dxa" w:w="4800"/>
            <w:shd w:fill="F8FAFB" w:color="auto" w:val="clear"/>
            <w:tcMar>
              <w:top w:type="dxa" w:w="90"/>
              <w:left w:type="dxa" w:w="130"/>
              <w:bottom w:type="dxa" w:w="90"/>
              <w:right w:type="dxa" w:w="130"/>
            </w:tcMar>
          </w:tcPr>
          <w:p>
            <w:pPr>
              <w:spacing w:after="0" w:line="250"/>
            </w:pPr>
            <w:r>
              <w:rPr>
                <w:color w:val="5B6B7C"/>
                <w:sz w:val="18"/>
                <w:szCs w:val="18"/>
              </w:rPr>
              <w:t xml:space="preserve">Is corporate SSO mandatory for internal tools? It is not implemented today.</w:t>
            </w:r>
          </w:p>
        </w:tc>
        <w:tc>
          <w:tcPr>
            <w:tcW w:type="dxa" w:w="3860"/>
            <w:shd w:fill="F8FAFB" w:color="auto" w:val="clear"/>
            <w:tcMar>
              <w:top w:type="dxa" w:w="90"/>
              <w:left w:type="dxa" w:w="130"/>
              <w:bottom w:type="dxa" w:w="90"/>
              <w:right w:type="dxa" w:w="130"/>
            </w:tcMar>
          </w:tcPr>
          <w:p>
            <w:pPr>
              <w:spacing w:after="0" w:line="250"/>
            </w:pPr>
            <w:r>
              <w:rPr>
                <w:color w:val="5B6B7C"/>
                <w:sz w:val="18"/>
                <w:szCs w:val="18"/>
              </w:rPr>
              <w:t xml:space="preserve">Security</w:t>
            </w:r>
          </w:p>
        </w:tc>
      </w:tr>
      <w:tr>
        <w:trPr>
          <w:cantSplit/>
        </w:trPr>
        <w:tc>
          <w:tcPr>
            <w:tcW w:type="dxa" w:w="700"/>
            <w:tcMar>
              <w:top w:type="dxa" w:w="90"/>
              <w:left w:type="dxa" w:w="130"/>
              <w:bottom w:type="dxa" w:w="90"/>
              <w:right w:type="dxa" w:w="130"/>
            </w:tcMar>
          </w:tcPr>
          <w:p>
            <w:pPr>
              <w:spacing w:after="0" w:line="250"/>
            </w:pPr>
            <w:r>
              <w:rPr>
                <w:color w:val="5B6B7C"/>
                <w:sz w:val="18"/>
                <w:szCs w:val="18"/>
              </w:rPr>
              <w:t xml:space="preserve">5</w:t>
            </w:r>
          </w:p>
        </w:tc>
        <w:tc>
          <w:tcPr>
            <w:tcW w:type="dxa" w:w="4800"/>
            <w:tcMar>
              <w:top w:type="dxa" w:w="90"/>
              <w:left w:type="dxa" w:w="130"/>
              <w:bottom w:type="dxa" w:w="90"/>
              <w:right w:type="dxa" w:w="130"/>
            </w:tcMar>
          </w:tcPr>
          <w:p>
            <w:pPr>
              <w:spacing w:after="0" w:line="250"/>
            </w:pPr>
            <w:r>
              <w:rPr>
                <w:color w:val="5B6B7C"/>
                <w:sz w:val="18"/>
                <w:szCs w:val="18"/>
              </w:rPr>
              <w:t xml:space="preserve">Which container platform is preferred, and is a ReadWriteMany volume available on it?</w:t>
            </w:r>
          </w:p>
        </w:tc>
        <w:tc>
          <w:tcPr>
            <w:tcW w:type="dxa" w:w="3860"/>
            <w:tcMar>
              <w:top w:type="dxa" w:w="90"/>
              <w:left w:type="dxa" w:w="130"/>
              <w:bottom w:type="dxa" w:w="90"/>
              <w:right w:type="dxa" w:w="130"/>
            </w:tcMar>
          </w:tcPr>
          <w:p>
            <w:pPr>
              <w:spacing w:after="0" w:line="250"/>
            </w:pPr>
            <w:r>
              <w:rPr>
                <w:color w:val="5B6B7C"/>
                <w:sz w:val="18"/>
                <w:szCs w:val="18"/>
              </w:rPr>
              <w:t xml:space="preserve">Infra</w:t>
            </w:r>
          </w:p>
        </w:tc>
      </w:tr>
      <w:tr>
        <w:trPr>
          <w:cantSplit/>
        </w:trPr>
        <w:tc>
          <w:tcPr>
            <w:tcW w:type="dxa" w:w="700"/>
            <w:shd w:fill="F8FAFB" w:color="auto" w:val="clear"/>
            <w:tcMar>
              <w:top w:type="dxa" w:w="90"/>
              <w:left w:type="dxa" w:w="130"/>
              <w:bottom w:type="dxa" w:w="90"/>
              <w:right w:type="dxa" w:w="130"/>
            </w:tcMar>
          </w:tcPr>
          <w:p>
            <w:pPr>
              <w:spacing w:after="0" w:line="250"/>
            </w:pPr>
            <w:r>
              <w:rPr>
                <w:color w:val="5B6B7C"/>
                <w:sz w:val="18"/>
                <w:szCs w:val="18"/>
              </w:rPr>
              <w:t xml:space="preserve">6</w:t>
            </w:r>
          </w:p>
        </w:tc>
        <w:tc>
          <w:tcPr>
            <w:tcW w:type="dxa" w:w="4800"/>
            <w:shd w:fill="F8FAFB" w:color="auto" w:val="clear"/>
            <w:tcMar>
              <w:top w:type="dxa" w:w="90"/>
              <w:left w:type="dxa" w:w="130"/>
              <w:bottom w:type="dxa" w:w="90"/>
              <w:right w:type="dxa" w:w="130"/>
            </w:tcMar>
          </w:tcPr>
          <w:p>
            <w:pPr>
              <w:spacing w:after="0" w:line="250"/>
            </w:pPr>
            <w:r>
              <w:rPr>
                <w:color w:val="5B6B7C"/>
                <w:sz w:val="18"/>
                <w:szCs w:val="18"/>
              </w:rPr>
              <w:t xml:space="preserve">Is direct Oracle EBS connectivity in scope? If not, the JRE and JDBC driver leave the image.</w:t>
            </w:r>
          </w:p>
        </w:tc>
        <w:tc>
          <w:tcPr>
            <w:tcW w:type="dxa" w:w="3860"/>
            <w:shd w:fill="F8FAFB" w:color="auto" w:val="clear"/>
            <w:tcMar>
              <w:top w:type="dxa" w:w="90"/>
              <w:left w:type="dxa" w:w="130"/>
              <w:bottom w:type="dxa" w:w="90"/>
              <w:right w:type="dxa" w:w="130"/>
            </w:tcMar>
          </w:tcPr>
          <w:p>
            <w:pPr>
              <w:spacing w:after="0" w:line="250"/>
            </w:pPr>
            <w:r>
              <w:rPr>
                <w:color w:val="5B6B7C"/>
                <w:sz w:val="18"/>
                <w:szCs w:val="18"/>
              </w:rPr>
              <w:t xml:space="preserve">Infra / Apps</w:t>
            </w:r>
          </w:p>
        </w:tc>
      </w:tr>
      <w:tr>
        <w:trPr>
          <w:cantSplit/>
        </w:trPr>
        <w:tc>
          <w:tcPr>
            <w:tcW w:type="dxa" w:w="700"/>
            <w:tcMar>
              <w:top w:type="dxa" w:w="90"/>
              <w:left w:type="dxa" w:w="130"/>
              <w:bottom w:type="dxa" w:w="90"/>
              <w:right w:type="dxa" w:w="130"/>
            </w:tcMar>
          </w:tcPr>
          <w:p>
            <w:pPr>
              <w:spacing w:after="0" w:line="250"/>
            </w:pPr>
            <w:r>
              <w:rPr>
                <w:color w:val="5B6B7C"/>
                <w:sz w:val="18"/>
                <w:szCs w:val="18"/>
              </w:rPr>
              <w:t xml:space="preserve">7</w:t>
            </w:r>
          </w:p>
        </w:tc>
        <w:tc>
          <w:tcPr>
            <w:tcW w:type="dxa" w:w="4800"/>
            <w:tcMar>
              <w:top w:type="dxa" w:w="90"/>
              <w:left w:type="dxa" w:w="130"/>
              <w:bottom w:type="dxa" w:w="90"/>
              <w:right w:type="dxa" w:w="130"/>
            </w:tcMar>
          </w:tcPr>
          <w:p>
            <w:pPr>
              <w:spacing w:after="0" w:line="250"/>
            </w:pPr>
            <w:r>
              <w:rPr>
                <w:color w:val="5B6B7C"/>
                <w:sz w:val="18"/>
                <w:szCs w:val="18"/>
              </w:rPr>
              <w:t xml:space="preserve">Retention policy for uploaded extracts and generated bundles.</w:t>
            </w:r>
          </w:p>
        </w:tc>
        <w:tc>
          <w:tcPr>
            <w:tcW w:type="dxa" w:w="3860"/>
            <w:tcMar>
              <w:top w:type="dxa" w:w="90"/>
              <w:left w:type="dxa" w:w="130"/>
              <w:bottom w:type="dxa" w:w="90"/>
              <w:right w:type="dxa" w:w="130"/>
            </w:tcMar>
          </w:tcPr>
          <w:p>
            <w:pPr>
              <w:spacing w:after="0" w:line="250"/>
            </w:pPr>
            <w:r>
              <w:rPr>
                <w:color w:val="5B6B7C"/>
                <w:sz w:val="18"/>
                <w:szCs w:val="18"/>
              </w:rPr>
              <w:t xml:space="preserve">Data protection</w:t>
            </w:r>
          </w:p>
        </w:tc>
      </w:tr>
      <w:tr>
        <w:trPr>
          <w:cantSplit/>
        </w:trPr>
        <w:tc>
          <w:tcPr>
            <w:tcW w:type="dxa" w:w="700"/>
            <w:shd w:fill="F8FAFB" w:color="auto" w:val="clear"/>
            <w:tcMar>
              <w:top w:type="dxa" w:w="90"/>
              <w:left w:type="dxa" w:w="130"/>
              <w:bottom w:type="dxa" w:w="90"/>
              <w:right w:type="dxa" w:w="130"/>
            </w:tcMar>
          </w:tcPr>
          <w:p>
            <w:pPr>
              <w:spacing w:after="0" w:line="250"/>
            </w:pPr>
            <w:r>
              <w:rPr>
                <w:color w:val="5B6B7C"/>
                <w:sz w:val="18"/>
                <w:szCs w:val="18"/>
              </w:rPr>
              <w:t xml:space="preserve">8</w:t>
            </w:r>
          </w:p>
        </w:tc>
        <w:tc>
          <w:tcPr>
            <w:tcW w:type="dxa" w:w="4800"/>
            <w:shd w:fill="F8FAFB" w:color="auto" w:val="clear"/>
            <w:tcMar>
              <w:top w:type="dxa" w:w="90"/>
              <w:left w:type="dxa" w:w="130"/>
              <w:bottom w:type="dxa" w:w="90"/>
              <w:right w:type="dxa" w:w="130"/>
            </w:tcMar>
          </w:tcPr>
          <w:p>
            <w:pPr>
              <w:spacing w:after="0" w:line="250"/>
            </w:pPr>
            <w:r>
              <w:rPr>
                <w:color w:val="5B6B7C"/>
                <w:sz w:val="18"/>
                <w:szCs w:val="18"/>
              </w:rPr>
              <w:t xml:space="preserve">Open the outbound 443 rule to the Fusion pod now, or wait until the direct-load path has been tested?</w:t>
            </w:r>
          </w:p>
        </w:tc>
        <w:tc>
          <w:tcPr>
            <w:tcW w:type="dxa" w:w="3860"/>
            <w:shd w:fill="F8FAFB" w:color="auto" w:val="clear"/>
            <w:tcMar>
              <w:top w:type="dxa" w:w="90"/>
              <w:left w:type="dxa" w:w="130"/>
              <w:bottom w:type="dxa" w:w="90"/>
              <w:right w:type="dxa" w:w="130"/>
            </w:tcMar>
          </w:tcPr>
          <w:p>
            <w:pPr>
              <w:spacing w:after="0" w:line="250"/>
            </w:pPr>
            <w:r>
              <w:rPr>
                <w:color w:val="5B6B7C"/>
                <w:sz w:val="18"/>
                <w:szCs w:val="18"/>
              </w:rPr>
              <w:t xml:space="preserve">Infra / Apps</w:t>
            </w:r>
          </w:p>
        </w:tc>
      </w:tr>
      <w:tr>
        <w:trPr>
          <w:cantSplit/>
        </w:trPr>
        <w:tc>
          <w:tcPr>
            <w:tcW w:type="dxa" w:w="700"/>
            <w:tcMar>
              <w:top w:type="dxa" w:w="90"/>
              <w:left w:type="dxa" w:w="130"/>
              <w:bottom w:type="dxa" w:w="90"/>
              <w:right w:type="dxa" w:w="130"/>
            </w:tcMar>
          </w:tcPr>
          <w:p>
            <w:pPr>
              <w:spacing w:after="0" w:line="250"/>
            </w:pPr>
            <w:r>
              <w:rPr>
                <w:color w:val="5B6B7C"/>
                <w:sz w:val="18"/>
                <w:szCs w:val="18"/>
              </w:rPr>
              <w:t xml:space="preserve">9</w:t>
            </w:r>
          </w:p>
        </w:tc>
        <w:tc>
          <w:tcPr>
            <w:tcW w:type="dxa" w:w="4800"/>
            <w:tcMar>
              <w:top w:type="dxa" w:w="90"/>
              <w:left w:type="dxa" w:w="130"/>
              <w:bottom w:type="dxa" w:w="90"/>
              <w:right w:type="dxa" w:w="130"/>
            </w:tcMar>
          </w:tcPr>
          <w:p>
            <w:pPr>
              <w:spacing w:after="0" w:line="250"/>
            </w:pPr>
            <w:r>
              <w:rPr>
                <w:color w:val="5B6B7C"/>
                <w:sz w:val="18"/>
                <w:szCs w:val="18"/>
              </w:rPr>
              <w:t xml:space="preserve">Provision FERNET_KEY as a managed secret before any Fusion or EBS connection is saved.</w:t>
            </w:r>
          </w:p>
        </w:tc>
        <w:tc>
          <w:tcPr>
            <w:tcW w:type="dxa" w:w="3860"/>
            <w:tcMar>
              <w:top w:type="dxa" w:w="90"/>
              <w:left w:type="dxa" w:w="130"/>
              <w:bottom w:type="dxa" w:w="90"/>
              <w:right w:type="dxa" w:w="130"/>
            </w:tcMar>
          </w:tcPr>
          <w:p>
            <w:pPr>
              <w:spacing w:after="0" w:line="250"/>
            </w:pPr>
            <w:r>
              <w:rPr>
                <w:color w:val="5B6B7C"/>
                <w:sz w:val="18"/>
                <w:szCs w:val="18"/>
              </w:rPr>
              <w:t xml:space="preserve">Infra / Security</w:t>
            </w:r>
          </w:p>
        </w:tc>
      </w:tr>
      <w:tr>
        <w:trPr>
          <w:cantSplit/>
        </w:trPr>
        <w:tc>
          <w:tcPr>
            <w:tcW w:type="dxa" w:w="700"/>
            <w:shd w:fill="F8FAFB" w:color="auto" w:val="clear"/>
            <w:tcMar>
              <w:top w:type="dxa" w:w="90"/>
              <w:left w:type="dxa" w:w="130"/>
              <w:bottom w:type="dxa" w:w="90"/>
              <w:right w:type="dxa" w:w="130"/>
            </w:tcMar>
          </w:tcPr>
          <w:p>
            <w:pPr>
              <w:spacing w:after="0" w:line="250"/>
            </w:pPr>
            <w:r>
              <w:rPr>
                <w:color w:val="5B6B7C"/>
                <w:sz w:val="18"/>
                <w:szCs w:val="18"/>
              </w:rPr>
              <w:t xml:space="preserve">10</w:t>
            </w:r>
          </w:p>
        </w:tc>
        <w:tc>
          <w:tcPr>
            <w:tcW w:type="dxa" w:w="4800"/>
            <w:shd w:fill="F8FAFB" w:color="auto" w:val="clear"/>
            <w:tcMar>
              <w:top w:type="dxa" w:w="90"/>
              <w:left w:type="dxa" w:w="130"/>
              <w:bottom w:type="dxa" w:w="90"/>
              <w:right w:type="dxa" w:w="130"/>
            </w:tcMar>
          </w:tcPr>
          <w:p>
            <w:pPr>
              <w:spacing w:after="0" w:line="250"/>
            </w:pPr>
            <w:r>
              <w:rPr>
                <w:color w:val="5B6B7C"/>
                <w:sz w:val="18"/>
                <w:szCs w:val="18"/>
              </w:rPr>
              <w:t xml:space="preserve">Which Fusion service account, and does it hold the SCM / ERP Integration roles for the objects in scope?</w:t>
            </w:r>
          </w:p>
        </w:tc>
        <w:tc>
          <w:tcPr>
            <w:tcW w:type="dxa" w:w="3860"/>
            <w:shd w:fill="F8FAFB" w:color="auto" w:val="clear"/>
            <w:tcMar>
              <w:top w:type="dxa" w:w="90"/>
              <w:left w:type="dxa" w:w="130"/>
              <w:bottom w:type="dxa" w:w="90"/>
              <w:right w:type="dxa" w:w="130"/>
            </w:tcMar>
          </w:tcPr>
          <w:p>
            <w:pPr>
              <w:spacing w:after="0" w:line="250"/>
            </w:pPr>
            <w:r>
              <w:rPr>
                <w:color w:val="5B6B7C"/>
                <w:sz w:val="18"/>
                <w:szCs w:val="18"/>
              </w:rPr>
              <w:t xml:space="preserve">Apps / Security</w:t>
            </w:r>
          </w:p>
        </w:tc>
      </w:tr>
    </w:tbl>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Trinamix Conversion Workbench — Hosting &amp; Infrastructure Specification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Trinamix Conversion Workbench — Hosting &amp; Infrastructure Specification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Trinamix Conversion Workbench — Hosting &amp; Infrastructure Specification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2933"/>
      <w:sz w:val="30"/>
      <w:szCs w:val="30"/>
    </w:rPr>
  </w:style>
  <w:style w:type="paragraph" w:styleId="Heading2">
    <w:name w:val="Heading 2"/>
    <w:basedOn w:val="Normal"/>
    <w:next w:val="Normal"/>
    <w:qFormat/>
    <w:pPr>
      <w:spacing w:after="120" w:before="260"/>
    </w:pPr>
    <w:rPr>
      <w:rFonts w:ascii="Calibri" w:cs="Calibri" w:eastAsia="Calibri" w:hAnsi="Calibri"/>
      <w:b/>
      <w:bCs/>
      <w:color w:val="0F7B6C"/>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cbb9970dd7c21412654458392dd590ccad253c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Hosting &amp; Infrastructure Specification</dc:title>
  <dc:creator>Trinamix Conversion Workbench</dc:creator>
  <cp:lastModifiedBy>Un-named</cp:lastModifiedBy>
  <cp:revision>1</cp:revision>
  <dcterms:created xsi:type="dcterms:W3CDTF">2026-07-31T02:00:58.594Z</dcterms:created>
  <dcterms:modified xsi:type="dcterms:W3CDTF">2026-07-31T02:00:58.595Z</dcterms:modified>
</cp:coreProperties>
</file>

<file path=docProps/custom.xml><?xml version="1.0" encoding="utf-8"?>
<Properties xmlns="http://schemas.openxmlformats.org/officeDocument/2006/custom-properties" xmlns:vt="http://schemas.openxmlformats.org/officeDocument/2006/docPropsVTypes"/>
</file>