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Behaviour, Offer Response &amp; Churn Analysis</w:t>
      </w:r>
    </w:p>
    <w:p>
      <w:pPr>
        <w:jc w:val="center"/>
      </w:pPr>
      <w:r>
        <w:rPr>
          <w:b/>
          <w:sz w:val="26"/>
        </w:rPr>
        <w:t>BFSI Business Analytics Portfolio Project</w:t>
      </w:r>
    </w:p>
    <w:p/>
    <w:p>
      <w:pPr>
        <w:jc w:val="center"/>
      </w:pPr>
      <w:r>
        <w:rPr>
          <w:sz w:val="24"/>
        </w:rPr>
        <w:t>Final Business Analysis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Overall offer response</w:t>
              <w:br/>
              <w:t>63.84%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Overall churn</w:t>
              <w:br/>
              <w:t>14.20%</w:t>
            </w:r>
          </w:p>
        </w:tc>
      </w:tr>
    </w:tbl>
    <w:p/>
    <w:p>
      <w:r>
        <w:rPr>
          <w:b/>
        </w:rPr>
        <w:t xml:space="preserve">Project scope: </w:t>
      </w:r>
      <w:r>
        <w:t>The project follows the business-analysis intent of the supplied banking project guide: understand offer response, identify churn-related characteristics, validate important relationships statistically, and translate the findings into evidence-based business actions. The original K-Means stage was explored during development but was not included in the final deliverable, so this report does not present unsupported customer clusters.</w:t>
      </w:r>
    </w:p>
    <w:p>
      <w:r>
        <w:br w:type="page"/>
      </w:r>
    </w:p>
    <w:p>
      <w:pPr>
        <w:pStyle w:val="Heading1"/>
      </w:pPr>
      <w:r>
        <w:t>1. Business Problem</w:t>
      </w:r>
    </w:p>
    <w:p>
      <w:r>
        <w:rPr>
          <w:b/>
        </w:rPr>
        <w:t xml:space="preserve">Business context. </w:t>
      </w:r>
      <w:r>
        <w:t>A banking business wants to improve response to a credit-card upgrade offer while identifying customers who may require retention attention.</w:t>
      </w:r>
    </w:p>
    <w:p>
      <w:r>
        <w:rPr>
          <w:b/>
        </w:rPr>
        <w:t xml:space="preserve">Core questions. </w:t>
      </w:r>
      <w:r>
        <w:t>Which customer characteristics are associated with stronger observed offer-response rates? Which characteristics are associated with higher observed churn? Are the most important observed differences statistically meaningful?</w:t>
      </w:r>
    </w:p>
    <w:p>
      <w:pPr>
        <w:pStyle w:val="Heading1"/>
      </w:pPr>
      <w:r>
        <w:t>2. Analytical Approach</w:t>
      </w:r>
    </w:p>
    <w:p>
      <w:pPr>
        <w:pStyle w:val="ListBullet"/>
      </w:pPr>
      <w:r>
        <w:t>Python was used for data cleaning, type handling, missing-value treatment, category standardization, date normalization, duplicate investigation, descriptive analysis, and statistical testing.</w:t>
      </w:r>
    </w:p>
    <w:p>
      <w:pPr>
        <w:pStyle w:val="ListBullet"/>
      </w:pPr>
      <w:r>
        <w:t>MySQL was used for database setup, table validation, customer/account relationship checks, business KPI analysis, and creation of a reusable customer_analytics view.</w:t>
      </w:r>
    </w:p>
    <w:p>
      <w:pPr>
        <w:pStyle w:val="ListBullet"/>
      </w:pPr>
      <w:r>
        <w:t>The analysis focused on customer characteristics and behavioural variables including region, income, product count, spending, transactions, utilization, and late payments, with offer response and churn treated as outcome variables.</w:t>
      </w:r>
    </w:p>
    <w:p>
      <w:pPr>
        <w:pStyle w:val="Heading1"/>
      </w:pPr>
      <w:r>
        <w:t>3. Data &amp; Quality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Current 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 records in MySQL</w:t>
            </w:r>
          </w:p>
        </w:tc>
        <w:tc>
          <w:tcPr>
            <w:tcW w:type="dxa" w:w="4968"/>
            <w:vAlign w:val="center"/>
          </w:tcPr>
          <w:p>
            <w:r>
              <w:t>11,523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Account records in MySQL</w:t>
            </w:r>
          </w:p>
        </w:tc>
        <w:tc>
          <w:tcPr>
            <w:tcW w:type="dxa" w:w="4968"/>
            <w:vAlign w:val="center"/>
          </w:tcPr>
          <w:p>
            <w:r>
              <w:t>10,996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 IDs matched across both tables</w:t>
            </w:r>
          </w:p>
        </w:tc>
        <w:tc>
          <w:tcPr>
            <w:tcW w:type="dxa" w:w="4968"/>
            <w:vAlign w:val="center"/>
          </w:tcPr>
          <w:p>
            <w:r>
              <w:t>10,391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Customers without a matching account</w:t>
            </w:r>
          </w:p>
        </w:tc>
        <w:tc>
          <w:tcPr>
            <w:tcW w:type="dxa" w:w="4968"/>
            <w:vAlign w:val="center"/>
          </w:tcPr>
          <w:p>
            <w:r>
              <w:t>1,132</w:t>
            </w:r>
          </w:p>
        </w:tc>
      </w:tr>
      <w:tr>
        <w:tc>
          <w:tcPr>
            <w:tcW w:type="dxa" w:w="4968"/>
            <w:vAlign w:val="center"/>
          </w:tcPr>
          <w:p>
            <w:r>
              <w:t>Accounts without a matching customer</w:t>
            </w:r>
          </w:p>
        </w:tc>
        <w:tc>
          <w:tcPr>
            <w:tcW w:type="dxa" w:w="4968"/>
            <w:vAlign w:val="center"/>
          </w:tcPr>
          <w:p>
            <w:r>
              <w:t>605</w:t>
            </w:r>
          </w:p>
        </w:tc>
      </w:tr>
    </w:tbl>
    <w:p>
      <w:r>
        <w:rPr>
          <w:b/>
        </w:rPr>
        <w:t xml:space="preserve">Interpretation. </w:t>
      </w:r>
      <w:r>
        <w:t>The source tables do not have complete one-to-one coverage. Combined customer/account analyses therefore use the matched population, while the unmatched records are documented as a data-integration limitation rather than being forced into the analysis.</w:t>
      </w:r>
    </w:p>
    <w:p>
      <w:pPr>
        <w:pStyle w:val="Heading1"/>
      </w:pPr>
      <w:r>
        <w:t>4. Baseline Business KPIs</w:t>
      </w:r>
    </w:p>
    <w:p>
      <w:r>
        <w:t>Across the 10,996 account records used for account-level outcome analysis, 7,020 customers responded to the marketing offer, producing an observed response rate of 63.84%. A total of 1,561 customers were recorded as churned, producing an observed churn rate of 14.20%.</w:t>
      </w:r>
    </w:p>
    <w:p>
      <w:pPr>
        <w:pStyle w:val="Heading1"/>
      </w:pPr>
      <w:r>
        <w:t>5. Product Relationship Depth &amp; Offer Response</w:t>
      </w:r>
    </w:p>
    <w:p>
      <w:r>
        <w:t>Product relationship depth produced one of the clearest differences in observed offer response. Single-product customers had a 28.83% response rate, while customers with two or more products had an 82.90% response rate. Within the multi-product group, the earlier SQL analysis showed relatively little difference between customers with 2, 3, 4, and 5 products.</w:t>
      </w:r>
    </w:p>
    <w:p>
      <w:r>
        <w:drawing>
          <wp:inline xmlns:a="http://schemas.openxmlformats.org/drawingml/2006/main" xmlns:pic="http://schemas.openxmlformats.org/drawingml/2006/picture">
            <wp:extent cx="5852160" cy="3307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_response_by_product_gro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Observed offer response rate by product group.</w:t>
      </w:r>
    </w:p>
    <w:p>
      <w:pPr>
        <w:pStyle w:val="Heading1"/>
      </w:pPr>
      <w:r>
        <w:t>6. Credit Utilization &amp; Offer Response</w:t>
      </w:r>
    </w:p>
    <w:p>
      <w:r>
        <w:t>Observed offer response remained relatively high below 50% utilization, at 67.06% for 0–25% and 67.54% for 25–50%. It declined to 35.39% for 50–75% and 25.00% for 75–100%. The 75–100% group contains only 40 customers, so its estimate should be interpreted cautiously.</w:t>
      </w:r>
    </w:p>
    <w:p>
      <w:r>
        <w:drawing>
          <wp:inline xmlns:a="http://schemas.openxmlformats.org/drawingml/2006/main" xmlns:pic="http://schemas.openxmlformats.org/drawingml/2006/picture">
            <wp:extent cx="5852160" cy="3307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_response_by_credit_uti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Observed offer response rate by credit-utilization band.</w:t>
      </w:r>
    </w:p>
    <w:p>
      <w:pPr>
        <w:pStyle w:val="Heading1"/>
      </w:pPr>
      <w:r>
        <w:t>7. Late Payments &amp; Churn</w:t>
      </w:r>
    </w:p>
    <w:p>
      <w:r>
        <w:t>Observed churn was relatively stable for customers with 0–2 late payments, at approximately 12.8%. It increased to 34.35% for customers with 3 late payments and 35.04% for customers with 4 late payments. The five-late-payment group was small and was therefore interpreted cautiously.</w:t>
      </w:r>
    </w:p>
    <w:p>
      <w:r>
        <w:drawing>
          <wp:inline xmlns:a="http://schemas.openxmlformats.org/drawingml/2006/main" xmlns:pic="http://schemas.openxmlformats.org/drawingml/2006/picture">
            <wp:extent cx="5852160" cy="3307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by_late_payment_gro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Observed churn rate by late-payment group.</w:t>
      </w:r>
    </w:p>
    <w:p>
      <w:pPr>
        <w:pStyle w:val="Heading1"/>
      </w:pPr>
      <w:r>
        <w:t>8. Offer Response Status &amp; Churn</w:t>
      </w:r>
    </w:p>
    <w:p>
      <w:r>
        <w:t>Customers who did not respond to the offer had an observed churn rate of 25.55%, compared with 7.76% among customers who responded. This is a strong observed association in the dataset, but it does not establish that responding to the offer causes lower churn.</w:t>
      </w:r>
    </w:p>
    <w:p>
      <w:r>
        <w:drawing>
          <wp:inline xmlns:a="http://schemas.openxmlformats.org/drawingml/2006/main" xmlns:pic="http://schemas.openxmlformats.org/drawingml/2006/picture">
            <wp:extent cx="5852160" cy="33079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_by_offer_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7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Observed churn rate by offer-response status.</w:t>
      </w:r>
    </w:p>
    <w:p>
      <w:pPr>
        <w:pStyle w:val="Heading1"/>
      </w:pPr>
      <w:r>
        <w:t>9. Additional Analysis</w:t>
      </w:r>
    </w:p>
    <w:p>
      <w:r>
        <w:t>Other variables were tested to determine whether they provided meaningful standalone separation.</w:t>
      </w:r>
    </w:p>
    <w:p>
      <w:pPr>
        <w:pStyle w:val="ListBullet"/>
      </w:pPr>
      <w:r>
        <w:t>Region: response rates across the four known regions were relatively close, ranging from 62.72% to 65.57%.</w:t>
      </w:r>
    </w:p>
    <w:p>
      <w:pPr>
        <w:pStyle w:val="ListBullet"/>
      </w:pPr>
      <w:r>
        <w:t>Income: response rates ranged from 62.62% to 64.72%, while churn rates ranged from 13.57% to 14.71%.</w:t>
      </w:r>
    </w:p>
    <w:p>
      <w:pPr>
        <w:pStyle w:val="ListBullet"/>
      </w:pPr>
      <w:r>
        <w:t>Transaction activity: response rates ranged from 63.33% to 66.20%, while churn rates ranged from 13.17% to 14.71%.</w:t>
      </w:r>
    </w:p>
    <w:p>
      <w:pPr>
        <w:pStyle w:val="ListBullet"/>
      </w:pPr>
      <w:r>
        <w:t>Monthly spend: response rates ranged from 62.56% to 65.49%, while churn rates ranged from 13.38% to 14.86%.</w:t>
      </w:r>
    </w:p>
    <w:p>
      <w:r>
        <w:t>These variables therefore did not show strong standalone separation in the current descriptive analysis, although they may still provide useful context when considered jointly with stronger behavioural indicators.</w:t>
      </w:r>
    </w:p>
    <w:p>
      <w:pPr>
        <w:pStyle w:val="Heading1"/>
      </w:pPr>
      <w:r>
        <w:t>10. Statistical Validation</w:t>
      </w:r>
    </w:p>
    <w:p>
      <w:r>
        <w:t>Chi-square tests of independence were used to validate two strong categorical relationships identified during the SQL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Chi-square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df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484"/>
          </w:tcPr>
          <w:p>
            <w:r>
              <w:t>Product group × offer response</w:t>
            </w:r>
          </w:p>
        </w:tc>
        <w:tc>
          <w:tcPr>
            <w:tcW w:type="dxa" w:w="2484"/>
          </w:tcPr>
          <w:p>
            <w:r>
              <w:t>3175.81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&lt; 1e-300 / displayed as 0.0</w:t>
            </w:r>
          </w:p>
        </w:tc>
      </w:tr>
      <w:tr>
        <w:tc>
          <w:tcPr>
            <w:tcW w:type="dxa" w:w="2484"/>
          </w:tcPr>
          <w:p>
            <w:r>
              <w:t>Late-payment group × churn</w:t>
            </w:r>
          </w:p>
        </w:tc>
        <w:tc>
          <w:tcPr>
            <w:tcW w:type="dxa" w:w="2484"/>
          </w:tcPr>
          <w:p>
            <w:r>
              <w:t>254.02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3.455 × 10⁻⁵⁷</w:t>
            </w:r>
          </w:p>
        </w:tc>
      </w:tr>
    </w:tbl>
    <w:p>
      <w:r>
        <w:rPr>
          <w:b/>
        </w:rPr>
        <w:t xml:space="preserve">Interpretation. </w:t>
      </w:r>
      <w:r>
        <w:t>Both tests provide strong statistical evidence against independence between the tested categorical variables. The tests support the descriptive patterns but establish association, not causation.</w:t>
      </w:r>
    </w:p>
    <w:p>
      <w:pPr>
        <w:pStyle w:val="Heading1"/>
      </w:pPr>
      <w:r>
        <w:t>11. Business Recommendations</w:t>
      </w:r>
    </w:p>
    <w:p>
      <w:r>
        <w:t>Based on the observed patterns, the following actions are potential areas for further business investigation:</w:t>
      </w:r>
    </w:p>
    <w:p>
      <w:r>
        <w:rPr>
          <w:b/>
        </w:rPr>
        <w:t xml:space="preserve">Cross-sell / relationship deepening: </w:t>
      </w:r>
      <w:r>
        <w:t>Single-product customers show substantially lower observed offer response and higher observed churn than multi-product customers. This group is a potential area for targeted relationship-deepening or cross-sell analysis.</w:t>
      </w:r>
    </w:p>
    <w:p>
      <w:r>
        <w:rPr>
          <w:b/>
        </w:rPr>
        <w:t xml:space="preserve">Retention / risk attention: </w:t>
      </w:r>
      <w:r>
        <w:t>Customers with higher late-payment counts show materially higher observed churn. These customers may warrant additional retention or risk-focused attention.</w:t>
      </w:r>
    </w:p>
    <w:p>
      <w:r>
        <w:rPr>
          <w:b/>
        </w:rPr>
        <w:t xml:space="preserve">Campaign context: </w:t>
      </w:r>
      <w:r>
        <w:t>Credit utilization may be useful as a campaign-context variable because observed offer response declines materially at higher utilization levels.</w:t>
      </w:r>
    </w:p>
    <w:p>
      <w:r>
        <w:rPr>
          <w:b/>
        </w:rPr>
        <w:t xml:space="preserve">Avoid single-variable targeting: </w:t>
      </w:r>
      <w:r>
        <w:t>Income, transaction count, monthly spend, and region showed limited standalone separation. These should be treated as supporting context rather than as strong individual decision rules based on this analysis alone.</w:t>
      </w:r>
    </w:p>
    <w:p>
      <w:pPr>
        <w:pStyle w:val="Heading1"/>
      </w:pPr>
      <w:r>
        <w:t>12. Limitations &amp; Interpretation</w:t>
      </w:r>
    </w:p>
    <w:p>
      <w:pPr>
        <w:pStyle w:val="ListBullet"/>
      </w:pPr>
      <w:r>
        <w:t>Customer/account coverage is incomplete: 1,132 customers lack a matching account record and 605 account records lack a matching customer record.</w:t>
      </w:r>
    </w:p>
    <w:p>
      <w:pPr>
        <w:pStyle w:val="ListBullet"/>
      </w:pPr>
      <w:r>
        <w:t>Combined analyses represent the 10,391 matched customer IDs rather than the full 11,523 customer rows.</w:t>
      </w:r>
    </w:p>
    <w:p>
      <w:pPr>
        <w:pStyle w:val="ListBullet"/>
      </w:pPr>
      <w:r>
        <w:t>The analysis is observational and identifies associations rather than causal effects.</w:t>
      </w:r>
    </w:p>
    <w:p>
      <w:pPr>
        <w:pStyle w:val="ListBullet"/>
      </w:pPr>
      <w:r>
        <w:t>Small groups, including 75–100% utilization and five late payments, should be interpreted cautiously.</w:t>
      </w:r>
    </w:p>
    <w:p>
      <w:pPr>
        <w:pStyle w:val="ListBullet"/>
      </w:pPr>
      <w:r>
        <w:t>The results are based on the current imported dataset and should be validated against additional business data before operational use.</w:t>
      </w:r>
    </w:p>
    <w:p>
      <w:pPr>
        <w:pStyle w:val="Heading1"/>
      </w:pPr>
      <w:r>
        <w:t>13. Tools &amp; Techniques</w:t>
      </w:r>
    </w:p>
    <w:p>
      <w:pPr>
        <w:pStyle w:val="ListBullet"/>
      </w:pPr>
      <w:r>
        <w:t>Python: Pandas, NumPy, Matplotlib, SciPy, Jupyter Notebook.</w:t>
      </w:r>
    </w:p>
    <w:p>
      <w:pPr>
        <w:pStyle w:val="ListBullet"/>
      </w:pPr>
      <w:r>
        <w:t>SQL/MySQL: joins, GROUP BY, CASE WHEN, aggregate functions, subqueries, data validation, and SQL views.</w:t>
      </w:r>
    </w:p>
    <w:p>
      <w:pPr>
        <w:pStyle w:val="ListBullet"/>
      </w:pPr>
      <w:r>
        <w:t>Analytics: descriptive analysis, contingency tables, chi-square tests of independence, and business interpretation.</w:t>
      </w:r>
    </w:p>
    <w:p>
      <w:pPr>
        <w:pStyle w:val="Heading1"/>
      </w:pPr>
      <w:r>
        <w:t>14. Final Conclusion</w:t>
      </w:r>
    </w:p>
    <w:p>
      <w:r>
        <w:t>The project produced a focused, evidence-based view of customer behaviour related to marketing response and churn. The clearest observed differences were associated with product relationship depth, credit utilization, late-payment behaviour, and offer-response status. The strongest relationships were statistically validated using chi-square tests.</w:t>
      </w:r>
    </w:p>
    <w:p>
      <w:r>
        <w:t>The resulting analysis provides a defensible basis for further cross-sell and retention investigation while documenting the data-coverage limitations and maintaining the distinction between association and causation. The final scope intentionally prioritizes explainability and interview-defensible analysis rather than presenting an incomplete machine-learning segmentation model.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BFSI Customer Behaviour, Offer Response &amp; Churn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