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b/>
          <w:bCs/>
          <w:sz w:val="32"/>
          <w:szCs w:val="32"/>
        </w:rPr>
        <w:t xml:space="preserve">Theoretical Framework for SubstanceNet:</w:t>
      </w:r>
    </w:p>
    <w:p>
      <w:pPr>
        <w:spacing w:after="400"/>
        <w:jc w:val="center"/>
      </w:pPr>
      <w:r>
        <w:rPr>
          <w:b/>
          <w:bCs/>
          <w:sz w:val="32"/>
          <w:szCs w:val="32"/>
        </w:rPr>
        <w:t xml:space="preserve">A Bio-Inspired Architecture for Computational Reflexivity</w:t>
      </w:r>
    </w:p>
    <w:p>
      <w:pPr>
        <w:spacing w:after="120"/>
        <w:jc w:val="center"/>
      </w:pPr>
      <w:r>
        <w:rPr>
          <w:sz w:val="26"/>
          <w:szCs w:val="26"/>
        </w:rPr>
        <w:t xml:space="preserve">Oleksii Onasenko</w:t>
      </w:r>
    </w:p>
    <w:p>
      <w:pPr>
        <w:spacing w:after="60"/>
        <w:jc w:val="center"/>
      </w:pPr>
      <w:r>
        <w:rPr>
          <w:color w:val="555555"/>
          <w:sz w:val="22"/>
          <w:szCs w:val="22"/>
        </w:rPr>
        <w:t xml:space="preserve">ORCID: 0009-0007-7017-8161</w:t>
      </w:r>
    </w:p>
    <w:p>
      <w:pPr>
        <w:spacing w:after="60"/>
        <w:jc w:val="center"/>
      </w:pPr>
      <w:r>
        <w:rPr>
          <w:color w:val="555555"/>
          <w:sz w:val="22"/>
          <w:szCs w:val="22"/>
        </w:rPr>
        <w:t xml:space="preserve">Independent Researcher, Physics of Complex Systems and Emergence Theory</w:t>
      </w:r>
    </w:p>
    <w:p>
      <w:pPr>
        <w:spacing w:after="60"/>
        <w:jc w:val="center"/>
      </w:pPr>
      <w:r>
        <w:rPr>
          <w:color w:val="555555"/>
          <w:sz w:val="22"/>
          <w:szCs w:val="22"/>
        </w:rPr>
        <w:t xml:space="preserve">Scientific Research Center for Quantum Medicine "Vidguk",</w:t>
      </w:r>
    </w:p>
    <w:p>
      <w:pPr>
        <w:spacing w:after="200"/>
        <w:jc w:val="center"/>
      </w:pPr>
      <w:r>
        <w:rPr>
          <w:color w:val="555555"/>
          <w:sz w:val="22"/>
          <w:szCs w:val="22"/>
        </w:rPr>
        <w:t xml:space="preserve">Ministry of Health of Ukraine (Scientific School of Prof. S. P. Sit'ko)</w:t>
      </w:r>
    </w:p>
    <w:p>
      <w:pPr>
        <w:spacing w:after="60"/>
        <w:jc w:val="center"/>
      </w:pPr>
      <w:r>
        <w:rPr>
          <w:sz w:val="24"/>
          <w:szCs w:val="24"/>
        </w:rPr>
        <w:t xml:space="preserve">March 2026</w:t>
      </w:r>
    </w:p>
    <w:p>
      <w:pPr>
        <w:spacing w:after="60"/>
        <w:jc w:val="center"/>
      </w:pPr>
      <w:r>
        <w:rPr>
          <w:color w:val="888888"/>
          <w:sz w:val="22"/>
          <w:szCs w:val="22"/>
        </w:rPr>
        <w:t xml:space="preserve">Version 1.0</w:t>
      </w:r>
    </w:p>
    <w:p>
      <w:r>
        <w:br w:type="page"/>
      </w:r>
    </w:p>
    <w:p>
      <w:pPr>
        <w:sectPr>
          <w:pgSz w:w="12240" w:h="15840" w:orient="portrait"/>
          <w:pgMar w:top="1440" w:right="1440" w:bottom="1440" w:left="1440" w:header="708" w:footer="708" w:gutter="0"/>
          <w:pgNumType/>
          <w:docGrid w:linePitch="360"/>
        </w:sectPr>
      </w:pPr>
    </w:p>
    <w:p>
      <w:pPr>
        <w:pStyle w:val="Heading1"/>
        <w:spacing w:before="360" w:after="200"/>
      </w:pPr>
      <w:r>
        <w:rPr>
          <w:b/>
          <w:bCs/>
        </w:rPr>
        <w:t xml:space="preserve">Abstract</w:t>
      </w:r>
    </w:p>
    <w:p>
      <w:pPr>
        <w:spacing w:after="120" w:line="276"/>
        <w:ind w:firstLine="360"/>
      </w:pPr>
      <w:r>
        <w:t xml:space="preserve">This document presents the theoretical foundations underlying SubstanceNet, a bio-inspired neural architecture that implements computational reflexivity—a mechanism of iterative self-evaluation functionally analogous to metacognition—as a core processing component. Our model proposes an integrative approach that unifies well-established empirical and theoretical results from multiple scientific domains: quantum-like models of cognition (Busemeyer &amp; Bruza, 2012; Khrennikov, 2010), neural oscillations and phase-amplitude coupling (Buzsáki, 2006), the Global Neuronal Workspace hypothesis (Dehaene et al., 2001; Mashour et al., 2020), fixed-point theory from functional analysis (Banach, 1922), the biological visual cortex hierarchy (Hubel &amp; Wiesel, 1962; Felleman &amp; Van Essen, 1991), Complementary Learning Systems theory (McClelland et al., 1995), Hebbian plasticity (Hebb, 1949; Bi &amp; Poo, 2001), hippocampal memory systems (O'Keefe &amp; Nadel, 1978; Tulving, 1972), the critical brain hypothesis (Beggs &amp; Plenz, 2003), and the Yerkes-Dodson law of optimal arousal (Yerkes &amp; Dodson, 1908). Each architectural component of SubstanceNet is grounded in peer-reviewed research, with our specific contribution being the integration of these frameworks into a single coherent computational system governed by the empirically validated emergence parameter κ ≈ 1 (Onasenko, 2025; DOI: 10.5281/zenodo.17844282).</w:t>
      </w:r>
    </w:p>
    <w:p>
      <w:pPr>
        <w:spacing w:after="120" w:line="276"/>
        <w:ind w:firstLine="360"/>
      </w:pPr>
      <w:r>
        <w:rPr>
          <w:b/>
          <w:bCs/>
        </w:rPr>
        <w:t xml:space="preserve">Keywords: </w:t>
      </w:r>
      <w:r>
        <w:t xml:space="preserve">bio-inspired neural architecture, computational reflexivity, metacognition, wave-based computation, neural oscillations, visual cortex hierarchy, episodic memory, Hebbian plasticity, critical brain hypothesis, emergence parameter</w:t>
      </w:r>
    </w:p>
    <w:p>
      <w:pPr>
        <w:pStyle w:val="Heading1"/>
        <w:spacing w:before="360" w:after="200"/>
      </w:pPr>
      <w:r>
        <w:rPr>
          <w:b/>
          <w:bCs/>
        </w:rPr>
        <w:t xml:space="preserve">1. Introduction</w:t>
      </w:r>
    </w:p>
    <w:p>
      <w:pPr>
        <w:spacing w:after="120" w:line="276"/>
        <w:ind w:firstLine="360"/>
      </w:pPr>
      <w:r>
        <w:t xml:space="preserve">SubstanceNet is a computational architecture that models biological information processing through wave-based representations, hierarchical visual processing, episodic memory, and self-referential evaluation. The system is designed not as a classifier optimized for benchmark accuracy, but as a model of how biological neural systems integrate perception, memory, and self-monitoring into a unified processing pipeline.</w:t>
      </w:r>
    </w:p>
    <w:p>
      <w:pPr>
        <w:spacing w:after="120" w:line="276"/>
        <w:ind w:firstLine="360"/>
      </w:pPr>
      <w:r>
        <w:t xml:space="preserve">The architecture draws on research from seven distinct domains, each contributing a specific computational principle. This document traces the scientific lineage of each component, identifies the key publications that motivate our design choices, and specifies how established theoretical results are adapted for implementation in SubstanceNet.</w:t>
      </w:r>
    </w:p>
    <w:p>
      <w:pPr>
        <w:spacing w:after="120" w:line="276"/>
        <w:ind w:firstLine="360"/>
      </w:pPr>
      <w:r>
        <w:t xml:space="preserve">A central organizing principle is the emergence parameter κ = (A/A</w:t>
      </w:r>
      <w:r>
        <w:rPr>
          <w:vertAlign w:val="superscript"/>
        </w:rPr>
        <w:t xml:space="preserve">c</w:t>
      </w:r>
      <w:r>
        <w:t xml:space="preserve">) · τ · (Λ/Λ</w:t>
      </w:r>
      <w:r>
        <w:rPr>
          <w:vertAlign w:val="superscript"/>
        </w:rPr>
        <w:t xml:space="preserve">c</w:t>
      </w:r>
      <w:r>
        <w:t xml:space="preserve">), which was empirically validated across seven physical and biological systems (Onasenko, 2025). The weighted mean κ = 0.997 ± 0.004 with 95% CI [0.988, 1.006] suggests that κ ≈ 1 identifies the critical regime where emergent collective behavior arises. In SubstanceNet, this regime corresponds to an optimal reflexivity R ≈ 0.41, which the system maintains as a stable operating point across diverse tasks.</w:t>
      </w:r>
    </w:p>
    <w:p>
      <w:pPr>
        <w:pStyle w:val="Heading2"/>
        <w:spacing w:before="280" w:after="160"/>
      </w:pPr>
      <w:r>
        <w:rPr>
          <w:b/>
          <w:bCs/>
        </w:rPr>
        <w:t xml:space="preserve">1.1. Methodological Note: Formalism, Not Physical Metaphor</w:t>
      </w:r>
    </w:p>
    <w:p>
      <w:pPr>
        <w:spacing w:after="120" w:line="276"/>
        <w:ind w:firstLine="360"/>
      </w:pPr>
      <w:r>
        <w:t xml:space="preserve">A clarification of ontological status is essential at the outset. When SubstanceNet employs the representation ψ = A·e</w:t>
      </w:r>
      <w:r>
        <w:rPr>
          <w:vertAlign w:val="superscript"/>
        </w:rPr>
        <w:t xml:space="preserve">iφ</w:t>
      </w:r>
      <w:r>
        <w:t xml:space="preserve"> and describes "phase interference" between processing streams, these terms denote </w:t>
      </w:r>
      <w:r>
        <w:rPr>
          <w:i/>
          <w:iCs/>
        </w:rPr>
        <w:t xml:space="preserve">mathematical operations on real-valued tensors</w:t>
      </w:r>
      <w:r>
        <w:t xml:space="preserve">, not claims about physical wave propagation in neural tissue. Concretely: the amplitude A and phase φ are outputs of two standard linear projections; "interference" is a cosine similarity scaled by vector norms; "coherence" is a statistical correlation measure. Every computation in SubstanceNet can be described without reference to waves, phases, or quantum mechanics.</w:t>
      </w:r>
    </w:p>
    <w:p>
      <w:pPr>
        <w:spacing w:after="120" w:line="276"/>
        <w:ind w:firstLine="360"/>
      </w:pPr>
      <w:r>
        <w:t xml:space="preserve">We nevertheless adopt the wave formalism deliberately, for three reasons:</w:t>
      </w:r>
    </w:p>
    <w:p>
      <w:pPr>
        <w:spacing w:after="120" w:line="276"/>
        <w:ind w:firstLine="360"/>
      </w:pPr>
      <w:r>
        <w:rPr>
          <w:b/>
          <w:bCs/>
        </w:rPr>
        <w:t xml:space="preserve">Computational utility. </w:t>
      </w:r>
      <w:r>
        <w:t xml:space="preserve">The complex-valued representation </w:t>
      </w:r>
      <w:r>
        <w:rPr>
          <w:i/>
          <w:iCs/>
        </w:rPr>
        <w:t xml:space="preserve">bundles</w:t>
      </w:r>
      <w:r>
        <w:t xml:space="preserve"> amplitude (feature salience) and phase (relational structure) into a single mathematical object with well-defined algebraic operations—addition yields superposition, multiplication yields modulation, and the inner product naturally decomposes into magnitude and angle components. This is more expressive than treating the same quantities as unrelated vectors.</w:t>
      </w:r>
    </w:p>
    <w:p>
      <w:pPr>
        <w:spacing w:after="120" w:line="276"/>
        <w:ind w:firstLine="360"/>
      </w:pPr>
      <w:r>
        <w:rPr>
          <w:b/>
          <w:bCs/>
        </w:rPr>
        <w:t xml:space="preserve">Structural isomorphism. </w:t>
      </w:r>
      <w:r>
        <w:t xml:space="preserve">The key empirical finding is not that the brain </w:t>
      </w:r>
      <w:r>
        <w:rPr>
          <w:i/>
          <w:iCs/>
        </w:rPr>
        <w:t xml:space="preserve">is</w:t>
      </w:r>
      <w:r>
        <w:t xml:space="preserve"> a wave system, but that the </w:t>
      </w:r>
      <w:r>
        <w:rPr>
          <w:i/>
          <w:iCs/>
        </w:rPr>
        <w:t xml:space="preserve">structure of computation</w:t>
      </w:r>
      <w:r>
        <w:t xml:space="preserve"> in biological neural circuits—oscillatory coding, phase-amplitude coupling, interference between synchronized populations—is </w:t>
      </w:r>
      <w:r>
        <w:rPr>
          <w:i/>
          <w:iCs/>
        </w:rPr>
        <w:t xml:space="preserve">isomorphic to</w:t>
      </w:r>
      <w:r>
        <w:t xml:space="preserve"> wave mathematics. This is precisely the position of the quantum-like cognition program (Busemeyer &amp; Bruza, 2012; Khrennikov, 2010): the formalism captures statistical patterns in cognitive data that classical probability fails to model, regardless of underlying physical mechanism.</w:t>
      </w:r>
    </w:p>
    <w:p>
      <w:pPr>
        <w:spacing w:after="120" w:line="276"/>
        <w:ind w:firstLine="360"/>
      </w:pPr>
      <w:r>
        <w:rPr>
          <w:b/>
          <w:bCs/>
        </w:rPr>
        <w:t xml:space="preserve">Predictive power. </w:t>
      </w:r>
      <w:r>
        <w:t xml:space="preserve">The formalism generates testable predictions that would not arise from an agnostic "two vectors with cosine similarity" description. The velocity tuning curve in V3—logarithmic saturation matching primate MT electrophysiology—emerged from the interference equation without parameter tuning. The κ-plateau across task types emerged from the fixed-point iteration dynamics. These are non-trivial predictions of the formalism that would be difficult to motivate from a purely statistical perspective.</w:t>
      </w:r>
    </w:p>
    <w:p>
      <w:pPr>
        <w:spacing w:after="120" w:line="276"/>
        <w:ind w:firstLine="360"/>
      </w:pPr>
      <w:r>
        <w:t xml:space="preserve">Throughout this document, we maintain a strict distinction between the mathematical formalism (how we compute) and biological analogy (what it resembles). Claims of the form "V3 implements phase interference" are statements about the mathematical structure of the computation; claims of the form "this resembles velocity tuning in primate MT" are empirical observations about structural similarity, not assertions of mechanistic identity.</w:t>
      </w:r>
    </w:p>
    <w:p>
      <w:pPr>
        <w:pStyle w:val="Heading1"/>
        <w:spacing w:before="360" w:after="200"/>
      </w:pPr>
      <w:r>
        <w:rPr>
          <w:b/>
          <w:bCs/>
        </w:rPr>
        <w:t xml:space="preserve">2. Wave-Based Neural Computation</w:t>
      </w:r>
    </w:p>
    <w:p>
      <w:pPr>
        <w:pStyle w:val="Heading2"/>
        <w:spacing w:before="280" w:after="160"/>
      </w:pPr>
      <w:r>
        <w:rPr>
          <w:b/>
          <w:bCs/>
        </w:rPr>
        <w:t xml:space="preserve">2.1. Quantum-Like Models of Cognition</w:t>
      </w:r>
    </w:p>
    <w:p>
      <w:pPr>
        <w:spacing w:after="120" w:line="276"/>
        <w:ind w:firstLine="360"/>
      </w:pPr>
      <w:r>
        <w:t xml:space="preserve">The use of complex-valued wave functions ψ = A·e</w:t>
      </w:r>
      <w:r>
        <w:rPr>
          <w:vertAlign w:val="superscript"/>
        </w:rPr>
        <w:t xml:space="preserve">iφ</w:t>
      </w:r>
      <w:r>
        <w:t xml:space="preserve"> as a representational format in SubstanceNet draws directly from the quantum-like modeling program in cognitive science. Beginning with Busemeyer, Bruza, and colleagues (Busemeyer &amp; Bruza, 2012; Busemeyer et al., 2006), researchers have demonstrated that human judgment and decision-making exhibit systematic violations of classical probability theory—including order effects, conjunction fallacies, and disjunction effects—that are naturally captured by quantum probability formalism operating in complex Hilbert spaces.</w:t>
      </w:r>
    </w:p>
    <w:p>
      <w:pPr>
        <w:spacing w:after="120" w:line="276"/>
        <w:ind w:firstLine="360"/>
      </w:pPr>
      <w:r>
        <w:t xml:space="preserve">Khrennikov (2010, 2015) developed the Quantum-Like Representation Algorithm (QLRA), showing that cognitive data can be represented by wave functions without assuming quantum physical processes in the brain. His recent work with Yamada (2025) provides a concrete interpretation of phases in quantum-like superpositions, demonstrating that phase factors e</w:t>
      </w:r>
      <w:r>
        <w:rPr>
          <w:vertAlign w:val="superscript"/>
        </w:rPr>
        <w:t xml:space="preserve">iφ</w:t>
      </w:r>
      <w:r>
        <w:t xml:space="preserve"> encode temporal correlations in neuronal network activity. Khrennikov (2026) further elaborated this interpretation in the context of cognitive interference effects, connecting abstract mathematical phases to measurable neuronal oscillation patterns.</w:t>
      </w:r>
    </w:p>
    <w:p>
      <w:pPr>
        <w:spacing w:after="120" w:line="276"/>
        <w:ind w:firstLine="360"/>
      </w:pPr>
      <w:r>
        <w:t xml:space="preserve">Pothos and Busemeyer (2022) provide a comprehensive review of quantum cognition, establishing it as a mature research program with validated empirical predictions. De Barros (2012) proposed a specific neural implementation using oscillator-based models, suggesting that quantum-like interference arises naturally from neural oscillation dynamics.</w:t>
      </w:r>
    </w:p>
    <w:p>
      <w:pPr>
        <w:pStyle w:val="Heading2"/>
        <w:spacing w:before="280" w:after="160"/>
      </w:pPr>
      <w:r>
        <w:rPr>
          <w:b/>
          <w:bCs/>
        </w:rPr>
        <w:t xml:space="preserve">2.2. Neural Oscillations and Phase-Amplitude Coupling</w:t>
      </w:r>
    </w:p>
    <w:p>
      <w:pPr>
        <w:spacing w:after="120" w:line="276"/>
        <w:ind w:firstLine="360"/>
      </w:pPr>
      <w:r>
        <w:t xml:space="preserve">The use of complex-valued representations gains additional biological grounding from the neuroscience of neural oscillations. Buzsáki (2006) demonstrated in his seminal monograph </w:t>
      </w:r>
      <w:r>
        <w:rPr>
          <w:i/>
          <w:iCs/>
        </w:rPr>
        <w:t xml:space="preserve">Rhythms of the Brain</w:t>
      </w:r>
      <w:r>
        <w:t xml:space="preserve"> that the brain encodes information through rhythmic activity at multiple frequency bands—theta (4–8 Hz), gamma (30–100 Hz), and others—with information carried jointly by amplitude and phase. Phase-amplitude coupling (PAC), where the amplitude of high-frequency oscillations is modulated by the phase of low-frequency rhythms, is a well-established mechanism for inter-regional communication and memory encoding (Canolty &amp; Knight, 2010).</w:t>
      </w:r>
    </w:p>
    <w:p>
      <w:pPr>
        <w:spacing w:after="120" w:line="276"/>
        <w:ind w:firstLine="360"/>
      </w:pPr>
      <w:r>
        <w:t xml:space="preserve">In this framework, the SubstanceNet representation ψ = A·e</w:t>
      </w:r>
      <w:r>
        <w:rPr>
          <w:vertAlign w:val="superscript"/>
        </w:rPr>
        <w:t xml:space="preserve">iφ</w:t>
      </w:r>
      <w:r>
        <w:t xml:space="preserve"> maps naturally onto neural oscillation dynamics: amplitude A corresponds to the power of a local neuronal ensemble (analogous to gamma-band activity), while phase φ encodes global synchronization state (analogous to theta-band phase). The phase interference mechanism in V3, where constructive interference between form and motion signals occurs when their phases align, is a direct mathematical model of neural phase locking—a phenomenon extensively documented in primate visual cortex (Fries, 2005).</w:t>
      </w:r>
    </w:p>
    <w:p>
      <w:pPr>
        <w:pStyle w:val="Heading2"/>
        <w:spacing w:before="280" w:after="160"/>
      </w:pPr>
      <w:r>
        <w:rPr>
          <w:b/>
          <w:bCs/>
        </w:rPr>
        <w:t xml:space="preserve">2.3. Application in SubstanceNet</w:t>
      </w:r>
    </w:p>
    <w:p>
      <w:pPr>
        <w:spacing w:after="120" w:line="276"/>
        <w:ind w:firstLine="360"/>
      </w:pPr>
      <w:r>
        <w:t xml:space="preserve">SubstanceNet implements the wave-based representation through its QuantumWaveFunction module, which maps oriented visual features to complex-valued representations:</w:t>
      </w:r>
    </w:p>
    <w:p>
      <w:pPr>
        <w:spacing w:before="120" w:after="120" w:line="276"/>
        <w:jc w:val="center"/>
      </w:pPr>
      <w:r>
        <w:rPr>
          <w:rFonts w:ascii="Cambria Math" w:cs="Cambria Math" w:eastAsia="Cambria Math" w:hAnsi="Cambria Math"/>
          <w:i/>
          <w:iCs/>
          <w:sz w:val="22"/>
          <w:szCs w:val="22"/>
        </w:rPr>
        <w:t xml:space="preserve">ψ = A(x) · exp(iφ(x))</w:t>
      </w:r>
    </w:p>
    <w:p>
      <w:pPr>
        <w:spacing w:after="120" w:line="276"/>
        <w:ind w:firstLine="360"/>
      </w:pPr>
      <w:r>
        <w:t xml:space="preserve">where A(x) is the amplitude (feature salience) and φ(x) is the phase (temporal/relational structure). This representation enables phase interference as a computational mechanism in the V3 cortical module, where form and motion signals interact through constructive and destructive interference—a direct implementation of the interference principles described in the quantum cognition literature. Critically, this is a quantum-</w:t>
      </w:r>
      <w:r>
        <w:rPr>
          <w:i/>
          <w:iCs/>
        </w:rPr>
        <w:t xml:space="preserve">like</w:t>
      </w:r>
      <w:r>
        <w:t xml:space="preserve"> model: no quantum physical processes are assumed or required.</w:t>
      </w:r>
    </w:p>
    <w:p>
      <w:pPr>
        <w:pStyle w:val="Heading1"/>
        <w:spacing w:before="360" w:after="200"/>
      </w:pPr>
      <w:r>
        <w:rPr>
          <w:b/>
          <w:bCs/>
        </w:rPr>
        <w:t xml:space="preserve">3. Self-Referential Consciousness and Fixed-Point Theory</w:t>
      </w:r>
    </w:p>
    <w:p>
      <w:pPr>
        <w:pStyle w:val="Heading2"/>
        <w:spacing w:before="280" w:after="160"/>
      </w:pPr>
      <w:r>
        <w:rPr>
          <w:b/>
          <w:bCs/>
        </w:rPr>
        <w:t xml:space="preserve">3.1. Theoretical Background</w:t>
      </w:r>
    </w:p>
    <w:p>
      <w:pPr>
        <w:spacing w:after="120" w:line="276"/>
        <w:ind w:firstLine="360"/>
      </w:pPr>
      <w:r>
        <w:t xml:space="preserve">The concept of self-referential processing as a hallmark of consciousness has deep roots in both philosophy and cognitive science. Hofstadter (1979) formalized the notion of "strange loops"—self-referential patterns where a system's output feeds back as its own input—as a fundamental mechanism underlying conscious experience. This idea has been elaborated in computational terms by Metzinger (2003) through the self-model theory of subjectivity, which posits that consciousness arises when a system constructs and maintains an internal model of its own processing states.</w:t>
      </w:r>
    </w:p>
    <w:p>
      <w:pPr>
        <w:spacing w:after="120" w:line="276"/>
        <w:ind w:firstLine="360"/>
      </w:pPr>
      <w:r>
        <w:t xml:space="preserve">From a mathematical perspective, self-referential processes naturally correspond to fixed-point problems. The Banach fixed-point theorem (Banach, 1922) guarantees that a contraction mapping F on a complete metric space possesses a unique fixed point x* = F(x*), obtainable through iterative application. Brouwer's fixed-point theorem provides existence guarantees under broader conditions.</w:t>
      </w:r>
    </w:p>
    <w:p>
      <w:pPr>
        <w:pStyle w:val="Heading2"/>
        <w:spacing w:before="280" w:after="160"/>
      </w:pPr>
      <w:r>
        <w:rPr>
          <w:b/>
          <w:bCs/>
        </w:rPr>
        <w:t xml:space="preserve">3.2. The Global Neuronal Workspace</w:t>
      </w:r>
    </w:p>
    <w:p>
      <w:pPr>
        <w:spacing w:after="120" w:line="276"/>
        <w:ind w:firstLine="360"/>
      </w:pPr>
      <w:r>
        <w:t xml:space="preserve">Dehaene, Changeux, and colleagues (Dehaene &amp; Naccache, 2001; Dehaene et al., 1998; Mashour et al., 2020) proposed the Global Neuronal Workspace (GNW) hypothesis, which describes conscious processing as the result of recurrent amplification and global broadcast of neural representations. In the GNW model, sensory information becomes conscious when it triggers a nonlinear "ignition" event, creating a self-sustaining reverberant state distributed across prefrontal, parietal, and cingulate cortices. This ignition involves recurrent feedback loops—precisely the kind of self-referential processing that can be modeled as a fixed-point iteration.</w:t>
      </w:r>
    </w:p>
    <w:p>
      <w:pPr>
        <w:spacing w:after="120" w:line="276"/>
        <w:ind w:firstLine="360"/>
      </w:pPr>
      <w:r>
        <w:t xml:space="preserve">Baars (1988) originally formulated the Global Workspace Theory in cognitive terms, describing consciousness as a broadcasting mechanism that makes local information globally available to multiple cognitive subsystems. Tononi (2004) proposed an alternative account through Integrated Information Theory (IIT), defining consciousness in terms of the quantity Φ (integrated information). Both theories share the insight that consciousness involves emergent properties of recurrent, self-referential network dynamics.</w:t>
      </w:r>
    </w:p>
    <w:p>
      <w:pPr>
        <w:pStyle w:val="Heading2"/>
        <w:spacing w:before="280" w:after="160"/>
      </w:pPr>
      <w:r>
        <w:rPr>
          <w:b/>
          <w:bCs/>
        </w:rPr>
        <w:t xml:space="preserve">3.3. Implementation in SubstanceNet</w:t>
      </w:r>
    </w:p>
    <w:p>
      <w:pPr>
        <w:spacing w:after="120" w:line="276"/>
        <w:ind w:firstLine="360"/>
      </w:pPr>
      <w:r>
        <w:t xml:space="preserve">SubstanceNet implements self-referential consciousness through the ReflexiveConsciousness module, which performs a fixed-point iteration:</w:t>
      </w:r>
    </w:p>
    <w:p>
      <w:pPr>
        <w:spacing w:before="120" w:after="120" w:line="276"/>
        <w:jc w:val="center"/>
      </w:pPr>
      <w:r>
        <w:rPr>
          <w:rFonts w:ascii="Cambria Math" w:cs="Cambria Math" w:eastAsia="Cambria Math" w:hAnsi="Cambria Math"/>
          <w:i/>
          <w:iCs/>
          <w:sz w:val="22"/>
          <w:szCs w:val="22"/>
        </w:rPr>
        <w:t xml:space="preserve">ψ_C = F[P̂[ψ_C]]</w:t>
      </w:r>
    </w:p>
    <w:p>
      <w:pPr>
        <w:spacing w:after="120" w:line="276"/>
        <w:ind w:firstLine="360"/>
      </w:pPr>
      <w:r>
        <w:t xml:space="preserve">where ψ_C is the consciousness state vector, P̂ is the projection (abstraction) operator, and F is the evolution function. The iteration proceeds for a fixed number of steps (default: 3), analogous to the recurrent processing cycles in the GNW model. The reflexivity score R measures convergence:</w:t>
      </w:r>
    </w:p>
    <w:p>
      <w:pPr>
        <w:spacing w:before="120" w:after="120" w:line="276"/>
        <w:jc w:val="center"/>
      </w:pPr>
      <w:r>
        <w:rPr>
          <w:rFonts w:ascii="Cambria Math" w:cs="Cambria Math" w:eastAsia="Cambria Math" w:hAnsi="Cambria Math"/>
          <w:i/>
          <w:iCs/>
          <w:sz w:val="22"/>
          <w:szCs w:val="22"/>
        </w:rPr>
        <w:t xml:space="preserve">R = 1 / (1 + MSE(ψ_C, P̂[ψ_C]))</w:t>
      </w:r>
    </w:p>
    <w:p>
      <w:pPr>
        <w:spacing w:after="120" w:line="276"/>
        <w:ind w:firstLine="360"/>
      </w:pPr>
      <w:r>
        <w:t xml:space="preserve">where R = 1 indicates perfect convergence (trivial fixed point) and R ≈ 0.41 indicates the optimal operating regime. In the terminology of machine learning, the reflexive loop acts as a learned </w:t>
      </w:r>
      <w:r>
        <w:rPr>
          <w:i/>
          <w:iCs/>
        </w:rPr>
        <w:t xml:space="preserve">attractor network</w:t>
      </w:r>
      <w:r>
        <w:t xml:space="preserve"> (cf. Hopfield, 1982) that regularizes the system's abstract representations. By iteratively projecting and re-evaluating its own output, the system prevents representation collapse (all states becoming identical) and representation divergence (states becoming noise-dominated). This is not a model of phenomenal consciousness; it is a computational implementation of self-monitoring through iterative self-evaluation, grounded in the fixed-point formalism and motivated by the recurrent processing dynamics described in the GNW literature.</w:t>
      </w:r>
    </w:p>
    <w:p>
      <w:pPr>
        <w:pStyle w:val="Heading1"/>
        <w:spacing w:before="360" w:after="200"/>
      </w:pPr>
      <w:r>
        <w:rPr>
          <w:b/>
          <w:bCs/>
        </w:rPr>
        <w:t xml:space="preserve">4. The Critical Brain Hypothesis and Emergence Parameter κ</w:t>
      </w:r>
    </w:p>
    <w:p>
      <w:pPr>
        <w:pStyle w:val="Heading2"/>
        <w:spacing w:before="280" w:after="160"/>
      </w:pPr>
      <w:r>
        <w:rPr>
          <w:b/>
          <w:bCs/>
        </w:rPr>
        <w:t xml:space="preserve">4.1. Criticality in Neural Systems</w:t>
      </w:r>
    </w:p>
    <w:p>
      <w:pPr>
        <w:spacing w:after="120" w:line="276"/>
        <w:ind w:firstLine="360"/>
      </w:pPr>
      <w:r>
        <w:t xml:space="preserve">The critical brain hypothesis posits that neural systems operate near a critical point—a phase transition between ordered and disordered states—to optimize information processing. Beggs and Plenz (2003) provided foundational evidence by demonstrating that cortical networks generate neuronal avalanches with power-law size distributions, a hallmark of criticality. Subsequent work has shown that critical dynamics maximize dynamic range, information transmission, and computational capacity (Shew &amp; Plenz, 2013).</w:t>
      </w:r>
    </w:p>
    <w:p>
      <w:pPr>
        <w:spacing w:after="120" w:line="276"/>
        <w:ind w:firstLine="360"/>
      </w:pPr>
      <w:r>
        <w:t xml:space="preserve">Kitzbichler et al. (2009) confirmed that criticality is a property of human brain functional network organization across all frequency bands, using both MEG and fMRI data. The Dehaene-Changeux model has been explicitly connected to self-organized criticality as an explanatory mechanism for emergent behaviors including consciousness (Werner, 2007).</w:t>
      </w:r>
    </w:p>
    <w:p>
      <w:pPr>
        <w:pStyle w:val="Heading2"/>
        <w:spacing w:before="280" w:after="160"/>
      </w:pPr>
      <w:r>
        <w:rPr>
          <w:b/>
          <w:bCs/>
        </w:rPr>
        <w:t xml:space="preserve">4.2. The Emergence Parameter κ ≈ 1</w:t>
      </w:r>
    </w:p>
    <w:p>
      <w:pPr>
        <w:spacing w:after="120" w:line="276"/>
        <w:ind w:firstLine="360"/>
      </w:pPr>
      <w:r>
        <w:t xml:space="preserve">Onasenko (2025) proposed a quantitative measure of emergence:</w:t>
      </w:r>
    </w:p>
    <w:p>
      <w:pPr>
        <w:spacing w:before="120" w:after="120" w:line="276"/>
        <w:jc w:val="center"/>
      </w:pPr>
      <w:r>
        <w:rPr>
          <w:rFonts w:ascii="Cambria Math" w:cs="Cambria Math" w:eastAsia="Cambria Math" w:hAnsi="Cambria Math"/>
          <w:i/>
          <w:iCs/>
          <w:sz w:val="22"/>
          <w:szCs w:val="22"/>
        </w:rPr>
        <w:t xml:space="preserve">κ = (A/Aᶜ) · τ · (Λ/Λᶜ) ≈ 1</w:t>
      </w:r>
    </w:p>
    <w:p>
      <w:pPr>
        <w:spacing w:after="120" w:line="276"/>
        <w:ind w:firstLine="360"/>
      </w:pPr>
      <w:r>
        <w:t xml:space="preserve">integrating relative complexity (A/Aᶜ), topological order (τ), and relative correlation length (Λ/Λᶜ). A retrospective meta-analysis of seven physical and biological systems—including Bose-Einstein condensates (Anderson et al., 1995), the helium-4 λ-transition (Lipa et al., 2003), Ising models (Onsager, 1944), percolation systems (Stauffer &amp; Aharony, 1994), </w:t>
      </w:r>
      <w:r>
        <w:rPr>
          <w:i/>
          <w:iCs/>
        </w:rPr>
        <w:t xml:space="preserve">Dictyostelium discoideum</w:t>
      </w:r>
      <w:r>
        <w:t xml:space="preserve"> aggregation (De Palo et al., 2017), and starling flocks (Cavagna et al., 2010)—yielded a weighted mean κ = 0.997 ± 0.004 with I² = 0% heterogeneity. The null hypothesis H₀: κ = 1 was not rejected (p = 0.518).</w:t>
      </w:r>
    </w:p>
    <w:p>
      <w:pPr>
        <w:pStyle w:val="Heading2"/>
        <w:spacing w:before="280" w:after="160"/>
      </w:pPr>
      <w:r>
        <w:rPr>
          <w:b/>
          <w:bCs/>
        </w:rPr>
        <w:t xml:space="preserve">4.3. Application in SubstanceNet</w:t>
      </w:r>
    </w:p>
    <w:p>
      <w:pPr>
        <w:spacing w:after="120" w:line="276"/>
        <w:ind w:firstLine="360"/>
      </w:pPr>
      <w:r>
        <w:t xml:space="preserve">In SubstanceNet, the critical regime κ ≈ 1 corresponds to reflexivity R ≈ 0.41. The system includes a TemporalConsciousnessController that monitors R in real time and classifies the system state into phases: subcritical (R &lt; 0.30), critical (0.30–0.50), supercritical (0.50–0.80), and saturated (R &gt; 0.80). The consciousness loss function is designed to maintain the system in the critical phase through R-targeting:</w:t>
      </w:r>
    </w:p>
    <w:p>
      <w:pPr>
        <w:spacing w:before="120" w:after="120" w:line="276"/>
        <w:jc w:val="center"/>
      </w:pPr>
      <w:r>
        <w:rPr>
          <w:rFonts w:ascii="Cambria Math" w:cs="Cambria Math" w:eastAsia="Cambria Math" w:hAnsi="Cambria Math"/>
          <w:i/>
          <w:iCs/>
          <w:sz w:val="22"/>
          <w:szCs w:val="22"/>
        </w:rPr>
        <w:t xml:space="preserve">L_consciousness = (MSE(ψ_C, P̂[ψ_C]) − 1.44)²</w:t>
      </w:r>
    </w:p>
    <w:p>
      <w:pPr>
        <w:spacing w:after="120" w:line="276"/>
        <w:ind w:firstLine="360"/>
      </w:pPr>
      <w:r>
        <w:t xml:space="preserve">where the target MSE of 1.44 corresponds to R = 1/(1 + 1.44) ≈ 0.41. This design implements the principle that optimal computational performance occurs at the critical point, not at maximal convergence. In information-theoretic terms, R → 1.0 corresponds to representation collapse: all internal states converge to the same fixed point, entropy of the abstract representation approaches zero, and the system loses its capacity to discriminate between distinct inputs. Conversely, R → 0 corresponds to a loss of coherence: the self-evaluation signal becomes indistinguishable from noise, and the system fails to integrate information across its processing hierarchy. The κ-plateau at R ≈ 0.41 maintains an optimal balance between information integration and differentiation, consistent with the core prediction of Integrated Information Theory (Tononi, 2004) that consciousness requires both.</w:t>
      </w:r>
    </w:p>
    <w:p>
      <w:pPr>
        <w:pStyle w:val="Heading1"/>
        <w:spacing w:before="360" w:after="200"/>
      </w:pPr>
      <w:r>
        <w:rPr>
          <w:b/>
          <w:bCs/>
        </w:rPr>
        <w:t xml:space="preserve">5. Optimal Performance at Moderate Arousal: The Yerkes-Dodson Law</w:t>
      </w:r>
    </w:p>
    <w:p>
      <w:pPr>
        <w:spacing w:after="120" w:line="276"/>
        <w:ind w:firstLine="360"/>
      </w:pPr>
      <w:r>
        <w:t xml:space="preserve">The Yerkes-Dodson law (Yerkes &amp; Dodson, 1908) describes an inverted U-shaped relationship between arousal and performance: optimal task performance occurs at intermediate arousal levels, with degraded performance under both hypo- and hyperarousal conditions. Originally demonstrated in mice learning discrimination tasks with electric shock motivation, the law has been extensively confirmed in human studies across cognitive, motor, and emotional domains (Diamond et al., 2007).</w:t>
      </w:r>
    </w:p>
    <w:p>
      <w:pPr>
        <w:spacing w:after="120" w:line="276"/>
        <w:ind w:firstLine="360"/>
      </w:pPr>
      <w:r>
        <w:t xml:space="preserve">Recent neuroimaging and pharmacological studies have clarified the underlying mechanisms. Lupien et al. (2007) demonstrated that the inverted-U relationship holds for glucocorticoid levels and hippocampal memory function, with moderate cortisol levels optimizing long-term potentiation (LTP). A 2025 study published in PNAS confirmed that catecholaminergic enhancement shifts overall arousal levels while preserving the inverted-U curve shape, suggesting that the brain normalizes arousal-performance dynamics relative to baseline state.</w:t>
      </w:r>
    </w:p>
    <w:p>
      <w:pPr>
        <w:spacing w:after="120" w:line="276"/>
        <w:ind w:firstLine="360"/>
      </w:pPr>
      <w:r>
        <w:t xml:space="preserve">The connection to SubstanceNet is direct and quantitative. The reflexivity parameter R exhibits the same inverted-U relationship with task accuracy: R ≈ 0 (insufficient self-monitoring) and R → 1.0 (excessive self-monitoring, saturation) both yield suboptimal performance, while R ≈ 0.41 produces peak accuracy. This parallel is not coincidental—it reflects a shared underlying principle: complex information-processing systems operate optimally at a moderate level of internal feedback, neither too little (subcritical) nor too much (supercritical). The κ-plateau observed in SubstanceNet, where R remains stable near 0.41 across diverse tasks, is the computational analogue of the stable critical regime that biological neural systems maintain through homeostatic mechanisms.</w:t>
      </w:r>
    </w:p>
    <w:p>
      <w:pPr>
        <w:pStyle w:val="Heading1"/>
        <w:spacing w:before="360" w:after="200"/>
      </w:pPr>
      <w:r>
        <w:rPr>
          <w:b/>
          <w:bCs/>
        </w:rPr>
        <w:t xml:space="preserve">6. Biological Visual Cortex Hierarchy</w:t>
      </w:r>
    </w:p>
    <w:p>
      <w:pPr>
        <w:pStyle w:val="Heading2"/>
        <w:spacing w:before="280" w:after="160"/>
      </w:pPr>
      <w:r>
        <w:rPr>
          <w:b/>
          <w:bCs/>
        </w:rPr>
        <w:t xml:space="preserve">6.1. The Hubel-Wiesel Model</w:t>
      </w:r>
    </w:p>
    <w:p>
      <w:pPr>
        <w:spacing w:after="120" w:line="276"/>
        <w:ind w:firstLine="360"/>
      </w:pPr>
      <w:r>
        <w:t xml:space="preserve">The Nobel Prize-winning work of Hubel and Wiesel (1962, 1968) established the hierarchical organization of the mammalian visual cortex. Their research demonstrated that neurons in the primary visual cortex (V1) are selectively tuned to oriented edges, with increasingly complex feature selectivity at higher levels: simple cells respond to oriented bars at specific positions, complex cells show position invariance, and hypercomplex cells respond to specific lengths and curvatures.</w:t>
      </w:r>
    </w:p>
    <w:p>
      <w:pPr>
        <w:spacing w:after="120" w:line="276"/>
        <w:ind w:firstLine="360"/>
      </w:pPr>
      <w:r>
        <w:t xml:space="preserve">Felleman and Van Essen (1991) mapped the complete hierarchy of visual processing areas in the primate brain, identifying over 30 distinct visual areas connected by more than 300 pathways. Their analysis revealed a clear hierarchical organization from V1 through V2, V3/VP, V4, to inferotemporal cortex, with each level extracting progressively more abstract features.</w:t>
      </w:r>
    </w:p>
    <w:p>
      <w:pPr>
        <w:pStyle w:val="Heading2"/>
        <w:spacing w:before="280" w:after="160"/>
      </w:pPr>
      <w:r>
        <w:rPr>
          <w:b/>
          <w:bCs/>
        </w:rPr>
        <w:t xml:space="preserve">6.2. V2: Contour and Texture Processing</w:t>
      </w:r>
    </w:p>
    <w:p>
      <w:pPr>
        <w:spacing w:after="120" w:line="276"/>
        <w:ind w:firstLine="360"/>
      </w:pPr>
      <w:r>
        <w:t xml:space="preserve">Area V2 contains three distinct stripe compartments with specialized functions (Hubel &amp; Livingstone, 1987; Roe &amp; Ts'o, 1995). Thick stripes process motion and stereoscopic depth, thin stripes process color and texture, and pale (interstripe) stripes process form and contour information. This tripartite organization creates parallel processing streams that converge at higher levels.</w:t>
      </w:r>
    </w:p>
    <w:p>
      <w:pPr>
        <w:pStyle w:val="Heading2"/>
        <w:spacing w:before="280" w:after="160"/>
      </w:pPr>
      <w:r>
        <w:rPr>
          <w:b/>
          <w:bCs/>
        </w:rPr>
        <w:t xml:space="preserve">6.3. V3/MT: Dynamic Form and Motion</w:t>
      </w:r>
    </w:p>
    <w:p>
      <w:pPr>
        <w:spacing w:after="120" w:line="276"/>
        <w:ind w:firstLine="360"/>
      </w:pPr>
      <w:r>
        <w:t xml:space="preserve">Area V3 and the adjacent middle temporal area (MT/V5) are critical for motion processing and the integration of form with dynamic information. Neurons in MT show characteristic velocity tuning curves with logarithmic saturation at high speeds (Maunsell &amp; Van Essen, 1983). Felleman and Van Essen (1991) noted that V3 occupies a unique position in the hierarchy, receiving convergent input from both the dorsal ("where/how") and ventral ("what") processing streams.</w:t>
      </w:r>
    </w:p>
    <w:p>
      <w:pPr>
        <w:pStyle w:val="Heading2"/>
        <w:spacing w:before="280" w:after="160"/>
      </w:pPr>
      <w:r>
        <w:rPr>
          <w:b/>
          <w:bCs/>
        </w:rPr>
        <w:t xml:space="preserve">6.4. V4: Object Feature Extraction</w:t>
      </w:r>
    </w:p>
    <w:p>
      <w:pPr>
        <w:spacing w:after="120" w:line="276"/>
        <w:ind w:firstLine="360"/>
      </w:pPr>
      <w:r>
        <w:t xml:space="preserve">Area V4 neurons respond to complex shapes, curvature, and object parts, showing selectivity that cannot be predicted from simpler feature combinations (Zeki, 1983; Pasupathy &amp; Connor, 2001). V4 representations show partial invariance to position and size, forming the critical bridge between feature-level and object-level processing. Crucially, V4 selectivity develops through experience—unlike V1/V2, which are largely innate (Hubel &amp; Wiesel, 1968).</w:t>
      </w:r>
    </w:p>
    <w:p>
      <w:pPr>
        <w:pStyle w:val="Heading2"/>
        <w:spacing w:before="280" w:after="160"/>
      </w:pPr>
      <w:r>
        <w:rPr>
          <w:b/>
          <w:bCs/>
        </w:rPr>
        <w:t xml:space="preserve">6.5. Implementation in SubstanceNet</w:t>
      </w:r>
    </w:p>
    <w:p>
      <w:pPr>
        <w:spacing w:after="120" w:line="276"/>
        <w:ind w:firstLine="360"/>
      </w:pPr>
      <w:r>
        <w:t xml:space="preserve">SubstanceNet implements the complete visual projection operator P̂ = V4 ∘ V3 ∘ V2 ∘ V1 as a modular hierarchy. V1 (BiologicalV1) uses fixed Gabor filter banks and center-surround antagonism. V2 (MosaicField18) implements three parallel streams via roll-difference (thick/motion), FFT (thin/texture), and pass-through (pale/form) operations—all parameter-free. V3 (DynamicFormV3) integrates form and motion through phase interference between V2 streams, with Hebbian plasticity for experience-dependent tuning. V4 (ObjectFeaturesV4) performs multi-scale attention pooling with Hebbian compression.</w:t>
      </w:r>
    </w:p>
    <w:p>
      <w:pPr>
        <w:spacing w:after="120" w:line="276"/>
        <w:ind w:firstLine="360"/>
      </w:pPr>
      <w:r>
        <w:t xml:space="preserve">The innate/acquired distinction matches the biological evidence: V1 and V2 use fixed operations (Gabor filters, FFT), while V3 and V4 develop through experience (Hebbian learning). This design choice directly addresses the well-known problem of </w:t>
      </w:r>
      <w:r>
        <w:rPr>
          <w:i/>
          <w:iCs/>
        </w:rPr>
        <w:t xml:space="preserve">biological implausibility of backpropagation</w:t>
      </w:r>
      <w:r>
        <w:t xml:space="preserve"> (Crick, 1989), which noted that error backpropagation through synapses lacks a known biological mechanism. In SubstanceNet, the upper cortical layers (V3, V4) learn entirely through local Hebbian rules driven by phase coherence—requiring no global error signal, no symmetric weight transport, and no separate backward pass. Phase interference provides the instructive signal that backpropagation would otherwise supply, achieving feature selectivity through a biologically grounded mechanism.</w:t>
      </w:r>
    </w:p>
    <w:p>
      <w:pPr>
        <w:pStyle w:val="Heading1"/>
        <w:spacing w:before="360" w:after="200"/>
      </w:pPr>
      <w:r>
        <w:rPr>
          <w:b/>
          <w:bCs/>
        </w:rPr>
        <w:t xml:space="preserve">7. Hippocampus and Memory Systems</w:t>
      </w:r>
    </w:p>
    <w:p>
      <w:pPr>
        <w:pStyle w:val="Heading2"/>
        <w:spacing w:before="280" w:after="160"/>
      </w:pPr>
      <w:r>
        <w:rPr>
          <w:b/>
          <w:bCs/>
        </w:rPr>
        <w:t xml:space="preserve">7.1. Types of Memory</w:t>
      </w:r>
    </w:p>
    <w:p>
      <w:pPr>
        <w:spacing w:after="120" w:line="276"/>
        <w:ind w:firstLine="360"/>
      </w:pPr>
      <w:r>
        <w:t xml:space="preserve">Tulving (1972, 1983) established the fundamental distinction between episodic memory (conscious recollection of specific events bound to time and place) and semantic memory (general knowledge of facts and concepts, detached from experiential context). This distinction was first motivated by the landmark case of patient H.M. (Scoville &amp; Milner, 1957), whose bilateral hippocampal resection resulted in severe anterograde amnesia for episodic events while preserving procedural skills and some semantic knowledge.</w:t>
      </w:r>
    </w:p>
    <w:p>
      <w:pPr>
        <w:spacing w:after="120" w:line="276"/>
        <w:ind w:firstLine="360"/>
      </w:pPr>
      <w:r>
        <w:t xml:space="preserve">Squire and Zola-Morgan (1991) extended this framework into a comprehensive taxonomy of memory systems. Declarative (explicit) memory—encompassing both episodic and semantic subtypes—depends on the medial temporal lobe including the hippocampus, entorhinal cortex, and perirhinal cortex. Nondeclarative (implicit) memory—including skills, habits, priming, and conditioning—depends on the striatum, cerebellum, and neocortex. This double dissociation, confirmed through extensive neuropsychological and neuroimaging evidence, demonstrates that memory is not a unitary faculty but a collection of distinct systems with specialized neural substrates (Squire, 2004).</w:t>
      </w:r>
    </w:p>
    <w:p>
      <w:pPr>
        <w:pStyle w:val="Heading2"/>
        <w:spacing w:before="280" w:after="160"/>
      </w:pPr>
      <w:r>
        <w:rPr>
          <w:b/>
          <w:bCs/>
        </w:rPr>
        <w:t xml:space="preserve">7.2. Spatial Representation: Place Cells and Grid Cells</w:t>
      </w:r>
    </w:p>
    <w:p>
      <w:pPr>
        <w:spacing w:after="120" w:line="276"/>
        <w:ind w:firstLine="360"/>
      </w:pPr>
      <w:r>
        <w:t xml:space="preserve">O'Keefe and Dostrovsky (1971) discovered place cells in the hippocampus—neurons that fire selectively when an animal occupies specific locations in its environment. O'Keefe and Nadel (1978) proposed that the hippocampus serves as a "cognitive map," providing the spatial framework within which episodic memories are organized. This theory received dramatic support with the discovery of grid cells in the medial entorhinal cortex by Hafting et al. (2005), which fire in regular hexagonal patterns and provide a metric coordinate system for spatial navigation. These discoveries were recognized with the 2014 Nobel Prize in Physiology or Medicine (O'Keefe, E. Moser, and M.-B. Moser).</w:t>
      </w:r>
    </w:p>
    <w:p>
      <w:pPr>
        <w:spacing w:after="120" w:line="276"/>
        <w:ind w:firstLine="360"/>
      </w:pPr>
      <w:r>
        <w:t xml:space="preserve">Subsequent work identified additional cell types contributing to the spatial-temporal framework of episodic memory: head direction cells encoding orientation (Taube et al., 1990), border cells signaling environmental boundaries (Solstad et al., 2008), and time cells encoding elapsed time during temporal gaps in experience (MacDonald et al., 2011; Eichenbaum, 2014). Together, these cell types form a multi-dimensional coordinate system for encoding the "when" and "where" components of episodic memory.</w:t>
      </w:r>
    </w:p>
    <w:p>
      <w:pPr>
        <w:pStyle w:val="Heading2"/>
        <w:spacing w:before="280" w:after="160"/>
      </w:pPr>
      <w:r>
        <w:rPr>
          <w:b/>
          <w:bCs/>
        </w:rPr>
        <w:t xml:space="preserve">7.3. Memory Consolidation</w:t>
      </w:r>
    </w:p>
    <w:p>
      <w:pPr>
        <w:spacing w:after="120" w:line="276"/>
        <w:ind w:firstLine="360"/>
      </w:pPr>
      <w:r>
        <w:t xml:space="preserve">Wilson and McNaughton (1994) demonstrated that sequences of place cell activity observed during waking experience are "replayed" during subsequent slow-wave sleep, providing a neural mechanism for memory consolidation. These replay events occur during hippocampal sharp-wave ripples (Buzsáki, 2015), and their disruption causally impairs spatial memory (Girardeau et al., 2009). This replay-based consolidation transfers information from the hippocampal fast-learning system to slower neocortical networks for long-term storage.</w:t>
      </w:r>
    </w:p>
    <w:p>
      <w:pPr>
        <w:pStyle w:val="Heading2"/>
        <w:spacing w:before="280" w:after="160"/>
      </w:pPr>
      <w:r>
        <w:rPr>
          <w:b/>
          <w:bCs/>
        </w:rPr>
        <w:t xml:space="preserve">7.4. Implementation in SubstanceNet</w:t>
      </w:r>
    </w:p>
    <w:p>
      <w:pPr>
        <w:spacing w:after="120" w:line="276"/>
        <w:ind w:firstLine="360"/>
      </w:pPr>
      <w:r>
        <w:t xml:space="preserve">The SubstanceNet Hippocampus module implements grid cells (hexagonal spatial encoding), place cells (Gaussian receptive fields), and time cells (logarithmic temporal scales), following the biological framework directly. The episodic memory system supports encoding, retrieval (pattern-completion via cosine similarity), and consolidation (compression of episodic buffers into prototypes). Experimentally, consolidation of 200 raw episodes into 10 prototypes improves recognition accuracy (46.3% vs 44.7%) while achieving 20× memory compression—consistent with the CLS prediction that consolidated representations generalize better than raw episodic traces.</w:t>
      </w:r>
    </w:p>
    <w:p>
      <w:pPr>
        <w:pStyle w:val="Heading1"/>
        <w:spacing w:before="360" w:after="200"/>
      </w:pPr>
      <w:r>
        <w:rPr>
          <w:b/>
          <w:bCs/>
        </w:rPr>
        <w:t xml:space="preserve">8. Complementary Learning Systems</w:t>
      </w:r>
    </w:p>
    <w:p>
      <w:pPr>
        <w:spacing w:after="120" w:line="276"/>
        <w:ind w:firstLine="360"/>
      </w:pPr>
      <w:r>
        <w:t xml:space="preserve">McClelland, McNaughton, and O'Reilly (1995) proposed the Complementary Learning Systems (CLS) theory, which argues that the brain requires two fundamentally different learning systems: a fast-learning hippocampal system that rapidly encodes individual episodes, and a slow-learning neocortical system that gradually extracts statistical regularities across experiences. Rapid learning in the neocortex alone would cause catastrophic interference—overwriting previously learned knowledge. The hippocampus solves this by storing episodic memories temporarily and replaying them to the neocortex during offline periods (sleep), enabling gradual integration without interference.</w:t>
      </w:r>
    </w:p>
    <w:p>
      <w:pPr>
        <w:spacing w:after="120" w:line="276"/>
        <w:ind w:firstLine="360"/>
      </w:pPr>
      <w:r>
        <w:t xml:space="preserve">Kumaran, Hassabis, and McClelland (2016) updated CLS theory in light of advances in computational neuroscience and artificial intelligence, incorporating mechanisms for replay-based consolidation, generalization through prototype extraction, and the role of the hippocampus in rapid one-shot learning.</w:t>
      </w:r>
    </w:p>
    <w:p>
      <w:pPr>
        <w:spacing w:after="120" w:line="276"/>
        <w:ind w:firstLine="360"/>
      </w:pPr>
      <w:r>
        <w:t xml:space="preserve">In SubstanceNet, the Hippocampus module implements the fast-learning system (episodic encoding via store_episode), while the consolidation mechanism (consolidate_memory) creates prototypes that represent generalized knowledge—analogous to the slow neocortical learning described by CLS theory. The recognition paradigm, which achieves 71.9% accuracy on MNIST with 1000 stored examples and no gradient descent, demonstrates the viability of CLS-inspired learning in a neural architecture.</w:t>
      </w:r>
    </w:p>
    <w:p>
      <w:pPr>
        <w:pStyle w:val="Heading1"/>
        <w:spacing w:before="360" w:after="200"/>
      </w:pPr>
      <w:r>
        <w:rPr>
          <w:b/>
          <w:bCs/>
        </w:rPr>
        <w:t xml:space="preserve">9. Hebbian Plasticity and Spike-Timing-Dependent Plasticity</w:t>
      </w:r>
    </w:p>
    <w:p>
      <w:pPr>
        <w:pStyle w:val="Heading2"/>
        <w:spacing w:before="280" w:after="160"/>
      </w:pPr>
      <w:r>
        <w:rPr>
          <w:b/>
          <w:bCs/>
        </w:rPr>
        <w:t xml:space="preserve">9.1. The Hebbian Principle</w:t>
      </w:r>
    </w:p>
    <w:p>
      <w:pPr>
        <w:spacing w:after="120" w:line="276"/>
        <w:ind w:firstLine="360"/>
      </w:pPr>
      <w:r>
        <w:t xml:space="preserve">Hebb (1949) formulated the foundational principle of synaptic plasticity: "When an axon of cell A is near enough to excite a cell B and repeatedly or persistently takes part in firing it, some growth process or metabolic change takes place in one or both cells such that A's efficiency, as one of the cells firing B, is increased." This principle, often summarized as "neurons that fire together wire together," has been confirmed and refined through decades of neurophysiological research.</w:t>
      </w:r>
    </w:p>
    <w:p>
      <w:pPr>
        <w:spacing w:after="120" w:line="276"/>
        <w:ind w:firstLine="360"/>
      </w:pPr>
      <w:r>
        <w:t xml:space="preserve">Oja (1982) provided a critical mathematical refinement by adding a normalization term to Hebb's rule, preventing unbounded weight growth:</w:t>
      </w:r>
    </w:p>
    <w:p>
      <w:pPr>
        <w:spacing w:before="120" w:after="120" w:line="276"/>
        <w:jc w:val="center"/>
      </w:pPr>
      <w:r>
        <w:rPr>
          <w:rFonts w:ascii="Cambria Math" w:cs="Cambria Math" w:eastAsia="Cambria Math" w:hAnsi="Cambria Math"/>
          <w:i/>
          <w:iCs/>
          <w:sz w:val="22"/>
          <w:szCs w:val="22"/>
        </w:rPr>
        <w:t xml:space="preserve">ΔW_ij = η · (x_i · y_j − α · W_ij · y_j²)</w:t>
      </w:r>
    </w:p>
    <w:p>
      <w:pPr>
        <w:spacing w:after="120" w:line="276"/>
        <w:ind w:firstLine="360"/>
      </w:pPr>
      <w:r>
        <w:t xml:space="preserve">This formulation performs principal component analysis on the input data, providing a biologically plausible mechanism for unsupervised feature extraction.</w:t>
      </w:r>
    </w:p>
    <w:p>
      <w:pPr>
        <w:pStyle w:val="Heading2"/>
        <w:spacing w:before="280" w:after="160"/>
      </w:pPr>
      <w:r>
        <w:rPr>
          <w:b/>
          <w:bCs/>
        </w:rPr>
        <w:t xml:space="preserve">9.2. Spike-Timing-Dependent Plasticity</w:t>
      </w:r>
    </w:p>
    <w:p>
      <w:pPr>
        <w:spacing w:after="120" w:line="276"/>
        <w:ind w:firstLine="360"/>
      </w:pPr>
      <w:r>
        <w:t xml:space="preserve">Bi and Poo (2001) provided comprehensive experimental evidence for spike-timing-dependent plasticity (STDP)—the finding that the direction and magnitude of synaptic modification depend on the precise temporal relationship between pre- and post-synaptic spikes. Synapses are strengthened when presynaptic firing precedes postsynaptic firing (within ~20 ms), and weakened in the reverse case. This temporal asymmetry provides a mechanism for learning causal and temporal relationships in neural data.</w:t>
      </w:r>
    </w:p>
    <w:p>
      <w:pPr>
        <w:pStyle w:val="Heading2"/>
        <w:spacing w:before="280" w:after="160"/>
      </w:pPr>
      <w:r>
        <w:rPr>
          <w:b/>
          <w:bCs/>
        </w:rPr>
        <w:t xml:space="preserve">9.3. Implementation in SubstanceNet</w:t>
      </w:r>
    </w:p>
    <w:p>
      <w:pPr>
        <w:spacing w:after="120" w:line="276"/>
        <w:ind w:firstLine="360"/>
      </w:pPr>
      <w:r>
        <w:t xml:space="preserve">SubstanceNet implements Hebbian plasticity through HebbianLinear, a module that replaces standard nn.Linear layers in V3 and V4 cortical modules. Weights update during the forward pass (not backward), with phase coherence serving as the STDP-like timing signal:</w:t>
      </w:r>
    </w:p>
    <w:p>
      <w:pPr>
        <w:spacing w:before="120" w:after="120" w:line="276"/>
        <w:jc w:val="center"/>
      </w:pPr>
      <w:r>
        <w:rPr>
          <w:rFonts w:ascii="Cambria Math" w:cs="Cambria Math" w:eastAsia="Cambria Math" w:hAnsi="Cambria Math"/>
          <w:i/>
          <w:iCs/>
          <w:sz w:val="22"/>
          <w:szCs w:val="22"/>
        </w:rPr>
        <w:t xml:space="preserve">ΔW_ij = η · (cos(φ_i − φ_j) · x_i · y_j − α · W_ij · y_j²)</w:t>
      </w:r>
    </w:p>
    <w:p>
      <w:pPr>
        <w:spacing w:after="120" w:line="276"/>
        <w:ind w:firstLine="360"/>
      </w:pPr>
      <w:r>
        <w:t xml:space="preserve">The cosine term replaces spike timing with phase coherence: connections strengthen where oscillation phases are aligned, and weaken where they are not. The Oja normalization term (α = 0.1) prevents unbounded growth. Experimentally, V3 Hebbian plasticity produces an 11× amplification of motion signals after 50 unsupervised observation steps—demonstrating that meaningful feature selectivity emerges from Hebbian learning alone, without gradient descent or supervised labels. Moreover, the emergent V3 response profile across stimulus velocities reproduces the classical </w:t>
      </w:r>
      <w:r>
        <w:rPr>
          <w:i/>
          <w:iCs/>
        </w:rPr>
        <w:t xml:space="preserve">velocity tuning curve</w:t>
      </w:r>
      <w:r>
        <w:t xml:space="preserve"> recorded in electrophysiological studies of primate area MT/V3 (Maunsell &amp; Van Essen, 1983): linear response growth at low speeds, followed by logarithmic saturation at high speeds as objects exceed the effective receptive field between frames. This biologically realistic response profile was not engineered or tuned—it emerged spontaneously from the wave interference mathematics, providing strong empirical support for the architecture's biological validity.</w:t>
      </w:r>
    </w:p>
    <w:p>
      <w:pPr>
        <w:pStyle w:val="Heading1"/>
        <w:spacing w:before="360" w:after="200"/>
      </w:pPr>
      <w:r>
        <w:rPr>
          <w:b/>
          <w:bCs/>
        </w:rPr>
        <w:t xml:space="preserve">10. Synthesis: From Theory to Architecture</w:t>
      </w:r>
    </w:p>
    <w:p>
      <w:pPr>
        <w:spacing w:after="120" w:line="276"/>
        <w:ind w:firstLine="360"/>
      </w:pPr>
      <w:r>
        <w:t xml:space="preserve">The following table summarizes the mapping from established theoretical frameworks to specific SubstanceNet components:</w:t>
      </w:r>
    </w:p>
    <w:p>
      <w:pPr>
        <w:spacing w:before="200" w:after="60"/>
      </w:pPr>
      <w:r>
        <w:rPr>
          <w:b/>
          <w:bCs/>
        </w:rPr>
        <w:t xml:space="preserve">Table 1. </w:t>
      </w:r>
      <w:r>
        <w:t xml:space="preserve">Mapping of theoretical foundations to SubstanceNet components.</w:t>
      </w:r>
    </w:p>
    <w:p>
      <w:pPr>
        <w:spacing w:after="40"/>
        <w:jc w:val="center"/>
      </w:pPr>
      <w:r>
        <w:t xml:space="preserve">_____________________________________________________________________________</w:t>
      </w:r>
    </w:p>
    <w:p>
      <w:pPr>
        <w:spacing w:after="40"/>
      </w:pPr>
      <w:r/>
      <w:r/>
      <w:r/>
    </w:p>
    <w:p>
      <w:pPr>
        <w:spacing w:after="40"/>
        <w:jc w:val="center"/>
      </w:pPr>
      <w:r>
        <w:t xml:space="preserve">_____________________________________________________________________________</w:t>
      </w:r>
    </w:p>
    <w:p>
      <w:pPr>
        <w:spacing w:after="20"/>
      </w:pPr>
      <w:r/>
    </w:p>
    <w:p>
      <w:pPr>
        <w:spacing w:after="20"/>
      </w:pPr>
      <w:r/>
    </w:p>
    <w:p>
      <w:pPr>
        <w:spacing w:after="20"/>
      </w:pPr>
      <w:r/>
    </w:p>
    <w:p>
      <w:pPr>
        <w:spacing w:after="20"/>
      </w:pPr>
      <w:r/>
    </w:p>
    <w:p>
      <w:pPr>
        <w:spacing w:after="20"/>
      </w:pPr>
      <w:r/>
    </w:p>
    <w:p>
      <w:pPr>
        <w:spacing w:after="20"/>
      </w:pPr>
      <w:r/>
    </w:p>
    <w:p>
      <w:pPr>
        <w:spacing w:after="20"/>
      </w:pPr>
      <w:r/>
    </w:p>
    <w:p>
      <w:pPr>
        <w:spacing w:after="20"/>
      </w:pPr>
      <w:r/>
    </w:p>
    <w:p>
      <w:pPr>
        <w:spacing w:after="20"/>
      </w:pPr>
      <w:r/>
    </w:p>
    <w:p>
      <w:pPr>
        <w:spacing w:after="20"/>
      </w:pPr>
      <w:r/>
    </w:p>
    <w:p>
      <w:pPr>
        <w:spacing w:after="20"/>
      </w:pPr>
      <w:r/>
    </w:p>
    <w:p>
      <w:pPr>
        <w:spacing w:after="20"/>
      </w:pPr>
      <w:r/>
    </w:p>
    <w:p>
      <w:pPr>
        <w:spacing w:after="20"/>
      </w:pPr>
      <w:r/>
    </w:p>
    <w:p>
      <w:pPr>
        <w:spacing w:after="20"/>
      </w:pPr>
      <w:r/>
    </w:p>
    <w:p>
      <w:pPr>
        <w:spacing w:after="200"/>
        <w:jc w:val="center"/>
      </w:pPr>
      <w:r>
        <w:t xml:space="preserve">_____________________________________________________________________________</w:t>
      </w:r>
    </w:p>
    <w:p>
      <w:pPr>
        <w:spacing w:after="120" w:line="276"/>
        <w:ind w:firstLine="360"/>
      </w:pPr>
      <w:r>
        <w:t xml:space="preserve">Each component is independently motivated by established research. The novel contribution of SubstanceNet is their integration into a coherent system where the emergence parameter κ ≈ 1 governs the global operating regime, wave-based representations enable phase interference as a computational primitive, and biological learning rules (Hebbian plasticity) replace gradient descent in the upper cortical layers.</w:t>
      </w:r>
    </w:p>
    <w:p>
      <w:r>
        <w:br w:type="page"/>
      </w:r>
    </w:p>
    <w:p>
      <w:pPr>
        <w:pStyle w:val="Heading1"/>
        <w:spacing w:before="360" w:after="200"/>
      </w:pPr>
      <w:r>
        <w:rPr>
          <w:b/>
          <w:bCs/>
        </w:rPr>
        <w:t xml:space="preserve">References</w:t>
      </w:r>
    </w:p>
    <w:p>
      <w:pPr>
        <w:spacing w:after="60" w:line="240"/>
        <w:ind w:left="480" w:hanging="480"/>
      </w:pPr>
      <w:r>
        <w:rPr>
          <w:sz w:val="20"/>
          <w:szCs w:val="20"/>
        </w:rPr>
        <w:t xml:space="preserve">Anderson, M. H., Ensher, J. R., Matthews, M. R., Wieman, C. E., &amp; Cornell, E. A. (1995). Observation of Bose-Einstein condensation in a dilute atomic vapor. Science, 269(5221), 198–201. https://doi.org/10.1126/science.269.5221.198</w:t>
      </w:r>
    </w:p>
    <w:p>
      <w:pPr>
        <w:spacing w:after="60" w:line="240"/>
        <w:ind w:left="480" w:hanging="480"/>
      </w:pPr>
      <w:r>
        <w:rPr>
          <w:sz w:val="20"/>
          <w:szCs w:val="20"/>
        </w:rPr>
        <w:t xml:space="preserve">Baars, B. J. (1988). A cognitive theory of consciousness. Cambridge University Press.</w:t>
      </w:r>
    </w:p>
    <w:p>
      <w:pPr>
        <w:spacing w:after="60" w:line="240"/>
        <w:ind w:left="480" w:hanging="480"/>
      </w:pPr>
      <w:r>
        <w:rPr>
          <w:sz w:val="20"/>
          <w:szCs w:val="20"/>
        </w:rPr>
        <w:t xml:space="preserve">Banach, S. (1922). Sur les opérations dans les ensembles abstraits et leur application aux équations intégrales. Fundamenta Mathematicae, 3, 133–181. https://doi.org/10.4064/fm-3-1-133-181</w:t>
      </w:r>
    </w:p>
    <w:p>
      <w:pPr>
        <w:spacing w:after="60" w:line="240"/>
        <w:ind w:left="480" w:hanging="480"/>
      </w:pPr>
      <w:r>
        <w:rPr>
          <w:sz w:val="20"/>
          <w:szCs w:val="20"/>
        </w:rPr>
        <w:t xml:space="preserve">Beggs, J. M., &amp; Plenz, D. (2003). Neuronal avalanches in neocortical circuits. Journal of Neuroscience, 23(35), 11167–11177. https://doi.org/10.1523/JNEUROSCI.23-35-11167.2003</w:t>
      </w:r>
    </w:p>
    <w:p>
      <w:pPr>
        <w:spacing w:after="60" w:line="240"/>
        <w:ind w:left="480" w:hanging="480"/>
      </w:pPr>
      <w:r>
        <w:rPr>
          <w:sz w:val="20"/>
          <w:szCs w:val="20"/>
        </w:rPr>
        <w:t xml:space="preserve">Bi, G., &amp; Poo, M. (2001). Synaptic modification by correlated activity: Hebb's postulate revisited. Annual Review of Neuroscience, 24, 139–166. https://doi.org/10.1146/annurev.neuro.24.1.139</w:t>
      </w:r>
    </w:p>
    <w:p>
      <w:pPr>
        <w:spacing w:after="60" w:line="240"/>
        <w:ind w:left="480" w:hanging="480"/>
      </w:pPr>
      <w:r>
        <w:rPr>
          <w:sz w:val="20"/>
          <w:szCs w:val="20"/>
        </w:rPr>
        <w:t xml:space="preserve">Busemeyer, J. R., &amp; Bruza, P. D. (2012). Quantum models of cognition and decision. Cambridge University Press. https://doi.org/10.1017/CBO9780511997716</w:t>
      </w:r>
    </w:p>
    <w:p>
      <w:pPr>
        <w:spacing w:after="60" w:line="240"/>
        <w:ind w:left="480" w:hanging="480"/>
      </w:pPr>
      <w:r>
        <w:rPr>
          <w:sz w:val="20"/>
          <w:szCs w:val="20"/>
        </w:rPr>
        <w:t xml:space="preserve">Busemeyer, J. R., Wang, Z., &amp; Townsend, J. T. (2006). Quantum dynamics of human decision-making. Journal of Mathematical Psychology, 50(3), 220–241. https://doi.org/10.1016/j.jmp.2006.01.003</w:t>
      </w:r>
    </w:p>
    <w:p>
      <w:pPr>
        <w:spacing w:after="60" w:line="240"/>
        <w:ind w:left="480" w:hanging="480"/>
      </w:pPr>
      <w:r>
        <w:rPr>
          <w:sz w:val="20"/>
          <w:szCs w:val="20"/>
        </w:rPr>
        <w:t xml:space="preserve">Buzsáki, G. (2006). Rhythms of the brain. Oxford University Press. https://doi.org/10.1093/acprof:oso/9780195301069.001.0001</w:t>
      </w:r>
    </w:p>
    <w:p>
      <w:pPr>
        <w:spacing w:after="60" w:line="240"/>
        <w:ind w:left="480" w:hanging="480"/>
      </w:pPr>
      <w:r>
        <w:rPr>
          <w:sz w:val="20"/>
          <w:szCs w:val="20"/>
        </w:rPr>
        <w:t xml:space="preserve">Buzsáki, G. (2015). Hippocampal sharp wave-ripple: A cognitive biomarker for episodic memory and planning. Hippocampus, 25(10), 1073–1188. https://doi.org/10.1002/hipo.22488</w:t>
      </w:r>
    </w:p>
    <w:p>
      <w:pPr>
        <w:spacing w:after="60" w:line="240"/>
        <w:ind w:left="480" w:hanging="480"/>
      </w:pPr>
      <w:r>
        <w:rPr>
          <w:sz w:val="20"/>
          <w:szCs w:val="20"/>
        </w:rPr>
        <w:t xml:space="preserve">Canolty, R. T., &amp; Knight, R. T. (2010). The functional role of cross-frequency coupling. Trends in Cognitive Sciences, 14(11), 506–515. https://doi.org/10.1016/j.tics.2010.09.001</w:t>
      </w:r>
    </w:p>
    <w:p>
      <w:pPr>
        <w:spacing w:after="60" w:line="240"/>
        <w:ind w:left="480" w:hanging="480"/>
      </w:pPr>
      <w:r>
        <w:rPr>
          <w:sz w:val="20"/>
          <w:szCs w:val="20"/>
        </w:rPr>
        <w:t xml:space="preserve">Cavagna, A., Cimarelli, A., Giardina, I., et al. (2010). Scale-free correlations in starling flocks. Proceedings of the National Academy of Sciences, 107(26), 11865–11870. https://doi.org/10.1073/pnas.1005766107</w:t>
      </w:r>
    </w:p>
    <w:p>
      <w:pPr>
        <w:spacing w:after="60" w:line="240"/>
        <w:ind w:left="480" w:hanging="480"/>
      </w:pPr>
      <w:r>
        <w:rPr>
          <w:sz w:val="20"/>
          <w:szCs w:val="20"/>
        </w:rPr>
        <w:t xml:space="preserve">Crick, F. (1989). The recent excitement about neural networks. Nature, 337(6203), 129–132. https://doi.org/10.1038/337129a0</w:t>
      </w:r>
    </w:p>
    <w:p>
      <w:pPr>
        <w:spacing w:after="60" w:line="240"/>
        <w:ind w:left="480" w:hanging="480"/>
      </w:pPr>
      <w:r>
        <w:rPr>
          <w:sz w:val="20"/>
          <w:szCs w:val="20"/>
        </w:rPr>
        <w:t xml:space="preserve">De Barros, J. A. (2012). Quantum-like model of behavioral response computation using neural oscillators. Biosystems, 110(3), 171–182. https://doi.org/10.1016/j.biosystems.2012.10.002</w:t>
      </w:r>
    </w:p>
    <w:p>
      <w:pPr>
        <w:spacing w:after="60" w:line="240"/>
        <w:ind w:left="480" w:hanging="480"/>
      </w:pPr>
      <w:r>
        <w:rPr>
          <w:sz w:val="20"/>
          <w:szCs w:val="20"/>
        </w:rPr>
        <w:t xml:space="preserve">De Palo, G., Yi, D., &amp; Bhattacharya, R., et al. (2017). A critical-like collective state leads to long-range cell communication in Dictyostelium discoideum aggregation. PLoS Biology, 15(4), e1002602. https://doi.org/10.1371/journal.pbio.1002602</w:t>
      </w:r>
    </w:p>
    <w:p>
      <w:pPr>
        <w:spacing w:after="60" w:line="240"/>
        <w:ind w:left="480" w:hanging="480"/>
      </w:pPr>
      <w:r>
        <w:rPr>
          <w:sz w:val="20"/>
          <w:szCs w:val="20"/>
        </w:rPr>
        <w:t xml:space="preserve">Dehaene, S., &amp; Naccache, L. (2001). Towards a cognitive neuroscience of consciousness: Basic evidence and a workspace framework. Cognition, 79(1–2), 1–37. https://doi.org/10.1016/S0010-0277(00)00123-2</w:t>
      </w:r>
    </w:p>
    <w:p>
      <w:pPr>
        <w:spacing w:after="60" w:line="240"/>
        <w:ind w:left="480" w:hanging="480"/>
      </w:pPr>
      <w:r>
        <w:rPr>
          <w:sz w:val="20"/>
          <w:szCs w:val="20"/>
        </w:rPr>
        <w:t xml:space="preserve">Dehaene, S., Kerszberg, M., &amp; Changeux, J.-P. (1998). A neuronal model of a global workspace in effortful cognitive tasks. Proceedings of the National Academy of Sciences, 95(24), 14529–14534. https://doi.org/10.1073/pnas.95.24.14529</w:t>
      </w:r>
    </w:p>
    <w:p>
      <w:pPr>
        <w:spacing w:after="60" w:line="240"/>
        <w:ind w:left="480" w:hanging="480"/>
      </w:pPr>
      <w:r>
        <w:rPr>
          <w:sz w:val="20"/>
          <w:szCs w:val="20"/>
        </w:rPr>
        <w:t xml:space="preserve">Diamond, D. M., Campbell, A. M., Park, C. R., Halonen, J., &amp; Zoladz, P. R. (2007). The temporal dynamics model of emotional memory processing. Neural Plasticity, 2007, 60803. https://doi.org/10.1155/2007/60803</w:t>
      </w:r>
    </w:p>
    <w:p>
      <w:pPr>
        <w:spacing w:after="60" w:line="240"/>
        <w:ind w:left="480" w:hanging="480"/>
      </w:pPr>
      <w:r>
        <w:rPr>
          <w:sz w:val="20"/>
          <w:szCs w:val="20"/>
        </w:rPr>
        <w:t xml:space="preserve">Eichenbaum, H. (2014). Time cells in the hippocampus: A new dimension for mapping memories. Nature Reviews Neuroscience, 15(11), 732–744. https://doi.org/10.1038/nrn3827</w:t>
      </w:r>
    </w:p>
    <w:p>
      <w:pPr>
        <w:spacing w:after="60" w:line="240"/>
        <w:ind w:left="480" w:hanging="480"/>
      </w:pPr>
      <w:r>
        <w:rPr>
          <w:sz w:val="20"/>
          <w:szCs w:val="20"/>
        </w:rPr>
        <w:t xml:space="preserve">Felleman, D. J., &amp; Van Essen, D. C. (1991). Distributed hierarchical processing in the primate cerebral cortex. Cerebral Cortex, 1(1), 1–47. https://doi.org/10.1093/cercor/1.1.1</w:t>
      </w:r>
    </w:p>
    <w:p>
      <w:pPr>
        <w:spacing w:after="60" w:line="240"/>
        <w:ind w:left="480" w:hanging="480"/>
      </w:pPr>
      <w:r>
        <w:rPr>
          <w:sz w:val="20"/>
          <w:szCs w:val="20"/>
        </w:rPr>
        <w:t xml:space="preserve">Fries, P. (2005). A mechanism for cognitive dynamics: Neuronal communication through neuronal coherence. Trends in Cognitive Sciences, 9(10), 474–480. https://doi.org/10.1016/j.tics.2005.08.011</w:t>
      </w:r>
    </w:p>
    <w:p>
      <w:pPr>
        <w:spacing w:after="60" w:line="240"/>
        <w:ind w:left="480" w:hanging="480"/>
      </w:pPr>
      <w:r>
        <w:rPr>
          <w:sz w:val="20"/>
          <w:szCs w:val="20"/>
        </w:rPr>
        <w:t xml:space="preserve">Girardeau, G., Benchenane, K., Wiener, S. I., Buzsáki, G., &amp; Zugaro, M. B. (2009). Selective suppression of hippocampal ripples impairs spatial memory. Nature Neuroscience, 12(10), 1222–1223. https://doi.org/10.1038/nn.2384</w:t>
      </w:r>
    </w:p>
    <w:p>
      <w:pPr>
        <w:spacing w:after="60" w:line="240"/>
        <w:ind w:left="480" w:hanging="480"/>
      </w:pPr>
      <w:r>
        <w:rPr>
          <w:sz w:val="20"/>
          <w:szCs w:val="20"/>
        </w:rPr>
        <w:t xml:space="preserve">Hafting, T., Fyhn, M., Molden, S., Moser, M.-B., &amp; Moser, E. I. (2005). Microstructure of a spatial map in the entorhinal cortex. Nature, 436(7052), 801–806. https://doi.org/10.1038/nature03721</w:t>
      </w:r>
    </w:p>
    <w:p>
      <w:pPr>
        <w:spacing w:after="60" w:line="240"/>
        <w:ind w:left="480" w:hanging="480"/>
      </w:pPr>
      <w:r>
        <w:rPr>
          <w:sz w:val="20"/>
          <w:szCs w:val="20"/>
        </w:rPr>
        <w:t xml:space="preserve">Hebb, D. O. (1949). The organization of behavior: A neuropsychological theory. Wiley.</w:t>
      </w:r>
    </w:p>
    <w:p>
      <w:pPr>
        <w:spacing w:after="60" w:line="240"/>
        <w:ind w:left="480" w:hanging="480"/>
      </w:pPr>
      <w:r>
        <w:rPr>
          <w:sz w:val="20"/>
          <w:szCs w:val="20"/>
        </w:rPr>
        <w:t xml:space="preserve">Hofstadter, D. R. (1979). Gödel, Escher, Bach: An eternal golden braid. Basic Books.</w:t>
      </w:r>
    </w:p>
    <w:p>
      <w:pPr>
        <w:spacing w:after="60" w:line="240"/>
        <w:ind w:left="480" w:hanging="480"/>
      </w:pPr>
      <w:r>
        <w:rPr>
          <w:sz w:val="20"/>
          <w:szCs w:val="20"/>
        </w:rPr>
        <w:t xml:space="preserve">Hopfield, J. J. (1982). Neural networks and physical systems with emergent collective computational abilities. Proceedings of the National Academy of Sciences, 79(8), 2554–2558. https://doi.org/10.1073/pnas.79.8.2554</w:t>
      </w:r>
    </w:p>
    <w:p>
      <w:pPr>
        <w:spacing w:after="60" w:line="240"/>
        <w:ind w:left="480" w:hanging="480"/>
      </w:pPr>
      <w:r>
        <w:rPr>
          <w:sz w:val="20"/>
          <w:szCs w:val="20"/>
        </w:rPr>
        <w:t xml:space="preserve">Hubel, D. H., &amp; Livingstone, M. S. (1987). Segregation of form, color, and stereopsis in primate area 18. Journal of Neuroscience, 7(11), 3378–3415. https://doi.org/10.1523/JNEUROSCI.07-11-03378.1987</w:t>
      </w:r>
    </w:p>
    <w:p>
      <w:pPr>
        <w:spacing w:after="60" w:line="240"/>
        <w:ind w:left="480" w:hanging="480"/>
      </w:pPr>
      <w:r>
        <w:rPr>
          <w:sz w:val="20"/>
          <w:szCs w:val="20"/>
        </w:rPr>
        <w:t xml:space="preserve">Hubel, D. H., &amp; Wiesel, T. N. (1962). Receptive fields, binocular interaction and functional architecture in the cat's visual cortex. Journal of Physiology, 160(1), 106–154. https://doi.org/10.1113/jphysiol.1962.sp006837</w:t>
      </w:r>
    </w:p>
    <w:p>
      <w:pPr>
        <w:spacing w:after="60" w:line="240"/>
        <w:ind w:left="480" w:hanging="480"/>
      </w:pPr>
      <w:r>
        <w:rPr>
          <w:sz w:val="20"/>
          <w:szCs w:val="20"/>
        </w:rPr>
        <w:t xml:space="preserve">Hubel, D. H., &amp; Wiesel, T. N. (1968). Receptive fields and functional architecture of monkey striate cortex. Journal of Physiology, 195(1), 215–243. https://doi.org/10.1113/jphysiol.1968.sp008455</w:t>
      </w:r>
    </w:p>
    <w:p>
      <w:pPr>
        <w:spacing w:after="60" w:line="240"/>
        <w:ind w:left="480" w:hanging="480"/>
      </w:pPr>
      <w:r>
        <w:rPr>
          <w:sz w:val="20"/>
          <w:szCs w:val="20"/>
        </w:rPr>
        <w:t xml:space="preserve">Khrennikov, A. (2010). Ubiquitous quantum structure: From psychology to finances. Springer. https://doi.org/10.1007/978-3-642-05101-2</w:t>
      </w:r>
    </w:p>
    <w:p>
      <w:pPr>
        <w:spacing w:after="60" w:line="240"/>
        <w:ind w:left="480" w:hanging="480"/>
      </w:pPr>
      <w:r>
        <w:rPr>
          <w:sz w:val="20"/>
          <w:szCs w:val="20"/>
        </w:rPr>
        <w:t xml:space="preserve">Khrennikov, A. (2015). Quantum-like modeling of cognition. Frontiers in Physics, 3, 77. https://doi.org/10.3389/fphy.2015.00077</w:t>
      </w:r>
    </w:p>
    <w:p>
      <w:pPr>
        <w:spacing w:after="60" w:line="240"/>
        <w:ind w:left="480" w:hanging="480"/>
      </w:pPr>
      <w:r>
        <w:rPr>
          <w:sz w:val="20"/>
          <w:szCs w:val="20"/>
        </w:rPr>
        <w:t xml:space="preserve">Khrennikov, A. (2026). Quantum-like cognition and decision-making: Interpretation of phases in quantum-like superposition. Entropy, 28(2), 134. https://doi.org/10.3390/e28020134</w:t>
      </w:r>
    </w:p>
    <w:p>
      <w:pPr>
        <w:spacing w:after="60" w:line="240"/>
        <w:ind w:left="480" w:hanging="480"/>
      </w:pPr>
      <w:r>
        <w:rPr>
          <w:sz w:val="20"/>
          <w:szCs w:val="20"/>
        </w:rPr>
        <w:t xml:space="preserve">Khrennikov, A., &amp; Yamada, M. (2025). Quantum-like representation of neuronal networks' activity: Modeling "mental entanglement". Frontiers in Human Neuroscience, 19, 1685339. https://doi.org/10.3389/fnhum.2025.1685339</w:t>
      </w:r>
    </w:p>
    <w:p>
      <w:pPr>
        <w:spacing w:after="60" w:line="240"/>
        <w:ind w:left="480" w:hanging="480"/>
      </w:pPr>
      <w:r>
        <w:rPr>
          <w:sz w:val="20"/>
          <w:szCs w:val="20"/>
        </w:rPr>
        <w:t xml:space="preserve">Kitzbichler, M. G., Smith, M. L., Christensen, S. R., &amp; Bullmore, E. (2009). Broadband criticality of human brain network synchronization. PLoS Computational Biology, 5(3), e1000314. https://doi.org/10.1371/journal.pcbi.1000314</w:t>
      </w:r>
    </w:p>
    <w:p>
      <w:pPr>
        <w:spacing w:after="60" w:line="240"/>
        <w:ind w:left="480" w:hanging="480"/>
      </w:pPr>
      <w:r>
        <w:rPr>
          <w:sz w:val="20"/>
          <w:szCs w:val="20"/>
        </w:rPr>
        <w:t xml:space="preserve">Kumaran, D., Hassabis, D., &amp; McClelland, J. L. (2016). What learning systems do intelligent agents need? Complementary learning systems theory updated. Trends in Cognitive Sciences, 20(7), 512–534. https://doi.org/10.1016/j.tics.2016.05.004</w:t>
      </w:r>
    </w:p>
    <w:p>
      <w:pPr>
        <w:spacing w:after="60" w:line="240"/>
        <w:ind w:left="480" w:hanging="480"/>
      </w:pPr>
      <w:r>
        <w:rPr>
          <w:sz w:val="20"/>
          <w:szCs w:val="20"/>
        </w:rPr>
        <w:t xml:space="preserve">Lipa, J. A., Nissen, J. A., Stricker, D. A., Swanson, D. R., &amp; Chui, T. C. P. (2003). Specific heat of liquid helium in zero gravity very near the lambda point. Physical Review B, 68(17), 174518. https://doi.org/10.1103/PhysRevB.68.174518</w:t>
      </w:r>
    </w:p>
    <w:p>
      <w:pPr>
        <w:spacing w:after="60" w:line="240"/>
        <w:ind w:left="480" w:hanging="480"/>
      </w:pPr>
      <w:r>
        <w:rPr>
          <w:sz w:val="20"/>
          <w:szCs w:val="20"/>
        </w:rPr>
        <w:t xml:space="preserve">MacDonald, C. J., Lepage, K. Q., Eden, U. T., &amp; Eichenbaum, H. (2011). Hippocampal "time cells" bridge the gap in memory for discontiguous events. Neuron, 71(4), 737–749. https://doi.org/10.1016/j.neuron.2011.07.012</w:t>
      </w:r>
    </w:p>
    <w:p>
      <w:pPr>
        <w:spacing w:after="60" w:line="240"/>
        <w:ind w:left="480" w:hanging="480"/>
      </w:pPr>
      <w:r>
        <w:rPr>
          <w:sz w:val="20"/>
          <w:szCs w:val="20"/>
        </w:rPr>
        <w:t xml:space="preserve">Mashour, G. A., Roelfsema, P., Changeux, J.-P., &amp; Dehaene, S. (2020). Conscious processing and the global neuronal workspace hypothesis. Neuron, 105(5), 776–798. https://doi.org/10.1016/j.neuron.2020.01.026</w:t>
      </w:r>
    </w:p>
    <w:p>
      <w:pPr>
        <w:spacing w:after="60" w:line="240"/>
        <w:ind w:left="480" w:hanging="480"/>
      </w:pPr>
      <w:r>
        <w:rPr>
          <w:sz w:val="20"/>
          <w:szCs w:val="20"/>
        </w:rPr>
        <w:t xml:space="preserve">Maunsell, J. H. R., &amp; Van Essen, D. C. (1983). Functional properties of neurons in middle temporal visual area of the macaque monkey. I. Selectivity for stimulus direction, speed, and orientation. Journal of Neurophysiology, 49(5), 1127–1147. https://doi.org/10.1152/jn.1983.49.5.1127</w:t>
      </w:r>
    </w:p>
    <w:p>
      <w:pPr>
        <w:spacing w:after="60" w:line="240"/>
        <w:ind w:left="480" w:hanging="480"/>
      </w:pPr>
      <w:r>
        <w:rPr>
          <w:sz w:val="20"/>
          <w:szCs w:val="20"/>
        </w:rPr>
        <w:t xml:space="preserve">McClelland, J. L., McNaughton, B. L., &amp; O'Reilly, R. C. (1995). Why there are complementary learning systems in the hippocampus and neocortex. Psychological Review, 102(3), 419–457. https://doi.org/10.1037/0033-295X.102.3.419</w:t>
      </w:r>
    </w:p>
    <w:p>
      <w:pPr>
        <w:spacing w:after="60" w:line="240"/>
        <w:ind w:left="480" w:hanging="480"/>
      </w:pPr>
      <w:r>
        <w:rPr>
          <w:sz w:val="20"/>
          <w:szCs w:val="20"/>
        </w:rPr>
        <w:t xml:space="preserve">Metzinger, T. (2003). Being no one: The self-model theory of subjectivity. MIT Press.</w:t>
      </w:r>
    </w:p>
    <w:p>
      <w:pPr>
        <w:spacing w:after="60" w:line="240"/>
        <w:ind w:left="480" w:hanging="480"/>
      </w:pPr>
      <w:r>
        <w:rPr>
          <w:sz w:val="20"/>
          <w:szCs w:val="20"/>
        </w:rPr>
        <w:t xml:space="preserve">Moser, E. I., Kropff, E., &amp; Moser, M.-B. (2008). Place cells, grid cells, and the brain's spatial representation system. Annual Review of Neuroscience, 31, 69–89. https://doi.org/10.1146/annurev.neuro.31.061307.090723</w:t>
      </w:r>
    </w:p>
    <w:p>
      <w:pPr>
        <w:spacing w:after="60" w:line="240"/>
        <w:ind w:left="480" w:hanging="480"/>
      </w:pPr>
      <w:r>
        <w:rPr>
          <w:sz w:val="20"/>
          <w:szCs w:val="20"/>
        </w:rPr>
        <w:t xml:space="preserve">O'Keefe, J., &amp; Dostrovsky, J. (1971). The hippocampus as a spatial map: Preliminary evidence from unit activity in the freely-moving rat. Brain Research, 34(1), 171–175. https://doi.org/10.1016/0006-8993(71)90358-1</w:t>
      </w:r>
    </w:p>
    <w:p>
      <w:pPr>
        <w:spacing w:after="60" w:line="240"/>
        <w:ind w:left="480" w:hanging="480"/>
      </w:pPr>
      <w:r>
        <w:rPr>
          <w:sz w:val="20"/>
          <w:szCs w:val="20"/>
        </w:rPr>
        <w:t xml:space="preserve">O'Keefe, J., &amp; Nadel, L. (1978). The hippocampus as a cognitive map. Oxford University Press.</w:t>
      </w:r>
    </w:p>
    <w:p>
      <w:pPr>
        <w:spacing w:after="60" w:line="240"/>
        <w:ind w:left="480" w:hanging="480"/>
      </w:pPr>
      <w:r>
        <w:rPr>
          <w:sz w:val="20"/>
          <w:szCs w:val="20"/>
        </w:rPr>
        <w:t xml:space="preserve">Oja, E. (1982). Simplified neuron model as a principal component analyzer. Journal of Mathematical Biology, 15(3), 267–273. https://doi.org/10.1007/BF00275687</w:t>
      </w:r>
    </w:p>
    <w:p>
      <w:pPr>
        <w:spacing w:after="60" w:line="240"/>
        <w:ind w:left="480" w:hanging="480"/>
      </w:pPr>
      <w:r>
        <w:rPr>
          <w:sz w:val="20"/>
          <w:szCs w:val="20"/>
        </w:rPr>
        <w:t xml:space="preserve">Onasenko, O. (2025). Emergence parameter κ ≈ 1: An empirical signature of criticality in physical and biological systems. Zenodo. https://doi.org/10.5281/zenodo.17844282</w:t>
      </w:r>
    </w:p>
    <w:p>
      <w:pPr>
        <w:spacing w:after="60" w:line="240"/>
        <w:ind w:left="480" w:hanging="480"/>
      </w:pPr>
      <w:r>
        <w:rPr>
          <w:sz w:val="20"/>
          <w:szCs w:val="20"/>
        </w:rPr>
        <w:t xml:space="preserve">Onsager, L. (1944). Crystal statistics. I. A two-dimensional model with an order-disorder transition. Physical Review, 65(3–4), 117–149. https://doi.org/10.1103/PhysRev.65.117</w:t>
      </w:r>
    </w:p>
    <w:p>
      <w:pPr>
        <w:spacing w:after="60" w:line="240"/>
        <w:ind w:left="480" w:hanging="480"/>
      </w:pPr>
      <w:r>
        <w:rPr>
          <w:sz w:val="20"/>
          <w:szCs w:val="20"/>
        </w:rPr>
        <w:t xml:space="preserve">Pasupathy, A., &amp; Connor, C. E. (2001). Shape representation in area V4: Position-specific tuning for boundary conformation. Journal of Neurophysiology, 86(5), 2505–2519. https://doi.org/10.1152/jn.2001.86.5.2505</w:t>
      </w:r>
    </w:p>
    <w:p>
      <w:pPr>
        <w:spacing w:after="60" w:line="240"/>
        <w:ind w:left="480" w:hanging="480"/>
      </w:pPr>
      <w:r>
        <w:rPr>
          <w:sz w:val="20"/>
          <w:szCs w:val="20"/>
        </w:rPr>
        <w:t xml:space="preserve">Pothos, E. M., &amp; Busemeyer, J. R. (2022). Quantum cognition. Annual Review of Psychology, 73, 749–778. https://doi.org/10.1146/annurev-psych-033020-123501</w:t>
      </w:r>
    </w:p>
    <w:p>
      <w:pPr>
        <w:spacing w:after="60" w:line="240"/>
        <w:ind w:left="480" w:hanging="480"/>
      </w:pPr>
      <w:r>
        <w:rPr>
          <w:sz w:val="20"/>
          <w:szCs w:val="20"/>
        </w:rPr>
        <w:t xml:space="preserve">Scoville, W. B., &amp; Milner, B. (1957). Loss of recent memory after bilateral hippocampal lesions. Journal of Neurology, Neurosurgery and Psychiatry, 20(1), 11–21. https://doi.org/10.1136/jnnp.20.1.11</w:t>
      </w:r>
    </w:p>
    <w:p>
      <w:pPr>
        <w:spacing w:after="60" w:line="240"/>
        <w:ind w:left="480" w:hanging="480"/>
      </w:pPr>
      <w:r>
        <w:rPr>
          <w:sz w:val="20"/>
          <w:szCs w:val="20"/>
        </w:rPr>
        <w:t xml:space="preserve">Shew, W. L., &amp; Plenz, D. (2013). The functional benefits of criticality in the cortex. The Neuroscientist, 19(1), 88–100. https://doi.org/10.1177/1073858412445487</w:t>
      </w:r>
    </w:p>
    <w:p>
      <w:pPr>
        <w:spacing w:after="60" w:line="240"/>
        <w:ind w:left="480" w:hanging="480"/>
      </w:pPr>
      <w:r>
        <w:rPr>
          <w:sz w:val="20"/>
          <w:szCs w:val="20"/>
        </w:rPr>
        <w:t xml:space="preserve">Squire, L. R. (2004). Memory systems of the brain: A brief history and current perspective. Neurobiology of Learning and Memory, 82(3), 171–177. https://doi.org/10.1016/j.nlm.2004.06.005</w:t>
      </w:r>
    </w:p>
    <w:p>
      <w:pPr>
        <w:spacing w:after="60" w:line="240"/>
        <w:ind w:left="480" w:hanging="480"/>
      </w:pPr>
      <w:r>
        <w:rPr>
          <w:sz w:val="20"/>
          <w:szCs w:val="20"/>
        </w:rPr>
        <w:t xml:space="preserve">Squire, L. R., &amp; Zola-Morgan, S. (1991). The medial temporal lobe memory system. Science, 253(5026), 1380–1386. https://doi.org/10.1126/science.1896849</w:t>
      </w:r>
    </w:p>
    <w:p>
      <w:pPr>
        <w:spacing w:after="60" w:line="240"/>
        <w:ind w:left="480" w:hanging="480"/>
      </w:pPr>
      <w:r>
        <w:rPr>
          <w:sz w:val="20"/>
          <w:szCs w:val="20"/>
        </w:rPr>
        <w:t xml:space="preserve">Stauffer, D., &amp; Aharony, A. (1994). Introduction to percolation theory (2nd ed.). Taylor &amp; Francis.</w:t>
      </w:r>
    </w:p>
    <w:p>
      <w:pPr>
        <w:spacing w:after="60" w:line="240"/>
        <w:ind w:left="480" w:hanging="480"/>
      </w:pPr>
      <w:r>
        <w:rPr>
          <w:sz w:val="20"/>
          <w:szCs w:val="20"/>
        </w:rPr>
        <w:t xml:space="preserve">Tononi, G. (2004). An information integration theory of consciousness. BMC Neuroscience, 5, 42. https://doi.org/10.1186/1471-2202-5-42</w:t>
      </w:r>
    </w:p>
    <w:p>
      <w:pPr>
        <w:spacing w:after="60" w:line="240"/>
        <w:ind w:left="480" w:hanging="480"/>
      </w:pPr>
      <w:r>
        <w:rPr>
          <w:sz w:val="20"/>
          <w:szCs w:val="20"/>
        </w:rPr>
        <w:t xml:space="preserve">Tulving, E. (1972). Episodic and semantic memory. In E. Tulving &amp; W. Donaldson (Eds.), Organization of memory (pp. 381–403). Academic Press.</w:t>
      </w:r>
    </w:p>
    <w:p>
      <w:pPr>
        <w:spacing w:after="60" w:line="240"/>
        <w:ind w:left="480" w:hanging="480"/>
      </w:pPr>
      <w:r>
        <w:rPr>
          <w:sz w:val="20"/>
          <w:szCs w:val="20"/>
        </w:rPr>
        <w:t xml:space="preserve">Tulving, E. (1983). Elements of episodic memory. Oxford University Press.</w:t>
      </w:r>
    </w:p>
    <w:p>
      <w:pPr>
        <w:spacing w:after="60" w:line="240"/>
        <w:ind w:left="480" w:hanging="480"/>
      </w:pPr>
      <w:r>
        <w:rPr>
          <w:sz w:val="20"/>
          <w:szCs w:val="20"/>
        </w:rPr>
        <w:t xml:space="preserve">Werner, G. (2007). Metastability, criticality and phase transitions in brain and its models. Biosystems, 90(2), 496–508. https://doi.org/10.1016/j.biosystems.2006.12.001</w:t>
      </w:r>
    </w:p>
    <w:p>
      <w:pPr>
        <w:spacing w:after="60" w:line="240"/>
        <w:ind w:left="480" w:hanging="480"/>
      </w:pPr>
      <w:r>
        <w:rPr>
          <w:sz w:val="20"/>
          <w:szCs w:val="20"/>
        </w:rPr>
        <w:t xml:space="preserve">Wilson, M. A., &amp; McNaughton, B. L. (1994). Reactivation of hippocampal ensemble memories during sleep. Science, 265(5172), 676–679. https://doi.org/10.1126/science.8036517</w:t>
      </w:r>
    </w:p>
    <w:p>
      <w:pPr>
        <w:spacing w:after="60" w:line="240"/>
        <w:ind w:left="480" w:hanging="480"/>
      </w:pPr>
      <w:r>
        <w:rPr>
          <w:sz w:val="20"/>
          <w:szCs w:val="20"/>
        </w:rPr>
        <w:t xml:space="preserve">Yerkes, R. M., &amp; Dodson, J. D. (1908). The relation of strength of stimulus to rapidity of habit-formation. Journal of Comparative Neurology and Psychology, 18(5), 459–482. https://doi.org/10.1002/cne.920180503</w:t>
      </w:r>
    </w:p>
    <w:p>
      <w:pPr>
        <w:spacing w:after="60" w:line="240"/>
        <w:ind w:left="480" w:hanging="480"/>
      </w:pPr>
      <w:r>
        <w:rPr>
          <w:sz w:val="20"/>
          <w:szCs w:val="20"/>
        </w:rPr>
        <w:t xml:space="preserve">Zeki, S. (1983). The distribution of wavelength and orientation selectivity in different areas of monkey visual cortex. Proceedings of the Royal Society of London B, 217(1209), 449–470. https://doi.org/10.1098/rspb.1983.0020</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SubstanceNet: Theoretical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before="280" w:after="16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before="240" w:after="12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2026-03-18T21:18:23.383Z</dcterms:created>
  <dcterms:modified xsi:type="dcterms:W3CDTF">2026-03-18T21:18:23.384Z</dcterms:modified>
</cp:coreProperties>
</file>

<file path=docProps/custom.xml><?xml version="1.0" encoding="utf-8"?>
<Properties xmlns="http://schemas.openxmlformats.org/officeDocument/2006/custom-properties" xmlns:vt="http://schemas.openxmlformats.org/officeDocument/2006/docPropsVTypes"/>
</file>