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Semantic Freeze Directive</w:t>
      </w:r>
    </w:p>
    <w:p>
      <w:pPr>
        <w:pStyle w:val="Subtitle"/>
      </w:pPr>
      <w:r>
        <w:t>SubstrateX Aperture™ Runtime Evidence Architecture — v1.0</w:t>
      </w:r>
    </w:p>
    <w:p>
      <w:r>
        <w:t>The next phase of the architecture prioritizes semantic stability over uncontrolled feature expansion. The system is no longer only an interface or telemetry experiment; it is a scientific instrumentation and evidence-governance architecture. Stable meaning is therefore infrastructure.</w:t>
      </w:r>
    </w:p>
    <w:p>
      <w:pPr>
        <w:pStyle w:val="Heading1"/>
      </w:pPr>
      <w:r>
        <w:t>1. Identity semantics to freeze</w:t>
      </w:r>
    </w:p>
    <w:p>
      <w:pPr>
        <w:pStyle w:val="ListBullet"/>
      </w:pPr>
      <w:r>
        <w:t>Source identity</w:t>
      </w:r>
    </w:p>
    <w:p>
      <w:pPr>
        <w:pStyle w:val="ListBullet"/>
      </w:pPr>
      <w:r>
        <w:t>Canonical identity</w:t>
      </w:r>
    </w:p>
    <w:p>
      <w:pPr>
        <w:pStyle w:val="ListBullet"/>
      </w:pPr>
      <w:r>
        <w:t>Run identity</w:t>
      </w:r>
    </w:p>
    <w:p>
      <w:pPr>
        <w:pStyle w:val="ListBullet"/>
      </w:pPr>
      <w:r>
        <w:t>Runtime Evidence Record / Passport identity</w:t>
      </w:r>
    </w:p>
    <w:p>
      <w:pPr>
        <w:pStyle w:val="ListBullet"/>
      </w:pPr>
      <w:r>
        <w:t>Artifact identity</w:t>
      </w:r>
    </w:p>
    <w:p>
      <w:pPr>
        <w:pStyle w:val="ListBullet"/>
      </w:pPr>
      <w:r>
        <w:t>Presentation state must never substitute for evidence identity.</w:t>
      </w:r>
    </w:p>
    <w:p>
      <w:pPr>
        <w:pStyle w:val="Heading1"/>
      </w:pPr>
      <w:r>
        <w:t>2. Temporal semantics to freeze</w:t>
      </w:r>
    </w:p>
    <w:p>
      <w:pPr>
        <w:pStyle w:val="ListBullet"/>
      </w:pPr>
      <w:r>
        <w:t>First Weakening / awareness marker t_aw</w:t>
      </w:r>
    </w:p>
    <w:p>
      <w:pPr>
        <w:pStyle w:val="ListBullet"/>
      </w:pPr>
      <w:r>
        <w:t>Candidate Boundary t_candidate</w:t>
      </w:r>
    </w:p>
    <w:p>
      <w:pPr>
        <w:pStyle w:val="ListBullet"/>
      </w:pPr>
      <w:r>
        <w:t>Confirmed Basin Exit t*</w:t>
      </w:r>
    </w:p>
    <w:p>
      <w:pPr>
        <w:pStyle w:val="ListBullet"/>
      </w:pPr>
      <w:r>
        <w:t>Observable Failure tf</w:t>
      </w:r>
    </w:p>
    <w:p>
      <w:pPr>
        <w:pStyle w:val="ListBullet"/>
      </w:pPr>
      <w:r>
        <w:t>Recovery / re-entry where supported</w:t>
      </w:r>
    </w:p>
    <w:p>
      <w:pPr>
        <w:pStyle w:val="ListBullet"/>
      </w:pPr>
      <w:r>
        <w:t>Formal lead time Δt exists only when both t* and tf are authoritative.</w:t>
      </w:r>
    </w:p>
    <w:p>
      <w:pPr>
        <w:pStyle w:val="Heading1"/>
      </w:pPr>
      <w:r>
        <w:t>3. Missingness and absence semantics</w:t>
      </w:r>
    </w:p>
    <w:p>
      <w:pPr>
        <w:pStyle w:val="ListBullet"/>
      </w:pPr>
      <w:r>
        <w:t>not supplied</w:t>
      </w:r>
    </w:p>
    <w:p>
      <w:pPr>
        <w:pStyle w:val="ListBullet"/>
      </w:pPr>
      <w:r>
        <w:t>not observed</w:t>
      </w:r>
    </w:p>
    <w:p>
      <w:pPr>
        <w:pStyle w:val="ListBullet"/>
      </w:pPr>
      <w:r>
        <w:t>unavailable</w:t>
      </w:r>
    </w:p>
    <w:p>
      <w:pPr>
        <w:pStyle w:val="ListBullet"/>
      </w:pPr>
      <w:r>
        <w:t>not computable</w:t>
      </w:r>
    </w:p>
    <w:p>
      <w:pPr>
        <w:pStyle w:val="ListBullet"/>
      </w:pPr>
      <w:r>
        <w:t>unsupported</w:t>
      </w:r>
    </w:p>
    <w:p>
      <w:pPr>
        <w:pStyle w:val="ListBullet"/>
      </w:pPr>
      <w:r>
        <w:t>proxy-only</w:t>
      </w:r>
    </w:p>
    <w:p>
      <w:pPr>
        <w:pStyle w:val="ListBullet"/>
      </w:pPr>
      <w:r>
        <w:t>candidate only</w:t>
      </w:r>
    </w:p>
    <w:p>
      <w:pPr>
        <w:pStyle w:val="ListBullet"/>
      </w:pPr>
      <w:r>
        <w:t>Zero/false must never be silently converted into missingness.</w:t>
      </w:r>
    </w:p>
    <w:p>
      <w:pPr>
        <w:pStyle w:val="Heading1"/>
      </w:pPr>
      <w:r>
        <w:t>4. Evidence authority invariants</w:t>
      </w:r>
    </w:p>
    <w:p>
      <w:pPr>
        <w:pStyle w:val="ListBullet"/>
      </w:pPr>
      <w:r>
        <w:t>No claim should exceed the authority of its evidence.</w:t>
      </w:r>
    </w:p>
    <w:p>
      <w:pPr>
        <w:pStyle w:val="ListBullet"/>
      </w:pPr>
      <w:r>
        <w:t>Presentation surfaces do not create authority.</w:t>
      </w:r>
    </w:p>
    <w:p>
      <w:pPr>
        <w:pStyle w:val="ListBullet"/>
      </w:pPr>
      <w:r>
        <w:t>Operational Worlds do not change underlying computation.</w:t>
      </w:r>
    </w:p>
    <w:p>
      <w:pPr>
        <w:pStyle w:val="ListBullet"/>
      </w:pPr>
      <w:r>
        <w:t>Instrumentation is read-only with respect to the governing evidence object.</w:t>
      </w:r>
    </w:p>
    <w:p>
      <w:pPr>
        <w:pStyle w:val="Heading1"/>
      </w:pPr>
      <w:r>
        <w:t>5. Instrument non-mutation</w:t>
      </w:r>
    </w:p>
    <w:p>
      <w:pPr>
        <w:pStyle w:val="ListBullet"/>
      </w:pPr>
      <w:r>
        <w:t>Instruments may project bounded findings from CER + registered context.</w:t>
      </w:r>
    </w:p>
    <w:p>
      <w:pPr>
        <w:pStyle w:val="ListBullet"/>
      </w:pPr>
      <w:r>
        <w:t>They may not create telemetry, rewrite canonical frames, move authoritative markers, invent failure, or alter Passport/export authority.</w:t>
      </w:r>
    </w:p>
    <w:p>
      <w:pPr>
        <w:pStyle w:val="Heading1"/>
      </w:pPr>
      <w:r>
        <w:t>6. Canonical runtime and replay</w:t>
      </w:r>
    </w:p>
    <w:p>
      <w:pPr>
        <w:pStyle w:val="ListBullet"/>
      </w:pPr>
      <w:r>
        <w:t>Evidence-bearing transformations are versioned.</w:t>
      </w:r>
    </w:p>
    <w:p>
      <w:pPr>
        <w:pStyle w:val="ListBullet"/>
      </w:pPr>
      <w:r>
        <w:t>Same qualified source + same adapter/version + same evidence-bearing options should produce the same canonical runtime under a deterministic contract.</w:t>
      </w:r>
    </w:p>
    <w:p>
      <w:pPr>
        <w:pStyle w:val="ListBullet"/>
      </w:pPr>
      <w:r>
        <w:t>Visualization density may change; evidence authority may not.</w:t>
      </w:r>
    </w:p>
    <w:p>
      <w:pPr>
        <w:pStyle w:val="Heading1"/>
      </w:pPr>
      <w:r>
        <w:t>7. Passport and preservation</w:t>
      </w:r>
    </w:p>
    <w:p>
      <w:pPr>
        <w:pStyle w:val="ListBullet"/>
      </w:pPr>
      <w:r>
        <w:t>Passport issuance follows evidence formation and Runtime Evidence Authority conformance checks.</w:t>
      </w:r>
    </w:p>
    <w:p>
      <w:pPr>
        <w:pStyle w:val="ListBullet"/>
      </w:pPr>
      <w:r>
        <w:t>The Passport carries limitations forward; it does not improve the source.</w:t>
      </w:r>
    </w:p>
    <w:p>
      <w:pPr>
        <w:pStyle w:val="ListBullet"/>
      </w:pPr>
      <w:r>
        <w:t>Evidence Commons artifacts preserve identity, lineage, missingness, claim boundaries, and method references.</w:t>
      </w:r>
    </w:p>
    <w:p>
      <w:pPr>
        <w:pStyle w:val="Heading1"/>
      </w:pPr>
      <w:r>
        <w:t>8. Historical fixtures</w:t>
      </w:r>
    </w:p>
    <w:p>
      <w:pPr>
        <w:pStyle w:val="ListBullet"/>
      </w:pPr>
      <w:r>
        <w:t>Frozen test cases are preserved as provenance artifacts even where their vocabulary predates the current LCD/EGC hierarchy.</w:t>
      </w:r>
    </w:p>
    <w:p>
      <w:pPr>
        <w:pStyle w:val="ListBullet"/>
      </w:pPr>
      <w:r>
        <w:t>Do not rewrite historical fixtures merely to modernize terminology.</w:t>
      </w:r>
    </w:p>
    <w:p>
      <w:pPr>
        <w:pStyle w:val="Heading1"/>
      </w:pPr>
      <w:r>
        <w:t>Governing principle</w:t>
      </w:r>
    </w:p>
    <w:p>
      <w:r>
        <w:t>Evidence is computed first. Presentation adapts second. No surface, instrument, operational lens, or narrative may create authority that the underlying evidence object does not possess.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