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Canonical Terminology Index</w:t>
      </w:r>
    </w:p>
    <w:p>
      <w:pPr>
        <w:pStyle w:val="Subtitle"/>
      </w:pPr>
      <w:r>
        <w:t>SubstrateX® Longitudinal Labs — Intelligence in Motion™ / Runtime Evidence Infrastructure</w:t>
      </w:r>
    </w:p>
    <w:p>
      <w:r>
        <w:t>Purpose: establish the current public scientific hierarchy, evidence architecture, instrumentation vocabulary, and historical lineage for SubstrateX Aperture™ publications and reference implementations.</w:t>
      </w:r>
    </w:p>
    <w:p>
      <w:pPr>
        <w:pStyle w:val="Heading2"/>
      </w:pPr>
      <w:r>
        <w:t>Intelligence in Motion™</w:t>
      </w:r>
    </w:p>
    <w:p>
      <w:r>
        <w:t>Governing proposition: intelligence examined through observable development across runtime.</w:t>
      </w:r>
    </w:p>
    <w:p>
      <w:pPr>
        <w:pStyle w:val="Heading2"/>
      </w:pPr>
      <w:r>
        <w:t>Longitudinal Computational Dynamics® (LCD)</w:t>
      </w:r>
    </w:p>
    <w:p>
      <w:r>
        <w:t>Scientific framework for studying extended computational behavior as a temporal and dynamical object.</w:t>
      </w:r>
    </w:p>
    <w:p>
      <w:pPr>
        <w:pStyle w:val="Heading2"/>
      </w:pPr>
      <w:r>
        <w:t>Longitudinal Computational Behavior</w:t>
      </w:r>
    </w:p>
    <w:p>
      <w:r>
        <w:t>Primary empirical object: observable development of computational activity across ordered runtime.</w:t>
      </w:r>
    </w:p>
    <w:p>
      <w:pPr>
        <w:pStyle w:val="Heading2"/>
      </w:pPr>
      <w:r>
        <w:t>Runtime Evidence</w:t>
      </w:r>
    </w:p>
    <w:p>
      <w:r>
        <w:t>Source-bound, method-bound evidence produced from qualified runtime records.</w:t>
      </w:r>
    </w:p>
    <w:p>
      <w:pPr>
        <w:pStyle w:val="Heading2"/>
      </w:pPr>
      <w:r>
        <w:t>Evidence-Governed Computation™ (EGC)</w:t>
      </w:r>
    </w:p>
    <w:p>
      <w:r>
        <w:t>Architectural discipline governing what claims a computational system may legitimately make from identified evidence.</w:t>
      </w:r>
    </w:p>
    <w:p>
      <w:pPr>
        <w:pStyle w:val="Heading2"/>
      </w:pPr>
      <w:r>
        <w:t>Runtime Evidence Infrastructure</w:t>
      </w:r>
    </w:p>
    <w:p>
      <w:r>
        <w:t>Integrated architecture for ingestion, reconstruction, telemetry, authority, investigation, export, and preservation.</w:t>
      </w:r>
    </w:p>
    <w:p>
      <w:pPr>
        <w:pStyle w:val="Heading2"/>
      </w:pPr>
      <w:r>
        <w:t>SubstrateX Aperture™</w:t>
      </w:r>
    </w:p>
    <w:p>
      <w:r>
        <w:t>Runtime Evidence Observatory and principal reference implementation.</w:t>
      </w:r>
    </w:p>
    <w:p>
      <w:pPr>
        <w:pStyle w:val="Heading2"/>
      </w:pPr>
      <w:r>
        <w:t>Canonical Runtime</w:t>
      </w:r>
    </w:p>
    <w:p>
      <w:r>
        <w:t>Normalized, provenance-bearing computational representation formed from a qualified source.</w:t>
      </w:r>
    </w:p>
    <w:p>
      <w:pPr>
        <w:pStyle w:val="Heading2"/>
      </w:pPr>
      <w:r>
        <w:t>Current Evidence Run (CER)</w:t>
      </w:r>
    </w:p>
    <w:p>
      <w:r>
        <w:t>Governing evidence identity for an active computed run.</w:t>
      </w:r>
    </w:p>
    <w:p>
      <w:pPr>
        <w:pStyle w:val="Heading2"/>
      </w:pPr>
      <w:r>
        <w:t>Worldline</w:t>
      </w:r>
    </w:p>
    <w:p>
      <w:r>
        <w:t>Time-indexed representation of Longitudinal Computational Behavior reconstructed from the evidence-bound runtime.</w:t>
      </w:r>
    </w:p>
    <w:p>
      <w:pPr>
        <w:pStyle w:val="Heading2"/>
      </w:pPr>
      <w:r>
        <w:t>Chronodynamics</w:t>
      </w:r>
    </w:p>
    <w:p>
      <w:r>
        <w:t>Temporal framework for runtime formation, persistence, ordering, transition, symbolic time, and admissible lead-time claims.</w:t>
      </w:r>
    </w:p>
    <w:p>
      <w:pPr>
        <w:pStyle w:val="Heading2"/>
      </w:pPr>
      <w:r>
        <w:t>First Weakening / t_aw</w:t>
      </w:r>
    </w:p>
    <w:p>
      <w:r>
        <w:t>Earliest method-qualified weakening/awareness marker.</w:t>
      </w:r>
    </w:p>
    <w:p>
      <w:pPr>
        <w:pStyle w:val="Heading2"/>
      </w:pPr>
      <w:r>
        <w:t>Candidate Boundary / t_candidate</w:t>
      </w:r>
    </w:p>
    <w:p>
      <w:r>
        <w:t>Evidence-supported candidate transition that has not satisfied confirmation criteria.</w:t>
      </w:r>
    </w:p>
    <w:p>
      <w:pPr>
        <w:pStyle w:val="Heading2"/>
      </w:pPr>
      <w:r>
        <w:t>Basin Exit / t*</w:t>
      </w:r>
    </w:p>
    <w:p>
      <w:r>
        <w:t>Confirmed qualifying observable boundary crossing under the governing method.</w:t>
      </w:r>
    </w:p>
    <w:p>
      <w:pPr>
        <w:pStyle w:val="Heading2"/>
      </w:pPr>
      <w:r>
        <w:t>Observable Failure / tf</w:t>
      </w:r>
    </w:p>
    <w:p>
      <w:r>
        <w:t>Externally supported failure marker when supplied/qualified.</w:t>
      </w:r>
    </w:p>
    <w:p>
      <w:pPr>
        <w:pStyle w:val="Heading2"/>
      </w:pPr>
      <w:r>
        <w:t>Steering Window / Steering Span</w:t>
      </w:r>
    </w:p>
    <w:p>
      <w:r>
        <w:t>Evidence-supported interval in which trajectory change may be investigated before terminal failure; not automatically formal lead time.</w:t>
      </w:r>
    </w:p>
    <w:p>
      <w:pPr>
        <w:pStyle w:val="Heading2"/>
      </w:pPr>
      <w:r>
        <w:t>Runtime Evidence Authority</w:t>
      </w:r>
    </w:p>
    <w:p>
      <w:r>
        <w:t>Conformance/authority mechanism evaluating whether computed material qualifies for Passport issuance.</w:t>
      </w:r>
    </w:p>
    <w:p>
      <w:pPr>
        <w:pStyle w:val="Heading2"/>
      </w:pPr>
      <w:r>
        <w:t>Runtime Evidence Passport</w:t>
      </w:r>
    </w:p>
    <w:p>
      <w:r>
        <w:t>Bound identity/formation/integrity/claim-boundary record issued after authority requirements are satisfied.</w:t>
      </w:r>
    </w:p>
    <w:p>
      <w:pPr>
        <w:pStyle w:val="Heading2"/>
      </w:pPr>
      <w:r>
        <w:t>Evidence Commons™</w:t>
      </w:r>
    </w:p>
    <w:p>
      <w:r>
        <w:t>Preservation initiative for portable, inspectable, challengeable Runtime Evidence.</w:t>
      </w:r>
    </w:p>
    <w:p>
      <w:pPr>
        <w:pStyle w:val="Heading2"/>
      </w:pPr>
      <w:r>
        <w:t>Operational World Mapping</w:t>
      </w:r>
    </w:p>
    <w:p>
      <w:r>
        <w:t>Context-preserving translation architecture; changes investigation framing, not canonical evidence computation.</w:t>
      </w:r>
    </w:p>
    <w:p>
      <w:pPr>
        <w:pStyle w:val="Heading2"/>
      </w:pPr>
      <w:r>
        <w:t>Human Read</w:t>
      </w:r>
    </w:p>
    <w:p>
      <w:r>
        <w:t>Bounded operator-readable evidence layer over CER and registered methods; may not create evidence authority.</w:t>
      </w:r>
    </w:p>
    <w:p>
      <w:pPr>
        <w:pStyle w:val="Heading2"/>
      </w:pPr>
      <w:r>
        <w:t>Evidence Artifact</w:t>
      </w:r>
    </w:p>
    <w:p>
      <w:r>
        <w:t>Machine-readable handoff of the Current Evidence Run with Passport imprint, lineage, telemetry, markers, findings, and claim boundaries.</w:t>
      </w:r>
    </w:p>
    <w:p>
      <w:pPr>
        <w:pStyle w:val="Heading1"/>
      </w:pPr>
      <w:r>
        <w:t>Instrumentation registry</w:t>
      </w:r>
    </w:p>
    <w:p>
      <w:pPr>
        <w:pStyle w:val="ListBullet"/>
      </w:pPr>
      <w:r>
        <w:t>∿ Seismo — Worldline / formation / regime / boundary / recovery</w:t>
      </w:r>
    </w:p>
    <w:p>
      <w:pPr>
        <w:pStyle w:val="ListBullet"/>
      </w:pPr>
      <w:r>
        <w:t>τ Chronos — temporal organization and symbolic time</w:t>
      </w:r>
    </w:p>
    <w:p>
      <w:pPr>
        <w:pStyle w:val="ListBullet"/>
      </w:pPr>
      <w:r>
        <w:t>Δ Drift — displacement / curvature / directional change</w:t>
      </w:r>
    </w:p>
    <w:p>
      <w:pPr>
        <w:pStyle w:val="ListBullet"/>
      </w:pPr>
      <w:r>
        <w:t>Ξ Pressure — runtime pressure proxies and boundary load</w:t>
      </w:r>
    </w:p>
    <w:p>
      <w:pPr>
        <w:pStyle w:val="ListBullet"/>
      </w:pPr>
      <w:r>
        <w:t>⇄ Bridge — role/tool coordination and handoff continuity</w:t>
      </w:r>
    </w:p>
    <w:p>
      <w:pPr>
        <w:pStyle w:val="ListBullet"/>
      </w:pPr>
      <w:r>
        <w:t>⟳ Noesis — recurrence / re-entry / continuity patterns</w:t>
      </w:r>
    </w:p>
    <w:p>
      <w:pPr>
        <w:pStyle w:val="ListBullet"/>
      </w:pPr>
      <w:r>
        <w:t>Ω Scope — evidence coverage and topology</w:t>
      </w:r>
    </w:p>
    <w:p>
      <w:pPr>
        <w:pStyle w:val="ListBullet"/>
      </w:pPr>
      <w:r>
        <w:t>Ψ Dynamics — multivariate runtime dynamics</w:t>
      </w:r>
    </w:p>
    <w:p>
      <w:pPr>
        <w:pStyle w:val="ListBullet"/>
      </w:pPr>
      <w:r>
        <w:t>Φ Interferometer — alignment/divergence among registered streams</w:t>
      </w:r>
    </w:p>
    <w:p>
      <w:pPr>
        <w:pStyle w:val="Heading1"/>
      </w:pPr>
      <w:r>
        <w:t>Historical lineage</w:t>
      </w:r>
    </w:p>
    <w:p>
      <w:r>
        <w:t>Earlier Recursive Science® publications remain part of the documented foundational research lineage. Current public work uses the Intelligence in Motion™ / Longitudinal Computational Dynamics® / Evidence-Governed Computation™ hierarchy and SubstrateX Aperture™ as the principal operational reference implementation.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