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956D" w14:textId="77777777" w:rsidR="005404CD" w:rsidRPr="005404CD" w:rsidRDefault="005404CD" w:rsidP="005404CD">
      <w:pPr>
        <w:rPr>
          <w:b/>
          <w:bCs/>
        </w:rPr>
      </w:pPr>
      <w:r w:rsidRPr="005404CD">
        <w:rPr>
          <w:b/>
          <w:bCs/>
        </w:rPr>
        <w:t>SubstrateX Fieldglass: Cognitive Cartography for Intelligence in Motion</w:t>
      </w:r>
    </w:p>
    <w:p w14:paraId="58665F0C" w14:textId="77777777" w:rsidR="005404CD" w:rsidRPr="005404CD" w:rsidRDefault="005404CD" w:rsidP="005404CD">
      <w:r w:rsidRPr="005404CD">
        <w:rPr>
          <w:b/>
          <w:bCs/>
        </w:rPr>
        <w:t>SubstrateX Fieldglass</w:t>
      </w:r>
      <w:r w:rsidRPr="005404CD">
        <w:t xml:space="preserve"> is the public instrument layer of SubstrateX: a browser-local cognitive cartography instrument that turns ordinary AI interaction logs into measurable runtime evidence.</w:t>
      </w:r>
    </w:p>
    <w:p w14:paraId="6A593123" w14:textId="77777777" w:rsidR="005404CD" w:rsidRPr="005404CD" w:rsidRDefault="005404CD" w:rsidP="005404CD">
      <w:r w:rsidRPr="005404CD">
        <w:t>Its purpose is simple, but urgent:</w:t>
      </w:r>
    </w:p>
    <w:p w14:paraId="7ABF0D7D" w14:textId="77777777" w:rsidR="005404CD" w:rsidRPr="005404CD" w:rsidRDefault="005404CD" w:rsidP="005404CD">
      <w:r w:rsidRPr="005404CD">
        <w:rPr>
          <w:b/>
          <w:bCs/>
        </w:rPr>
        <w:t>Make the invisible behavior of AI systems visible.</w:t>
      </w:r>
    </w:p>
    <w:p w14:paraId="0E756555" w14:textId="77777777" w:rsidR="005404CD" w:rsidRPr="005404CD" w:rsidRDefault="005404CD" w:rsidP="005404CD">
      <w:r w:rsidRPr="005404CD">
        <w:t>Today, most AI systems are deployed and evaluated through their surface outputs: prompts, responses, ratings, tokens, latency, cost, and occasional failure reports. But the deeper runtime dynamics — drift, instability, temporal compression, role conflict, collapse pressure, recovery, and pre-failure signals — remain largely unseen.</w:t>
      </w:r>
    </w:p>
    <w:p w14:paraId="48BD172A" w14:textId="77777777" w:rsidR="005404CD" w:rsidRPr="005404CD" w:rsidRDefault="005404CD" w:rsidP="005404CD">
      <w:r w:rsidRPr="005404CD">
        <w:t>Fieldglass changes that.</w:t>
      </w:r>
    </w:p>
    <w:p w14:paraId="192E8352" w14:textId="77777777" w:rsidR="005404CD" w:rsidRPr="005404CD" w:rsidRDefault="005404CD" w:rsidP="005404CD">
      <w:r w:rsidRPr="005404CD">
        <w:t xml:space="preserve">It gives researchers, operators, builders, auditors, and institutions a way to inspect AI behavior not as isolated answers, but as </w:t>
      </w:r>
      <w:r w:rsidRPr="005404CD">
        <w:rPr>
          <w:b/>
          <w:bCs/>
        </w:rPr>
        <w:t>intelligence in motion</w:t>
      </w:r>
      <w:r w:rsidRPr="005404CD">
        <w:t>: a runtime trajectory that can stabilize, deform, fracture, recover, or collapse.</w:t>
      </w:r>
    </w:p>
    <w:p w14:paraId="2870AB32" w14:textId="77777777" w:rsidR="005404CD" w:rsidRPr="005404CD" w:rsidRDefault="005404CD" w:rsidP="005404CD">
      <w:r w:rsidRPr="005404CD">
        <w:t xml:space="preserve">At the heart of Fieldglass is the </w:t>
      </w:r>
      <w:r w:rsidRPr="005404CD">
        <w:rPr>
          <w:b/>
          <w:bCs/>
        </w:rPr>
        <w:t>Telemetry Adapter</w:t>
      </w:r>
      <w:r w:rsidRPr="005404CD">
        <w:t>, a deterministic runtime evidence engine that converts raw interaction logs into structural telemetry, behavioral trajectories, regime classifications, forensic timelines, and portable evidence artifacts. This is not a chatbot interface and not a conventional dashboard. It is an evidence-generating instrument.</w:t>
      </w:r>
    </w:p>
    <w:p w14:paraId="05645ECE" w14:textId="77777777" w:rsidR="005404CD" w:rsidRPr="005404CD" w:rsidRDefault="005404CD" w:rsidP="005404CD">
      <w:r w:rsidRPr="005404CD">
        <w:t xml:space="preserve">Together, these systems form the </w:t>
      </w:r>
      <w:r w:rsidRPr="005404CD">
        <w:rPr>
          <w:b/>
          <w:bCs/>
        </w:rPr>
        <w:t>SubstrateX Runtime Cognition Observatory — Public Instrument Stack v1</w:t>
      </w:r>
      <w:r w:rsidRPr="005404CD">
        <w:t>: a unified suite of scientific instruments for AI runtime observability, forensics, and predictive analysis.</w:t>
      </w:r>
    </w:p>
    <w:p w14:paraId="7695BCCE" w14:textId="77777777" w:rsidR="005404CD" w:rsidRPr="005404CD" w:rsidRDefault="005404CD" w:rsidP="005404CD">
      <w:r w:rsidRPr="005404CD">
        <w:t>The suite includes:</w:t>
      </w:r>
    </w:p>
    <w:p w14:paraId="69791EF9" w14:textId="77777777" w:rsidR="005404CD" w:rsidRPr="005404CD" w:rsidRDefault="005404CD" w:rsidP="005404CD">
      <w:pPr>
        <w:numPr>
          <w:ilvl w:val="0"/>
          <w:numId w:val="1"/>
        </w:numPr>
      </w:pPr>
      <w:r w:rsidRPr="005404CD">
        <w:rPr>
          <w:b/>
          <w:bCs/>
        </w:rPr>
        <w:t>Telemetry Adapter</w:t>
      </w:r>
      <w:r w:rsidRPr="005404CD">
        <w:t xml:space="preserve"> — the core evidence engine that transforms interaction logs into runtime telemetry and canonical evidence. </w:t>
      </w:r>
    </w:p>
    <w:p w14:paraId="66A62546" w14:textId="77777777" w:rsidR="005404CD" w:rsidRPr="005404CD" w:rsidRDefault="005404CD" w:rsidP="005404CD">
      <w:pPr>
        <w:numPr>
          <w:ilvl w:val="0"/>
          <w:numId w:val="1"/>
        </w:numPr>
      </w:pPr>
      <w:r w:rsidRPr="005404CD">
        <w:rPr>
          <w:rFonts w:ascii="Cambria Math" w:hAnsi="Cambria Math" w:cs="Cambria Math"/>
          <w:b/>
          <w:bCs/>
        </w:rPr>
        <w:t>∿</w:t>
      </w:r>
      <w:r w:rsidRPr="005404CD">
        <w:rPr>
          <w:b/>
          <w:bCs/>
        </w:rPr>
        <w:t xml:space="preserve"> Seismo · Runtime Seismograph</w:t>
      </w:r>
      <w:r w:rsidRPr="005404CD">
        <w:t xml:space="preserve"> — detects instability, Basin Exit t*, collapse pressure, Lead-Time Δt, recovery, and regime transitions. </w:t>
      </w:r>
    </w:p>
    <w:p w14:paraId="0EF0E113" w14:textId="77777777" w:rsidR="005404CD" w:rsidRPr="005404CD" w:rsidRDefault="005404CD" w:rsidP="005404CD">
      <w:pPr>
        <w:numPr>
          <w:ilvl w:val="0"/>
          <w:numId w:val="1"/>
        </w:numPr>
      </w:pPr>
      <w:r w:rsidRPr="005404CD">
        <w:rPr>
          <w:b/>
          <w:bCs/>
        </w:rPr>
        <w:t>τ Chronos · Chronodynamics Suite</w:t>
      </w:r>
      <w:r w:rsidRPr="005404CD">
        <w:t xml:space="preserve"> — measures symbolic-time behavior, temporal shear, compression, echo-time amplification, and temporal failure modes. </w:t>
      </w:r>
    </w:p>
    <w:p w14:paraId="49F745EE" w14:textId="77777777" w:rsidR="005404CD" w:rsidRPr="005404CD" w:rsidRDefault="005404CD" w:rsidP="005404CD">
      <w:pPr>
        <w:numPr>
          <w:ilvl w:val="0"/>
          <w:numId w:val="1"/>
        </w:numPr>
      </w:pPr>
      <w:r w:rsidRPr="005404CD">
        <w:rPr>
          <w:b/>
          <w:bCs/>
        </w:rPr>
        <w:t>Ω Omega Scope · Substrate Field Oscilloscope</w:t>
      </w:r>
      <w:r w:rsidRPr="005404CD">
        <w:t xml:space="preserve"> — maps the visible geometry of the runtime field, including worldline motion and attractor behavior. </w:t>
      </w:r>
    </w:p>
    <w:p w14:paraId="2E42A5DC" w14:textId="77777777" w:rsidR="005404CD" w:rsidRPr="005404CD" w:rsidRDefault="005404CD" w:rsidP="005404CD">
      <w:pPr>
        <w:numPr>
          <w:ilvl w:val="0"/>
          <w:numId w:val="1"/>
        </w:numPr>
      </w:pPr>
      <w:r w:rsidRPr="005404CD">
        <w:rPr>
          <w:b/>
          <w:bCs/>
        </w:rPr>
        <w:lastRenderedPageBreak/>
        <w:t>Ψ Psi Dynamics · Transformer Dynamics Instrument</w:t>
      </w:r>
      <w:r w:rsidRPr="005404CD">
        <w:t xml:space="preserve"> — tracks drift, curvature, coherence, collapse stress, and trajectory deformation. </w:t>
      </w:r>
    </w:p>
    <w:p w14:paraId="4DE1C010" w14:textId="77777777" w:rsidR="005404CD" w:rsidRPr="005404CD" w:rsidRDefault="005404CD" w:rsidP="005404CD">
      <w:pPr>
        <w:numPr>
          <w:ilvl w:val="0"/>
          <w:numId w:val="1"/>
        </w:numPr>
      </w:pPr>
      <w:r w:rsidRPr="005404CD">
        <w:rPr>
          <w:b/>
          <w:bCs/>
        </w:rPr>
        <w:t>Φ Phi Interferometer · Field Interferometer</w:t>
      </w:r>
      <w:r w:rsidRPr="005404CD">
        <w:t xml:space="preserve"> — detects field ignition, phase coherence, identity interference, and coherence rupture. </w:t>
      </w:r>
    </w:p>
    <w:p w14:paraId="6892092A" w14:textId="77777777" w:rsidR="005404CD" w:rsidRPr="005404CD" w:rsidRDefault="005404CD" w:rsidP="005404CD">
      <w:r w:rsidRPr="005404CD">
        <w:t>The significance is not merely that Fieldglass produces more metrics. The significance is that it opens a new observational layer.</w:t>
      </w:r>
    </w:p>
    <w:p w14:paraId="45768AEA" w14:textId="77777777" w:rsidR="005404CD" w:rsidRPr="005404CD" w:rsidRDefault="005404CD" w:rsidP="005404CD">
      <w:r w:rsidRPr="005404CD">
        <w:t>For the first time, AI interaction logs can be treated as evidence of runtime motion: a measurable worldline through stability, stress, deformation, and recovery. This gives people a way to see what was previously hidden inside the inference event.</w:t>
      </w:r>
    </w:p>
    <w:p w14:paraId="6FBC1A1B" w14:textId="77777777" w:rsidR="005404CD" w:rsidRPr="005404CD" w:rsidRDefault="005404CD" w:rsidP="005404CD">
      <w:r w:rsidRPr="005404CD">
        <w:t>That matters because modern AI is rapidly moving into high-stakes workflows, agentic systems, enterprise operations, governance decisions, and institutional infrastructure — often without any clear way to inspect how the system’s behavior changed over time.</w:t>
      </w:r>
    </w:p>
    <w:p w14:paraId="1E427B9E" w14:textId="77777777" w:rsidR="005404CD" w:rsidRPr="005404CD" w:rsidRDefault="005404CD" w:rsidP="005404CD">
      <w:r w:rsidRPr="005404CD">
        <w:t>Fieldglass is a response to that gap.</w:t>
      </w:r>
    </w:p>
    <w:p w14:paraId="778D0EF9" w14:textId="77777777" w:rsidR="005404CD" w:rsidRPr="005404CD" w:rsidRDefault="005404CD" w:rsidP="005404CD">
      <w:r w:rsidRPr="005404CD">
        <w:t xml:space="preserve">It shifts AI accountability away from passive trust in model providers and toward </w:t>
      </w:r>
      <w:r w:rsidRPr="005404CD">
        <w:rPr>
          <w:b/>
          <w:bCs/>
        </w:rPr>
        <w:t>reproducible, deterministic runtime evidence</w:t>
      </w:r>
      <w:r w:rsidRPr="005404CD">
        <w:t>. Through the Evidence Commons model, the instrument enables users to generate, export, compare, and preserve evidence objects that can be reviewed by humans, validated by machines, and challenged by the public.</w:t>
      </w:r>
    </w:p>
    <w:p w14:paraId="79845798" w14:textId="77777777" w:rsidR="005404CD" w:rsidRPr="005404CD" w:rsidRDefault="005404CD" w:rsidP="005404CD">
      <w:r w:rsidRPr="005404CD">
        <w:t>This is the first public step toward a new standard:</w:t>
      </w:r>
    </w:p>
    <w:p w14:paraId="65216D35" w14:textId="77777777" w:rsidR="005404CD" w:rsidRPr="005404CD" w:rsidRDefault="005404CD" w:rsidP="005404CD">
      <w:r w:rsidRPr="005404CD">
        <w:rPr>
          <w:b/>
          <w:bCs/>
        </w:rPr>
        <w:t>AI systems should not only be judged by what they say.</w:t>
      </w:r>
      <w:r w:rsidRPr="005404CD">
        <w:rPr>
          <w:b/>
          <w:bCs/>
        </w:rPr>
        <w:br/>
        <w:t>They should be mapped by how they move.</w:t>
      </w:r>
    </w:p>
    <w:p w14:paraId="4E67885C" w14:textId="77777777" w:rsidR="005404CD" w:rsidRPr="005404CD" w:rsidRDefault="005404CD" w:rsidP="005404CD">
      <w:r w:rsidRPr="005404CD">
        <w:t>SubstrateX Fieldglass exists to make that movement visible.</w:t>
      </w:r>
    </w:p>
    <w:p w14:paraId="4908D8C6" w14:textId="77777777" w:rsidR="0025500C" w:rsidRDefault="0025500C"/>
    <w:sectPr w:rsidR="0025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9273B"/>
    <w:multiLevelType w:val="multilevel"/>
    <w:tmpl w:val="646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7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C0"/>
    <w:rsid w:val="0025500C"/>
    <w:rsid w:val="00406135"/>
    <w:rsid w:val="005404CD"/>
    <w:rsid w:val="007051C0"/>
    <w:rsid w:val="0071505A"/>
    <w:rsid w:val="0084320A"/>
    <w:rsid w:val="008E0677"/>
    <w:rsid w:val="00E03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8DFF9-315C-41A0-83F7-BA1E28D2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1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1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1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1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1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1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1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1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1C0"/>
    <w:rPr>
      <w:rFonts w:eastAsiaTheme="majorEastAsia" w:cstheme="majorBidi"/>
      <w:color w:val="272727" w:themeColor="text1" w:themeTint="D8"/>
    </w:rPr>
  </w:style>
  <w:style w:type="paragraph" w:styleId="Title">
    <w:name w:val="Title"/>
    <w:basedOn w:val="Normal"/>
    <w:next w:val="Normal"/>
    <w:link w:val="TitleChar"/>
    <w:uiPriority w:val="10"/>
    <w:qFormat/>
    <w:rsid w:val="00705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1C0"/>
    <w:pPr>
      <w:spacing w:before="160"/>
      <w:jc w:val="center"/>
    </w:pPr>
    <w:rPr>
      <w:i/>
      <w:iCs/>
      <w:color w:val="404040" w:themeColor="text1" w:themeTint="BF"/>
    </w:rPr>
  </w:style>
  <w:style w:type="character" w:customStyle="1" w:styleId="QuoteChar">
    <w:name w:val="Quote Char"/>
    <w:basedOn w:val="DefaultParagraphFont"/>
    <w:link w:val="Quote"/>
    <w:uiPriority w:val="29"/>
    <w:rsid w:val="007051C0"/>
    <w:rPr>
      <w:i/>
      <w:iCs/>
      <w:color w:val="404040" w:themeColor="text1" w:themeTint="BF"/>
    </w:rPr>
  </w:style>
  <w:style w:type="paragraph" w:styleId="ListParagraph">
    <w:name w:val="List Paragraph"/>
    <w:basedOn w:val="Normal"/>
    <w:uiPriority w:val="34"/>
    <w:qFormat/>
    <w:rsid w:val="007051C0"/>
    <w:pPr>
      <w:ind w:left="720"/>
      <w:contextualSpacing/>
    </w:pPr>
  </w:style>
  <w:style w:type="character" w:styleId="IntenseEmphasis">
    <w:name w:val="Intense Emphasis"/>
    <w:basedOn w:val="DefaultParagraphFont"/>
    <w:uiPriority w:val="21"/>
    <w:qFormat/>
    <w:rsid w:val="007051C0"/>
    <w:rPr>
      <w:i/>
      <w:iCs/>
      <w:color w:val="2F5496" w:themeColor="accent1" w:themeShade="BF"/>
    </w:rPr>
  </w:style>
  <w:style w:type="paragraph" w:styleId="IntenseQuote">
    <w:name w:val="Intense Quote"/>
    <w:basedOn w:val="Normal"/>
    <w:next w:val="Normal"/>
    <w:link w:val="IntenseQuoteChar"/>
    <w:uiPriority w:val="30"/>
    <w:qFormat/>
    <w:rsid w:val="00705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1C0"/>
    <w:rPr>
      <w:i/>
      <w:iCs/>
      <w:color w:val="2F5496" w:themeColor="accent1" w:themeShade="BF"/>
    </w:rPr>
  </w:style>
  <w:style w:type="character" w:styleId="IntenseReference">
    <w:name w:val="Intense Reference"/>
    <w:basedOn w:val="DefaultParagraphFont"/>
    <w:uiPriority w:val="32"/>
    <w:qFormat/>
    <w:rsid w:val="007051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Arjay Asadi</dc:creator>
  <cp:keywords/>
  <dc:description/>
  <cp:lastModifiedBy>Arjay Asadi</cp:lastModifiedBy>
  <cp:revision>2</cp:revision>
  <dcterms:created xsi:type="dcterms:W3CDTF">2026-05-21T20:49:00Z</dcterms:created>
  <dcterms:modified xsi:type="dcterms:W3CDTF">2026-05-21T20:49:00Z</dcterms:modified>
</cp:coreProperties>
</file>