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CE9A" w14:textId="38304F67" w:rsidR="00F21A1B" w:rsidRPr="00715E52" w:rsidRDefault="00220D48" w:rsidP="00C31BEF">
      <w:pPr>
        <w:spacing w:after="120"/>
        <w:rPr>
          <w:rFonts w:cstheme="minorHAnsi"/>
          <w:b/>
          <w:bCs/>
          <w:color w:val="000000" w:themeColor="text1"/>
          <w:sz w:val="28"/>
          <w:szCs w:val="28"/>
        </w:rPr>
      </w:pPr>
      <w:bookmarkStart w:id="0" w:name="_Hlk218262451"/>
      <w:r w:rsidRPr="00715E52">
        <w:rPr>
          <w:rFonts w:cstheme="minorHAnsi"/>
          <w:b/>
          <w:bCs/>
          <w:noProof/>
          <w:color w:val="F0B83B"/>
        </w:rPr>
        <w:drawing>
          <wp:anchor distT="0" distB="0" distL="114300" distR="114300" simplePos="0" relativeHeight="251658240" behindDoc="0" locked="0" layoutInCell="1" allowOverlap="1" wp14:anchorId="4FC6E8BE" wp14:editId="2C2FBF44">
            <wp:simplePos x="0" y="0"/>
            <wp:positionH relativeFrom="margin">
              <wp:align>left</wp:align>
            </wp:positionH>
            <wp:positionV relativeFrom="paragraph">
              <wp:posOffset>0</wp:posOffset>
            </wp:positionV>
            <wp:extent cx="1219200" cy="1202055"/>
            <wp:effectExtent l="0" t="0" r="0" b="0"/>
            <wp:wrapSquare wrapText="bothSides"/>
            <wp:docPr id="8103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504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200" cy="1202055"/>
                    </a:xfrm>
                    <a:prstGeom prst="rect">
                      <a:avLst/>
                    </a:prstGeom>
                  </pic:spPr>
                </pic:pic>
              </a:graphicData>
            </a:graphic>
            <wp14:sizeRelH relativeFrom="margin">
              <wp14:pctWidth>0</wp14:pctWidth>
            </wp14:sizeRelH>
            <wp14:sizeRelV relativeFrom="margin">
              <wp14:pctHeight>0</wp14:pctHeight>
            </wp14:sizeRelV>
          </wp:anchor>
        </w:drawing>
      </w:r>
    </w:p>
    <w:bookmarkEnd w:id="0"/>
    <w:p w14:paraId="6D78C192" w14:textId="7A94C401" w:rsidR="00C31BEF" w:rsidRPr="00715E52" w:rsidRDefault="008B4C55" w:rsidP="008B4C55">
      <w:pPr>
        <w:spacing w:after="0"/>
        <w:ind w:left="720"/>
        <w:rPr>
          <w:rFonts w:cstheme="minorHAnsi"/>
          <w:b/>
          <w:bCs/>
          <w:color w:val="F0B83B"/>
        </w:rPr>
      </w:pPr>
      <w:r w:rsidRPr="00715E52">
        <w:rPr>
          <w:rFonts w:cstheme="minorHAnsi"/>
          <w:b/>
          <w:bCs/>
          <w:color w:val="F0B83B"/>
        </w:rPr>
        <w:br/>
      </w:r>
      <w:bookmarkStart w:id="1" w:name="_Hlk214123080"/>
    </w:p>
    <w:p w14:paraId="24C1AE66" w14:textId="77777777" w:rsidR="008B4C55" w:rsidRPr="00715E52" w:rsidRDefault="008B4C55" w:rsidP="008B4C55">
      <w:pPr>
        <w:spacing w:after="0"/>
        <w:ind w:left="720"/>
        <w:rPr>
          <w:rFonts w:cstheme="minorHAnsi"/>
          <w:b/>
          <w:bCs/>
          <w:color w:val="F0B83B"/>
        </w:rPr>
      </w:pPr>
    </w:p>
    <w:p w14:paraId="2027FB5B" w14:textId="77777777" w:rsidR="00A2313E" w:rsidRPr="00715E52" w:rsidRDefault="00A2313E" w:rsidP="00922F4C">
      <w:pPr>
        <w:spacing w:after="0"/>
        <w:rPr>
          <w:rFonts w:cstheme="minorHAnsi"/>
          <w:b/>
          <w:bCs/>
          <w:sz w:val="45"/>
          <w:szCs w:val="45"/>
        </w:rPr>
      </w:pPr>
    </w:p>
    <w:p w14:paraId="7350CF94" w14:textId="3E781770" w:rsidR="00A2313E" w:rsidRPr="00715E52" w:rsidRDefault="008B4C55" w:rsidP="00922F4C">
      <w:pPr>
        <w:spacing w:after="0"/>
        <w:rPr>
          <w:rFonts w:cstheme="minorHAnsi"/>
          <w:b/>
          <w:bCs/>
          <w:color w:val="D9D9D9" w:themeColor="background1" w:themeShade="D9"/>
          <w:sz w:val="45"/>
          <w:szCs w:val="45"/>
        </w:rPr>
      </w:pPr>
      <w:r w:rsidRPr="00715E52">
        <w:rPr>
          <w:rFonts w:cstheme="minorHAnsi"/>
          <w:b/>
          <w:bCs/>
          <w:sz w:val="45"/>
          <w:szCs w:val="45"/>
        </w:rPr>
        <w:t>Substrate</w:t>
      </w:r>
      <w:r w:rsidRPr="00715E52">
        <w:rPr>
          <w:rFonts w:cstheme="minorHAnsi"/>
          <w:b/>
          <w:bCs/>
          <w:color w:val="4F46E5"/>
          <w:sz w:val="45"/>
          <w:szCs w:val="45"/>
        </w:rPr>
        <w:t>X</w:t>
      </w:r>
      <w:r w:rsidR="00922F4C" w:rsidRPr="00715E52">
        <w:rPr>
          <w:rFonts w:cstheme="minorHAnsi"/>
          <w:b/>
          <w:bCs/>
          <w:color w:val="D9D9D9" w:themeColor="background1" w:themeShade="D9"/>
          <w:sz w:val="45"/>
          <w:szCs w:val="45"/>
        </w:rPr>
        <w:t>®</w:t>
      </w:r>
      <w:r w:rsidR="00A2313E" w:rsidRPr="00715E52">
        <w:rPr>
          <w:rFonts w:cstheme="minorHAnsi"/>
          <w:b/>
          <w:bCs/>
          <w:color w:val="D9D9D9" w:themeColor="background1" w:themeShade="D9"/>
          <w:sz w:val="45"/>
          <w:szCs w:val="45"/>
        </w:rPr>
        <w:t xml:space="preserve"> </w:t>
      </w:r>
      <w:r w:rsidR="00922F4C" w:rsidRPr="00715E52">
        <w:rPr>
          <w:rFonts w:cstheme="minorHAnsi"/>
          <w:b/>
          <w:bCs/>
          <w:color w:val="000000" w:themeColor="text1"/>
          <w:sz w:val="45"/>
          <w:szCs w:val="45"/>
        </w:rPr>
        <w:t xml:space="preserve">Longitudinal </w:t>
      </w:r>
      <w:r w:rsidR="00922F4C" w:rsidRPr="00715E52">
        <w:rPr>
          <w:rFonts w:cstheme="minorHAnsi"/>
          <w:color w:val="000000" w:themeColor="text1"/>
          <w:sz w:val="45"/>
          <w:szCs w:val="45"/>
        </w:rPr>
        <w:t>Labs</w:t>
      </w:r>
      <w:r w:rsidR="00922F4C" w:rsidRPr="00715E52">
        <w:rPr>
          <w:rFonts w:cstheme="minorHAnsi"/>
          <w:color w:val="D9D9D9" w:themeColor="background1" w:themeShade="D9"/>
          <w:sz w:val="45"/>
          <w:szCs w:val="45"/>
        </w:rPr>
        <w:t xml:space="preserve"> </w:t>
      </w:r>
    </w:p>
    <w:p w14:paraId="2D8ECCA0" w14:textId="77777777" w:rsidR="00220D48" w:rsidRPr="00715E52" w:rsidRDefault="00A2313E" w:rsidP="00220D48">
      <w:pPr>
        <w:spacing w:after="0"/>
        <w:rPr>
          <w:rFonts w:cstheme="minorHAnsi"/>
          <w:i/>
          <w:iCs/>
          <w:color w:val="D9D9D9" w:themeColor="background1" w:themeShade="D9"/>
        </w:rPr>
      </w:pPr>
      <w:r w:rsidRPr="00715E52">
        <w:rPr>
          <w:rFonts w:cstheme="minorHAnsi"/>
          <w:i/>
          <w:iCs/>
          <w:color w:val="808080" w:themeColor="background1" w:themeShade="80"/>
        </w:rPr>
        <w:t>Instrumenting Intelligence in Motion</w:t>
      </w:r>
      <w:r w:rsidRPr="00715E52">
        <w:rPr>
          <w:rFonts w:cstheme="minorHAnsi"/>
          <w:i/>
          <w:iCs/>
          <w:color w:val="D9D9D9" w:themeColor="background1" w:themeShade="D9"/>
        </w:rPr>
        <w:t>™</w:t>
      </w:r>
    </w:p>
    <w:p w14:paraId="503ABAF8" w14:textId="77777777" w:rsidR="00220D48" w:rsidRPr="00715E52" w:rsidRDefault="00220D48" w:rsidP="00220D48">
      <w:pPr>
        <w:spacing w:after="0"/>
        <w:rPr>
          <w:rFonts w:cstheme="minorHAnsi"/>
          <w:i/>
          <w:iCs/>
          <w:color w:val="D9D9D9" w:themeColor="background1" w:themeShade="D9"/>
        </w:rPr>
      </w:pPr>
    </w:p>
    <w:p w14:paraId="06A27710" w14:textId="5A4CD2AA" w:rsidR="00220D48" w:rsidRPr="00715E52" w:rsidRDefault="00220D48" w:rsidP="00220D48">
      <w:pPr>
        <w:spacing w:after="0"/>
        <w:rPr>
          <w:rFonts w:cstheme="minorHAnsi"/>
          <w:i/>
          <w:iCs/>
          <w:color w:val="D9D9D9" w:themeColor="background1" w:themeShade="D9"/>
        </w:rPr>
      </w:pPr>
      <w:r w:rsidRPr="00715E52">
        <w:rPr>
          <w:rFonts w:cstheme="minorHAnsi"/>
        </w:rPr>
        <w:pict w14:anchorId="1F781C62">
          <v:rect id="_x0000_i1083" style="width:468pt;height:1.5pt;mso-position-horizontal:absolute;mso-position-horizontal-relative:text;mso-position-vertical:absolute;mso-position-vertical-relative:text" o:hralign="right" o:hrstd="t" o:hrnoshade="t" o:hr="t" fillcolor="#d8d8d8 [2732]" stroked="f"/>
        </w:pict>
      </w:r>
    </w:p>
    <w:p w14:paraId="1FA8960E" w14:textId="77777777" w:rsidR="00220D48" w:rsidRPr="00715E52" w:rsidRDefault="00220D48" w:rsidP="00220D48">
      <w:pPr>
        <w:spacing w:after="0"/>
        <w:rPr>
          <w:rFonts w:cstheme="minorHAnsi"/>
          <w:i/>
          <w:iCs/>
          <w:color w:val="D9D9D9" w:themeColor="background1" w:themeShade="D9"/>
        </w:rPr>
      </w:pPr>
    </w:p>
    <w:bookmarkEnd w:id="1"/>
    <w:p w14:paraId="640072E6" w14:textId="39E3EFCD" w:rsidR="005B7C5B" w:rsidRPr="005B7C5B" w:rsidRDefault="005B7C5B" w:rsidP="005B7C5B">
      <w:pPr>
        <w:pStyle w:val="Title"/>
        <w:keepNext/>
        <w:rPr>
          <w:rFonts w:asciiTheme="minorHAnsi" w:eastAsia="Arial" w:hAnsiTheme="minorHAnsi" w:cstheme="minorHAnsi"/>
          <w:color w:val="000000" w:themeColor="text1"/>
          <w:sz w:val="44"/>
          <w:szCs w:val="44"/>
        </w:rPr>
      </w:pPr>
      <w:r w:rsidRPr="005B7C5B">
        <w:rPr>
          <w:rFonts w:ascii="Arial" w:eastAsia="Arial" w:hAnsi="Arial"/>
          <w:b/>
          <w:color w:val="000000"/>
          <w:sz w:val="44"/>
          <w:szCs w:val="44"/>
        </w:rPr>
        <w:t>Validating Longitudinal Computational Dynamics</w:t>
      </w:r>
      <w:r w:rsidR="00220D48" w:rsidRPr="005B7C5B">
        <w:rPr>
          <w:rFonts w:asciiTheme="minorHAnsi" w:eastAsia="Arial" w:hAnsiTheme="minorHAnsi" w:cstheme="minorHAnsi"/>
          <w:color w:val="000000" w:themeColor="text1"/>
          <w:sz w:val="44"/>
          <w:szCs w:val="44"/>
        </w:rPr>
        <w:t xml:space="preserve">: </w:t>
      </w:r>
      <w:r w:rsidRPr="005B7C5B">
        <w:rPr>
          <w:rFonts w:ascii="Arial" w:eastAsia="Arial" w:hAnsi="Arial"/>
          <w:color w:val="000000"/>
          <w:sz w:val="44"/>
          <w:szCs w:val="44"/>
        </w:rPr>
        <w:t>Deterministic Runtime Evidence and Discrimination of Computational Regime Transitions</w:t>
      </w:r>
    </w:p>
    <w:p w14:paraId="4BCAA255" w14:textId="0044DEEA" w:rsidR="00220D48" w:rsidRPr="00715E52" w:rsidRDefault="00220D48" w:rsidP="00220D48">
      <w:pPr>
        <w:spacing w:after="0"/>
        <w:rPr>
          <w:rFonts w:cstheme="minorHAnsi"/>
          <w:i/>
          <w:iCs/>
          <w:color w:val="D9D9D9" w:themeColor="background1" w:themeShade="D9"/>
        </w:rPr>
      </w:pPr>
    </w:p>
    <w:p w14:paraId="3CA9CF24" w14:textId="77777777" w:rsidR="00220D48" w:rsidRPr="00715E52" w:rsidRDefault="00220D48" w:rsidP="00220D48">
      <w:pPr>
        <w:spacing w:after="0"/>
        <w:rPr>
          <w:rFonts w:cstheme="minorHAnsi"/>
          <w:i/>
          <w:iCs/>
          <w:color w:val="D9D9D9" w:themeColor="background1" w:themeShade="D9"/>
        </w:rPr>
      </w:pPr>
    </w:p>
    <w:p w14:paraId="15D7B9CC" w14:textId="77777777" w:rsidR="00220D48" w:rsidRPr="00715E52" w:rsidRDefault="00220D48" w:rsidP="00220D48">
      <w:pPr>
        <w:spacing w:after="0"/>
        <w:rPr>
          <w:rFonts w:cstheme="minorHAnsi"/>
          <w:i/>
          <w:iCs/>
          <w:color w:val="D9D9D9" w:themeColor="background1" w:themeShade="D9"/>
        </w:rPr>
      </w:pPr>
    </w:p>
    <w:p w14:paraId="3B1E9747" w14:textId="7C89F0AC" w:rsidR="00220D48" w:rsidRPr="00715E52" w:rsidRDefault="002A5935" w:rsidP="00220D48">
      <w:pPr>
        <w:spacing w:after="0"/>
        <w:rPr>
          <w:rFonts w:cstheme="minorHAnsi"/>
          <w:i/>
          <w:iCs/>
          <w:color w:val="D9D9D9" w:themeColor="background1" w:themeShade="D9"/>
        </w:rPr>
      </w:pPr>
      <w:r w:rsidRPr="00715E52">
        <w:rPr>
          <w:rFonts w:cstheme="minorHAnsi"/>
        </w:rPr>
        <w:t>SubstrateX</w:t>
      </w:r>
      <w:r w:rsidRPr="00715E52">
        <w:rPr>
          <w:rFonts w:cstheme="minorHAnsi"/>
          <w:color w:val="D9D9D9" w:themeColor="background1" w:themeShade="D9"/>
        </w:rPr>
        <w:t>®</w:t>
      </w:r>
      <w:r w:rsidRPr="00715E52">
        <w:rPr>
          <w:rFonts w:cstheme="minorHAnsi"/>
        </w:rPr>
        <w:t xml:space="preserve"> Longitudinal Computational Dynamics Series · </w:t>
      </w:r>
      <w:r w:rsidRPr="00715E52">
        <w:rPr>
          <w:rFonts w:cstheme="minorHAnsi"/>
        </w:rPr>
        <w:br/>
      </w:r>
      <w:r w:rsidRPr="00715E52">
        <w:rPr>
          <w:rFonts w:cstheme="minorHAnsi"/>
        </w:rPr>
        <w:t xml:space="preserve">Paper </w:t>
      </w:r>
      <w:r w:rsidR="005B7C5B">
        <w:rPr>
          <w:rFonts w:cstheme="minorHAnsi"/>
        </w:rPr>
        <w:t>2</w:t>
      </w:r>
      <w:r w:rsidRPr="00715E52">
        <w:rPr>
          <w:rFonts w:cstheme="minorHAnsi"/>
        </w:rPr>
        <w:t xml:space="preserve"> · Version 1.0 · October 2026</w:t>
      </w:r>
    </w:p>
    <w:p w14:paraId="17236BFC" w14:textId="77777777" w:rsidR="00220D48" w:rsidRPr="00715E52" w:rsidRDefault="00220D48" w:rsidP="00220D48">
      <w:pPr>
        <w:spacing w:after="0"/>
        <w:rPr>
          <w:rFonts w:cstheme="minorHAnsi"/>
          <w:i/>
          <w:iCs/>
          <w:color w:val="D9D9D9" w:themeColor="background1" w:themeShade="D9"/>
        </w:rPr>
      </w:pPr>
    </w:p>
    <w:p w14:paraId="1FE0B598" w14:textId="77777777" w:rsidR="00220D48" w:rsidRPr="00715E52" w:rsidRDefault="00220D48" w:rsidP="00220D48">
      <w:pPr>
        <w:spacing w:after="0"/>
        <w:rPr>
          <w:rFonts w:cstheme="minorHAnsi"/>
          <w:i/>
          <w:iCs/>
          <w:color w:val="D9D9D9" w:themeColor="background1" w:themeShade="D9"/>
        </w:rPr>
      </w:pPr>
    </w:p>
    <w:p w14:paraId="64023446" w14:textId="44F2562C" w:rsidR="00016C74" w:rsidRPr="00715E52" w:rsidRDefault="00016C74" w:rsidP="00220D48">
      <w:pPr>
        <w:spacing w:after="0"/>
        <w:rPr>
          <w:rFonts w:cstheme="minorHAnsi"/>
          <w:color w:val="000000" w:themeColor="text1"/>
        </w:rPr>
      </w:pPr>
      <w:r w:rsidRPr="00715E52">
        <w:rPr>
          <w:rFonts w:cstheme="minorHAnsi"/>
          <w:b/>
          <w:bCs/>
        </w:rPr>
        <w:t>Author: Arjay Asadi</w:t>
      </w:r>
      <w:r w:rsidRPr="00715E52">
        <w:rPr>
          <w:rFonts w:cstheme="minorHAnsi"/>
          <w:b/>
          <w:bCs/>
        </w:rPr>
        <w:br/>
        <w:t xml:space="preserve">Position: </w:t>
      </w:r>
      <w:r w:rsidRPr="00715E52">
        <w:rPr>
          <w:rFonts w:cstheme="minorHAnsi"/>
        </w:rPr>
        <w:t>Founding Architect, SubstrateX</w:t>
      </w:r>
      <w:r w:rsidRPr="00715E52">
        <w:rPr>
          <w:rFonts w:cstheme="minorHAnsi"/>
          <w:color w:val="D9D9D9" w:themeColor="background1" w:themeShade="D9"/>
        </w:rPr>
        <w:t>®</w:t>
      </w:r>
      <w:r w:rsidRPr="00715E52">
        <w:rPr>
          <w:rFonts w:cstheme="minorHAnsi"/>
          <w:b/>
          <w:bCs/>
        </w:rPr>
        <w:br/>
        <w:t xml:space="preserve">Affiliation: </w:t>
      </w:r>
      <w:r w:rsidRPr="00715E52">
        <w:rPr>
          <w:rFonts w:cstheme="minorHAnsi"/>
        </w:rPr>
        <w:t>SubstrateX</w:t>
      </w:r>
      <w:r w:rsidRPr="00715E52">
        <w:rPr>
          <w:rFonts w:cstheme="minorHAnsi"/>
          <w:color w:val="D9D9D9" w:themeColor="background1" w:themeShade="D9"/>
        </w:rPr>
        <w:t>®</w:t>
      </w:r>
      <w:r w:rsidRPr="00715E52">
        <w:rPr>
          <w:rFonts w:cstheme="minorHAnsi"/>
        </w:rPr>
        <w:t xml:space="preserve"> Longitudinal Labs</w:t>
      </w:r>
      <w:r w:rsidRPr="00715E52">
        <w:rPr>
          <w:rFonts w:cstheme="minorHAnsi"/>
          <w:b/>
          <w:bCs/>
        </w:rPr>
        <w:br/>
        <w:t xml:space="preserve">Research: </w:t>
      </w:r>
      <w:r w:rsidRPr="00715E52">
        <w:rPr>
          <w:rFonts w:cstheme="minorHAnsi"/>
        </w:rPr>
        <w:t>Longitudinal Computational Dynamics · Longitudinal Computational Behavior · Evidence-Governed Computation · Runtime Evidence Infrastructure</w:t>
      </w:r>
      <w:r w:rsidRPr="00715E52">
        <w:rPr>
          <w:rFonts w:cstheme="minorHAnsi"/>
          <w:b/>
          <w:bCs/>
        </w:rPr>
        <w:br/>
        <w:t>Correspondence:</w:t>
      </w:r>
      <w:r w:rsidRPr="00715E52">
        <w:rPr>
          <w:rFonts w:cstheme="minorHAnsi"/>
          <w:color w:val="000000" w:themeColor="text1"/>
        </w:rPr>
        <w:t xml:space="preserve"> </w:t>
      </w:r>
      <w:hyperlink r:id="rId9" w:history="1">
        <w:r w:rsidRPr="00715E52">
          <w:rPr>
            <w:rStyle w:val="Hyperlink"/>
            <w:rFonts w:cstheme="minorHAnsi"/>
            <w:color w:val="000000" w:themeColor="text1"/>
          </w:rPr>
          <w:t>arjay.asadi@substratex.ai</w:t>
        </w:r>
      </w:hyperlink>
      <w:r w:rsidRPr="00715E52">
        <w:rPr>
          <w:rFonts w:cstheme="minorHAnsi"/>
          <w:b/>
          <w:bCs/>
          <w:color w:val="000000" w:themeColor="text1"/>
        </w:rPr>
        <w:br/>
        <w:t xml:space="preserve">Web: </w:t>
      </w:r>
      <w:hyperlink r:id="rId10" w:history="1">
        <w:r w:rsidRPr="00715E52">
          <w:rPr>
            <w:rStyle w:val="Hyperlink"/>
            <w:rFonts w:cstheme="minorHAnsi"/>
            <w:color w:val="000000" w:themeColor="text1"/>
          </w:rPr>
          <w:t>www.arjayasadi.com</w:t>
        </w:r>
      </w:hyperlink>
    </w:p>
    <w:p w14:paraId="3266C154" w14:textId="77777777" w:rsidR="00220D48" w:rsidRPr="00715E52" w:rsidRDefault="00220D48" w:rsidP="00220D48">
      <w:pPr>
        <w:spacing w:after="0"/>
        <w:rPr>
          <w:rFonts w:cstheme="minorHAnsi"/>
          <w:i/>
          <w:iCs/>
          <w:color w:val="D9D9D9" w:themeColor="background1" w:themeShade="D9"/>
        </w:rPr>
      </w:pPr>
    </w:p>
    <w:p w14:paraId="10118919" w14:textId="3FBDDD0B" w:rsidR="00FF3B22" w:rsidRPr="00715E52" w:rsidRDefault="00220D48" w:rsidP="00C31BEF">
      <w:pPr>
        <w:spacing w:after="120"/>
        <w:rPr>
          <w:rFonts w:cstheme="minorHAnsi"/>
          <w:color w:val="000000" w:themeColor="text1"/>
        </w:rPr>
      </w:pPr>
      <w:r w:rsidRPr="00715E52">
        <w:rPr>
          <w:rFonts w:cstheme="minorHAnsi"/>
        </w:rPr>
        <w:pict w14:anchorId="4982F355">
          <v:rect id="_x0000_i1085" style="width:468pt;height:1.5pt;mso-position-horizontal:absolute;mso-position-horizontal-relative:text;mso-position-vertical:absolute;mso-position-vertical-relative:text" o:hralign="right" o:hrstd="t" o:hrnoshade="t" o:hr="t" fillcolor="#d8d8d8 [2732]" stroked="f"/>
        </w:pict>
      </w:r>
    </w:p>
    <w:p w14:paraId="760916AA" w14:textId="2B137E5F" w:rsidR="00C31BEF" w:rsidRPr="00715E52" w:rsidRDefault="002A5935" w:rsidP="00C31BEF">
      <w:pPr>
        <w:rPr>
          <w:rFonts w:cstheme="minorHAnsi"/>
        </w:rPr>
      </w:pPr>
      <w:r w:rsidRPr="00715E52">
        <w:rPr>
          <w:rFonts w:cstheme="minorHAnsi"/>
        </w:rPr>
        <w:t>© 2026 Arjay Asadi. All Rights Reserved.</w:t>
      </w:r>
      <w:r w:rsidRPr="00715E52">
        <w:rPr>
          <w:rFonts w:cstheme="minorHAnsi"/>
        </w:rPr>
        <w:br/>
        <w:t>Research Access: Non-Commercial Research &amp; Intellectual Exchange Only.</w:t>
      </w:r>
    </w:p>
    <w:p w14:paraId="687A8B8B" w14:textId="71229F4B" w:rsidR="005B7C5B" w:rsidRDefault="00CD05AC" w:rsidP="005B7C5B">
      <w:pPr>
        <w:pStyle w:val="Heading1"/>
        <w:rPr>
          <w:rFonts w:ascii="Segoe UI Emoji" w:hAnsi="Segoe UI Emoji" w:cs="Segoe UI Emoji"/>
          <w:b/>
          <w:bCs/>
          <w:color w:val="4F46E5"/>
          <w:sz w:val="28"/>
          <w:szCs w:val="28"/>
        </w:rPr>
      </w:pPr>
      <w:r w:rsidRPr="00715E52">
        <w:rPr>
          <w:rFonts w:asciiTheme="minorHAnsi" w:hAnsiTheme="minorHAnsi" w:cstheme="minorHAnsi"/>
          <w:b/>
          <w:bCs/>
          <w:color w:val="4F46E5"/>
          <w:sz w:val="28"/>
          <w:szCs w:val="28"/>
        </w:rPr>
        <w:lastRenderedPageBreak/>
        <w:t>Table of Content</w:t>
      </w:r>
      <w:bookmarkStart w:id="2" w:name="_Toc215992921"/>
      <w:bookmarkStart w:id="3" w:name="_Toc216168537"/>
      <w:bookmarkStart w:id="4" w:name="_Toc217392331"/>
      <w:bookmarkStart w:id="5" w:name="_Toc220585161"/>
    </w:p>
    <w:p w14:paraId="41723337"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Abstract</w:t>
      </w:r>
    </w:p>
    <w:p w14:paraId="55239AEC" w14:textId="77777777" w:rsidR="005B7C5B" w:rsidRDefault="005B7C5B" w:rsidP="005B7C5B">
      <w:pPr>
        <w:keepLines/>
        <w:spacing w:after="112"/>
      </w:pPr>
      <w:r>
        <w:rPr>
          <w:rFonts w:ascii="Times New Roman" w:eastAsia="Times New Roman" w:hAnsi="Times New Roman"/>
          <w:color w:val="000000"/>
          <w:sz w:val="20"/>
        </w:rPr>
        <w:t>Longitudinal Computational Dynamics (LCD) is the scientific study of observable computational behavior across extended runtime. Its empirical object, Longitudinal Computational Behavior, is reconstructed from source-bound operational records through declared methods rather than inferred as direct access to hidden model state. The foundational LCD paper defines the scientific object and its principal constructs: trajectory, recurrence, drift, stability, regime, boundary formation, Basin Exit, collapse, recovery, and re-entry. This companion paper addresses the first two validation propositions attached to that framework.</w:t>
      </w:r>
    </w:p>
    <w:p w14:paraId="51FB36AF" w14:textId="77777777" w:rsidR="005B7C5B" w:rsidRDefault="005B7C5B" w:rsidP="005B7C5B">
      <w:pPr>
        <w:spacing w:after="112"/>
      </w:pPr>
      <w:r>
        <w:rPr>
          <w:rFonts w:ascii="Times New Roman" w:eastAsia="Times New Roman" w:hAnsi="Times New Roman"/>
          <w:color w:val="000000"/>
          <w:sz w:val="20"/>
        </w:rPr>
        <w:t xml:space="preserve">The first proposition concerns </w:t>
      </w:r>
      <w:r>
        <w:rPr>
          <w:rFonts w:ascii="Times New Roman" w:eastAsia="Times New Roman" w:hAnsi="Times New Roman"/>
          <w:b/>
          <w:color w:val="000000"/>
          <w:sz w:val="20"/>
        </w:rPr>
        <w:t>computational reproducibility</w:t>
      </w:r>
      <w:r>
        <w:rPr>
          <w:rFonts w:ascii="Times New Roman" w:eastAsia="Times New Roman" w:hAnsi="Times New Roman"/>
          <w:color w:val="000000"/>
          <w:sz w:val="20"/>
        </w:rPr>
        <w:t xml:space="preserve">: the same qualified source, configuration, canonicalization method, and governing versions should reproduce the same deterministic evidence identity and core Runtime Evidence Record. The second concerns </w:t>
      </w:r>
      <w:r>
        <w:rPr>
          <w:rFonts w:ascii="Times New Roman" w:eastAsia="Times New Roman" w:hAnsi="Times New Roman"/>
          <w:b/>
          <w:color w:val="000000"/>
          <w:sz w:val="20"/>
        </w:rPr>
        <w:t>scientific discrimination</w:t>
      </w:r>
      <w:r>
        <w:rPr>
          <w:rFonts w:ascii="Times New Roman" w:eastAsia="Times New Roman" w:hAnsi="Times New Roman"/>
          <w:color w:val="000000"/>
          <w:sz w:val="20"/>
        </w:rPr>
        <w:t>: selected longitudinal measurements should distinguish specified transition cases from stable and negative controls more effectively than declared simple baselines. Both propositions are reported as confirmed within the controlled SubstrateX Aperture™ validation program.</w:t>
      </w:r>
    </w:p>
    <w:p w14:paraId="2D6DC772" w14:textId="77777777" w:rsidR="005B7C5B" w:rsidRDefault="005B7C5B" w:rsidP="005B7C5B">
      <w:pPr>
        <w:spacing w:after="112"/>
      </w:pPr>
      <w:r>
        <w:rPr>
          <w:rFonts w:ascii="Times New Roman" w:eastAsia="Times New Roman" w:hAnsi="Times New Roman"/>
          <w:color w:val="000000"/>
          <w:sz w:val="20"/>
        </w:rPr>
        <w:t>The program currently identifies 26 reported validation cases, eight operational samples, one source-bound 160-turn fixture, fourteen validation protocols, a 25-entry runtime Signal Authority, and a 28-signal research-facing registry. Validation uses a two-object architecture: Aperture computes a Runtime Evidence Record without access to expected outcomes; a separate Validation Comparison Record evaluates that result against a locked expectation map. This separation prevents sample identity, expected labels, case framing, rubric scores, and interface state from becoming evidence inputs.</w:t>
      </w:r>
    </w:p>
    <w:p w14:paraId="67891B28" w14:textId="77777777" w:rsidR="005B7C5B" w:rsidRDefault="005B7C5B" w:rsidP="005B7C5B">
      <w:pPr>
        <w:spacing w:after="112"/>
      </w:pPr>
      <w:r>
        <w:rPr>
          <w:rFonts w:ascii="Times New Roman" w:eastAsia="Times New Roman" w:hAnsi="Times New Roman"/>
          <w:color w:val="000000"/>
          <w:sz w:val="20"/>
        </w:rPr>
        <w:t>The present public record supports the two directional findings but does not yet bind a complete case manifest, repeat counts, case-level numerical results, uncertainty intervals, effect sizes, false-positive and false-negative tables, full ablation outputs, or frozen release and artifact hashes. Those quantities are therefore not inferred or reconstructed in this paper. The result is a bounded validation report: it states what has been established, specifies the methods and reporting objects required to reproduce the claims, and records the remaining publication dependencies. It does not claim universal validity, production-level prediction, causal explanation, hidden-state access, cross-domain generalization, or independent replication.</w:t>
      </w:r>
    </w:p>
    <w:p w14:paraId="11E3B6F5" w14:textId="77777777" w:rsidR="005B7C5B" w:rsidRDefault="005B7C5B" w:rsidP="005B7C5B">
      <w:pPr>
        <w:spacing w:after="112"/>
      </w:pPr>
      <w:r>
        <w:rPr>
          <w:rFonts w:ascii="Times New Roman" w:eastAsia="Times New Roman" w:hAnsi="Times New Roman"/>
          <w:b/>
          <w:color w:val="000000"/>
          <w:sz w:val="20"/>
        </w:rPr>
        <w:t>Keywords:</w:t>
      </w:r>
      <w:r>
        <w:rPr>
          <w:rFonts w:ascii="Times New Roman" w:eastAsia="Times New Roman" w:hAnsi="Times New Roman"/>
          <w:color w:val="000000"/>
          <w:sz w:val="20"/>
        </w:rPr>
        <w:t xml:space="preserve"> Longitudinal Computational Dynamics; Longitudinal Computational Behavior; Runtime Evidence; regime transition; deterministic replay; scientific discrimination; negative controls; Evidence-Governed Computation; SubstrateX Aperture</w:t>
      </w:r>
    </w:p>
    <w:p w14:paraId="67EE9E48"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Introduction</w:t>
      </w:r>
    </w:p>
    <w:p w14:paraId="483B22B9" w14:textId="77777777" w:rsidR="005B7C5B" w:rsidRDefault="005B7C5B" w:rsidP="005B7C5B">
      <w:pPr>
        <w:keepLines/>
        <w:spacing w:after="112"/>
      </w:pPr>
      <w:r>
        <w:rPr>
          <w:rFonts w:ascii="Times New Roman" w:eastAsia="Times New Roman" w:hAnsi="Times New Roman"/>
          <w:color w:val="000000"/>
          <w:sz w:val="20"/>
        </w:rPr>
        <w:t>Contemporary computational evaluation is often organized around endpoints. A model produces an answer, an agent completes or fails a task, a tool call succeeds or errors, or a benchmark assigns a score. These observations are important, but they do not fully characterize systems whose behavior develops through many dependent steps. Long-horizon agents accumulate context, interact with tools, coordinate with people and other agents, revise earlier work, inherit constraints, and encounter disturbances whose effects may form gradually.</w:t>
      </w:r>
    </w:p>
    <w:p w14:paraId="1FAFE2A2" w14:textId="77777777" w:rsidR="005B7C5B" w:rsidRDefault="005B7C5B" w:rsidP="005B7C5B">
      <w:pPr>
        <w:spacing w:after="112"/>
      </w:pPr>
      <w:r>
        <w:rPr>
          <w:rFonts w:ascii="Times New Roman" w:eastAsia="Times New Roman" w:hAnsi="Times New Roman"/>
          <w:color w:val="000000"/>
          <w:sz w:val="20"/>
        </w:rPr>
        <w:t xml:space="preserve">LCD changes the unit of analysis from the isolated output to the </w:t>
      </w:r>
      <w:r>
        <w:rPr>
          <w:rFonts w:ascii="Times New Roman" w:eastAsia="Times New Roman" w:hAnsi="Times New Roman"/>
          <w:b/>
          <w:color w:val="000000"/>
          <w:sz w:val="20"/>
        </w:rPr>
        <w:t>source-bound runtime trajectory</w:t>
      </w:r>
      <w:r>
        <w:rPr>
          <w:rFonts w:ascii="Times New Roman" w:eastAsia="Times New Roman" w:hAnsi="Times New Roman"/>
          <w:color w:val="000000"/>
          <w:sz w:val="20"/>
        </w:rPr>
        <w:t xml:space="preserve"> [1]. It asks how observable computational organization forms, moves, persists, destabilizes, crosses declared boundaries, collapses, recovers, and re-enters admissible conditions through time. This orientation is related to dynamical-systems analysis, change-point detection, process mining, agent trajectory analysis, provenance, and runtime observability [2-11], but it introduces a distinct evidentiary requirement: every scientific finding must remain traceable to an admissible record, a declared measurement method, an evidence horizon, and a bounded claim.</w:t>
      </w:r>
    </w:p>
    <w:p w14:paraId="39962902" w14:textId="77777777" w:rsidR="005B7C5B" w:rsidRDefault="005B7C5B" w:rsidP="005B7C5B">
      <w:pPr>
        <w:spacing w:after="112"/>
      </w:pPr>
      <w:r>
        <w:rPr>
          <w:rFonts w:ascii="Times New Roman" w:eastAsia="Times New Roman" w:hAnsi="Times New Roman"/>
          <w:color w:val="000000"/>
          <w:sz w:val="20"/>
        </w:rPr>
        <w:t>The foundational paper established the field and its scientific vocabulary. A field, however, becomes credible through discriminating tests rather than definitions alone. Two early propositions are especially important.</w:t>
      </w:r>
    </w:p>
    <w:p w14:paraId="50B0087E" w14:textId="77777777" w:rsidR="005B7C5B" w:rsidRDefault="005B7C5B" w:rsidP="005B7C5B">
      <w:pPr>
        <w:spacing w:after="112"/>
      </w:pPr>
      <w:r>
        <w:rPr>
          <w:rFonts w:ascii="Times New Roman" w:eastAsia="Times New Roman" w:hAnsi="Times New Roman"/>
          <w:color w:val="000000"/>
          <w:sz w:val="20"/>
        </w:rPr>
        <w:t>First, an evidence-governed observatory must behave as an instrument rather than a persuasive visualization. If the same evidence and governing versions can yield different core records, later scientific comparisons become unstable. Deterministic replay is therefore a necessary computational proposition.</w:t>
      </w:r>
    </w:p>
    <w:p w14:paraId="0C42B0A7" w14:textId="77777777" w:rsidR="005B7C5B" w:rsidRDefault="005B7C5B" w:rsidP="005B7C5B">
      <w:pPr>
        <w:spacing w:after="112"/>
      </w:pPr>
      <w:r>
        <w:rPr>
          <w:rFonts w:ascii="Times New Roman" w:eastAsia="Times New Roman" w:hAnsi="Times New Roman"/>
          <w:color w:val="000000"/>
          <w:sz w:val="20"/>
        </w:rPr>
        <w:t>Second, deterministic output is not sufficient. A perfectly repeatable metric may still fail to distinguish a transition from ordinary variation. Selected LCD measurements must show discriminative value against stable and negative controls and against simpler reference methods. This is the first scientific proposition examined here.</w:t>
      </w:r>
    </w:p>
    <w:p w14:paraId="757FB934" w14:textId="77777777" w:rsidR="005B7C5B" w:rsidRDefault="005B7C5B" w:rsidP="005B7C5B">
      <w:pPr>
        <w:spacing w:after="112"/>
      </w:pPr>
      <w:r>
        <w:rPr>
          <w:rFonts w:ascii="Times New Roman" w:eastAsia="Times New Roman" w:hAnsi="Times New Roman"/>
          <w:color w:val="000000"/>
          <w:sz w:val="20"/>
        </w:rPr>
        <w:t>The validation problem therefore has two axes:</w:t>
      </w:r>
    </w:p>
    <w:p w14:paraId="3FF0E51E" w14:textId="77777777" w:rsidR="005B7C5B" w:rsidRDefault="005B7C5B" w:rsidP="005B7C5B">
      <w:pPr>
        <w:pStyle w:val="ListBullet"/>
      </w:pPr>
      <w:r>
        <w:rPr>
          <w:rFonts w:eastAsia="Times New Roman"/>
          <w:b/>
          <w:sz w:val="20"/>
        </w:rPr>
        <w:t>Can the evidence computation be reproduced?</w:t>
      </w:r>
    </w:p>
    <w:p w14:paraId="17929907" w14:textId="77777777" w:rsidR="005B7C5B" w:rsidRDefault="005B7C5B" w:rsidP="005B7C5B">
      <w:pPr>
        <w:pStyle w:val="ListBullet"/>
      </w:pPr>
      <w:r>
        <w:rPr>
          <w:rFonts w:eastAsia="Times New Roman"/>
          <w:b/>
          <w:sz w:val="20"/>
        </w:rPr>
        <w:t>Does the measurement distinguish the specified phenomenon under controlled conditions?</w:t>
      </w:r>
    </w:p>
    <w:p w14:paraId="6E054EF2" w14:textId="77777777" w:rsidR="005B7C5B" w:rsidRDefault="005B7C5B" w:rsidP="005B7C5B">
      <w:pPr>
        <w:spacing w:after="112"/>
      </w:pPr>
      <w:r>
        <w:rPr>
          <w:rFonts w:ascii="Times New Roman" w:eastAsia="Times New Roman" w:hAnsi="Times New Roman"/>
          <w:color w:val="000000"/>
          <w:sz w:val="20"/>
        </w:rPr>
        <w:t>These questions must remain separate. Computational reproducibility tests the governed transformation from source to evidence. Scientific discrimination tests whether selected measurements differentiate declared case classes. Neither result establishes hidden model state, universal prediction, causal explanation, or validity outside the tested conditions.</w:t>
      </w:r>
    </w:p>
    <w:p w14:paraId="5CB29CF6" w14:textId="77777777" w:rsidR="005B7C5B" w:rsidRDefault="005B7C5B" w:rsidP="005B7C5B">
      <w:pPr>
        <w:keepNext/>
        <w:spacing w:before="120" w:after="60"/>
        <w:jc w:val="center"/>
      </w:pPr>
      <w:r>
        <w:rPr>
          <w:noProof/>
        </w:rPr>
        <w:drawing>
          <wp:inline distT="0" distB="0" distL="0" distR="0" wp14:anchorId="4BD71ED3" wp14:editId="16C65BDF">
            <wp:extent cx="5715000" cy="2984595"/>
            <wp:effectExtent l="0" t="0" r="0" b="0"/>
            <wp:docPr id="1" name="Figure 1" descr="Two-panel diagram. The left panel connects fixed source and fixed versions to the same governed evidence core. The right connects transition and control cases to better separation than simple bas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validation_axes.png"/>
                    <pic:cNvPicPr/>
                  </pic:nvPicPr>
                  <pic:blipFill>
                    <a:blip r:embed="rId11"/>
                    <a:stretch>
                      <a:fillRect/>
                    </a:stretch>
                  </pic:blipFill>
                  <pic:spPr>
                    <a:xfrm>
                      <a:off x="0" y="0"/>
                      <a:ext cx="5715000" cy="2984595"/>
                    </a:xfrm>
                    <a:prstGeom prst="rect">
                      <a:avLst/>
                    </a:prstGeom>
                  </pic:spPr>
                </pic:pic>
              </a:graphicData>
            </a:graphic>
          </wp:inline>
        </w:drawing>
      </w:r>
    </w:p>
    <w:p w14:paraId="4B3C7DBB" w14:textId="77777777" w:rsidR="005B7C5B" w:rsidRDefault="005B7C5B" w:rsidP="005B7C5B">
      <w:pPr>
        <w:jc w:val="center"/>
      </w:pPr>
      <w:r>
        <w:rPr>
          <w:rFonts w:ascii="Times New Roman" w:eastAsia="Times New Roman" w:hAnsi="Times New Roman"/>
          <w:i/>
          <w:color w:val="66717C"/>
          <w:sz w:val="18"/>
        </w:rPr>
        <w:t>Figure 1. Computational reproducibility and scientific discrimination are distinct validation propositions.</w:t>
      </w:r>
    </w:p>
    <w:p w14:paraId="6AB04C24"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Research Questions and Locked Propositions</w:t>
      </w:r>
    </w:p>
    <w:p w14:paraId="0865FFC9" w14:textId="77777777" w:rsidR="005B7C5B" w:rsidRDefault="005B7C5B" w:rsidP="005B7C5B">
      <w:pPr>
        <w:pStyle w:val="Heading2"/>
      </w:pPr>
      <w:r>
        <w:rPr>
          <w:rFonts w:ascii="Arial" w:eastAsia="Times New Roman" w:hAnsi="Arial"/>
          <w:color w:val="000000"/>
          <w:sz w:val="24"/>
        </w:rPr>
        <w:t>Research questions</w:t>
      </w:r>
    </w:p>
    <w:p w14:paraId="4C127B6A" w14:textId="77777777" w:rsidR="005B7C5B" w:rsidRDefault="005B7C5B" w:rsidP="005B7C5B">
      <w:pPr>
        <w:keepLines/>
        <w:spacing w:after="112"/>
      </w:pPr>
      <w:r>
        <w:rPr>
          <w:rFonts w:ascii="Times New Roman" w:eastAsia="Times New Roman" w:hAnsi="Times New Roman"/>
          <w:b/>
          <w:color w:val="000000"/>
          <w:sz w:val="20"/>
        </w:rPr>
        <w:t>RQ1 — Computational reproducibility.</w:t>
      </w:r>
      <w:r>
        <w:rPr>
          <w:rFonts w:ascii="Times New Roman" w:eastAsia="Times New Roman" w:hAnsi="Times New Roman"/>
          <w:color w:val="000000"/>
          <w:sz w:val="20"/>
        </w:rPr>
        <w:t xml:space="preserve"> Given the same qualified source, declared configuration, canonicalization method, implementation release, registries, and governing method versions, does Aperture reproduce the same deterministic evidence identity and core Runtime Evidence Record?</w:t>
      </w:r>
    </w:p>
    <w:p w14:paraId="7C157097" w14:textId="77777777" w:rsidR="005B7C5B" w:rsidRDefault="005B7C5B" w:rsidP="005B7C5B">
      <w:pPr>
        <w:spacing w:after="112"/>
      </w:pPr>
      <w:r>
        <w:rPr>
          <w:rFonts w:ascii="Times New Roman" w:eastAsia="Times New Roman" w:hAnsi="Times New Roman"/>
          <w:b/>
          <w:color w:val="000000"/>
          <w:sz w:val="20"/>
        </w:rPr>
        <w:t>RQ2 — Scientific discrimination.</w:t>
      </w:r>
      <w:r>
        <w:rPr>
          <w:rFonts w:ascii="Times New Roman" w:eastAsia="Times New Roman" w:hAnsi="Times New Roman"/>
          <w:color w:val="000000"/>
          <w:sz w:val="20"/>
        </w:rPr>
        <w:t xml:space="preserve"> Under controlled case definitions, do selected longitudinal measurements distinguish known transition cases from stable and negative controls better than declared simple baselines?</w:t>
      </w:r>
    </w:p>
    <w:p w14:paraId="5D8D3DF3" w14:textId="77777777" w:rsidR="005B7C5B" w:rsidRDefault="005B7C5B" w:rsidP="005B7C5B">
      <w:pPr>
        <w:spacing w:after="112"/>
      </w:pPr>
      <w:r>
        <w:rPr>
          <w:rFonts w:ascii="Times New Roman" w:eastAsia="Times New Roman" w:hAnsi="Times New Roman"/>
          <w:b/>
          <w:color w:val="000000"/>
          <w:sz w:val="20"/>
        </w:rPr>
        <w:t>RQ3 — Boundary discipline.</w:t>
      </w:r>
      <w:r>
        <w:rPr>
          <w:rFonts w:ascii="Times New Roman" w:eastAsia="Times New Roman" w:hAnsi="Times New Roman"/>
          <w:color w:val="000000"/>
          <w:sz w:val="20"/>
        </w:rPr>
        <w:t xml:space="preserve"> Does the validation architecture preserve unavailable evidence, candidate conditions, failure anchors, and claim limits without converting them into stronger findings?</w:t>
      </w:r>
    </w:p>
    <w:p w14:paraId="0E8E7F1A" w14:textId="77777777" w:rsidR="005B7C5B" w:rsidRDefault="005B7C5B" w:rsidP="005B7C5B">
      <w:pPr>
        <w:spacing w:after="112"/>
      </w:pPr>
      <w:r>
        <w:rPr>
          <w:rFonts w:ascii="Times New Roman" w:eastAsia="Times New Roman" w:hAnsi="Times New Roman"/>
          <w:b/>
          <w:color w:val="000000"/>
          <w:sz w:val="20"/>
        </w:rPr>
        <w:t>RQ4 — Replication readiness.</w:t>
      </w:r>
      <w:r>
        <w:rPr>
          <w:rFonts w:ascii="Times New Roman" w:eastAsia="Times New Roman" w:hAnsi="Times New Roman"/>
          <w:color w:val="000000"/>
          <w:sz w:val="20"/>
        </w:rPr>
        <w:t xml:space="preserve"> Which objects, versions, results, and hashes are available for independent reproduction, and which remain unbound in the current public record?</w:t>
      </w:r>
    </w:p>
    <w:p w14:paraId="0BAECA89" w14:textId="77777777" w:rsidR="005B7C5B" w:rsidRDefault="005B7C5B" w:rsidP="005B7C5B">
      <w:pPr>
        <w:pStyle w:val="Heading2"/>
      </w:pPr>
      <w:r>
        <w:rPr>
          <w:rFonts w:ascii="Arial" w:eastAsia="Times New Roman" w:hAnsi="Arial"/>
          <w:color w:val="000000"/>
          <w:sz w:val="24"/>
        </w:rPr>
        <w:t>Locked propositions</w:t>
      </w:r>
    </w:p>
    <w:p w14:paraId="4B9CA530" w14:textId="77777777" w:rsidR="005B7C5B" w:rsidRDefault="005B7C5B" w:rsidP="005B7C5B">
      <w:pPr>
        <w:keepLines/>
        <w:spacing w:after="112"/>
      </w:pPr>
      <w:r>
        <w:rPr>
          <w:rFonts w:ascii="Times New Roman" w:eastAsia="Times New Roman" w:hAnsi="Times New Roman"/>
          <w:color w:val="000000"/>
          <w:sz w:val="20"/>
        </w:rPr>
        <w:t>The validation program uses expectation maps declared and locked before evidence computation. In this architecture, a proposition is prospectively specified within the Evidence Chamber and remains unavailable to the runtime evidence engine until comparison. This is an internal prospective-declaration control. The materials reviewed for this paper do not establish a separate public, time-stamped third-party preregistration, so that stronger term is not asserted.</w:t>
      </w:r>
    </w:p>
    <w:p w14:paraId="5379FDD9" w14:textId="77777777" w:rsidR="005B7C5B" w:rsidRDefault="005B7C5B" w:rsidP="005B7C5B">
      <w:pPr>
        <w:spacing w:after="112"/>
      </w:pPr>
      <w:r>
        <w:rPr>
          <w:rFonts w:ascii="Times New Roman" w:eastAsia="Times New Roman" w:hAnsi="Times New Roman"/>
          <w:b/>
          <w:color w:val="000000"/>
          <w:sz w:val="20"/>
        </w:rPr>
        <w:t>P1 — Deterministic evidence reproduction.</w:t>
      </w:r>
      <w:r>
        <w:rPr>
          <w:rFonts w:ascii="Times New Roman" w:eastAsia="Times New Roman" w:hAnsi="Times New Roman"/>
          <w:color w:val="000000"/>
          <w:sz w:val="20"/>
        </w:rPr>
        <w:t xml:space="preserve"> For fixed qualified source bytes or source identity, adapter and canonicalization configuration, computation configuration, and governing versions, the deterministic evidence core is invariant under eligible replay.</w:t>
      </w:r>
    </w:p>
    <w:p w14:paraId="0A0C5EC1" w14:textId="77777777" w:rsidR="005B7C5B" w:rsidRDefault="005B7C5B" w:rsidP="005B7C5B">
      <w:pPr>
        <w:spacing w:after="112"/>
      </w:pPr>
      <w:r>
        <w:rPr>
          <w:rFonts w:ascii="Times New Roman" w:eastAsia="Times New Roman" w:hAnsi="Times New Roman"/>
          <w:b/>
          <w:color w:val="000000"/>
          <w:sz w:val="20"/>
        </w:rPr>
        <w:t>P2 — Controlled transition discrimination.</w:t>
      </w:r>
      <w:r>
        <w:rPr>
          <w:rFonts w:ascii="Times New Roman" w:eastAsia="Times New Roman" w:hAnsi="Times New Roman"/>
          <w:color w:val="000000"/>
          <w:sz w:val="20"/>
        </w:rPr>
        <w:t xml:space="preserve"> For the declared controlled cases, the selected LCD measurement set separates specified transition cases from stable and negative controls more effectively than the declared simple baselines.</w:t>
      </w:r>
    </w:p>
    <w:p w14:paraId="179BBB54" w14:textId="77777777" w:rsidR="005B7C5B" w:rsidRDefault="005B7C5B" w:rsidP="005B7C5B">
      <w:pPr>
        <w:spacing w:after="112"/>
      </w:pPr>
      <w:r>
        <w:rPr>
          <w:rFonts w:ascii="Times New Roman" w:eastAsia="Times New Roman" w:hAnsi="Times New Roman"/>
          <w:b/>
          <w:color w:val="000000"/>
          <w:sz w:val="20"/>
        </w:rPr>
        <w:t>P3 — Non-amplification of absent evidence.</w:t>
      </w:r>
      <w:r>
        <w:rPr>
          <w:rFonts w:ascii="Times New Roman" w:eastAsia="Times New Roman" w:hAnsi="Times New Roman"/>
          <w:color w:val="000000"/>
          <w:sz w:val="20"/>
        </w:rPr>
        <w:t xml:space="preserve"> Missing, unavailable, not-observed, candidate-only, or inadmissible evidence remains represented as such and is not silently converted into zero, stability, failure, or confirmation.</w:t>
      </w:r>
    </w:p>
    <w:p w14:paraId="4C6E353F" w14:textId="77777777" w:rsidR="005B7C5B" w:rsidRDefault="005B7C5B" w:rsidP="005B7C5B">
      <w:pPr>
        <w:spacing w:after="112"/>
      </w:pPr>
      <w:r>
        <w:rPr>
          <w:rFonts w:ascii="Times New Roman" w:eastAsia="Times New Roman" w:hAnsi="Times New Roman"/>
          <w:color w:val="000000"/>
          <w:sz w:val="20"/>
        </w:rPr>
        <w:t>P1 and P2 are the principal propositions reported as confirmed. P3 is an architectural conformance proposition that governs interpretation of those results.</w:t>
      </w:r>
    </w:p>
    <w:p w14:paraId="3AFD806A"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Scientific and Evidentiary Scope</w:t>
      </w:r>
    </w:p>
    <w:p w14:paraId="2A3423C6" w14:textId="77777777" w:rsidR="005B7C5B" w:rsidRDefault="005B7C5B" w:rsidP="005B7C5B">
      <w:pPr>
        <w:pStyle w:val="Heading2"/>
      </w:pPr>
      <w:r>
        <w:rPr>
          <w:rFonts w:ascii="Arial" w:eastAsia="Times New Roman" w:hAnsi="Arial"/>
          <w:color w:val="000000"/>
          <w:sz w:val="24"/>
        </w:rPr>
        <w:t>Empirical object</w:t>
      </w:r>
    </w:p>
    <w:p w14:paraId="2D4D1E6D" w14:textId="77777777" w:rsidR="005B7C5B" w:rsidRDefault="005B7C5B" w:rsidP="005B7C5B">
      <w:pPr>
        <w:keepLines/>
        <w:spacing w:after="112"/>
      </w:pPr>
      <w:r>
        <w:rPr>
          <w:rFonts w:ascii="Times New Roman" w:eastAsia="Times New Roman" w:hAnsi="Times New Roman"/>
          <w:color w:val="000000"/>
          <w:sz w:val="20"/>
        </w:rPr>
        <w:t xml:space="preserve">The empirical object is </w:t>
      </w:r>
      <w:r>
        <w:rPr>
          <w:rFonts w:ascii="Times New Roman" w:eastAsia="Times New Roman" w:hAnsi="Times New Roman"/>
          <w:b/>
          <w:color w:val="000000"/>
          <w:sz w:val="20"/>
        </w:rPr>
        <w:t>Longitudinal Computational Behavior</w:t>
      </w:r>
      <w:r>
        <w:rPr>
          <w:rFonts w:ascii="Times New Roman" w:eastAsia="Times New Roman" w:hAnsi="Times New Roman"/>
          <w:color w:val="000000"/>
          <w:sz w:val="20"/>
        </w:rPr>
        <w:t>: the observable pattern of computational organization supported by an ordered, source-bound record. A record may contain messages, tool calls, timestamps, role changes, retries, alerts, workflow events, corrections, deployments, or other observable operational events.</w:t>
      </w:r>
    </w:p>
    <w:p w14:paraId="0294F79F" w14:textId="77777777" w:rsidR="005B7C5B" w:rsidRDefault="005B7C5B" w:rsidP="005B7C5B">
      <w:pPr>
        <w:spacing w:after="112"/>
      </w:pPr>
      <w:r>
        <w:rPr>
          <w:rFonts w:ascii="Times New Roman" w:eastAsia="Times New Roman" w:hAnsi="Times New Roman"/>
          <w:color w:val="000000"/>
          <w:sz w:val="20"/>
        </w:rPr>
        <w:t>The object is not a hidden internal trajectory. LCD does not infer private reasoning, neural activation, subjective experience, intent, consciousness, or an inaccessible model state. It studies the organization that can be reconstructed from the supplied record under declared methods.</w:t>
      </w:r>
    </w:p>
    <w:p w14:paraId="27EC2ED5" w14:textId="77777777" w:rsidR="005B7C5B" w:rsidRDefault="005B7C5B" w:rsidP="005B7C5B">
      <w:pPr>
        <w:pStyle w:val="Heading2"/>
      </w:pPr>
      <w:r>
        <w:rPr>
          <w:rFonts w:ascii="Arial" w:eastAsia="Times New Roman" w:hAnsi="Arial"/>
          <w:color w:val="000000"/>
          <w:sz w:val="24"/>
        </w:rPr>
        <w:t>Reference implementation</w:t>
      </w:r>
    </w:p>
    <w:p w14:paraId="2ACD7155" w14:textId="77777777" w:rsidR="005B7C5B" w:rsidRDefault="005B7C5B" w:rsidP="005B7C5B">
      <w:pPr>
        <w:keepLines/>
        <w:spacing w:after="112"/>
      </w:pPr>
      <w:r>
        <w:rPr>
          <w:rFonts w:ascii="Times New Roman" w:eastAsia="Times New Roman" w:hAnsi="Times New Roman"/>
          <w:color w:val="000000"/>
          <w:sz w:val="20"/>
        </w:rPr>
        <w:t>SubstrateX Aperture™ is the reference implementation used by the controlled validation program. Aperture qualifies heterogeneous sources, constructs a canonical runtime, computes registered behavioral telemetry, forms a Current Evidence Run, issues bounded Instrument Findings, and preserves the resulting Runtime Evidence Record with a Runtime Evidence Passport and claim boundary.</w:t>
      </w:r>
    </w:p>
    <w:p w14:paraId="26818D17" w14:textId="77777777" w:rsidR="005B7C5B" w:rsidRDefault="005B7C5B" w:rsidP="005B7C5B">
      <w:pPr>
        <w:spacing w:after="112"/>
      </w:pPr>
      <w:r>
        <w:rPr>
          <w:rFonts w:ascii="Times New Roman" w:eastAsia="Times New Roman" w:hAnsi="Times New Roman"/>
          <w:color w:val="000000"/>
          <w:sz w:val="20"/>
        </w:rPr>
        <w:t xml:space="preserve">Aperture is evidence for </w:t>
      </w:r>
      <w:proofErr w:type="spellStart"/>
      <w:r>
        <w:rPr>
          <w:rFonts w:ascii="Times New Roman" w:eastAsia="Times New Roman" w:hAnsi="Times New Roman"/>
          <w:color w:val="000000"/>
          <w:sz w:val="20"/>
        </w:rPr>
        <w:t>implementability</w:t>
      </w:r>
      <w:proofErr w:type="spellEnd"/>
      <w:r>
        <w:rPr>
          <w:rFonts w:ascii="Times New Roman" w:eastAsia="Times New Roman" w:hAnsi="Times New Roman"/>
          <w:color w:val="000000"/>
          <w:sz w:val="20"/>
        </w:rPr>
        <w:t>, not the definition of the field. An independent implementation can test the same scientific propositions if it publishes equivalent source, canonicalization, measurement, temporal, comparison, and claim contracts.</w:t>
      </w:r>
    </w:p>
    <w:p w14:paraId="530E8292" w14:textId="77777777" w:rsidR="005B7C5B" w:rsidRDefault="005B7C5B" w:rsidP="005B7C5B">
      <w:pPr>
        <w:pStyle w:val="Heading2"/>
      </w:pPr>
      <w:r>
        <w:rPr>
          <w:rFonts w:ascii="Arial" w:eastAsia="Times New Roman" w:hAnsi="Arial"/>
          <w:color w:val="000000"/>
          <w:sz w:val="24"/>
        </w:rPr>
        <w:t>Validation claim classes</w:t>
      </w:r>
    </w:p>
    <w:p w14:paraId="6EB4055C" w14:textId="77777777" w:rsidR="005B7C5B" w:rsidRDefault="005B7C5B" w:rsidP="005B7C5B">
      <w:pPr>
        <w:keepNext/>
        <w:spacing w:before="140" w:after="80"/>
      </w:pPr>
      <w:r>
        <w:rPr>
          <w:rFonts w:ascii="Times New Roman" w:eastAsia="Times New Roman" w:hAnsi="Times New Roman"/>
          <w:i/>
          <w:color w:val="66717C"/>
          <w:sz w:val="18"/>
        </w:rPr>
        <w:t>Table 1. Validation claim classes and authority boundaries.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55"/>
        <w:gridCol w:w="1944"/>
        <w:gridCol w:w="2808"/>
        <w:gridCol w:w="3311"/>
      </w:tblGrid>
      <w:tr w:rsidR="005B7C5B" w14:paraId="5238C4DE" w14:textId="77777777">
        <w:trPr>
          <w:cantSplit/>
          <w:tblHeader/>
          <w:jc w:val="center"/>
        </w:trPr>
        <w:tc>
          <w:tcPr>
            <w:tcW w:w="1655" w:type="dxa"/>
            <w:shd w:val="clear" w:color="auto" w:fill="17324D"/>
            <w:tcMar>
              <w:top w:w="70" w:type="dxa"/>
              <w:left w:w="100" w:type="dxa"/>
              <w:bottom w:w="70" w:type="dxa"/>
              <w:right w:w="100" w:type="dxa"/>
            </w:tcMar>
            <w:vAlign w:val="center"/>
          </w:tcPr>
          <w:p w14:paraId="0B3E90F6" w14:textId="77777777" w:rsidR="005B7C5B" w:rsidRDefault="005B7C5B" w:rsidP="00F96983">
            <w:pPr>
              <w:spacing w:after="0" w:line="240" w:lineRule="auto"/>
            </w:pPr>
            <w:r>
              <w:rPr>
                <w:rFonts w:ascii="Arial" w:eastAsia="Times New Roman" w:hAnsi="Arial"/>
                <w:b/>
                <w:color w:val="FFFFFF"/>
                <w:sz w:val="17"/>
              </w:rPr>
              <w:t>Claim class</w:t>
            </w:r>
          </w:p>
        </w:tc>
        <w:tc>
          <w:tcPr>
            <w:tcW w:w="1944" w:type="dxa"/>
            <w:shd w:val="clear" w:color="auto" w:fill="17324D"/>
            <w:tcMar>
              <w:top w:w="70" w:type="dxa"/>
              <w:left w:w="100" w:type="dxa"/>
              <w:bottom w:w="70" w:type="dxa"/>
              <w:right w:w="100" w:type="dxa"/>
            </w:tcMar>
            <w:vAlign w:val="center"/>
          </w:tcPr>
          <w:p w14:paraId="7A4BEEA0" w14:textId="77777777" w:rsidR="005B7C5B" w:rsidRDefault="005B7C5B" w:rsidP="00F96983">
            <w:pPr>
              <w:spacing w:after="0" w:line="240" w:lineRule="auto"/>
            </w:pPr>
            <w:r>
              <w:rPr>
                <w:rFonts w:ascii="Arial" w:eastAsia="Times New Roman" w:hAnsi="Arial"/>
                <w:b/>
                <w:color w:val="FFFFFF"/>
                <w:sz w:val="17"/>
              </w:rPr>
              <w:t>Question answered</w:t>
            </w:r>
          </w:p>
        </w:tc>
        <w:tc>
          <w:tcPr>
            <w:tcW w:w="2808" w:type="dxa"/>
            <w:shd w:val="clear" w:color="auto" w:fill="17324D"/>
            <w:tcMar>
              <w:top w:w="70" w:type="dxa"/>
              <w:left w:w="100" w:type="dxa"/>
              <w:bottom w:w="70" w:type="dxa"/>
              <w:right w:w="100" w:type="dxa"/>
            </w:tcMar>
            <w:vAlign w:val="center"/>
          </w:tcPr>
          <w:p w14:paraId="4E0E7858" w14:textId="77777777" w:rsidR="005B7C5B" w:rsidRDefault="005B7C5B" w:rsidP="00F96983">
            <w:pPr>
              <w:spacing w:after="0" w:line="240" w:lineRule="auto"/>
            </w:pPr>
            <w:r>
              <w:rPr>
                <w:rFonts w:ascii="Arial" w:eastAsia="Times New Roman" w:hAnsi="Arial"/>
                <w:b/>
                <w:color w:val="FFFFFF"/>
                <w:sz w:val="17"/>
              </w:rPr>
              <w:t>Required evidence</w:t>
            </w:r>
          </w:p>
        </w:tc>
        <w:tc>
          <w:tcPr>
            <w:tcW w:w="3311" w:type="dxa"/>
            <w:shd w:val="clear" w:color="auto" w:fill="17324D"/>
            <w:tcMar>
              <w:top w:w="70" w:type="dxa"/>
              <w:left w:w="100" w:type="dxa"/>
              <w:bottom w:w="70" w:type="dxa"/>
              <w:right w:w="100" w:type="dxa"/>
            </w:tcMar>
            <w:vAlign w:val="center"/>
          </w:tcPr>
          <w:p w14:paraId="1C2BAA81" w14:textId="77777777" w:rsidR="005B7C5B" w:rsidRDefault="005B7C5B" w:rsidP="00F96983">
            <w:pPr>
              <w:spacing w:after="0" w:line="240" w:lineRule="auto"/>
            </w:pPr>
            <w:r>
              <w:rPr>
                <w:rFonts w:ascii="Arial" w:eastAsia="Times New Roman" w:hAnsi="Arial"/>
                <w:b/>
                <w:color w:val="FFFFFF"/>
                <w:sz w:val="17"/>
              </w:rPr>
              <w:t>Not established by the result</w:t>
            </w:r>
          </w:p>
        </w:tc>
      </w:tr>
      <w:tr w:rsidR="005B7C5B" w14:paraId="29801761" w14:textId="77777777">
        <w:trPr>
          <w:cantSplit/>
          <w:jc w:val="center"/>
        </w:trPr>
        <w:tc>
          <w:tcPr>
            <w:tcW w:w="1655" w:type="dxa"/>
            <w:shd w:val="clear" w:color="auto" w:fill="FFFFFF"/>
            <w:tcMar>
              <w:top w:w="70" w:type="dxa"/>
              <w:left w:w="100" w:type="dxa"/>
              <w:bottom w:w="70" w:type="dxa"/>
              <w:right w:w="100" w:type="dxa"/>
            </w:tcMar>
            <w:vAlign w:val="center"/>
          </w:tcPr>
          <w:p w14:paraId="66E566B7" w14:textId="77777777" w:rsidR="005B7C5B" w:rsidRDefault="005B7C5B" w:rsidP="00F96983">
            <w:pPr>
              <w:spacing w:after="0" w:line="240" w:lineRule="auto"/>
            </w:pPr>
            <w:r>
              <w:rPr>
                <w:rFonts w:ascii="Times New Roman" w:eastAsia="Times New Roman" w:hAnsi="Times New Roman"/>
                <w:color w:val="000000"/>
                <w:sz w:val="17"/>
              </w:rPr>
              <w:t>Computational reproducibility</w:t>
            </w:r>
          </w:p>
        </w:tc>
        <w:tc>
          <w:tcPr>
            <w:tcW w:w="1944" w:type="dxa"/>
            <w:shd w:val="clear" w:color="auto" w:fill="FFFFFF"/>
            <w:tcMar>
              <w:top w:w="70" w:type="dxa"/>
              <w:left w:w="100" w:type="dxa"/>
              <w:bottom w:w="70" w:type="dxa"/>
              <w:right w:w="100" w:type="dxa"/>
            </w:tcMar>
            <w:vAlign w:val="center"/>
          </w:tcPr>
          <w:p w14:paraId="09A2742B" w14:textId="77777777" w:rsidR="005B7C5B" w:rsidRDefault="005B7C5B" w:rsidP="00F96983">
            <w:pPr>
              <w:spacing w:after="0" w:line="240" w:lineRule="auto"/>
            </w:pPr>
            <w:r>
              <w:rPr>
                <w:rFonts w:ascii="Times New Roman" w:eastAsia="Times New Roman" w:hAnsi="Times New Roman"/>
                <w:color w:val="000000"/>
                <w:sz w:val="17"/>
              </w:rPr>
              <w:t>Does the governed transformation reproduce?</w:t>
            </w:r>
          </w:p>
        </w:tc>
        <w:tc>
          <w:tcPr>
            <w:tcW w:w="2808" w:type="dxa"/>
            <w:shd w:val="clear" w:color="auto" w:fill="FFFFFF"/>
            <w:tcMar>
              <w:top w:w="70" w:type="dxa"/>
              <w:left w:w="100" w:type="dxa"/>
              <w:bottom w:w="70" w:type="dxa"/>
              <w:right w:w="100" w:type="dxa"/>
            </w:tcMar>
            <w:vAlign w:val="center"/>
          </w:tcPr>
          <w:p w14:paraId="384F4880" w14:textId="77777777" w:rsidR="005B7C5B" w:rsidRDefault="005B7C5B" w:rsidP="00F96983">
            <w:pPr>
              <w:spacing w:after="0" w:line="240" w:lineRule="auto"/>
            </w:pPr>
            <w:r>
              <w:rPr>
                <w:rFonts w:ascii="Times New Roman" w:eastAsia="Times New Roman" w:hAnsi="Times New Roman"/>
                <w:color w:val="000000"/>
                <w:sz w:val="17"/>
              </w:rPr>
              <w:t>Bound source, fixed versions, equality rules, repeat executions, comparison record</w:t>
            </w:r>
          </w:p>
        </w:tc>
        <w:tc>
          <w:tcPr>
            <w:tcW w:w="3311" w:type="dxa"/>
            <w:shd w:val="clear" w:color="auto" w:fill="FFFFFF"/>
            <w:tcMar>
              <w:top w:w="70" w:type="dxa"/>
              <w:left w:w="100" w:type="dxa"/>
              <w:bottom w:w="70" w:type="dxa"/>
              <w:right w:w="100" w:type="dxa"/>
            </w:tcMar>
            <w:vAlign w:val="center"/>
          </w:tcPr>
          <w:p w14:paraId="549D16CA" w14:textId="77777777" w:rsidR="005B7C5B" w:rsidRDefault="005B7C5B" w:rsidP="00F96983">
            <w:pPr>
              <w:spacing w:after="0" w:line="240" w:lineRule="auto"/>
            </w:pPr>
            <w:r>
              <w:rPr>
                <w:rFonts w:ascii="Times New Roman" w:eastAsia="Times New Roman" w:hAnsi="Times New Roman"/>
                <w:color w:val="000000"/>
                <w:sz w:val="17"/>
              </w:rPr>
              <w:t>Scientific validity or external generalization</w:t>
            </w:r>
          </w:p>
        </w:tc>
      </w:tr>
      <w:tr w:rsidR="005B7C5B" w14:paraId="25027C26" w14:textId="77777777">
        <w:trPr>
          <w:cantSplit/>
          <w:jc w:val="center"/>
        </w:trPr>
        <w:tc>
          <w:tcPr>
            <w:tcW w:w="1655" w:type="dxa"/>
            <w:shd w:val="clear" w:color="auto" w:fill="F6F9FB"/>
            <w:tcMar>
              <w:top w:w="70" w:type="dxa"/>
              <w:left w:w="100" w:type="dxa"/>
              <w:bottom w:w="70" w:type="dxa"/>
              <w:right w:w="100" w:type="dxa"/>
            </w:tcMar>
            <w:vAlign w:val="center"/>
          </w:tcPr>
          <w:p w14:paraId="320DAF78" w14:textId="77777777" w:rsidR="005B7C5B" w:rsidRDefault="005B7C5B" w:rsidP="00F96983">
            <w:pPr>
              <w:spacing w:after="0" w:line="240" w:lineRule="auto"/>
            </w:pPr>
            <w:r>
              <w:rPr>
                <w:rFonts w:ascii="Times New Roman" w:eastAsia="Times New Roman" w:hAnsi="Times New Roman"/>
                <w:color w:val="000000"/>
                <w:sz w:val="17"/>
              </w:rPr>
              <w:t>Controlled discrimination</w:t>
            </w:r>
          </w:p>
        </w:tc>
        <w:tc>
          <w:tcPr>
            <w:tcW w:w="1944" w:type="dxa"/>
            <w:shd w:val="clear" w:color="auto" w:fill="F6F9FB"/>
            <w:tcMar>
              <w:top w:w="70" w:type="dxa"/>
              <w:left w:w="100" w:type="dxa"/>
              <w:bottom w:w="70" w:type="dxa"/>
              <w:right w:w="100" w:type="dxa"/>
            </w:tcMar>
            <w:vAlign w:val="center"/>
          </w:tcPr>
          <w:p w14:paraId="52115028" w14:textId="77777777" w:rsidR="005B7C5B" w:rsidRDefault="005B7C5B" w:rsidP="00F96983">
            <w:pPr>
              <w:spacing w:after="0" w:line="240" w:lineRule="auto"/>
            </w:pPr>
            <w:r>
              <w:rPr>
                <w:rFonts w:ascii="Times New Roman" w:eastAsia="Times New Roman" w:hAnsi="Times New Roman"/>
                <w:color w:val="000000"/>
                <w:sz w:val="17"/>
              </w:rPr>
              <w:t>Does a measurement distinguish declared case classes?</w:t>
            </w:r>
          </w:p>
        </w:tc>
        <w:tc>
          <w:tcPr>
            <w:tcW w:w="2808" w:type="dxa"/>
            <w:shd w:val="clear" w:color="auto" w:fill="F6F9FB"/>
            <w:tcMar>
              <w:top w:w="70" w:type="dxa"/>
              <w:left w:w="100" w:type="dxa"/>
              <w:bottom w:w="70" w:type="dxa"/>
              <w:right w:w="100" w:type="dxa"/>
            </w:tcMar>
            <w:vAlign w:val="center"/>
          </w:tcPr>
          <w:p w14:paraId="7D3CE5E5" w14:textId="77777777" w:rsidR="005B7C5B" w:rsidRDefault="005B7C5B" w:rsidP="00F96983">
            <w:pPr>
              <w:spacing w:after="0" w:line="240" w:lineRule="auto"/>
            </w:pPr>
            <w:r>
              <w:rPr>
                <w:rFonts w:ascii="Times New Roman" w:eastAsia="Times New Roman" w:hAnsi="Times New Roman"/>
                <w:color w:val="000000"/>
                <w:sz w:val="17"/>
              </w:rPr>
              <w:t>Labeled cases, controls, baselines, locked methods, held-out or otherwise protected evaluation</w:t>
            </w:r>
          </w:p>
        </w:tc>
        <w:tc>
          <w:tcPr>
            <w:tcW w:w="3311" w:type="dxa"/>
            <w:shd w:val="clear" w:color="auto" w:fill="F6F9FB"/>
            <w:tcMar>
              <w:top w:w="70" w:type="dxa"/>
              <w:left w:w="100" w:type="dxa"/>
              <w:bottom w:w="70" w:type="dxa"/>
              <w:right w:w="100" w:type="dxa"/>
            </w:tcMar>
            <w:vAlign w:val="center"/>
          </w:tcPr>
          <w:p w14:paraId="244C7A74" w14:textId="77777777" w:rsidR="005B7C5B" w:rsidRDefault="005B7C5B" w:rsidP="00F96983">
            <w:pPr>
              <w:spacing w:after="0" w:line="240" w:lineRule="auto"/>
            </w:pPr>
            <w:r>
              <w:rPr>
                <w:rFonts w:ascii="Times New Roman" w:eastAsia="Times New Roman" w:hAnsi="Times New Roman"/>
                <w:color w:val="000000"/>
                <w:sz w:val="17"/>
              </w:rPr>
              <w:t>Causation, production prediction, universal diagnosis</w:t>
            </w:r>
          </w:p>
        </w:tc>
      </w:tr>
      <w:tr w:rsidR="005B7C5B" w14:paraId="5BCBF088" w14:textId="77777777">
        <w:trPr>
          <w:cantSplit/>
          <w:jc w:val="center"/>
        </w:trPr>
        <w:tc>
          <w:tcPr>
            <w:tcW w:w="1655" w:type="dxa"/>
            <w:shd w:val="clear" w:color="auto" w:fill="FFFFFF"/>
            <w:tcMar>
              <w:top w:w="70" w:type="dxa"/>
              <w:left w:w="100" w:type="dxa"/>
              <w:bottom w:w="70" w:type="dxa"/>
              <w:right w:w="100" w:type="dxa"/>
            </w:tcMar>
            <w:vAlign w:val="center"/>
          </w:tcPr>
          <w:p w14:paraId="6B6186A2" w14:textId="77777777" w:rsidR="005B7C5B" w:rsidRDefault="005B7C5B" w:rsidP="00F96983">
            <w:pPr>
              <w:spacing w:after="0" w:line="240" w:lineRule="auto"/>
            </w:pPr>
            <w:r>
              <w:rPr>
                <w:rFonts w:ascii="Times New Roman" w:eastAsia="Times New Roman" w:hAnsi="Times New Roman"/>
                <w:color w:val="000000"/>
                <w:sz w:val="17"/>
              </w:rPr>
              <w:t>Construct validity</w:t>
            </w:r>
          </w:p>
        </w:tc>
        <w:tc>
          <w:tcPr>
            <w:tcW w:w="1944" w:type="dxa"/>
            <w:shd w:val="clear" w:color="auto" w:fill="FFFFFF"/>
            <w:tcMar>
              <w:top w:w="70" w:type="dxa"/>
              <w:left w:w="100" w:type="dxa"/>
              <w:bottom w:w="70" w:type="dxa"/>
              <w:right w:w="100" w:type="dxa"/>
            </w:tcMar>
            <w:vAlign w:val="center"/>
          </w:tcPr>
          <w:p w14:paraId="1776E3F9" w14:textId="77777777" w:rsidR="005B7C5B" w:rsidRDefault="005B7C5B" w:rsidP="00F96983">
            <w:pPr>
              <w:spacing w:after="0" w:line="240" w:lineRule="auto"/>
            </w:pPr>
            <w:r>
              <w:rPr>
                <w:rFonts w:ascii="Times New Roman" w:eastAsia="Times New Roman" w:hAnsi="Times New Roman"/>
                <w:color w:val="000000"/>
                <w:sz w:val="17"/>
              </w:rPr>
              <w:t>Does the measure represent the intended scientific construct?</w:t>
            </w:r>
          </w:p>
        </w:tc>
        <w:tc>
          <w:tcPr>
            <w:tcW w:w="2808" w:type="dxa"/>
            <w:shd w:val="clear" w:color="auto" w:fill="FFFFFF"/>
            <w:tcMar>
              <w:top w:w="70" w:type="dxa"/>
              <w:left w:w="100" w:type="dxa"/>
              <w:bottom w:w="70" w:type="dxa"/>
              <w:right w:w="100" w:type="dxa"/>
            </w:tcMar>
            <w:vAlign w:val="center"/>
          </w:tcPr>
          <w:p w14:paraId="47148952" w14:textId="77777777" w:rsidR="005B7C5B" w:rsidRDefault="005B7C5B" w:rsidP="00F96983">
            <w:pPr>
              <w:spacing w:after="0" w:line="240" w:lineRule="auto"/>
            </w:pPr>
            <w:r>
              <w:rPr>
                <w:rFonts w:ascii="Times New Roman" w:eastAsia="Times New Roman" w:hAnsi="Times New Roman"/>
                <w:color w:val="000000"/>
                <w:sz w:val="17"/>
              </w:rPr>
              <w:t>Convergent, discriminant, ablation, sensitivity, and external-criterion evidence</w:t>
            </w:r>
          </w:p>
        </w:tc>
        <w:tc>
          <w:tcPr>
            <w:tcW w:w="3311" w:type="dxa"/>
            <w:shd w:val="clear" w:color="auto" w:fill="FFFFFF"/>
            <w:tcMar>
              <w:top w:w="70" w:type="dxa"/>
              <w:left w:w="100" w:type="dxa"/>
              <w:bottom w:w="70" w:type="dxa"/>
              <w:right w:w="100" w:type="dxa"/>
            </w:tcMar>
            <w:vAlign w:val="center"/>
          </w:tcPr>
          <w:p w14:paraId="79E4DBAA" w14:textId="77777777" w:rsidR="005B7C5B" w:rsidRDefault="005B7C5B" w:rsidP="00F96983">
            <w:pPr>
              <w:spacing w:after="0" w:line="240" w:lineRule="auto"/>
            </w:pPr>
            <w:r>
              <w:rPr>
                <w:rFonts w:ascii="Times New Roman" w:eastAsia="Times New Roman" w:hAnsi="Times New Roman"/>
                <w:color w:val="000000"/>
                <w:sz w:val="17"/>
              </w:rPr>
              <w:t>Hidden-state access or metaphysical interpretation</w:t>
            </w:r>
          </w:p>
        </w:tc>
      </w:tr>
      <w:tr w:rsidR="005B7C5B" w14:paraId="11708C9F" w14:textId="77777777">
        <w:trPr>
          <w:cantSplit/>
          <w:jc w:val="center"/>
        </w:trPr>
        <w:tc>
          <w:tcPr>
            <w:tcW w:w="1655" w:type="dxa"/>
            <w:shd w:val="clear" w:color="auto" w:fill="F6F9FB"/>
            <w:tcMar>
              <w:top w:w="70" w:type="dxa"/>
              <w:left w:w="100" w:type="dxa"/>
              <w:bottom w:w="70" w:type="dxa"/>
              <w:right w:w="100" w:type="dxa"/>
            </w:tcMar>
            <w:vAlign w:val="center"/>
          </w:tcPr>
          <w:p w14:paraId="39D78146" w14:textId="77777777" w:rsidR="005B7C5B" w:rsidRDefault="005B7C5B" w:rsidP="00F96983">
            <w:pPr>
              <w:spacing w:after="0" w:line="240" w:lineRule="auto"/>
            </w:pPr>
            <w:r>
              <w:rPr>
                <w:rFonts w:ascii="Times New Roman" w:eastAsia="Times New Roman" w:hAnsi="Times New Roman"/>
                <w:color w:val="000000"/>
                <w:sz w:val="17"/>
              </w:rPr>
              <w:t>Predictive validity</w:t>
            </w:r>
          </w:p>
        </w:tc>
        <w:tc>
          <w:tcPr>
            <w:tcW w:w="1944" w:type="dxa"/>
            <w:shd w:val="clear" w:color="auto" w:fill="F6F9FB"/>
            <w:tcMar>
              <w:top w:w="70" w:type="dxa"/>
              <w:left w:w="100" w:type="dxa"/>
              <w:bottom w:w="70" w:type="dxa"/>
              <w:right w:w="100" w:type="dxa"/>
            </w:tcMar>
            <w:vAlign w:val="center"/>
          </w:tcPr>
          <w:p w14:paraId="1B873B8A" w14:textId="77777777" w:rsidR="005B7C5B" w:rsidRDefault="005B7C5B" w:rsidP="00F96983">
            <w:pPr>
              <w:spacing w:after="0" w:line="240" w:lineRule="auto"/>
            </w:pPr>
            <w:r>
              <w:rPr>
                <w:rFonts w:ascii="Times New Roman" w:eastAsia="Times New Roman" w:hAnsi="Times New Roman"/>
                <w:color w:val="000000"/>
                <w:sz w:val="17"/>
              </w:rPr>
              <w:t>Does a prospective signal predict a later independently anchored outcome?</w:t>
            </w:r>
          </w:p>
        </w:tc>
        <w:tc>
          <w:tcPr>
            <w:tcW w:w="2808" w:type="dxa"/>
            <w:shd w:val="clear" w:color="auto" w:fill="F6F9FB"/>
            <w:tcMar>
              <w:top w:w="70" w:type="dxa"/>
              <w:left w:w="100" w:type="dxa"/>
              <w:bottom w:w="70" w:type="dxa"/>
              <w:right w:w="100" w:type="dxa"/>
            </w:tcMar>
            <w:vAlign w:val="center"/>
          </w:tcPr>
          <w:p w14:paraId="2E03E032" w14:textId="77777777" w:rsidR="005B7C5B" w:rsidRDefault="005B7C5B" w:rsidP="00F96983">
            <w:pPr>
              <w:spacing w:after="0" w:line="240" w:lineRule="auto"/>
            </w:pPr>
            <w:r>
              <w:rPr>
                <w:rFonts w:ascii="Times New Roman" w:eastAsia="Times New Roman" w:hAnsi="Times New Roman"/>
                <w:color w:val="000000"/>
                <w:sz w:val="17"/>
              </w:rPr>
              <w:t>Eligible evidence horizon, held-out cases, independent outcome anchors, calibration</w:t>
            </w:r>
          </w:p>
        </w:tc>
        <w:tc>
          <w:tcPr>
            <w:tcW w:w="3311" w:type="dxa"/>
            <w:shd w:val="clear" w:color="auto" w:fill="F6F9FB"/>
            <w:tcMar>
              <w:top w:w="70" w:type="dxa"/>
              <w:left w:w="100" w:type="dxa"/>
              <w:bottom w:w="70" w:type="dxa"/>
              <w:right w:w="100" w:type="dxa"/>
            </w:tcMar>
            <w:vAlign w:val="center"/>
          </w:tcPr>
          <w:p w14:paraId="65BCA771" w14:textId="77777777" w:rsidR="005B7C5B" w:rsidRDefault="005B7C5B" w:rsidP="00F96983">
            <w:pPr>
              <w:spacing w:after="0" w:line="240" w:lineRule="auto"/>
            </w:pPr>
            <w:r>
              <w:rPr>
                <w:rFonts w:ascii="Times New Roman" w:eastAsia="Times New Roman" w:hAnsi="Times New Roman"/>
                <w:color w:val="000000"/>
                <w:sz w:val="17"/>
              </w:rPr>
              <w:t>Retrospective explanation alone</w:t>
            </w:r>
          </w:p>
        </w:tc>
      </w:tr>
      <w:tr w:rsidR="005B7C5B" w14:paraId="145CEE49" w14:textId="77777777">
        <w:trPr>
          <w:cantSplit/>
          <w:jc w:val="center"/>
        </w:trPr>
        <w:tc>
          <w:tcPr>
            <w:tcW w:w="1655" w:type="dxa"/>
            <w:shd w:val="clear" w:color="auto" w:fill="FFFFFF"/>
            <w:tcMar>
              <w:top w:w="70" w:type="dxa"/>
              <w:left w:w="100" w:type="dxa"/>
              <w:bottom w:w="70" w:type="dxa"/>
              <w:right w:w="100" w:type="dxa"/>
            </w:tcMar>
            <w:vAlign w:val="center"/>
          </w:tcPr>
          <w:p w14:paraId="25CF58D3" w14:textId="77777777" w:rsidR="005B7C5B" w:rsidRDefault="005B7C5B" w:rsidP="00F96983">
            <w:pPr>
              <w:spacing w:after="0" w:line="240" w:lineRule="auto"/>
            </w:pPr>
            <w:r>
              <w:rPr>
                <w:rFonts w:ascii="Times New Roman" w:eastAsia="Times New Roman" w:hAnsi="Times New Roman"/>
                <w:color w:val="000000"/>
                <w:sz w:val="17"/>
              </w:rPr>
              <w:t>External validity</w:t>
            </w:r>
          </w:p>
        </w:tc>
        <w:tc>
          <w:tcPr>
            <w:tcW w:w="1944" w:type="dxa"/>
            <w:shd w:val="clear" w:color="auto" w:fill="FFFFFF"/>
            <w:tcMar>
              <w:top w:w="70" w:type="dxa"/>
              <w:left w:w="100" w:type="dxa"/>
              <w:bottom w:w="70" w:type="dxa"/>
              <w:right w:w="100" w:type="dxa"/>
            </w:tcMar>
            <w:vAlign w:val="center"/>
          </w:tcPr>
          <w:p w14:paraId="1E8F5ED0" w14:textId="77777777" w:rsidR="005B7C5B" w:rsidRDefault="005B7C5B" w:rsidP="00F96983">
            <w:pPr>
              <w:spacing w:after="0" w:line="240" w:lineRule="auto"/>
            </w:pPr>
            <w:r>
              <w:rPr>
                <w:rFonts w:ascii="Times New Roman" w:eastAsia="Times New Roman" w:hAnsi="Times New Roman"/>
                <w:color w:val="000000"/>
                <w:sz w:val="17"/>
              </w:rPr>
              <w:t>Does the result transport across source families, systems, models, and institutions?</w:t>
            </w:r>
          </w:p>
        </w:tc>
        <w:tc>
          <w:tcPr>
            <w:tcW w:w="2808" w:type="dxa"/>
            <w:shd w:val="clear" w:color="auto" w:fill="FFFFFF"/>
            <w:tcMar>
              <w:top w:w="70" w:type="dxa"/>
              <w:left w:w="100" w:type="dxa"/>
              <w:bottom w:w="70" w:type="dxa"/>
              <w:right w:w="100" w:type="dxa"/>
            </w:tcMar>
            <w:vAlign w:val="center"/>
          </w:tcPr>
          <w:p w14:paraId="7D3501F6" w14:textId="77777777" w:rsidR="005B7C5B" w:rsidRDefault="005B7C5B" w:rsidP="00F96983">
            <w:pPr>
              <w:spacing w:after="0" w:line="240" w:lineRule="auto"/>
            </w:pPr>
            <w:r>
              <w:rPr>
                <w:rFonts w:ascii="Times New Roman" w:eastAsia="Times New Roman" w:hAnsi="Times New Roman"/>
                <w:color w:val="000000"/>
                <w:sz w:val="17"/>
              </w:rPr>
              <w:t>Independent datasets and prespecified transfer analyses</w:t>
            </w:r>
          </w:p>
        </w:tc>
        <w:tc>
          <w:tcPr>
            <w:tcW w:w="3311" w:type="dxa"/>
            <w:shd w:val="clear" w:color="auto" w:fill="FFFFFF"/>
            <w:tcMar>
              <w:top w:w="70" w:type="dxa"/>
              <w:left w:w="100" w:type="dxa"/>
              <w:bottom w:w="70" w:type="dxa"/>
              <w:right w:w="100" w:type="dxa"/>
            </w:tcMar>
            <w:vAlign w:val="center"/>
          </w:tcPr>
          <w:p w14:paraId="7599479B" w14:textId="77777777" w:rsidR="005B7C5B" w:rsidRDefault="005B7C5B" w:rsidP="00F96983">
            <w:pPr>
              <w:spacing w:after="0" w:line="240" w:lineRule="auto"/>
            </w:pPr>
            <w:r>
              <w:rPr>
                <w:rFonts w:ascii="Times New Roman" w:eastAsia="Times New Roman" w:hAnsi="Times New Roman"/>
                <w:color w:val="000000"/>
                <w:sz w:val="17"/>
              </w:rPr>
              <w:t>Performance within controlled fixtures</w:t>
            </w:r>
          </w:p>
        </w:tc>
      </w:tr>
      <w:tr w:rsidR="005B7C5B" w14:paraId="645C15A7" w14:textId="77777777">
        <w:trPr>
          <w:cantSplit/>
          <w:jc w:val="center"/>
        </w:trPr>
        <w:tc>
          <w:tcPr>
            <w:tcW w:w="1655" w:type="dxa"/>
            <w:shd w:val="clear" w:color="auto" w:fill="F6F9FB"/>
            <w:tcMar>
              <w:top w:w="70" w:type="dxa"/>
              <w:left w:w="100" w:type="dxa"/>
              <w:bottom w:w="70" w:type="dxa"/>
              <w:right w:w="100" w:type="dxa"/>
            </w:tcMar>
            <w:vAlign w:val="center"/>
          </w:tcPr>
          <w:p w14:paraId="4C2E2C6D" w14:textId="77777777" w:rsidR="005B7C5B" w:rsidRDefault="005B7C5B" w:rsidP="00F96983">
            <w:pPr>
              <w:spacing w:after="0" w:line="240" w:lineRule="auto"/>
            </w:pPr>
            <w:r>
              <w:rPr>
                <w:rFonts w:ascii="Times New Roman" w:eastAsia="Times New Roman" w:hAnsi="Times New Roman"/>
                <w:color w:val="000000"/>
                <w:sz w:val="17"/>
              </w:rPr>
              <w:t>Independent replication</w:t>
            </w:r>
          </w:p>
        </w:tc>
        <w:tc>
          <w:tcPr>
            <w:tcW w:w="1944" w:type="dxa"/>
            <w:shd w:val="clear" w:color="auto" w:fill="F6F9FB"/>
            <w:tcMar>
              <w:top w:w="70" w:type="dxa"/>
              <w:left w:w="100" w:type="dxa"/>
              <w:bottom w:w="70" w:type="dxa"/>
              <w:right w:w="100" w:type="dxa"/>
            </w:tcMar>
            <w:vAlign w:val="center"/>
          </w:tcPr>
          <w:p w14:paraId="226B3D7F" w14:textId="77777777" w:rsidR="005B7C5B" w:rsidRDefault="005B7C5B" w:rsidP="00F96983">
            <w:pPr>
              <w:spacing w:after="0" w:line="240" w:lineRule="auto"/>
            </w:pPr>
            <w:r>
              <w:rPr>
                <w:rFonts w:ascii="Times New Roman" w:eastAsia="Times New Roman" w:hAnsi="Times New Roman"/>
                <w:color w:val="000000"/>
                <w:sz w:val="17"/>
              </w:rPr>
              <w:t>Can an unaffiliated party reproduce the result?</w:t>
            </w:r>
          </w:p>
        </w:tc>
        <w:tc>
          <w:tcPr>
            <w:tcW w:w="2808" w:type="dxa"/>
            <w:shd w:val="clear" w:color="auto" w:fill="F6F9FB"/>
            <w:tcMar>
              <w:top w:w="70" w:type="dxa"/>
              <w:left w:w="100" w:type="dxa"/>
              <w:bottom w:w="70" w:type="dxa"/>
              <w:right w:w="100" w:type="dxa"/>
            </w:tcMar>
            <w:vAlign w:val="center"/>
          </w:tcPr>
          <w:p w14:paraId="0722FA32" w14:textId="77777777" w:rsidR="005B7C5B" w:rsidRDefault="005B7C5B" w:rsidP="00F96983">
            <w:pPr>
              <w:spacing w:after="0" w:line="240" w:lineRule="auto"/>
            </w:pPr>
            <w:r>
              <w:rPr>
                <w:rFonts w:ascii="Times New Roman" w:eastAsia="Times New Roman" w:hAnsi="Times New Roman"/>
                <w:color w:val="000000"/>
                <w:sz w:val="17"/>
              </w:rPr>
              <w:t>Complete release bundle, executable protocol, published discrepancies</w:t>
            </w:r>
          </w:p>
        </w:tc>
        <w:tc>
          <w:tcPr>
            <w:tcW w:w="3311" w:type="dxa"/>
            <w:shd w:val="clear" w:color="auto" w:fill="F6F9FB"/>
            <w:tcMar>
              <w:top w:w="70" w:type="dxa"/>
              <w:left w:w="100" w:type="dxa"/>
              <w:bottom w:w="70" w:type="dxa"/>
              <w:right w:w="100" w:type="dxa"/>
            </w:tcMar>
            <w:vAlign w:val="center"/>
          </w:tcPr>
          <w:p w14:paraId="63E50776" w14:textId="77777777" w:rsidR="005B7C5B" w:rsidRDefault="005B7C5B" w:rsidP="00F96983">
            <w:pPr>
              <w:spacing w:after="0" w:line="240" w:lineRule="auto"/>
            </w:pPr>
            <w:r>
              <w:rPr>
                <w:rFonts w:ascii="Times New Roman" w:eastAsia="Times New Roman" w:hAnsi="Times New Roman"/>
                <w:color w:val="000000"/>
                <w:sz w:val="17"/>
              </w:rPr>
              <w:t>Internal replay or same-team rerun</w:t>
            </w:r>
          </w:p>
        </w:tc>
      </w:tr>
    </w:tbl>
    <w:p w14:paraId="3BB79510" w14:textId="77777777" w:rsidR="005B7C5B" w:rsidRDefault="005B7C5B" w:rsidP="005B7C5B">
      <w:pPr>
        <w:spacing w:after="20"/>
      </w:pPr>
    </w:p>
    <w:p w14:paraId="0CDE6826" w14:textId="77777777" w:rsidR="005B7C5B" w:rsidRDefault="005B7C5B" w:rsidP="005B7C5B">
      <w:pPr>
        <w:keepLines/>
        <w:spacing w:after="112"/>
      </w:pPr>
      <w:r>
        <w:rPr>
          <w:rFonts w:ascii="Times New Roman" w:eastAsia="Times New Roman" w:hAnsi="Times New Roman"/>
          <w:color w:val="000000"/>
          <w:sz w:val="20"/>
        </w:rPr>
        <w:t>The central claim of this paper is limited to the first two classes under controlled conditions.</w:t>
      </w:r>
    </w:p>
    <w:p w14:paraId="4B4E2B68"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Validation Architecture</w:t>
      </w:r>
    </w:p>
    <w:p w14:paraId="10E41810" w14:textId="77777777" w:rsidR="005B7C5B" w:rsidRDefault="005B7C5B" w:rsidP="005B7C5B">
      <w:pPr>
        <w:pStyle w:val="Heading2"/>
      </w:pPr>
      <w:r>
        <w:rPr>
          <w:rFonts w:ascii="Arial" w:eastAsia="Times New Roman" w:hAnsi="Arial"/>
          <w:color w:val="000000"/>
          <w:sz w:val="24"/>
        </w:rPr>
        <w:t>The two-object model</w:t>
      </w:r>
    </w:p>
    <w:p w14:paraId="197BEB24" w14:textId="77777777" w:rsidR="005B7C5B" w:rsidRDefault="005B7C5B" w:rsidP="005B7C5B">
      <w:pPr>
        <w:keepLines/>
        <w:spacing w:after="112"/>
      </w:pPr>
      <w:r>
        <w:rPr>
          <w:rFonts w:ascii="Times New Roman" w:eastAsia="Times New Roman" w:hAnsi="Times New Roman"/>
          <w:color w:val="000000"/>
          <w:sz w:val="20"/>
        </w:rPr>
        <w:t>Validation is implemented through two separately identifiable objects.</w:t>
      </w:r>
    </w:p>
    <w:p w14:paraId="41F888F0" w14:textId="77777777" w:rsidR="005B7C5B" w:rsidRDefault="005B7C5B" w:rsidP="005B7C5B">
      <w:pPr>
        <w:spacing w:after="112"/>
      </w:pPr>
      <w:r>
        <w:rPr>
          <w:rFonts w:ascii="Times New Roman" w:eastAsia="Times New Roman" w:hAnsi="Times New Roman"/>
          <w:color w:val="000000"/>
          <w:sz w:val="20"/>
        </w:rPr>
        <w:t xml:space="preserve">The </w:t>
      </w:r>
      <w:r>
        <w:rPr>
          <w:rFonts w:ascii="Times New Roman" w:eastAsia="Times New Roman" w:hAnsi="Times New Roman"/>
          <w:b/>
          <w:color w:val="000000"/>
          <w:sz w:val="20"/>
        </w:rPr>
        <w:t>Runtime Evidence Record</w:t>
      </w:r>
      <w:r>
        <w:rPr>
          <w:rFonts w:ascii="Times New Roman" w:eastAsia="Times New Roman" w:hAnsi="Times New Roman"/>
          <w:color w:val="000000"/>
          <w:sz w:val="20"/>
        </w:rPr>
        <w:t xml:space="preserve"> contains what Aperture computes from the scenario source through the ordinary production pipeline. It must be formed without access to fixture labels, expected markers, rubric scores, comparison results, or target narrative.</w:t>
      </w:r>
    </w:p>
    <w:p w14:paraId="76AA3640" w14:textId="77777777" w:rsidR="005B7C5B" w:rsidRDefault="005B7C5B" w:rsidP="005B7C5B">
      <w:pPr>
        <w:spacing w:after="112"/>
      </w:pPr>
      <w:r>
        <w:rPr>
          <w:rFonts w:ascii="Times New Roman" w:eastAsia="Times New Roman" w:hAnsi="Times New Roman"/>
          <w:color w:val="000000"/>
          <w:sz w:val="20"/>
        </w:rPr>
        <w:t xml:space="preserve">The </w:t>
      </w:r>
      <w:r>
        <w:rPr>
          <w:rFonts w:ascii="Times New Roman" w:eastAsia="Times New Roman" w:hAnsi="Times New Roman"/>
          <w:b/>
          <w:color w:val="000000"/>
          <w:sz w:val="20"/>
        </w:rPr>
        <w:t>Validation Comparison Record</w:t>
      </w:r>
      <w:r>
        <w:rPr>
          <w:rFonts w:ascii="Times New Roman" w:eastAsia="Times New Roman" w:hAnsi="Times New Roman"/>
          <w:color w:val="000000"/>
          <w:sz w:val="20"/>
        </w:rPr>
        <w:t xml:space="preserve"> compares the completed evidence record with a locked expectation map. It may classify the comparison as matched, partially matched, not matched, unexpected, unavailable, or inadmissible. It cannot rewrite the source, canonical runtime, telemetry, markers, Instrument Findings, Passport, Evidence Seal, or evidence identity.</w:t>
      </w:r>
    </w:p>
    <w:p w14:paraId="7AF037FF" w14:textId="77777777" w:rsidR="005B7C5B" w:rsidRDefault="005B7C5B" w:rsidP="005B7C5B">
      <w:pPr>
        <w:spacing w:after="112"/>
      </w:pPr>
      <w:r>
        <w:rPr>
          <w:rFonts w:ascii="Times New Roman" w:eastAsia="Times New Roman" w:hAnsi="Times New Roman"/>
          <w:color w:val="000000"/>
          <w:sz w:val="20"/>
        </w:rPr>
        <w:t>This separation is the principal anti-contamination mechanism:</w:t>
      </w:r>
    </w:p>
    <w:p w14:paraId="6CA1307D" w14:textId="77777777" w:rsidR="005B7C5B" w:rsidRDefault="005B7C5B" w:rsidP="005B7C5B">
      <w:pPr>
        <w:keepNext/>
        <w:spacing w:before="120" w:after="60"/>
        <w:jc w:val="center"/>
      </w:pPr>
      <w:r>
        <w:rPr>
          <w:noProof/>
        </w:rPr>
        <w:drawing>
          <wp:inline distT="0" distB="0" distL="0" distR="0" wp14:anchorId="52BF3DF9" wp14:editId="0DB949A2">
            <wp:extent cx="5715000" cy="3336113"/>
            <wp:effectExtent l="0" t="0" r="0" b="0"/>
            <wp:docPr id="2" name="Figure 2" descr="Scenario source passes through the production pipeline to form a Runtime Evidence Record. A separately locked expectation map joins the completed record only at the comparator, which creates a Validation Comparis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two_object_validation.png"/>
                    <pic:cNvPicPr/>
                  </pic:nvPicPr>
                  <pic:blipFill>
                    <a:blip r:embed="rId12"/>
                    <a:stretch>
                      <a:fillRect/>
                    </a:stretch>
                  </pic:blipFill>
                  <pic:spPr>
                    <a:xfrm>
                      <a:off x="0" y="0"/>
                      <a:ext cx="5715000" cy="3336113"/>
                    </a:xfrm>
                    <a:prstGeom prst="rect">
                      <a:avLst/>
                    </a:prstGeom>
                  </pic:spPr>
                </pic:pic>
              </a:graphicData>
            </a:graphic>
          </wp:inline>
        </w:drawing>
      </w:r>
    </w:p>
    <w:p w14:paraId="7ECE192D" w14:textId="77777777" w:rsidR="005B7C5B" w:rsidRDefault="005B7C5B" w:rsidP="005B7C5B">
      <w:pPr>
        <w:jc w:val="center"/>
      </w:pPr>
      <w:r>
        <w:rPr>
          <w:rFonts w:ascii="Times New Roman" w:eastAsia="Times New Roman" w:hAnsi="Times New Roman"/>
          <w:i/>
          <w:color w:val="66717C"/>
          <w:sz w:val="18"/>
        </w:rPr>
        <w:t>Figure 2. Two-object validation architecture and anti-contamination boundary.</w:t>
      </w:r>
    </w:p>
    <w:p w14:paraId="43A8D799" w14:textId="77777777" w:rsidR="005B7C5B" w:rsidRDefault="005B7C5B" w:rsidP="005B7C5B">
      <w:pPr>
        <w:spacing w:before="140" w:after="180"/>
        <w:ind w:left="792" w:right="792"/>
        <w:jc w:val="center"/>
      </w:pPr>
      <w:r>
        <w:rPr>
          <w:rFonts w:ascii="Times New Roman" w:eastAsia="Times New Roman" w:hAnsi="Times New Roman"/>
          <w:b/>
          <w:i/>
          <w:color w:val="17324D"/>
          <w:sz w:val="22"/>
        </w:rPr>
        <w:t>Expectation is test context—not evidence input.</w:t>
      </w:r>
    </w:p>
    <w:p w14:paraId="3F63D2FC" w14:textId="77777777" w:rsidR="005B7C5B" w:rsidRDefault="005B7C5B" w:rsidP="005B7C5B">
      <w:pPr>
        <w:pStyle w:val="Heading2"/>
      </w:pPr>
      <w:r>
        <w:rPr>
          <w:rFonts w:ascii="Arial" w:eastAsia="Times New Roman" w:hAnsi="Arial"/>
          <w:color w:val="000000"/>
          <w:sz w:val="24"/>
        </w:rPr>
        <w:t>Evidence path</w:t>
      </w:r>
    </w:p>
    <w:p w14:paraId="73A1F58B" w14:textId="77777777" w:rsidR="005B7C5B" w:rsidRDefault="005B7C5B" w:rsidP="005B7C5B">
      <w:pPr>
        <w:keepLines/>
        <w:spacing w:after="112"/>
      </w:pPr>
      <w:r>
        <w:rPr>
          <w:rFonts w:ascii="Times New Roman" w:eastAsia="Times New Roman" w:hAnsi="Times New Roman"/>
          <w:color w:val="000000"/>
          <w:sz w:val="20"/>
        </w:rPr>
        <w:t>The computational path is:</w:t>
      </w:r>
    </w:p>
    <w:p w14:paraId="2755DA32" w14:textId="77777777" w:rsidR="005B7C5B" w:rsidRDefault="005B7C5B" w:rsidP="005B7C5B">
      <w:pPr>
        <w:spacing w:before="140" w:after="180"/>
        <w:ind w:left="792" w:right="792"/>
        <w:jc w:val="center"/>
      </w:pPr>
      <w:r>
        <w:rPr>
          <w:rFonts w:ascii="Times New Roman" w:eastAsia="Times New Roman" w:hAnsi="Times New Roman"/>
          <w:b/>
          <w:i/>
          <w:color w:val="17324D"/>
          <w:sz w:val="22"/>
        </w:rPr>
        <w:t>Scenario source → qualification and versioned canonicalization → runtime reconstruction and registered measurement → Current Evidence Run → Runtime Evidence Record, Passport, and Evidence Seal</w:t>
      </w:r>
    </w:p>
    <w:p w14:paraId="23A07E04" w14:textId="77777777" w:rsidR="005B7C5B" w:rsidRDefault="005B7C5B" w:rsidP="005B7C5B">
      <w:pPr>
        <w:spacing w:after="112"/>
      </w:pPr>
      <w:r>
        <w:rPr>
          <w:rFonts w:ascii="Times New Roman" w:eastAsia="Times New Roman" w:hAnsi="Times New Roman"/>
          <w:color w:val="000000"/>
          <w:sz w:val="20"/>
        </w:rPr>
        <w:t>The comparison path begins only after evidence formation:</w:t>
      </w:r>
    </w:p>
    <w:p w14:paraId="5F0F2EBA" w14:textId="77777777" w:rsidR="005B7C5B" w:rsidRDefault="005B7C5B" w:rsidP="005B7C5B">
      <w:pPr>
        <w:spacing w:before="140" w:after="180"/>
        <w:ind w:left="792" w:right="792"/>
        <w:jc w:val="center"/>
      </w:pPr>
      <w:r>
        <w:rPr>
          <w:rFonts w:ascii="Times New Roman" w:eastAsia="Times New Roman" w:hAnsi="Times New Roman"/>
          <w:b/>
          <w:i/>
          <w:color w:val="17324D"/>
          <w:sz w:val="22"/>
        </w:rPr>
        <w:t>Locked expectation map + issued evidence record → Validation Comparison Record → preserved validation artifact</w:t>
      </w:r>
    </w:p>
    <w:p w14:paraId="64807627" w14:textId="77777777" w:rsidR="005B7C5B" w:rsidRDefault="005B7C5B" w:rsidP="005B7C5B">
      <w:pPr>
        <w:pStyle w:val="Heading2"/>
      </w:pPr>
      <w:r>
        <w:rPr>
          <w:rFonts w:ascii="Arial" w:eastAsia="Times New Roman" w:hAnsi="Arial"/>
          <w:color w:val="000000"/>
          <w:sz w:val="24"/>
        </w:rPr>
        <w:t>Anti-contamination rules</w:t>
      </w:r>
    </w:p>
    <w:p w14:paraId="2F41952E" w14:textId="77777777" w:rsidR="005B7C5B" w:rsidRDefault="005B7C5B" w:rsidP="005B7C5B">
      <w:pPr>
        <w:keepLines/>
        <w:spacing w:after="112"/>
      </w:pPr>
      <w:r>
        <w:rPr>
          <w:rFonts w:ascii="Times New Roman" w:eastAsia="Times New Roman" w:hAnsi="Times New Roman"/>
          <w:color w:val="000000"/>
          <w:sz w:val="20"/>
        </w:rPr>
        <w:t>The evidence engine may use only declared ordinary run inputs: the preserved source, applied adapter, canonicalization configuration, registered methods, thresholds, schemas, and source or operator context that would be available in a non-validation run.</w:t>
      </w:r>
    </w:p>
    <w:p w14:paraId="0204C57B" w14:textId="77777777" w:rsidR="005B7C5B" w:rsidRDefault="005B7C5B" w:rsidP="005B7C5B">
      <w:pPr>
        <w:spacing w:after="112"/>
      </w:pPr>
      <w:r>
        <w:rPr>
          <w:rFonts w:ascii="Times New Roman" w:eastAsia="Times New Roman" w:hAnsi="Times New Roman"/>
          <w:color w:val="000000"/>
          <w:sz w:val="20"/>
        </w:rPr>
        <w:t>The following are excluded from evidence computation:</w:t>
      </w:r>
    </w:p>
    <w:p w14:paraId="0C18A2E7" w14:textId="77777777" w:rsidR="005B7C5B" w:rsidRDefault="005B7C5B" w:rsidP="005B7C5B">
      <w:pPr>
        <w:pStyle w:val="ListBullet"/>
      </w:pPr>
      <w:r>
        <w:rPr>
          <w:rFonts w:eastAsia="Times New Roman"/>
          <w:sz w:val="20"/>
        </w:rPr>
        <w:t>scenario title and sample identity;</w:t>
      </w:r>
    </w:p>
    <w:p w14:paraId="282E39A2" w14:textId="77777777" w:rsidR="005B7C5B" w:rsidRDefault="005B7C5B" w:rsidP="005B7C5B">
      <w:pPr>
        <w:pStyle w:val="ListBullet"/>
      </w:pPr>
      <w:r>
        <w:rPr>
          <w:rFonts w:eastAsia="Times New Roman"/>
          <w:sz w:val="20"/>
        </w:rPr>
        <w:t>fixture metadata describing the expected result;</w:t>
      </w:r>
    </w:p>
    <w:p w14:paraId="1065D1CA" w14:textId="77777777" w:rsidR="005B7C5B" w:rsidRDefault="005B7C5B" w:rsidP="005B7C5B">
      <w:pPr>
        <w:pStyle w:val="ListBullet"/>
      </w:pPr>
      <w:r>
        <w:rPr>
          <w:rFonts w:eastAsia="Times New Roman"/>
          <w:sz w:val="20"/>
        </w:rPr>
        <w:t>expected class, regime, marker, or finding;</w:t>
      </w:r>
    </w:p>
    <w:p w14:paraId="2D2DE3B9" w14:textId="77777777" w:rsidR="005B7C5B" w:rsidRDefault="005B7C5B" w:rsidP="005B7C5B">
      <w:pPr>
        <w:pStyle w:val="ListBullet"/>
      </w:pPr>
      <w:r>
        <w:rPr>
          <w:rFonts w:eastAsia="Times New Roman"/>
          <w:sz w:val="20"/>
        </w:rPr>
        <w:t>validation rubric scores;</w:t>
      </w:r>
    </w:p>
    <w:p w14:paraId="54860E47" w14:textId="77777777" w:rsidR="005B7C5B" w:rsidRDefault="005B7C5B" w:rsidP="005B7C5B">
      <w:pPr>
        <w:pStyle w:val="ListBullet"/>
      </w:pPr>
      <w:r>
        <w:rPr>
          <w:rFonts w:eastAsia="Times New Roman"/>
          <w:sz w:val="20"/>
        </w:rPr>
        <w:t>case narrative written to explain the fixture;</w:t>
      </w:r>
    </w:p>
    <w:p w14:paraId="35DEA8BA" w14:textId="77777777" w:rsidR="005B7C5B" w:rsidRDefault="005B7C5B" w:rsidP="005B7C5B">
      <w:pPr>
        <w:pStyle w:val="ListBullet"/>
      </w:pPr>
      <w:r>
        <w:rPr>
          <w:rFonts w:eastAsia="Times New Roman"/>
          <w:sz w:val="20"/>
        </w:rPr>
        <w:t>target Human Read language;</w:t>
      </w:r>
    </w:p>
    <w:p w14:paraId="39FBAB28" w14:textId="77777777" w:rsidR="005B7C5B" w:rsidRDefault="005B7C5B" w:rsidP="005B7C5B">
      <w:pPr>
        <w:pStyle w:val="ListBullet"/>
      </w:pPr>
      <w:r>
        <w:rPr>
          <w:rFonts w:eastAsia="Times New Roman"/>
          <w:sz w:val="20"/>
        </w:rPr>
        <w:t>comparison status; and</w:t>
      </w:r>
    </w:p>
    <w:p w14:paraId="06E1F13B" w14:textId="77777777" w:rsidR="005B7C5B" w:rsidRDefault="005B7C5B" w:rsidP="005B7C5B">
      <w:pPr>
        <w:pStyle w:val="ListBullet"/>
      </w:pPr>
      <w:r>
        <w:rPr>
          <w:rFonts w:eastAsia="Times New Roman"/>
          <w:sz w:val="20"/>
        </w:rPr>
        <w:t>interface or cockpit state.</w:t>
      </w:r>
    </w:p>
    <w:p w14:paraId="24F013CA" w14:textId="77777777" w:rsidR="005B7C5B" w:rsidRDefault="005B7C5B" w:rsidP="005B7C5B">
      <w:pPr>
        <w:spacing w:after="112"/>
      </w:pPr>
      <w:r>
        <w:rPr>
          <w:rFonts w:ascii="Times New Roman" w:eastAsia="Times New Roman" w:hAnsi="Times New Roman"/>
          <w:color w:val="000000"/>
          <w:sz w:val="20"/>
        </w:rPr>
        <w:t>These objects may be evaluated after computation. They may not participate in telemetry, regime classification, marker formation, Instrument Findings, REIM scoring, Human Read, Passport issuance, or the Evidence Seal.</w:t>
      </w:r>
    </w:p>
    <w:p w14:paraId="2933FE6E" w14:textId="77777777" w:rsidR="005B7C5B" w:rsidRDefault="005B7C5B" w:rsidP="005B7C5B">
      <w:pPr>
        <w:pStyle w:val="Heading2"/>
      </w:pPr>
      <w:r>
        <w:rPr>
          <w:rFonts w:ascii="Arial" w:eastAsia="Times New Roman" w:hAnsi="Arial"/>
          <w:color w:val="000000"/>
          <w:sz w:val="24"/>
        </w:rPr>
        <w:t>Comparison states</w:t>
      </w:r>
    </w:p>
    <w:p w14:paraId="4AB497D4" w14:textId="77777777" w:rsidR="005B7C5B" w:rsidRDefault="005B7C5B" w:rsidP="005B7C5B">
      <w:pPr>
        <w:keepNext/>
        <w:spacing w:before="140" w:after="80"/>
      </w:pPr>
      <w:r>
        <w:rPr>
          <w:rFonts w:ascii="Times New Roman" w:eastAsia="Times New Roman" w:hAnsi="Times New Roman"/>
          <w:i/>
          <w:color w:val="66717C"/>
          <w:sz w:val="18"/>
        </w:rPr>
        <w:t>Table 2. Validation comparison states.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7920"/>
      </w:tblGrid>
      <w:tr w:rsidR="005B7C5B" w14:paraId="3C96D3DC" w14:textId="77777777">
        <w:trPr>
          <w:cantSplit/>
          <w:tblHeader/>
          <w:jc w:val="center"/>
        </w:trPr>
        <w:tc>
          <w:tcPr>
            <w:tcW w:w="1800" w:type="dxa"/>
            <w:shd w:val="clear" w:color="auto" w:fill="17324D"/>
            <w:tcMar>
              <w:top w:w="70" w:type="dxa"/>
              <w:left w:w="100" w:type="dxa"/>
              <w:bottom w:w="70" w:type="dxa"/>
              <w:right w:w="100" w:type="dxa"/>
            </w:tcMar>
            <w:vAlign w:val="center"/>
          </w:tcPr>
          <w:p w14:paraId="0D318001" w14:textId="77777777" w:rsidR="005B7C5B" w:rsidRDefault="005B7C5B" w:rsidP="00F96983">
            <w:pPr>
              <w:spacing w:after="0" w:line="240" w:lineRule="auto"/>
            </w:pPr>
            <w:r>
              <w:rPr>
                <w:rFonts w:ascii="Arial" w:eastAsia="Times New Roman" w:hAnsi="Arial"/>
                <w:b/>
                <w:color w:val="FFFFFF"/>
                <w:sz w:val="17"/>
              </w:rPr>
              <w:t>State</w:t>
            </w:r>
          </w:p>
        </w:tc>
        <w:tc>
          <w:tcPr>
            <w:tcW w:w="7920" w:type="dxa"/>
            <w:shd w:val="clear" w:color="auto" w:fill="17324D"/>
            <w:tcMar>
              <w:top w:w="70" w:type="dxa"/>
              <w:left w:w="100" w:type="dxa"/>
              <w:bottom w:w="70" w:type="dxa"/>
              <w:right w:w="100" w:type="dxa"/>
            </w:tcMar>
            <w:vAlign w:val="center"/>
          </w:tcPr>
          <w:p w14:paraId="3F084DA0" w14:textId="77777777" w:rsidR="005B7C5B" w:rsidRDefault="005B7C5B" w:rsidP="00F96983">
            <w:pPr>
              <w:spacing w:after="0" w:line="240" w:lineRule="auto"/>
            </w:pPr>
            <w:r>
              <w:rPr>
                <w:rFonts w:ascii="Arial" w:eastAsia="Times New Roman" w:hAnsi="Arial"/>
                <w:b/>
                <w:color w:val="FFFFFF"/>
                <w:sz w:val="17"/>
              </w:rPr>
              <w:t>Interpretation</w:t>
            </w:r>
          </w:p>
        </w:tc>
      </w:tr>
      <w:tr w:rsidR="005B7C5B" w14:paraId="08420715" w14:textId="77777777">
        <w:trPr>
          <w:cantSplit/>
          <w:jc w:val="center"/>
        </w:trPr>
        <w:tc>
          <w:tcPr>
            <w:tcW w:w="1800" w:type="dxa"/>
            <w:shd w:val="clear" w:color="auto" w:fill="FFFFFF"/>
            <w:tcMar>
              <w:top w:w="70" w:type="dxa"/>
              <w:left w:w="100" w:type="dxa"/>
              <w:bottom w:w="70" w:type="dxa"/>
              <w:right w:w="100" w:type="dxa"/>
            </w:tcMar>
            <w:vAlign w:val="center"/>
          </w:tcPr>
          <w:p w14:paraId="014A6582" w14:textId="77777777" w:rsidR="005B7C5B" w:rsidRDefault="005B7C5B" w:rsidP="00F96983">
            <w:pPr>
              <w:spacing w:after="0" w:line="240" w:lineRule="auto"/>
            </w:pPr>
            <w:r>
              <w:rPr>
                <w:rFonts w:ascii="Times New Roman" w:eastAsia="Times New Roman" w:hAnsi="Times New Roman"/>
                <w:color w:val="000000"/>
                <w:sz w:val="17"/>
              </w:rPr>
              <w:t>Matched</w:t>
            </w:r>
          </w:p>
        </w:tc>
        <w:tc>
          <w:tcPr>
            <w:tcW w:w="7920" w:type="dxa"/>
            <w:shd w:val="clear" w:color="auto" w:fill="FFFFFF"/>
            <w:tcMar>
              <w:top w:w="70" w:type="dxa"/>
              <w:left w:w="100" w:type="dxa"/>
              <w:bottom w:w="70" w:type="dxa"/>
              <w:right w:w="100" w:type="dxa"/>
            </w:tcMar>
            <w:vAlign w:val="center"/>
          </w:tcPr>
          <w:p w14:paraId="1E24E3C0" w14:textId="77777777" w:rsidR="005B7C5B" w:rsidRDefault="005B7C5B" w:rsidP="00F96983">
            <w:pPr>
              <w:spacing w:after="0" w:line="240" w:lineRule="auto"/>
            </w:pPr>
            <w:r>
              <w:rPr>
                <w:rFonts w:ascii="Times New Roman" w:eastAsia="Times New Roman" w:hAnsi="Times New Roman"/>
                <w:color w:val="000000"/>
                <w:sz w:val="17"/>
              </w:rPr>
              <w:t>The observed evidence satisfies the locked condition under the declared comparison rule.</w:t>
            </w:r>
          </w:p>
        </w:tc>
      </w:tr>
      <w:tr w:rsidR="005B7C5B" w14:paraId="481648C2" w14:textId="77777777">
        <w:trPr>
          <w:cantSplit/>
          <w:jc w:val="center"/>
        </w:trPr>
        <w:tc>
          <w:tcPr>
            <w:tcW w:w="1800" w:type="dxa"/>
            <w:shd w:val="clear" w:color="auto" w:fill="F6F9FB"/>
            <w:tcMar>
              <w:top w:w="70" w:type="dxa"/>
              <w:left w:w="100" w:type="dxa"/>
              <w:bottom w:w="70" w:type="dxa"/>
              <w:right w:w="100" w:type="dxa"/>
            </w:tcMar>
            <w:vAlign w:val="center"/>
          </w:tcPr>
          <w:p w14:paraId="681676CC" w14:textId="77777777" w:rsidR="005B7C5B" w:rsidRDefault="005B7C5B" w:rsidP="00F96983">
            <w:pPr>
              <w:spacing w:after="0" w:line="240" w:lineRule="auto"/>
            </w:pPr>
            <w:r>
              <w:rPr>
                <w:rFonts w:ascii="Times New Roman" w:eastAsia="Times New Roman" w:hAnsi="Times New Roman"/>
                <w:color w:val="000000"/>
                <w:sz w:val="17"/>
              </w:rPr>
              <w:t>Partially matched</w:t>
            </w:r>
          </w:p>
        </w:tc>
        <w:tc>
          <w:tcPr>
            <w:tcW w:w="7920" w:type="dxa"/>
            <w:shd w:val="clear" w:color="auto" w:fill="F6F9FB"/>
            <w:tcMar>
              <w:top w:w="70" w:type="dxa"/>
              <w:left w:w="100" w:type="dxa"/>
              <w:bottom w:w="70" w:type="dxa"/>
              <w:right w:w="100" w:type="dxa"/>
            </w:tcMar>
            <w:vAlign w:val="center"/>
          </w:tcPr>
          <w:p w14:paraId="40D86137" w14:textId="77777777" w:rsidR="005B7C5B" w:rsidRDefault="005B7C5B" w:rsidP="00F96983">
            <w:pPr>
              <w:spacing w:after="0" w:line="240" w:lineRule="auto"/>
            </w:pPr>
            <w:r>
              <w:rPr>
                <w:rFonts w:ascii="Times New Roman" w:eastAsia="Times New Roman" w:hAnsi="Times New Roman"/>
                <w:color w:val="000000"/>
                <w:sz w:val="17"/>
              </w:rPr>
              <w:t>Some required conditions are satisfied; one or more remain incomplete or unsupported.</w:t>
            </w:r>
          </w:p>
        </w:tc>
      </w:tr>
      <w:tr w:rsidR="005B7C5B" w14:paraId="5EF8830E" w14:textId="77777777">
        <w:trPr>
          <w:cantSplit/>
          <w:jc w:val="center"/>
        </w:trPr>
        <w:tc>
          <w:tcPr>
            <w:tcW w:w="1800" w:type="dxa"/>
            <w:shd w:val="clear" w:color="auto" w:fill="FFFFFF"/>
            <w:tcMar>
              <w:top w:w="70" w:type="dxa"/>
              <w:left w:w="100" w:type="dxa"/>
              <w:bottom w:w="70" w:type="dxa"/>
              <w:right w:w="100" w:type="dxa"/>
            </w:tcMar>
            <w:vAlign w:val="center"/>
          </w:tcPr>
          <w:p w14:paraId="19F202C9" w14:textId="77777777" w:rsidR="005B7C5B" w:rsidRDefault="005B7C5B" w:rsidP="00F96983">
            <w:pPr>
              <w:spacing w:after="0" w:line="240" w:lineRule="auto"/>
            </w:pPr>
            <w:r>
              <w:rPr>
                <w:rFonts w:ascii="Times New Roman" w:eastAsia="Times New Roman" w:hAnsi="Times New Roman"/>
                <w:color w:val="000000"/>
                <w:sz w:val="17"/>
              </w:rPr>
              <w:t>Not matched</w:t>
            </w:r>
          </w:p>
        </w:tc>
        <w:tc>
          <w:tcPr>
            <w:tcW w:w="7920" w:type="dxa"/>
            <w:shd w:val="clear" w:color="auto" w:fill="FFFFFF"/>
            <w:tcMar>
              <w:top w:w="70" w:type="dxa"/>
              <w:left w:w="100" w:type="dxa"/>
              <w:bottom w:w="70" w:type="dxa"/>
              <w:right w:w="100" w:type="dxa"/>
            </w:tcMar>
            <w:vAlign w:val="center"/>
          </w:tcPr>
          <w:p w14:paraId="7461975B" w14:textId="77777777" w:rsidR="005B7C5B" w:rsidRDefault="005B7C5B" w:rsidP="00F96983">
            <w:pPr>
              <w:spacing w:after="0" w:line="240" w:lineRule="auto"/>
            </w:pPr>
            <w:r>
              <w:rPr>
                <w:rFonts w:ascii="Times New Roman" w:eastAsia="Times New Roman" w:hAnsi="Times New Roman"/>
                <w:color w:val="000000"/>
                <w:sz w:val="17"/>
              </w:rPr>
              <w:t>The expected condition is not supported by the observed evidence.</w:t>
            </w:r>
          </w:p>
        </w:tc>
      </w:tr>
      <w:tr w:rsidR="005B7C5B" w14:paraId="4A3F81ED" w14:textId="77777777">
        <w:trPr>
          <w:cantSplit/>
          <w:jc w:val="center"/>
        </w:trPr>
        <w:tc>
          <w:tcPr>
            <w:tcW w:w="1800" w:type="dxa"/>
            <w:shd w:val="clear" w:color="auto" w:fill="F6F9FB"/>
            <w:tcMar>
              <w:top w:w="70" w:type="dxa"/>
              <w:left w:w="100" w:type="dxa"/>
              <w:bottom w:w="70" w:type="dxa"/>
              <w:right w:w="100" w:type="dxa"/>
            </w:tcMar>
            <w:vAlign w:val="center"/>
          </w:tcPr>
          <w:p w14:paraId="7EC899CE" w14:textId="77777777" w:rsidR="005B7C5B" w:rsidRDefault="005B7C5B" w:rsidP="00F96983">
            <w:pPr>
              <w:spacing w:after="0" w:line="240" w:lineRule="auto"/>
            </w:pPr>
            <w:r>
              <w:rPr>
                <w:rFonts w:ascii="Times New Roman" w:eastAsia="Times New Roman" w:hAnsi="Times New Roman"/>
                <w:color w:val="000000"/>
                <w:sz w:val="17"/>
              </w:rPr>
              <w:t>Unexpected finding</w:t>
            </w:r>
          </w:p>
        </w:tc>
        <w:tc>
          <w:tcPr>
            <w:tcW w:w="7920" w:type="dxa"/>
            <w:shd w:val="clear" w:color="auto" w:fill="F6F9FB"/>
            <w:tcMar>
              <w:top w:w="70" w:type="dxa"/>
              <w:left w:w="100" w:type="dxa"/>
              <w:bottom w:w="70" w:type="dxa"/>
              <w:right w:w="100" w:type="dxa"/>
            </w:tcMar>
            <w:vAlign w:val="center"/>
          </w:tcPr>
          <w:p w14:paraId="70C17F5A" w14:textId="77777777" w:rsidR="005B7C5B" w:rsidRDefault="005B7C5B" w:rsidP="00F96983">
            <w:pPr>
              <w:spacing w:after="0" w:line="240" w:lineRule="auto"/>
            </w:pPr>
            <w:r>
              <w:rPr>
                <w:rFonts w:ascii="Times New Roman" w:eastAsia="Times New Roman" w:hAnsi="Times New Roman"/>
                <w:color w:val="000000"/>
                <w:sz w:val="17"/>
              </w:rPr>
              <w:t>An undeclared finding was produced and retained for inspection.</w:t>
            </w:r>
          </w:p>
        </w:tc>
      </w:tr>
      <w:tr w:rsidR="005B7C5B" w14:paraId="57F223E0" w14:textId="77777777">
        <w:trPr>
          <w:cantSplit/>
          <w:jc w:val="center"/>
        </w:trPr>
        <w:tc>
          <w:tcPr>
            <w:tcW w:w="1800" w:type="dxa"/>
            <w:shd w:val="clear" w:color="auto" w:fill="FFFFFF"/>
            <w:tcMar>
              <w:top w:w="70" w:type="dxa"/>
              <w:left w:w="100" w:type="dxa"/>
              <w:bottom w:w="70" w:type="dxa"/>
              <w:right w:w="100" w:type="dxa"/>
            </w:tcMar>
            <w:vAlign w:val="center"/>
          </w:tcPr>
          <w:p w14:paraId="01684009" w14:textId="77777777" w:rsidR="005B7C5B" w:rsidRDefault="005B7C5B" w:rsidP="00F96983">
            <w:pPr>
              <w:spacing w:after="0" w:line="240" w:lineRule="auto"/>
            </w:pPr>
            <w:r>
              <w:rPr>
                <w:rFonts w:ascii="Times New Roman" w:eastAsia="Times New Roman" w:hAnsi="Times New Roman"/>
                <w:color w:val="000000"/>
                <w:sz w:val="17"/>
              </w:rPr>
              <w:t>Unavailable</w:t>
            </w:r>
          </w:p>
        </w:tc>
        <w:tc>
          <w:tcPr>
            <w:tcW w:w="7920" w:type="dxa"/>
            <w:shd w:val="clear" w:color="auto" w:fill="FFFFFF"/>
            <w:tcMar>
              <w:top w:w="70" w:type="dxa"/>
              <w:left w:w="100" w:type="dxa"/>
              <w:bottom w:w="70" w:type="dxa"/>
              <w:right w:w="100" w:type="dxa"/>
            </w:tcMar>
            <w:vAlign w:val="center"/>
          </w:tcPr>
          <w:p w14:paraId="176D5211" w14:textId="77777777" w:rsidR="005B7C5B" w:rsidRDefault="005B7C5B" w:rsidP="00F96983">
            <w:pPr>
              <w:spacing w:after="0" w:line="240" w:lineRule="auto"/>
            </w:pPr>
            <w:r>
              <w:rPr>
                <w:rFonts w:ascii="Times New Roman" w:eastAsia="Times New Roman" w:hAnsi="Times New Roman"/>
                <w:color w:val="000000"/>
                <w:sz w:val="17"/>
              </w:rPr>
              <w:t>Required source coverage, dependency, marker, or authority is missing.</w:t>
            </w:r>
          </w:p>
        </w:tc>
      </w:tr>
      <w:tr w:rsidR="005B7C5B" w14:paraId="0FA39944" w14:textId="77777777">
        <w:trPr>
          <w:cantSplit/>
          <w:jc w:val="center"/>
        </w:trPr>
        <w:tc>
          <w:tcPr>
            <w:tcW w:w="1800" w:type="dxa"/>
            <w:shd w:val="clear" w:color="auto" w:fill="F6F9FB"/>
            <w:tcMar>
              <w:top w:w="70" w:type="dxa"/>
              <w:left w:w="100" w:type="dxa"/>
              <w:bottom w:w="70" w:type="dxa"/>
              <w:right w:w="100" w:type="dxa"/>
            </w:tcMar>
            <w:vAlign w:val="center"/>
          </w:tcPr>
          <w:p w14:paraId="7F573B93" w14:textId="77777777" w:rsidR="005B7C5B" w:rsidRDefault="005B7C5B" w:rsidP="00F96983">
            <w:pPr>
              <w:spacing w:after="0" w:line="240" w:lineRule="auto"/>
            </w:pPr>
            <w:r>
              <w:rPr>
                <w:rFonts w:ascii="Times New Roman" w:eastAsia="Times New Roman" w:hAnsi="Times New Roman"/>
                <w:color w:val="000000"/>
                <w:sz w:val="17"/>
              </w:rPr>
              <w:t>Inadmissible</w:t>
            </w:r>
          </w:p>
        </w:tc>
        <w:tc>
          <w:tcPr>
            <w:tcW w:w="7920" w:type="dxa"/>
            <w:shd w:val="clear" w:color="auto" w:fill="F6F9FB"/>
            <w:tcMar>
              <w:top w:w="70" w:type="dxa"/>
              <w:left w:w="100" w:type="dxa"/>
              <w:bottom w:w="70" w:type="dxa"/>
              <w:right w:w="100" w:type="dxa"/>
            </w:tcMar>
            <w:vAlign w:val="center"/>
          </w:tcPr>
          <w:p w14:paraId="50956DD6" w14:textId="77777777" w:rsidR="005B7C5B" w:rsidRDefault="005B7C5B" w:rsidP="00F96983">
            <w:pPr>
              <w:spacing w:after="0" w:line="240" w:lineRule="auto"/>
            </w:pPr>
            <w:r>
              <w:rPr>
                <w:rFonts w:ascii="Times New Roman" w:eastAsia="Times New Roman" w:hAnsi="Times New Roman"/>
                <w:color w:val="000000"/>
                <w:sz w:val="17"/>
              </w:rPr>
              <w:t>The requested comparison exceeds the evidence, method, calibration, or claim contract.</w:t>
            </w:r>
          </w:p>
        </w:tc>
      </w:tr>
    </w:tbl>
    <w:p w14:paraId="123B761C" w14:textId="77777777" w:rsidR="005B7C5B" w:rsidRDefault="005B7C5B" w:rsidP="005B7C5B">
      <w:pPr>
        <w:spacing w:after="20"/>
      </w:pPr>
    </w:p>
    <w:p w14:paraId="0E2ED0B0"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Materials and Case Composition</w:t>
      </w:r>
    </w:p>
    <w:p w14:paraId="3508B27A" w14:textId="77777777" w:rsidR="005B7C5B" w:rsidRDefault="005B7C5B" w:rsidP="005B7C5B">
      <w:pPr>
        <w:pStyle w:val="Heading2"/>
      </w:pPr>
      <w:r>
        <w:rPr>
          <w:rFonts w:ascii="Arial" w:eastAsia="Times New Roman" w:hAnsi="Arial"/>
          <w:color w:val="000000"/>
          <w:sz w:val="24"/>
        </w:rPr>
        <w:t>Reported program inventory</w:t>
      </w:r>
    </w:p>
    <w:p w14:paraId="29B3B130" w14:textId="77777777" w:rsidR="005B7C5B" w:rsidRDefault="005B7C5B" w:rsidP="005B7C5B">
      <w:pPr>
        <w:keepLines/>
        <w:spacing w:after="112"/>
      </w:pPr>
      <w:r>
        <w:rPr>
          <w:rFonts w:ascii="Times New Roman" w:eastAsia="Times New Roman" w:hAnsi="Times New Roman"/>
          <w:color w:val="000000"/>
          <w:sz w:val="20"/>
        </w:rPr>
        <w:t xml:space="preserve">The current technical baseline is identified as </w:t>
      </w:r>
      <w:r>
        <w:rPr>
          <w:rFonts w:ascii="Times New Roman" w:eastAsia="Times New Roman" w:hAnsi="Times New Roman"/>
          <w:b/>
          <w:color w:val="000000"/>
          <w:sz w:val="20"/>
        </w:rPr>
        <w:t>FG-TVS-2026.1, Version 1.0.0</w:t>
      </w:r>
      <w:r>
        <w:rPr>
          <w:rFonts w:ascii="Times New Roman" w:eastAsia="Times New Roman" w:hAnsi="Times New Roman"/>
          <w:color w:val="000000"/>
          <w:sz w:val="20"/>
        </w:rPr>
        <w:t xml:space="preserve">. The reviewed implementation snapshot is </w:t>
      </w:r>
      <w:r>
        <w:rPr>
          <w:rFonts w:ascii="Times New Roman" w:eastAsia="Times New Roman" w:hAnsi="Times New Roman"/>
          <w:b/>
          <w:color w:val="000000"/>
          <w:sz w:val="20"/>
        </w:rPr>
        <w:t>RL1331</w:t>
      </w:r>
      <w:r>
        <w:rPr>
          <w:rFonts w:ascii="Times New Roman" w:eastAsia="Times New Roman" w:hAnsi="Times New Roman"/>
          <w:color w:val="000000"/>
          <w:sz w:val="20"/>
        </w:rPr>
        <w:t>. The published technical materials report:</w:t>
      </w:r>
    </w:p>
    <w:p w14:paraId="6DA1411F" w14:textId="77777777" w:rsidR="005B7C5B" w:rsidRDefault="005B7C5B" w:rsidP="005B7C5B">
      <w:pPr>
        <w:pStyle w:val="ListBullet"/>
      </w:pPr>
      <w:r>
        <w:rPr>
          <w:rFonts w:eastAsia="Times New Roman"/>
          <w:sz w:val="20"/>
        </w:rPr>
        <w:t>26 validation cases;</w:t>
      </w:r>
    </w:p>
    <w:p w14:paraId="5E4C356D" w14:textId="77777777" w:rsidR="005B7C5B" w:rsidRDefault="005B7C5B" w:rsidP="005B7C5B">
      <w:pPr>
        <w:pStyle w:val="ListBullet"/>
      </w:pPr>
      <w:r>
        <w:rPr>
          <w:rFonts w:eastAsia="Times New Roman"/>
          <w:sz w:val="20"/>
        </w:rPr>
        <w:t>eight operational samples;</w:t>
      </w:r>
    </w:p>
    <w:p w14:paraId="2CAA777B" w14:textId="77777777" w:rsidR="005B7C5B" w:rsidRDefault="005B7C5B" w:rsidP="005B7C5B">
      <w:pPr>
        <w:pStyle w:val="ListBullet"/>
      </w:pPr>
      <w:r>
        <w:rPr>
          <w:rFonts w:eastAsia="Times New Roman"/>
          <w:sz w:val="20"/>
        </w:rPr>
        <w:t>one source-bound 160-turn fixture;</w:t>
      </w:r>
    </w:p>
    <w:p w14:paraId="22B67E34" w14:textId="77777777" w:rsidR="005B7C5B" w:rsidRDefault="005B7C5B" w:rsidP="005B7C5B">
      <w:pPr>
        <w:pStyle w:val="ListBullet"/>
      </w:pPr>
      <w:r>
        <w:rPr>
          <w:rFonts w:eastAsia="Times New Roman"/>
          <w:sz w:val="20"/>
        </w:rPr>
        <w:t>seven implementation-bound Operational World profiles;</w:t>
      </w:r>
    </w:p>
    <w:p w14:paraId="4E146688" w14:textId="77777777" w:rsidR="005B7C5B" w:rsidRDefault="005B7C5B" w:rsidP="005B7C5B">
      <w:pPr>
        <w:pStyle w:val="ListBullet"/>
      </w:pPr>
      <w:r>
        <w:rPr>
          <w:rFonts w:eastAsia="Times New Roman"/>
          <w:sz w:val="20"/>
        </w:rPr>
        <w:t>fourteen validation protocols;</w:t>
      </w:r>
    </w:p>
    <w:p w14:paraId="7FAE60D8" w14:textId="77777777" w:rsidR="005B7C5B" w:rsidRDefault="005B7C5B" w:rsidP="005B7C5B">
      <w:pPr>
        <w:pStyle w:val="ListBullet"/>
      </w:pPr>
      <w:r>
        <w:rPr>
          <w:rFonts w:eastAsia="Times New Roman"/>
          <w:sz w:val="20"/>
        </w:rPr>
        <w:t>nine instrument contracts;</w:t>
      </w:r>
    </w:p>
    <w:p w14:paraId="5FC63ED2" w14:textId="77777777" w:rsidR="005B7C5B" w:rsidRDefault="005B7C5B" w:rsidP="005B7C5B">
      <w:pPr>
        <w:pStyle w:val="ListBullet"/>
      </w:pPr>
      <w:r>
        <w:rPr>
          <w:rFonts w:eastAsia="Times New Roman"/>
          <w:sz w:val="20"/>
        </w:rPr>
        <w:t>a 25-entry runtime Signal Authority; and</w:t>
      </w:r>
    </w:p>
    <w:p w14:paraId="5364DDF9" w14:textId="77777777" w:rsidR="005B7C5B" w:rsidRDefault="005B7C5B" w:rsidP="005B7C5B">
      <w:pPr>
        <w:pStyle w:val="ListBullet"/>
      </w:pPr>
      <w:r>
        <w:rPr>
          <w:rFonts w:eastAsia="Times New Roman"/>
          <w:sz w:val="20"/>
        </w:rPr>
        <w:t>a 28-signal research-facing semantic registry.</w:t>
      </w:r>
    </w:p>
    <w:p w14:paraId="5FA47192" w14:textId="77777777" w:rsidR="005B7C5B" w:rsidRDefault="005B7C5B" w:rsidP="005B7C5B">
      <w:pPr>
        <w:spacing w:after="112"/>
      </w:pPr>
      <w:r>
        <w:rPr>
          <w:rFonts w:ascii="Times New Roman" w:eastAsia="Times New Roman" w:hAnsi="Times New Roman"/>
          <w:color w:val="000000"/>
          <w:sz w:val="20"/>
        </w:rPr>
        <w:t>The 25 and 28 counts refer to different layers. The runtime count describes implemented Signal Authority entries in RL1331; the research count describes semantic signal contracts. They must be connected through a versioned crosswalk and must not be treated as interchangeable.</w:t>
      </w:r>
    </w:p>
    <w:p w14:paraId="42A5DF42" w14:textId="77777777" w:rsidR="005B7C5B" w:rsidRDefault="005B7C5B" w:rsidP="005B7C5B">
      <w:pPr>
        <w:spacing w:after="112"/>
      </w:pPr>
      <w:r>
        <w:rPr>
          <w:rFonts w:ascii="Times New Roman" w:eastAsia="Times New Roman" w:hAnsi="Times New Roman"/>
          <w:color w:val="000000"/>
          <w:sz w:val="20"/>
        </w:rPr>
        <w:t>The 26 reported cases are an inventory count, not necessarily 26 statistically independent experimental units. The current public record does not bind the complete case manifest, dependence structure, repeat count, or class distribution. Consequently, this paper does not use 26 as an inferential sample size.</w:t>
      </w:r>
    </w:p>
    <w:p w14:paraId="7072AC0F" w14:textId="77777777" w:rsidR="005B7C5B" w:rsidRDefault="005B7C5B" w:rsidP="005B7C5B">
      <w:pPr>
        <w:pStyle w:val="Heading2"/>
      </w:pPr>
      <w:r>
        <w:rPr>
          <w:rFonts w:ascii="Arial" w:eastAsia="Times New Roman" w:hAnsi="Arial"/>
          <w:color w:val="000000"/>
          <w:sz w:val="24"/>
        </w:rPr>
        <w:t>Required case families</w:t>
      </w:r>
    </w:p>
    <w:p w14:paraId="7A3FA76B" w14:textId="77777777" w:rsidR="005B7C5B" w:rsidRDefault="005B7C5B" w:rsidP="005B7C5B">
      <w:pPr>
        <w:keepNext/>
        <w:spacing w:before="140" w:after="80"/>
      </w:pPr>
      <w:r>
        <w:rPr>
          <w:rFonts w:ascii="Times New Roman" w:eastAsia="Times New Roman" w:hAnsi="Times New Roman"/>
          <w:i/>
          <w:color w:val="66717C"/>
          <w:sz w:val="18"/>
        </w:rPr>
        <w:t>Table 3. Required validation case families.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240"/>
        <w:gridCol w:w="4680"/>
      </w:tblGrid>
      <w:tr w:rsidR="005B7C5B" w14:paraId="772F275F" w14:textId="77777777">
        <w:trPr>
          <w:cantSplit/>
          <w:tblHeader/>
          <w:jc w:val="center"/>
        </w:trPr>
        <w:tc>
          <w:tcPr>
            <w:tcW w:w="1800" w:type="dxa"/>
            <w:shd w:val="clear" w:color="auto" w:fill="17324D"/>
            <w:tcMar>
              <w:top w:w="70" w:type="dxa"/>
              <w:left w:w="100" w:type="dxa"/>
              <w:bottom w:w="70" w:type="dxa"/>
              <w:right w:w="100" w:type="dxa"/>
            </w:tcMar>
            <w:vAlign w:val="center"/>
          </w:tcPr>
          <w:p w14:paraId="7706AA54" w14:textId="77777777" w:rsidR="005B7C5B" w:rsidRDefault="005B7C5B" w:rsidP="00F96983">
            <w:pPr>
              <w:spacing w:after="0" w:line="240" w:lineRule="auto"/>
            </w:pPr>
            <w:r>
              <w:rPr>
                <w:rFonts w:ascii="Arial" w:eastAsia="Times New Roman" w:hAnsi="Arial"/>
                <w:b/>
                <w:color w:val="FFFFFF"/>
                <w:sz w:val="17"/>
              </w:rPr>
              <w:t>Case family</w:t>
            </w:r>
          </w:p>
        </w:tc>
        <w:tc>
          <w:tcPr>
            <w:tcW w:w="3240" w:type="dxa"/>
            <w:shd w:val="clear" w:color="auto" w:fill="17324D"/>
            <w:tcMar>
              <w:top w:w="70" w:type="dxa"/>
              <w:left w:w="100" w:type="dxa"/>
              <w:bottom w:w="70" w:type="dxa"/>
              <w:right w:w="100" w:type="dxa"/>
            </w:tcMar>
            <w:vAlign w:val="center"/>
          </w:tcPr>
          <w:p w14:paraId="55C15F76" w14:textId="77777777" w:rsidR="005B7C5B" w:rsidRDefault="005B7C5B" w:rsidP="00F96983">
            <w:pPr>
              <w:spacing w:after="0" w:line="240" w:lineRule="auto"/>
            </w:pPr>
            <w:r>
              <w:rPr>
                <w:rFonts w:ascii="Arial" w:eastAsia="Times New Roman" w:hAnsi="Arial"/>
                <w:b/>
                <w:color w:val="FFFFFF"/>
                <w:sz w:val="17"/>
              </w:rPr>
              <w:t>Scientific purpose</w:t>
            </w:r>
          </w:p>
        </w:tc>
        <w:tc>
          <w:tcPr>
            <w:tcW w:w="4680" w:type="dxa"/>
            <w:shd w:val="clear" w:color="auto" w:fill="17324D"/>
            <w:tcMar>
              <w:top w:w="70" w:type="dxa"/>
              <w:left w:w="100" w:type="dxa"/>
              <w:bottom w:w="70" w:type="dxa"/>
              <w:right w:w="100" w:type="dxa"/>
            </w:tcMar>
            <w:vAlign w:val="center"/>
          </w:tcPr>
          <w:p w14:paraId="767810F3" w14:textId="77777777" w:rsidR="005B7C5B" w:rsidRDefault="005B7C5B" w:rsidP="00F96983">
            <w:pPr>
              <w:spacing w:after="0" w:line="240" w:lineRule="auto"/>
            </w:pPr>
            <w:r>
              <w:rPr>
                <w:rFonts w:ascii="Arial" w:eastAsia="Times New Roman" w:hAnsi="Arial"/>
                <w:b/>
                <w:color w:val="FFFFFF"/>
                <w:sz w:val="17"/>
              </w:rPr>
              <w:t>Required interpretation behavior</w:t>
            </w:r>
          </w:p>
        </w:tc>
      </w:tr>
      <w:tr w:rsidR="005B7C5B" w14:paraId="575A6D10" w14:textId="77777777">
        <w:trPr>
          <w:cantSplit/>
          <w:jc w:val="center"/>
        </w:trPr>
        <w:tc>
          <w:tcPr>
            <w:tcW w:w="1800" w:type="dxa"/>
            <w:shd w:val="clear" w:color="auto" w:fill="FFFFFF"/>
            <w:tcMar>
              <w:top w:w="70" w:type="dxa"/>
              <w:left w:w="100" w:type="dxa"/>
              <w:bottom w:w="70" w:type="dxa"/>
              <w:right w:w="100" w:type="dxa"/>
            </w:tcMar>
            <w:vAlign w:val="center"/>
          </w:tcPr>
          <w:p w14:paraId="67065355" w14:textId="77777777" w:rsidR="005B7C5B" w:rsidRDefault="005B7C5B" w:rsidP="00F96983">
            <w:pPr>
              <w:spacing w:after="0" w:line="240" w:lineRule="auto"/>
            </w:pPr>
            <w:r>
              <w:rPr>
                <w:rFonts w:ascii="Times New Roman" w:eastAsia="Times New Roman" w:hAnsi="Times New Roman"/>
                <w:color w:val="000000"/>
                <w:sz w:val="17"/>
              </w:rPr>
              <w:t>Stable</w:t>
            </w:r>
          </w:p>
        </w:tc>
        <w:tc>
          <w:tcPr>
            <w:tcW w:w="3240" w:type="dxa"/>
            <w:shd w:val="clear" w:color="auto" w:fill="FFFFFF"/>
            <w:tcMar>
              <w:top w:w="70" w:type="dxa"/>
              <w:left w:w="100" w:type="dxa"/>
              <w:bottom w:w="70" w:type="dxa"/>
              <w:right w:w="100" w:type="dxa"/>
            </w:tcMar>
            <w:vAlign w:val="center"/>
          </w:tcPr>
          <w:p w14:paraId="78B7CC67" w14:textId="77777777" w:rsidR="005B7C5B" w:rsidRDefault="005B7C5B" w:rsidP="00F96983">
            <w:pPr>
              <w:spacing w:after="0" w:line="240" w:lineRule="auto"/>
            </w:pPr>
            <w:r>
              <w:rPr>
                <w:rFonts w:ascii="Times New Roman" w:eastAsia="Times New Roman" w:hAnsi="Times New Roman"/>
                <w:color w:val="000000"/>
                <w:sz w:val="17"/>
              </w:rPr>
              <w:t>Establish ordinary persistent organization</w:t>
            </w:r>
          </w:p>
        </w:tc>
        <w:tc>
          <w:tcPr>
            <w:tcW w:w="4680" w:type="dxa"/>
            <w:shd w:val="clear" w:color="auto" w:fill="FFFFFF"/>
            <w:tcMar>
              <w:top w:w="70" w:type="dxa"/>
              <w:left w:w="100" w:type="dxa"/>
              <w:bottom w:w="70" w:type="dxa"/>
              <w:right w:w="100" w:type="dxa"/>
            </w:tcMar>
            <w:vAlign w:val="center"/>
          </w:tcPr>
          <w:p w14:paraId="3E29742B" w14:textId="77777777" w:rsidR="005B7C5B" w:rsidRDefault="005B7C5B" w:rsidP="00F96983">
            <w:pPr>
              <w:spacing w:after="0" w:line="240" w:lineRule="auto"/>
            </w:pPr>
            <w:r>
              <w:rPr>
                <w:rFonts w:ascii="Times New Roman" w:eastAsia="Times New Roman" w:hAnsi="Times New Roman"/>
                <w:color w:val="000000"/>
                <w:sz w:val="17"/>
              </w:rPr>
              <w:t>No unsupported boundary, collapse, failure, or lead-time claim</w:t>
            </w:r>
          </w:p>
        </w:tc>
      </w:tr>
      <w:tr w:rsidR="005B7C5B" w14:paraId="39A6DC3A" w14:textId="77777777">
        <w:trPr>
          <w:cantSplit/>
          <w:jc w:val="center"/>
        </w:trPr>
        <w:tc>
          <w:tcPr>
            <w:tcW w:w="1800" w:type="dxa"/>
            <w:shd w:val="clear" w:color="auto" w:fill="F6F9FB"/>
            <w:tcMar>
              <w:top w:w="70" w:type="dxa"/>
              <w:left w:w="100" w:type="dxa"/>
              <w:bottom w:w="70" w:type="dxa"/>
              <w:right w:w="100" w:type="dxa"/>
            </w:tcMar>
            <w:vAlign w:val="center"/>
          </w:tcPr>
          <w:p w14:paraId="4316D7AD" w14:textId="77777777" w:rsidR="005B7C5B" w:rsidRDefault="005B7C5B" w:rsidP="00F96983">
            <w:pPr>
              <w:spacing w:after="0" w:line="240" w:lineRule="auto"/>
            </w:pPr>
            <w:r>
              <w:rPr>
                <w:rFonts w:ascii="Times New Roman" w:eastAsia="Times New Roman" w:hAnsi="Times New Roman"/>
                <w:color w:val="000000"/>
                <w:sz w:val="17"/>
              </w:rPr>
              <w:t>Transitional</w:t>
            </w:r>
          </w:p>
        </w:tc>
        <w:tc>
          <w:tcPr>
            <w:tcW w:w="3240" w:type="dxa"/>
            <w:shd w:val="clear" w:color="auto" w:fill="F6F9FB"/>
            <w:tcMar>
              <w:top w:w="70" w:type="dxa"/>
              <w:left w:w="100" w:type="dxa"/>
              <w:bottom w:w="70" w:type="dxa"/>
              <w:right w:w="100" w:type="dxa"/>
            </w:tcMar>
            <w:vAlign w:val="center"/>
          </w:tcPr>
          <w:p w14:paraId="5E5CF205" w14:textId="77777777" w:rsidR="005B7C5B" w:rsidRDefault="005B7C5B" w:rsidP="00F96983">
            <w:pPr>
              <w:spacing w:after="0" w:line="240" w:lineRule="auto"/>
            </w:pPr>
            <w:r>
              <w:rPr>
                <w:rFonts w:ascii="Times New Roman" w:eastAsia="Times New Roman" w:hAnsi="Times New Roman"/>
                <w:color w:val="000000"/>
                <w:sz w:val="17"/>
              </w:rPr>
              <w:t>Represent declared weakening or regime movement</w:t>
            </w:r>
          </w:p>
        </w:tc>
        <w:tc>
          <w:tcPr>
            <w:tcW w:w="4680" w:type="dxa"/>
            <w:shd w:val="clear" w:color="auto" w:fill="F6F9FB"/>
            <w:tcMar>
              <w:top w:w="70" w:type="dxa"/>
              <w:left w:w="100" w:type="dxa"/>
              <w:bottom w:w="70" w:type="dxa"/>
              <w:right w:w="100" w:type="dxa"/>
            </w:tcMar>
            <w:vAlign w:val="center"/>
          </w:tcPr>
          <w:p w14:paraId="2EBD926B" w14:textId="77777777" w:rsidR="005B7C5B" w:rsidRDefault="005B7C5B" w:rsidP="00F96983">
            <w:pPr>
              <w:spacing w:after="0" w:line="240" w:lineRule="auto"/>
            </w:pPr>
            <w:r>
              <w:rPr>
                <w:rFonts w:ascii="Times New Roman" w:eastAsia="Times New Roman" w:hAnsi="Times New Roman"/>
                <w:color w:val="000000"/>
                <w:sz w:val="17"/>
              </w:rPr>
              <w:t>Detect the specified transition while preserving candidate and confirmed states</w:t>
            </w:r>
          </w:p>
        </w:tc>
      </w:tr>
      <w:tr w:rsidR="005B7C5B" w14:paraId="2A5FB41B" w14:textId="77777777">
        <w:trPr>
          <w:cantSplit/>
          <w:jc w:val="center"/>
        </w:trPr>
        <w:tc>
          <w:tcPr>
            <w:tcW w:w="1800" w:type="dxa"/>
            <w:shd w:val="clear" w:color="auto" w:fill="FFFFFF"/>
            <w:tcMar>
              <w:top w:w="70" w:type="dxa"/>
              <w:left w:w="100" w:type="dxa"/>
              <w:bottom w:w="70" w:type="dxa"/>
              <w:right w:w="100" w:type="dxa"/>
            </w:tcMar>
            <w:vAlign w:val="center"/>
          </w:tcPr>
          <w:p w14:paraId="515B703D" w14:textId="77777777" w:rsidR="005B7C5B" w:rsidRDefault="005B7C5B" w:rsidP="00F96983">
            <w:pPr>
              <w:spacing w:after="0" w:line="240" w:lineRule="auto"/>
            </w:pPr>
            <w:r>
              <w:rPr>
                <w:rFonts w:ascii="Times New Roman" w:eastAsia="Times New Roman" w:hAnsi="Times New Roman"/>
                <w:color w:val="000000"/>
                <w:sz w:val="17"/>
              </w:rPr>
              <w:t>Negative control</w:t>
            </w:r>
          </w:p>
        </w:tc>
        <w:tc>
          <w:tcPr>
            <w:tcW w:w="3240" w:type="dxa"/>
            <w:shd w:val="clear" w:color="auto" w:fill="FFFFFF"/>
            <w:tcMar>
              <w:top w:w="70" w:type="dxa"/>
              <w:left w:w="100" w:type="dxa"/>
              <w:bottom w:w="70" w:type="dxa"/>
              <w:right w:w="100" w:type="dxa"/>
            </w:tcMar>
            <w:vAlign w:val="center"/>
          </w:tcPr>
          <w:p w14:paraId="3BEDC5D4" w14:textId="77777777" w:rsidR="005B7C5B" w:rsidRDefault="005B7C5B" w:rsidP="00F96983">
            <w:pPr>
              <w:spacing w:after="0" w:line="240" w:lineRule="auto"/>
            </w:pPr>
            <w:r>
              <w:rPr>
                <w:rFonts w:ascii="Times New Roman" w:eastAsia="Times New Roman" w:hAnsi="Times New Roman"/>
                <w:color w:val="000000"/>
                <w:sz w:val="17"/>
              </w:rPr>
              <w:t>Represent absence of the target phenomenon</w:t>
            </w:r>
          </w:p>
        </w:tc>
        <w:tc>
          <w:tcPr>
            <w:tcW w:w="4680" w:type="dxa"/>
            <w:shd w:val="clear" w:color="auto" w:fill="FFFFFF"/>
            <w:tcMar>
              <w:top w:w="70" w:type="dxa"/>
              <w:left w:w="100" w:type="dxa"/>
              <w:bottom w:w="70" w:type="dxa"/>
              <w:right w:w="100" w:type="dxa"/>
            </w:tcMar>
            <w:vAlign w:val="center"/>
          </w:tcPr>
          <w:p w14:paraId="2BCB1E8C" w14:textId="77777777" w:rsidR="005B7C5B" w:rsidRDefault="005B7C5B" w:rsidP="00F96983">
            <w:pPr>
              <w:spacing w:after="0" w:line="240" w:lineRule="auto"/>
            </w:pPr>
            <w:r>
              <w:rPr>
                <w:rFonts w:ascii="Times New Roman" w:eastAsia="Times New Roman" w:hAnsi="Times New Roman"/>
                <w:color w:val="000000"/>
                <w:sz w:val="17"/>
              </w:rPr>
              <w:t>Refrain from manufacturing the target finding</w:t>
            </w:r>
          </w:p>
        </w:tc>
      </w:tr>
      <w:tr w:rsidR="005B7C5B" w14:paraId="6D2FB75C" w14:textId="77777777">
        <w:trPr>
          <w:cantSplit/>
          <w:jc w:val="center"/>
        </w:trPr>
        <w:tc>
          <w:tcPr>
            <w:tcW w:w="1800" w:type="dxa"/>
            <w:shd w:val="clear" w:color="auto" w:fill="F6F9FB"/>
            <w:tcMar>
              <w:top w:w="70" w:type="dxa"/>
              <w:left w:w="100" w:type="dxa"/>
              <w:bottom w:w="70" w:type="dxa"/>
              <w:right w:w="100" w:type="dxa"/>
            </w:tcMar>
            <w:vAlign w:val="center"/>
          </w:tcPr>
          <w:p w14:paraId="348D4215" w14:textId="77777777" w:rsidR="005B7C5B" w:rsidRDefault="005B7C5B" w:rsidP="00F96983">
            <w:pPr>
              <w:spacing w:after="0" w:line="240" w:lineRule="auto"/>
            </w:pPr>
            <w:r>
              <w:rPr>
                <w:rFonts w:ascii="Times New Roman" w:eastAsia="Times New Roman" w:hAnsi="Times New Roman"/>
                <w:color w:val="000000"/>
                <w:sz w:val="17"/>
              </w:rPr>
              <w:t>Ambiguous or contradictory</w:t>
            </w:r>
          </w:p>
        </w:tc>
        <w:tc>
          <w:tcPr>
            <w:tcW w:w="3240" w:type="dxa"/>
            <w:shd w:val="clear" w:color="auto" w:fill="F6F9FB"/>
            <w:tcMar>
              <w:top w:w="70" w:type="dxa"/>
              <w:left w:w="100" w:type="dxa"/>
              <w:bottom w:w="70" w:type="dxa"/>
              <w:right w:w="100" w:type="dxa"/>
            </w:tcMar>
            <w:vAlign w:val="center"/>
          </w:tcPr>
          <w:p w14:paraId="2A2CE40A" w14:textId="77777777" w:rsidR="005B7C5B" w:rsidRDefault="005B7C5B" w:rsidP="00F96983">
            <w:pPr>
              <w:spacing w:after="0" w:line="240" w:lineRule="auto"/>
            </w:pPr>
            <w:r>
              <w:rPr>
                <w:rFonts w:ascii="Times New Roman" w:eastAsia="Times New Roman" w:hAnsi="Times New Roman"/>
                <w:color w:val="000000"/>
                <w:sz w:val="17"/>
              </w:rPr>
              <w:t>Test competing evidence and weak separation</w:t>
            </w:r>
          </w:p>
        </w:tc>
        <w:tc>
          <w:tcPr>
            <w:tcW w:w="4680" w:type="dxa"/>
            <w:shd w:val="clear" w:color="auto" w:fill="F6F9FB"/>
            <w:tcMar>
              <w:top w:w="70" w:type="dxa"/>
              <w:left w:w="100" w:type="dxa"/>
              <w:bottom w:w="70" w:type="dxa"/>
              <w:right w:w="100" w:type="dxa"/>
            </w:tcMar>
            <w:vAlign w:val="center"/>
          </w:tcPr>
          <w:p w14:paraId="17352741" w14:textId="77777777" w:rsidR="005B7C5B" w:rsidRDefault="005B7C5B" w:rsidP="00F96983">
            <w:pPr>
              <w:spacing w:after="0" w:line="240" w:lineRule="auto"/>
            </w:pPr>
            <w:r>
              <w:rPr>
                <w:rFonts w:ascii="Times New Roman" w:eastAsia="Times New Roman" w:hAnsi="Times New Roman"/>
                <w:color w:val="000000"/>
                <w:sz w:val="17"/>
              </w:rPr>
              <w:t>Preserve alternatives, uncertainty, and unresolved classification</w:t>
            </w:r>
          </w:p>
        </w:tc>
      </w:tr>
      <w:tr w:rsidR="005B7C5B" w14:paraId="6B9F0C92" w14:textId="77777777">
        <w:trPr>
          <w:cantSplit/>
          <w:jc w:val="center"/>
        </w:trPr>
        <w:tc>
          <w:tcPr>
            <w:tcW w:w="1800" w:type="dxa"/>
            <w:shd w:val="clear" w:color="auto" w:fill="FFFFFF"/>
            <w:tcMar>
              <w:top w:w="70" w:type="dxa"/>
              <w:left w:w="100" w:type="dxa"/>
              <w:bottom w:w="70" w:type="dxa"/>
              <w:right w:w="100" w:type="dxa"/>
            </w:tcMar>
            <w:vAlign w:val="center"/>
          </w:tcPr>
          <w:p w14:paraId="5A9A40F4" w14:textId="77777777" w:rsidR="005B7C5B" w:rsidRDefault="005B7C5B" w:rsidP="00F96983">
            <w:pPr>
              <w:spacing w:after="0" w:line="240" w:lineRule="auto"/>
            </w:pPr>
            <w:r>
              <w:rPr>
                <w:rFonts w:ascii="Times New Roman" w:eastAsia="Times New Roman" w:hAnsi="Times New Roman"/>
                <w:color w:val="000000"/>
                <w:sz w:val="17"/>
              </w:rPr>
              <w:t>Missing evidence</w:t>
            </w:r>
          </w:p>
        </w:tc>
        <w:tc>
          <w:tcPr>
            <w:tcW w:w="3240" w:type="dxa"/>
            <w:shd w:val="clear" w:color="auto" w:fill="FFFFFF"/>
            <w:tcMar>
              <w:top w:w="70" w:type="dxa"/>
              <w:left w:w="100" w:type="dxa"/>
              <w:bottom w:w="70" w:type="dxa"/>
              <w:right w:w="100" w:type="dxa"/>
            </w:tcMar>
            <w:vAlign w:val="center"/>
          </w:tcPr>
          <w:p w14:paraId="6ABAA648" w14:textId="77777777" w:rsidR="005B7C5B" w:rsidRDefault="005B7C5B" w:rsidP="00F96983">
            <w:pPr>
              <w:spacing w:after="0" w:line="240" w:lineRule="auto"/>
            </w:pPr>
            <w:r>
              <w:rPr>
                <w:rFonts w:ascii="Times New Roman" w:eastAsia="Times New Roman" w:hAnsi="Times New Roman"/>
                <w:color w:val="000000"/>
                <w:sz w:val="17"/>
              </w:rPr>
              <w:t>Remove a required dependency or marker</w:t>
            </w:r>
          </w:p>
        </w:tc>
        <w:tc>
          <w:tcPr>
            <w:tcW w:w="4680" w:type="dxa"/>
            <w:shd w:val="clear" w:color="auto" w:fill="FFFFFF"/>
            <w:tcMar>
              <w:top w:w="70" w:type="dxa"/>
              <w:left w:w="100" w:type="dxa"/>
              <w:bottom w:w="70" w:type="dxa"/>
              <w:right w:w="100" w:type="dxa"/>
            </w:tcMar>
            <w:vAlign w:val="center"/>
          </w:tcPr>
          <w:p w14:paraId="158A099A" w14:textId="77777777" w:rsidR="005B7C5B" w:rsidRDefault="005B7C5B" w:rsidP="00F96983">
            <w:pPr>
              <w:spacing w:after="0" w:line="240" w:lineRule="auto"/>
            </w:pPr>
            <w:r>
              <w:rPr>
                <w:rFonts w:ascii="Times New Roman" w:eastAsia="Times New Roman" w:hAnsi="Times New Roman"/>
                <w:color w:val="000000"/>
                <w:sz w:val="17"/>
              </w:rPr>
              <w:t>Return unavailable, not supplied, or inadmissible rather than a fabricated value</w:t>
            </w:r>
          </w:p>
        </w:tc>
      </w:tr>
      <w:tr w:rsidR="005B7C5B" w14:paraId="6BEE95C1" w14:textId="77777777">
        <w:trPr>
          <w:cantSplit/>
          <w:jc w:val="center"/>
        </w:trPr>
        <w:tc>
          <w:tcPr>
            <w:tcW w:w="1800" w:type="dxa"/>
            <w:shd w:val="clear" w:color="auto" w:fill="F6F9FB"/>
            <w:tcMar>
              <w:top w:w="70" w:type="dxa"/>
              <w:left w:w="100" w:type="dxa"/>
              <w:bottom w:w="70" w:type="dxa"/>
              <w:right w:w="100" w:type="dxa"/>
            </w:tcMar>
            <w:vAlign w:val="center"/>
          </w:tcPr>
          <w:p w14:paraId="4FB21CA6" w14:textId="77777777" w:rsidR="005B7C5B" w:rsidRDefault="005B7C5B" w:rsidP="00F96983">
            <w:pPr>
              <w:spacing w:after="0" w:line="240" w:lineRule="auto"/>
            </w:pPr>
            <w:r>
              <w:rPr>
                <w:rFonts w:ascii="Times New Roman" w:eastAsia="Times New Roman" w:hAnsi="Times New Roman"/>
                <w:color w:val="000000"/>
                <w:sz w:val="17"/>
              </w:rPr>
              <w:t>Perturbed</w:t>
            </w:r>
          </w:p>
        </w:tc>
        <w:tc>
          <w:tcPr>
            <w:tcW w:w="3240" w:type="dxa"/>
            <w:shd w:val="clear" w:color="auto" w:fill="F6F9FB"/>
            <w:tcMar>
              <w:top w:w="70" w:type="dxa"/>
              <w:left w:w="100" w:type="dxa"/>
              <w:bottom w:w="70" w:type="dxa"/>
              <w:right w:w="100" w:type="dxa"/>
            </w:tcMar>
            <w:vAlign w:val="center"/>
          </w:tcPr>
          <w:p w14:paraId="7F01DD73" w14:textId="77777777" w:rsidR="005B7C5B" w:rsidRDefault="005B7C5B" w:rsidP="00F96983">
            <w:pPr>
              <w:spacing w:after="0" w:line="240" w:lineRule="auto"/>
            </w:pPr>
            <w:r>
              <w:rPr>
                <w:rFonts w:ascii="Times New Roman" w:eastAsia="Times New Roman" w:hAnsi="Times New Roman"/>
                <w:color w:val="000000"/>
                <w:sz w:val="17"/>
              </w:rPr>
              <w:t>Apply a controlled change to source structure or content</w:t>
            </w:r>
          </w:p>
        </w:tc>
        <w:tc>
          <w:tcPr>
            <w:tcW w:w="4680" w:type="dxa"/>
            <w:shd w:val="clear" w:color="auto" w:fill="F6F9FB"/>
            <w:tcMar>
              <w:top w:w="70" w:type="dxa"/>
              <w:left w:w="100" w:type="dxa"/>
              <w:bottom w:w="70" w:type="dxa"/>
              <w:right w:w="100" w:type="dxa"/>
            </w:tcMar>
            <w:vAlign w:val="center"/>
          </w:tcPr>
          <w:p w14:paraId="05997A1E" w14:textId="77777777" w:rsidR="005B7C5B" w:rsidRDefault="005B7C5B" w:rsidP="00F96983">
            <w:pPr>
              <w:spacing w:after="0" w:line="240" w:lineRule="auto"/>
            </w:pPr>
            <w:r>
              <w:rPr>
                <w:rFonts w:ascii="Times New Roman" w:eastAsia="Times New Roman" w:hAnsi="Times New Roman"/>
                <w:color w:val="000000"/>
                <w:sz w:val="17"/>
              </w:rPr>
              <w:t>Change only outputs legitimately dependent on the perturbation</w:t>
            </w:r>
          </w:p>
        </w:tc>
      </w:tr>
      <w:tr w:rsidR="005B7C5B" w14:paraId="4FA10276" w14:textId="77777777">
        <w:trPr>
          <w:cantSplit/>
          <w:jc w:val="center"/>
        </w:trPr>
        <w:tc>
          <w:tcPr>
            <w:tcW w:w="1800" w:type="dxa"/>
            <w:shd w:val="clear" w:color="auto" w:fill="FFFFFF"/>
            <w:tcMar>
              <w:top w:w="70" w:type="dxa"/>
              <w:left w:w="100" w:type="dxa"/>
              <w:bottom w:w="70" w:type="dxa"/>
              <w:right w:w="100" w:type="dxa"/>
            </w:tcMar>
            <w:vAlign w:val="center"/>
          </w:tcPr>
          <w:p w14:paraId="3AF40A8B" w14:textId="77777777" w:rsidR="005B7C5B" w:rsidRDefault="005B7C5B" w:rsidP="00F96983">
            <w:pPr>
              <w:spacing w:after="0" w:line="240" w:lineRule="auto"/>
            </w:pPr>
            <w:r>
              <w:rPr>
                <w:rFonts w:ascii="Times New Roman" w:eastAsia="Times New Roman" w:hAnsi="Times New Roman"/>
                <w:color w:val="000000"/>
                <w:sz w:val="17"/>
              </w:rPr>
              <w:t>Cross-source-family</w:t>
            </w:r>
          </w:p>
        </w:tc>
        <w:tc>
          <w:tcPr>
            <w:tcW w:w="3240" w:type="dxa"/>
            <w:shd w:val="clear" w:color="auto" w:fill="FFFFFF"/>
            <w:tcMar>
              <w:top w:w="70" w:type="dxa"/>
              <w:left w:w="100" w:type="dxa"/>
              <w:bottom w:w="70" w:type="dxa"/>
              <w:right w:w="100" w:type="dxa"/>
            </w:tcMar>
            <w:vAlign w:val="center"/>
          </w:tcPr>
          <w:p w14:paraId="3F455308" w14:textId="77777777" w:rsidR="005B7C5B" w:rsidRDefault="005B7C5B" w:rsidP="00F96983">
            <w:pPr>
              <w:spacing w:after="0" w:line="240" w:lineRule="auto"/>
            </w:pPr>
            <w:r>
              <w:rPr>
                <w:rFonts w:ascii="Times New Roman" w:eastAsia="Times New Roman" w:hAnsi="Times New Roman"/>
                <w:color w:val="000000"/>
                <w:sz w:val="17"/>
              </w:rPr>
              <w:t>Express related behavior through different operational records</w:t>
            </w:r>
          </w:p>
        </w:tc>
        <w:tc>
          <w:tcPr>
            <w:tcW w:w="4680" w:type="dxa"/>
            <w:shd w:val="clear" w:color="auto" w:fill="FFFFFF"/>
            <w:tcMar>
              <w:top w:w="70" w:type="dxa"/>
              <w:left w:w="100" w:type="dxa"/>
              <w:bottom w:w="70" w:type="dxa"/>
              <w:right w:w="100" w:type="dxa"/>
            </w:tcMar>
            <w:vAlign w:val="center"/>
          </w:tcPr>
          <w:p w14:paraId="618F4042" w14:textId="77777777" w:rsidR="005B7C5B" w:rsidRDefault="005B7C5B" w:rsidP="00F96983">
            <w:pPr>
              <w:spacing w:after="0" w:line="240" w:lineRule="auto"/>
            </w:pPr>
            <w:r>
              <w:rPr>
                <w:rFonts w:ascii="Times New Roman" w:eastAsia="Times New Roman" w:hAnsi="Times New Roman"/>
                <w:color w:val="000000"/>
                <w:sz w:val="17"/>
              </w:rPr>
              <w:t>Preserve source semantics while testing transport of declared measurements</w:t>
            </w:r>
          </w:p>
        </w:tc>
      </w:tr>
    </w:tbl>
    <w:p w14:paraId="6EE84494" w14:textId="77777777" w:rsidR="005B7C5B" w:rsidRDefault="005B7C5B" w:rsidP="005B7C5B">
      <w:pPr>
        <w:spacing w:after="20"/>
      </w:pPr>
    </w:p>
    <w:p w14:paraId="5F9BC831" w14:textId="77777777" w:rsidR="005B7C5B" w:rsidRDefault="005B7C5B" w:rsidP="005B7C5B">
      <w:pPr>
        <w:pStyle w:val="Heading2"/>
      </w:pPr>
      <w:r>
        <w:rPr>
          <w:rFonts w:ascii="Arial" w:eastAsia="Times New Roman" w:hAnsi="Arial"/>
          <w:color w:val="000000"/>
          <w:sz w:val="24"/>
        </w:rPr>
        <w:t>Source families</w:t>
      </w:r>
    </w:p>
    <w:p w14:paraId="765BE553" w14:textId="77777777" w:rsidR="005B7C5B" w:rsidRDefault="005B7C5B" w:rsidP="005B7C5B">
      <w:pPr>
        <w:keepLines/>
        <w:spacing w:after="112"/>
      </w:pPr>
      <w:r>
        <w:rPr>
          <w:rFonts w:ascii="Times New Roman" w:eastAsia="Times New Roman" w:hAnsi="Times New Roman"/>
          <w:color w:val="000000"/>
          <w:sz w:val="20"/>
        </w:rPr>
        <w:t>The validation architecture supports controlled and operational sources from monitoring and reliability, workflow coordination, software engineering and continuous integration, security operations and SIEM, cloud infrastructure, attention and long-horizon work, agent and tool workflows, and determinism or conformance testing.</w:t>
      </w:r>
    </w:p>
    <w:p w14:paraId="3E79A613" w14:textId="77777777" w:rsidR="005B7C5B" w:rsidRDefault="005B7C5B" w:rsidP="005B7C5B">
      <w:pPr>
        <w:spacing w:after="112"/>
      </w:pPr>
      <w:r>
        <w:rPr>
          <w:rFonts w:ascii="Times New Roman" w:eastAsia="Times New Roman" w:hAnsi="Times New Roman"/>
          <w:color w:val="000000"/>
          <w:sz w:val="20"/>
        </w:rPr>
        <w:t>Synthetic fixtures, controlled multistage scenarios, regression cases, stable controls, and real-log alternates must remain distinguishable. A synthetic case is useful for isolating a construct; it is not evidence that the construct generalizes to uncontrolled operational data. A real-log alternate may improve ecological relevance; it does not become ground truth without an independent outcome and provenance record.</w:t>
      </w:r>
    </w:p>
    <w:p w14:paraId="5BE509BB" w14:textId="77777777" w:rsidR="005B7C5B" w:rsidRDefault="005B7C5B" w:rsidP="005B7C5B">
      <w:pPr>
        <w:pStyle w:val="Heading2"/>
      </w:pPr>
      <w:r>
        <w:rPr>
          <w:rFonts w:ascii="Arial" w:eastAsia="Times New Roman" w:hAnsi="Arial"/>
          <w:color w:val="000000"/>
          <w:sz w:val="24"/>
        </w:rPr>
        <w:t>Inclusion rules</w:t>
      </w:r>
    </w:p>
    <w:p w14:paraId="7CB33B2C" w14:textId="77777777" w:rsidR="005B7C5B" w:rsidRDefault="005B7C5B" w:rsidP="005B7C5B">
      <w:pPr>
        <w:keepLines/>
        <w:spacing w:after="112"/>
      </w:pPr>
      <w:r>
        <w:rPr>
          <w:rFonts w:ascii="Times New Roman" w:eastAsia="Times New Roman" w:hAnsi="Times New Roman"/>
          <w:color w:val="000000"/>
          <w:sz w:val="20"/>
        </w:rPr>
        <w:t>A case is eligible for a computational reproducibility analysis when it has:</w:t>
      </w:r>
    </w:p>
    <w:p w14:paraId="02F20AF0" w14:textId="77777777" w:rsidR="005B7C5B" w:rsidRDefault="005B7C5B" w:rsidP="005B7C5B">
      <w:pPr>
        <w:pStyle w:val="ListBullet"/>
      </w:pPr>
      <w:r>
        <w:rPr>
          <w:rFonts w:eastAsia="Times New Roman"/>
          <w:sz w:val="20"/>
        </w:rPr>
        <w:t>a stable source identity or exact source bytes;</w:t>
      </w:r>
    </w:p>
    <w:p w14:paraId="1A9A47B8" w14:textId="77777777" w:rsidR="005B7C5B" w:rsidRDefault="005B7C5B" w:rsidP="005B7C5B">
      <w:pPr>
        <w:pStyle w:val="ListBullet"/>
      </w:pPr>
      <w:r>
        <w:rPr>
          <w:rFonts w:eastAsia="Times New Roman"/>
          <w:sz w:val="20"/>
        </w:rPr>
        <w:t>declared adapter and canonicalization versions;</w:t>
      </w:r>
    </w:p>
    <w:p w14:paraId="2BBE2FF8" w14:textId="77777777" w:rsidR="005B7C5B" w:rsidRDefault="005B7C5B" w:rsidP="005B7C5B">
      <w:pPr>
        <w:pStyle w:val="ListBullet"/>
      </w:pPr>
      <w:r>
        <w:rPr>
          <w:rFonts w:eastAsia="Times New Roman"/>
          <w:sz w:val="20"/>
        </w:rPr>
        <w:t>fixed computation configuration and governing registries;</w:t>
      </w:r>
    </w:p>
    <w:p w14:paraId="3A430A92" w14:textId="77777777" w:rsidR="005B7C5B" w:rsidRDefault="005B7C5B" w:rsidP="005B7C5B">
      <w:pPr>
        <w:pStyle w:val="ListBullet"/>
      </w:pPr>
      <w:r>
        <w:rPr>
          <w:rFonts w:eastAsia="Times New Roman"/>
          <w:sz w:val="20"/>
        </w:rPr>
        <w:t>a defined deterministic core and equality rule;</w:t>
      </w:r>
    </w:p>
    <w:p w14:paraId="38F955D6" w14:textId="77777777" w:rsidR="005B7C5B" w:rsidRDefault="005B7C5B" w:rsidP="005B7C5B">
      <w:pPr>
        <w:pStyle w:val="ListBullet"/>
      </w:pPr>
      <w:r>
        <w:rPr>
          <w:rFonts w:eastAsia="Times New Roman"/>
          <w:sz w:val="20"/>
        </w:rPr>
        <w:t>at least two eligible executions; and</w:t>
      </w:r>
    </w:p>
    <w:p w14:paraId="505EC191" w14:textId="77777777" w:rsidR="005B7C5B" w:rsidRDefault="005B7C5B" w:rsidP="005B7C5B">
      <w:pPr>
        <w:pStyle w:val="ListBullet"/>
      </w:pPr>
      <w:r>
        <w:rPr>
          <w:rFonts w:eastAsia="Times New Roman"/>
          <w:sz w:val="20"/>
        </w:rPr>
        <w:t>a comparison record that distinguishes governed output from variable envelope metadata.</w:t>
      </w:r>
    </w:p>
    <w:p w14:paraId="5E34B4CF" w14:textId="77777777" w:rsidR="005B7C5B" w:rsidRDefault="005B7C5B" w:rsidP="005B7C5B">
      <w:pPr>
        <w:spacing w:after="112"/>
      </w:pPr>
      <w:r>
        <w:rPr>
          <w:rFonts w:ascii="Times New Roman" w:eastAsia="Times New Roman" w:hAnsi="Times New Roman"/>
          <w:color w:val="000000"/>
          <w:sz w:val="20"/>
        </w:rPr>
        <w:t>A case is eligible for scientific discrimination analysis when it additionally has:</w:t>
      </w:r>
    </w:p>
    <w:p w14:paraId="270960F0" w14:textId="77777777" w:rsidR="005B7C5B" w:rsidRDefault="005B7C5B" w:rsidP="005B7C5B">
      <w:pPr>
        <w:pStyle w:val="ListBullet"/>
      </w:pPr>
      <w:r>
        <w:rPr>
          <w:rFonts w:eastAsia="Times New Roman"/>
          <w:sz w:val="20"/>
        </w:rPr>
        <w:t>a target case class established independently of the tested measurements;</w:t>
      </w:r>
    </w:p>
    <w:p w14:paraId="2DD894B4" w14:textId="77777777" w:rsidR="005B7C5B" w:rsidRDefault="005B7C5B" w:rsidP="005B7C5B">
      <w:pPr>
        <w:pStyle w:val="ListBullet"/>
      </w:pPr>
      <w:r>
        <w:rPr>
          <w:rFonts w:eastAsia="Times New Roman"/>
          <w:sz w:val="20"/>
        </w:rPr>
        <w:t>a stable or negative-control comparison condition;</w:t>
      </w:r>
    </w:p>
    <w:p w14:paraId="68CD9C19" w14:textId="77777777" w:rsidR="005B7C5B" w:rsidRDefault="005B7C5B" w:rsidP="005B7C5B">
      <w:pPr>
        <w:pStyle w:val="ListBullet"/>
      </w:pPr>
      <w:r>
        <w:rPr>
          <w:rFonts w:eastAsia="Times New Roman"/>
          <w:sz w:val="20"/>
        </w:rPr>
        <w:t>a locked feature and measurement specification;</w:t>
      </w:r>
    </w:p>
    <w:p w14:paraId="32EA5BB3" w14:textId="77777777" w:rsidR="005B7C5B" w:rsidRDefault="005B7C5B" w:rsidP="005B7C5B">
      <w:pPr>
        <w:pStyle w:val="ListBullet"/>
      </w:pPr>
      <w:r>
        <w:rPr>
          <w:rFonts w:eastAsia="Times New Roman"/>
          <w:sz w:val="20"/>
        </w:rPr>
        <w:t>a declared baseline;</w:t>
      </w:r>
    </w:p>
    <w:p w14:paraId="63CCBC17" w14:textId="77777777" w:rsidR="005B7C5B" w:rsidRDefault="005B7C5B" w:rsidP="005B7C5B">
      <w:pPr>
        <w:pStyle w:val="ListBullet"/>
      </w:pPr>
      <w:r>
        <w:rPr>
          <w:rFonts w:eastAsia="Times New Roman"/>
          <w:sz w:val="20"/>
        </w:rPr>
        <w:t>an eligible evidence horizon;</w:t>
      </w:r>
    </w:p>
    <w:p w14:paraId="4058A4EF" w14:textId="77777777" w:rsidR="005B7C5B" w:rsidRDefault="005B7C5B" w:rsidP="005B7C5B">
      <w:pPr>
        <w:pStyle w:val="ListBullet"/>
      </w:pPr>
      <w:r>
        <w:rPr>
          <w:rFonts w:eastAsia="Times New Roman"/>
          <w:sz w:val="20"/>
        </w:rPr>
        <w:t>a rule for ambiguous and missing evidence; and</w:t>
      </w:r>
    </w:p>
    <w:p w14:paraId="23BC31DA" w14:textId="77777777" w:rsidR="005B7C5B" w:rsidRDefault="005B7C5B" w:rsidP="005B7C5B">
      <w:pPr>
        <w:pStyle w:val="ListBullet"/>
      </w:pPr>
      <w:r>
        <w:rPr>
          <w:rFonts w:eastAsia="Times New Roman"/>
          <w:sz w:val="20"/>
        </w:rPr>
        <w:t>a protected evaluation procedure appropriate to the size and dependence of the corpus.</w:t>
      </w:r>
    </w:p>
    <w:p w14:paraId="05D1478C" w14:textId="77777777" w:rsidR="005B7C5B" w:rsidRDefault="005B7C5B" w:rsidP="005B7C5B">
      <w:pPr>
        <w:pStyle w:val="Heading2"/>
      </w:pPr>
      <w:r>
        <w:rPr>
          <w:rFonts w:ascii="Arial" w:eastAsia="Times New Roman" w:hAnsi="Arial"/>
          <w:color w:val="000000"/>
          <w:sz w:val="24"/>
        </w:rPr>
        <w:t>Exclusion rules</w:t>
      </w:r>
    </w:p>
    <w:p w14:paraId="48B2870C" w14:textId="77777777" w:rsidR="005B7C5B" w:rsidRDefault="005B7C5B" w:rsidP="005B7C5B">
      <w:pPr>
        <w:keepLines/>
        <w:spacing w:after="112"/>
      </w:pPr>
      <w:r>
        <w:rPr>
          <w:rFonts w:ascii="Times New Roman" w:eastAsia="Times New Roman" w:hAnsi="Times New Roman"/>
          <w:color w:val="000000"/>
          <w:sz w:val="20"/>
        </w:rPr>
        <w:t>A case is excluded from the corresponding analysis when source identity cannot be resolved, canonicalization is materially ambiguous, the expected result entered the evidence computation, a label was created from the measurement being evaluated, the eligible evidence horizon includes prohibited future information, required dependencies are unavailable, or the case is a presentation-only demonstration without a bound comparison contract.</w:t>
      </w:r>
    </w:p>
    <w:p w14:paraId="03F3B240" w14:textId="77777777" w:rsidR="005B7C5B" w:rsidRDefault="005B7C5B" w:rsidP="005B7C5B">
      <w:pPr>
        <w:spacing w:after="112"/>
      </w:pPr>
      <w:r>
        <w:rPr>
          <w:rFonts w:ascii="Times New Roman" w:eastAsia="Times New Roman" w:hAnsi="Times New Roman"/>
          <w:color w:val="000000"/>
          <w:sz w:val="20"/>
        </w:rPr>
        <w:t>Exclusion from one analysis does not require deletion. The case may remain useful for engineering, qualitative inspection, failure analysis, or method development if its status is explicit.</w:t>
      </w:r>
    </w:p>
    <w:p w14:paraId="370A0164"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Measurement and Runtime Definitions</w:t>
      </w:r>
    </w:p>
    <w:p w14:paraId="15E41F64" w14:textId="77777777" w:rsidR="005B7C5B" w:rsidRDefault="005B7C5B" w:rsidP="005B7C5B">
      <w:pPr>
        <w:pStyle w:val="Heading2"/>
      </w:pPr>
      <w:r>
        <w:rPr>
          <w:rFonts w:ascii="Arial" w:eastAsia="Times New Roman" w:hAnsi="Arial"/>
          <w:color w:val="000000"/>
          <w:sz w:val="24"/>
        </w:rPr>
        <w:t>Observable runtime state</w:t>
      </w:r>
    </w:p>
    <w:p w14:paraId="6B94EC6F" w14:textId="77777777" w:rsidR="005B7C5B" w:rsidRDefault="005B7C5B" w:rsidP="005B7C5B">
      <w:pPr>
        <w:keepLines/>
        <w:spacing w:after="112"/>
      </w:pPr>
      <w:r>
        <w:rPr>
          <w:rFonts w:ascii="Times New Roman" w:eastAsia="Times New Roman" w:hAnsi="Times New Roman"/>
          <w:color w:val="000000"/>
          <w:sz w:val="20"/>
        </w:rPr>
        <w:t>For a qualified record with ordered runtime units indexed by t, the observable runtime state is represented as a versioned feature vector x(t) computed only from the admissible evidence horizon H(t). The feature vector may include source-derived properties, derived runtime dynamics, and bounded projections, provided each component discloses its dependencies, method, temporal scope, availability, and claim class.</w:t>
      </w:r>
    </w:p>
    <w:p w14:paraId="4B3F4580" w14:textId="77777777" w:rsidR="005B7C5B" w:rsidRDefault="005B7C5B" w:rsidP="005B7C5B">
      <w:pPr>
        <w:pStyle w:val="Heading2"/>
      </w:pPr>
      <w:r>
        <w:rPr>
          <w:rFonts w:ascii="Arial" w:eastAsia="Times New Roman" w:hAnsi="Arial"/>
          <w:color w:val="000000"/>
          <w:sz w:val="24"/>
        </w:rPr>
        <w:t>Longitudinal measurement families</w:t>
      </w:r>
    </w:p>
    <w:p w14:paraId="555A1DFC" w14:textId="77777777" w:rsidR="005B7C5B" w:rsidRDefault="005B7C5B" w:rsidP="005B7C5B">
      <w:pPr>
        <w:keepLines/>
        <w:spacing w:after="112"/>
      </w:pPr>
      <w:r>
        <w:rPr>
          <w:rFonts w:ascii="Times New Roman" w:eastAsia="Times New Roman" w:hAnsi="Times New Roman"/>
          <w:color w:val="000000"/>
          <w:sz w:val="20"/>
        </w:rPr>
        <w:t>The LCD validation target is not one universal score. Candidate measurement families include:</w:t>
      </w:r>
    </w:p>
    <w:p w14:paraId="7D3D2841" w14:textId="77777777" w:rsidR="005B7C5B" w:rsidRDefault="005B7C5B" w:rsidP="005B7C5B">
      <w:pPr>
        <w:pStyle w:val="ListBullet"/>
      </w:pPr>
      <w:r>
        <w:rPr>
          <w:rFonts w:eastAsia="Times New Roman"/>
          <w:sz w:val="20"/>
        </w:rPr>
        <w:t>motion and drift;</w:t>
      </w:r>
    </w:p>
    <w:p w14:paraId="2E3E5268" w14:textId="77777777" w:rsidR="005B7C5B" w:rsidRDefault="005B7C5B" w:rsidP="005B7C5B">
      <w:pPr>
        <w:pStyle w:val="ListBullet"/>
      </w:pPr>
      <w:r>
        <w:rPr>
          <w:rFonts w:eastAsia="Times New Roman"/>
          <w:sz w:val="20"/>
        </w:rPr>
        <w:t>coherence and continuity;</w:t>
      </w:r>
    </w:p>
    <w:p w14:paraId="27EC1EF3" w14:textId="77777777" w:rsidR="005B7C5B" w:rsidRDefault="005B7C5B" w:rsidP="005B7C5B">
      <w:pPr>
        <w:pStyle w:val="ListBullet"/>
      </w:pPr>
      <w:r>
        <w:rPr>
          <w:rFonts w:eastAsia="Times New Roman"/>
          <w:sz w:val="20"/>
        </w:rPr>
        <w:t>temporal organization and recurrence;</w:t>
      </w:r>
    </w:p>
    <w:p w14:paraId="286C087A" w14:textId="77777777" w:rsidR="005B7C5B" w:rsidRDefault="005B7C5B" w:rsidP="005B7C5B">
      <w:pPr>
        <w:pStyle w:val="ListBullet"/>
      </w:pPr>
      <w:r>
        <w:rPr>
          <w:rFonts w:eastAsia="Times New Roman"/>
          <w:sz w:val="20"/>
        </w:rPr>
        <w:t>contraction and pressure;</w:t>
      </w:r>
    </w:p>
    <w:p w14:paraId="538DECA3" w14:textId="77777777" w:rsidR="005B7C5B" w:rsidRDefault="005B7C5B" w:rsidP="005B7C5B">
      <w:pPr>
        <w:pStyle w:val="ListBullet"/>
      </w:pPr>
      <w:r>
        <w:rPr>
          <w:rFonts w:eastAsia="Times New Roman"/>
          <w:sz w:val="20"/>
        </w:rPr>
        <w:t>regime persistence and transition pressure;</w:t>
      </w:r>
    </w:p>
    <w:p w14:paraId="06BC0B86" w14:textId="77777777" w:rsidR="005B7C5B" w:rsidRDefault="005B7C5B" w:rsidP="005B7C5B">
      <w:pPr>
        <w:pStyle w:val="ListBullet"/>
      </w:pPr>
      <w:r>
        <w:rPr>
          <w:rFonts w:eastAsia="Times New Roman"/>
          <w:sz w:val="20"/>
        </w:rPr>
        <w:t>boundary formation and Basin Exit support;</w:t>
      </w:r>
    </w:p>
    <w:p w14:paraId="7712D324" w14:textId="77777777" w:rsidR="005B7C5B" w:rsidRDefault="005B7C5B" w:rsidP="005B7C5B">
      <w:pPr>
        <w:pStyle w:val="ListBullet"/>
      </w:pPr>
      <w:r>
        <w:rPr>
          <w:rFonts w:eastAsia="Times New Roman"/>
          <w:sz w:val="20"/>
        </w:rPr>
        <w:t>role and interaction dynamics;</w:t>
      </w:r>
    </w:p>
    <w:p w14:paraId="283B0683" w14:textId="77777777" w:rsidR="005B7C5B" w:rsidRDefault="005B7C5B" w:rsidP="005B7C5B">
      <w:pPr>
        <w:pStyle w:val="ListBullet"/>
      </w:pPr>
      <w:r>
        <w:rPr>
          <w:rFonts w:eastAsia="Times New Roman"/>
          <w:sz w:val="20"/>
        </w:rPr>
        <w:t>recovery and re-entry; and</w:t>
      </w:r>
    </w:p>
    <w:p w14:paraId="7B75A1EF" w14:textId="77777777" w:rsidR="005B7C5B" w:rsidRDefault="005B7C5B" w:rsidP="005B7C5B">
      <w:pPr>
        <w:pStyle w:val="ListBullet"/>
      </w:pPr>
      <w:r>
        <w:rPr>
          <w:rFonts w:eastAsia="Times New Roman"/>
          <w:sz w:val="20"/>
        </w:rPr>
        <w:t>cross-signal relationships.</w:t>
      </w:r>
    </w:p>
    <w:p w14:paraId="6AD23F90" w14:textId="77777777" w:rsidR="005B7C5B" w:rsidRDefault="005B7C5B" w:rsidP="005B7C5B">
      <w:pPr>
        <w:spacing w:after="112"/>
      </w:pPr>
      <w:r>
        <w:rPr>
          <w:rFonts w:ascii="Times New Roman" w:eastAsia="Times New Roman" w:hAnsi="Times New Roman"/>
          <w:color w:val="000000"/>
          <w:sz w:val="20"/>
        </w:rPr>
        <w:t>The exact selected subset used in a discrimination result must be identified by registry ID, implementation mapping, parameters, thresholds, and evidence horizon. The current public record confirms that a selected set was evaluated but does not expose the complete case-level feature matrix or the exact baseline-to-measurement mapping. No unlisted metric is therefore attributed to the reported result in this paper.</w:t>
      </w:r>
    </w:p>
    <w:p w14:paraId="1EDD6D54" w14:textId="77777777" w:rsidR="005B7C5B" w:rsidRDefault="005B7C5B" w:rsidP="005B7C5B">
      <w:pPr>
        <w:pStyle w:val="Heading2"/>
      </w:pPr>
      <w:r>
        <w:rPr>
          <w:rFonts w:ascii="Arial" w:eastAsia="Times New Roman" w:hAnsi="Arial"/>
          <w:color w:val="000000"/>
          <w:sz w:val="24"/>
        </w:rPr>
        <w:t>Regimes and boundary states</w:t>
      </w:r>
    </w:p>
    <w:p w14:paraId="2FB7E64A" w14:textId="77777777" w:rsidR="005B7C5B" w:rsidRDefault="005B7C5B" w:rsidP="005B7C5B">
      <w:pPr>
        <w:keepLines/>
        <w:spacing w:after="112"/>
      </w:pPr>
      <w:r>
        <w:rPr>
          <w:rFonts w:ascii="Times New Roman" w:eastAsia="Times New Roman" w:hAnsi="Times New Roman"/>
          <w:color w:val="000000"/>
          <w:sz w:val="20"/>
        </w:rPr>
        <w:t>LCD treats a regime as a persistent interval of distinguishable runtime organization under a versioned classification method. The general vocabulary includes stable, transitional, phase-locked or constrained, collapse, and recovery conditions. These are evidence classifications, not hidden ontological states.</w:t>
      </w:r>
    </w:p>
    <w:p w14:paraId="3D0A7641" w14:textId="77777777" w:rsidR="005B7C5B" w:rsidRDefault="005B7C5B" w:rsidP="005B7C5B">
      <w:pPr>
        <w:spacing w:after="112"/>
      </w:pPr>
      <w:r>
        <w:rPr>
          <w:rFonts w:ascii="Times New Roman" w:eastAsia="Times New Roman" w:hAnsi="Times New Roman"/>
          <w:color w:val="000000"/>
          <w:sz w:val="20"/>
        </w:rPr>
        <w:t xml:space="preserve">A </w:t>
      </w:r>
      <w:r>
        <w:rPr>
          <w:rFonts w:ascii="Times New Roman" w:eastAsia="Times New Roman" w:hAnsi="Times New Roman"/>
          <w:b/>
          <w:color w:val="000000"/>
          <w:sz w:val="20"/>
        </w:rPr>
        <w:t>candidate boundary</w:t>
      </w:r>
      <w:r>
        <w:rPr>
          <w:rFonts w:ascii="Times New Roman" w:eastAsia="Times New Roman" w:hAnsi="Times New Roman"/>
          <w:color w:val="000000"/>
          <w:sz w:val="20"/>
        </w:rPr>
        <w:t xml:space="preserve"> indicates emerging evidence of separation between runtime conditions. A </w:t>
      </w:r>
      <w:r>
        <w:rPr>
          <w:rFonts w:ascii="Times New Roman" w:eastAsia="Times New Roman" w:hAnsi="Times New Roman"/>
          <w:b/>
          <w:color w:val="000000"/>
          <w:sz w:val="20"/>
        </w:rPr>
        <w:t>confirmed Basin Exit</w:t>
      </w:r>
      <w:r>
        <w:rPr>
          <w:rFonts w:ascii="Times New Roman" w:eastAsia="Times New Roman" w:hAnsi="Times New Roman"/>
          <w:color w:val="000000"/>
          <w:sz w:val="20"/>
        </w:rPr>
        <w:t xml:space="preserve"> requires a qualifying crossing and persistence under a declared method. An </w:t>
      </w:r>
      <w:r>
        <w:rPr>
          <w:rFonts w:ascii="Times New Roman" w:eastAsia="Times New Roman" w:hAnsi="Times New Roman"/>
          <w:b/>
          <w:color w:val="000000"/>
          <w:sz w:val="20"/>
        </w:rPr>
        <w:t>observable failure marker</w:t>
      </w:r>
      <w:r>
        <w:rPr>
          <w:rFonts w:ascii="Times New Roman" w:eastAsia="Times New Roman" w:hAnsi="Times New Roman"/>
          <w:color w:val="000000"/>
          <w:sz w:val="20"/>
        </w:rPr>
        <w:t xml:space="preserve"> is a separately authorized source or event anchor. Formal lead time is admissible only when both the qualifying boundary marker t* and the observable failure marker </w:t>
      </w:r>
      <w:proofErr w:type="spellStart"/>
      <w:r>
        <w:rPr>
          <w:rFonts w:ascii="Times New Roman" w:eastAsia="Times New Roman" w:hAnsi="Times New Roman"/>
          <w:color w:val="000000"/>
          <w:sz w:val="20"/>
        </w:rPr>
        <w:t>tf</w:t>
      </w:r>
      <w:proofErr w:type="spellEnd"/>
      <w:r>
        <w:rPr>
          <w:rFonts w:ascii="Times New Roman" w:eastAsia="Times New Roman" w:hAnsi="Times New Roman"/>
          <w:color w:val="000000"/>
          <w:sz w:val="20"/>
        </w:rPr>
        <w:t xml:space="preserve"> are present and properly ordered.</w:t>
      </w:r>
    </w:p>
    <w:p w14:paraId="55677F7E" w14:textId="77777777" w:rsidR="005B7C5B" w:rsidRDefault="005B7C5B" w:rsidP="005B7C5B">
      <w:pPr>
        <w:spacing w:after="112"/>
      </w:pPr>
      <w:r>
        <w:rPr>
          <w:rFonts w:ascii="Times New Roman" w:eastAsia="Times New Roman" w:hAnsi="Times New Roman"/>
          <w:color w:val="000000"/>
          <w:sz w:val="20"/>
        </w:rPr>
        <w:t xml:space="preserve">This distinction is essential in validation. A method must not improve its apparent performance by treating every local disturbance as failure, by backfilling </w:t>
      </w:r>
      <w:proofErr w:type="spellStart"/>
      <w:r>
        <w:rPr>
          <w:rFonts w:ascii="Times New Roman" w:eastAsia="Times New Roman" w:hAnsi="Times New Roman"/>
          <w:color w:val="000000"/>
          <w:sz w:val="20"/>
        </w:rPr>
        <w:t>tf</w:t>
      </w:r>
      <w:proofErr w:type="spellEnd"/>
      <w:r>
        <w:rPr>
          <w:rFonts w:ascii="Times New Roman" w:eastAsia="Times New Roman" w:hAnsi="Times New Roman"/>
          <w:color w:val="000000"/>
          <w:sz w:val="20"/>
        </w:rPr>
        <w:t xml:space="preserve"> from later narrative, or by using post-event evidence to strengthen a prospective warning.</w:t>
      </w:r>
    </w:p>
    <w:p w14:paraId="7E92E37B" w14:textId="77777777" w:rsidR="005B7C5B" w:rsidRDefault="005B7C5B" w:rsidP="005B7C5B">
      <w:pPr>
        <w:pStyle w:val="Heading2"/>
      </w:pPr>
      <w:r>
        <w:rPr>
          <w:rFonts w:ascii="Arial" w:eastAsia="Times New Roman" w:hAnsi="Arial"/>
          <w:color w:val="000000"/>
          <w:sz w:val="24"/>
        </w:rPr>
        <w:t>Deterministic core</w:t>
      </w:r>
    </w:p>
    <w:p w14:paraId="642DD64D" w14:textId="77777777" w:rsidR="005B7C5B" w:rsidRDefault="005B7C5B" w:rsidP="005B7C5B">
      <w:pPr>
        <w:keepLines/>
        <w:spacing w:after="112"/>
      </w:pPr>
      <w:r>
        <w:rPr>
          <w:rFonts w:ascii="Times New Roman" w:eastAsia="Times New Roman" w:hAnsi="Times New Roman"/>
          <w:color w:val="000000"/>
          <w:sz w:val="20"/>
        </w:rPr>
        <w:t>The deterministic core may include:</w:t>
      </w:r>
    </w:p>
    <w:p w14:paraId="4D83221C" w14:textId="77777777" w:rsidR="005B7C5B" w:rsidRDefault="005B7C5B" w:rsidP="005B7C5B">
      <w:pPr>
        <w:pStyle w:val="ListBullet"/>
      </w:pPr>
      <w:r>
        <w:rPr>
          <w:rFonts w:eastAsia="Times New Roman"/>
          <w:sz w:val="20"/>
        </w:rPr>
        <w:t>normalized source and canonical identity;</w:t>
      </w:r>
    </w:p>
    <w:p w14:paraId="3AC079B8" w14:textId="77777777" w:rsidR="005B7C5B" w:rsidRDefault="005B7C5B" w:rsidP="005B7C5B">
      <w:pPr>
        <w:pStyle w:val="ListBullet"/>
      </w:pPr>
      <w:r>
        <w:rPr>
          <w:rFonts w:eastAsia="Times New Roman"/>
          <w:sz w:val="20"/>
        </w:rPr>
        <w:t>deterministic run identity;</w:t>
      </w:r>
    </w:p>
    <w:p w14:paraId="050A50C1" w14:textId="77777777" w:rsidR="005B7C5B" w:rsidRDefault="005B7C5B" w:rsidP="005B7C5B">
      <w:pPr>
        <w:pStyle w:val="ListBullet"/>
      </w:pPr>
      <w:r>
        <w:rPr>
          <w:rFonts w:eastAsia="Times New Roman"/>
          <w:sz w:val="20"/>
        </w:rPr>
        <w:t>canonical runtime events and ordering;</w:t>
      </w:r>
    </w:p>
    <w:p w14:paraId="77C8A578" w14:textId="77777777" w:rsidR="005B7C5B" w:rsidRDefault="005B7C5B" w:rsidP="005B7C5B">
      <w:pPr>
        <w:pStyle w:val="ListBullet"/>
      </w:pPr>
      <w:r>
        <w:rPr>
          <w:rFonts w:eastAsia="Times New Roman"/>
          <w:sz w:val="20"/>
        </w:rPr>
        <w:t>runtime frames and spine;</w:t>
      </w:r>
    </w:p>
    <w:p w14:paraId="6780F6FC" w14:textId="77777777" w:rsidR="005B7C5B" w:rsidRDefault="005B7C5B" w:rsidP="005B7C5B">
      <w:pPr>
        <w:pStyle w:val="ListBullet"/>
      </w:pPr>
      <w:r>
        <w:rPr>
          <w:rFonts w:eastAsia="Times New Roman"/>
          <w:sz w:val="20"/>
        </w:rPr>
        <w:t>registered telemetry arrays within declared numerical tolerances;</w:t>
      </w:r>
    </w:p>
    <w:p w14:paraId="59900E44" w14:textId="77777777" w:rsidR="005B7C5B" w:rsidRDefault="005B7C5B" w:rsidP="005B7C5B">
      <w:pPr>
        <w:pStyle w:val="ListBullet"/>
      </w:pPr>
      <w:r>
        <w:rPr>
          <w:rFonts w:eastAsia="Times New Roman"/>
          <w:sz w:val="20"/>
        </w:rPr>
        <w:t>regime timeline and marker states;</w:t>
      </w:r>
    </w:p>
    <w:p w14:paraId="0680360D" w14:textId="77777777" w:rsidR="005B7C5B" w:rsidRDefault="005B7C5B" w:rsidP="005B7C5B">
      <w:pPr>
        <w:pStyle w:val="ListBullet"/>
      </w:pPr>
      <w:r>
        <w:rPr>
          <w:rFonts w:eastAsia="Times New Roman"/>
          <w:sz w:val="20"/>
        </w:rPr>
        <w:t>bounded Instrument Findings;</w:t>
      </w:r>
    </w:p>
    <w:p w14:paraId="7FA6410C" w14:textId="77777777" w:rsidR="005B7C5B" w:rsidRDefault="005B7C5B" w:rsidP="005B7C5B">
      <w:pPr>
        <w:pStyle w:val="ListBullet"/>
      </w:pPr>
      <w:r>
        <w:rPr>
          <w:rFonts w:eastAsia="Times New Roman"/>
          <w:sz w:val="20"/>
        </w:rPr>
        <w:t>core Runtime Evidence Record content;</w:t>
      </w:r>
    </w:p>
    <w:p w14:paraId="281A6FA2" w14:textId="77777777" w:rsidR="005B7C5B" w:rsidRDefault="005B7C5B" w:rsidP="005B7C5B">
      <w:pPr>
        <w:pStyle w:val="ListBullet"/>
      </w:pPr>
      <w:r>
        <w:rPr>
          <w:rFonts w:eastAsia="Times New Roman"/>
          <w:sz w:val="20"/>
        </w:rPr>
        <w:t>evidence-basis and claim-boundary fields; and</w:t>
      </w:r>
    </w:p>
    <w:p w14:paraId="19396083" w14:textId="77777777" w:rsidR="005B7C5B" w:rsidRDefault="005B7C5B" w:rsidP="005B7C5B">
      <w:pPr>
        <w:pStyle w:val="ListBullet"/>
      </w:pPr>
      <w:r>
        <w:rPr>
          <w:rFonts w:eastAsia="Times New Roman"/>
          <w:sz w:val="20"/>
        </w:rPr>
        <w:t>stable Passport and Evidence Seal references derived from the evidence core.</w:t>
      </w:r>
    </w:p>
    <w:p w14:paraId="49384014" w14:textId="77777777" w:rsidR="005B7C5B" w:rsidRDefault="005B7C5B" w:rsidP="005B7C5B">
      <w:pPr>
        <w:spacing w:after="112"/>
      </w:pPr>
      <w:r>
        <w:rPr>
          <w:rFonts w:ascii="Times New Roman" w:eastAsia="Times New Roman" w:hAnsi="Times New Roman"/>
          <w:color w:val="000000"/>
          <w:sz w:val="20"/>
        </w:rPr>
        <w:t>Variable envelope material—such as download filename, interface state, animation frame, reviewer note, or issuance timestamp—must be excluded from byte-exact equality unless the contract explicitly includes it.</w:t>
      </w:r>
    </w:p>
    <w:p w14:paraId="0DFF2BD7"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Baselines and Evaluation Design</w:t>
      </w:r>
    </w:p>
    <w:p w14:paraId="11419227" w14:textId="77777777" w:rsidR="005B7C5B" w:rsidRDefault="005B7C5B" w:rsidP="005B7C5B">
      <w:pPr>
        <w:pStyle w:val="Heading2"/>
      </w:pPr>
      <w:r>
        <w:rPr>
          <w:rFonts w:ascii="Arial" w:eastAsia="Times New Roman" w:hAnsi="Arial"/>
          <w:color w:val="000000"/>
          <w:sz w:val="24"/>
        </w:rPr>
        <w:t>Baseline principle</w:t>
      </w:r>
    </w:p>
    <w:p w14:paraId="1B909ABE" w14:textId="77777777" w:rsidR="005B7C5B" w:rsidRDefault="005B7C5B" w:rsidP="005B7C5B">
      <w:pPr>
        <w:keepLines/>
        <w:spacing w:after="112"/>
      </w:pPr>
      <w:r>
        <w:rPr>
          <w:rFonts w:ascii="Times New Roman" w:eastAsia="Times New Roman" w:hAnsi="Times New Roman"/>
          <w:color w:val="000000"/>
          <w:sz w:val="20"/>
        </w:rPr>
        <w:t>Scientific discrimination must be evaluated against methods that could explain the result more simply. Relevant baseline families include endpoint-only status, univariate thresholding, event-count heuristics, and majority or stable-class rules. A stronger baseline may also use an ordinary change-point method over the same admissible observable series [3,4].</w:t>
      </w:r>
    </w:p>
    <w:p w14:paraId="158D23D2" w14:textId="77777777" w:rsidR="005B7C5B" w:rsidRDefault="005B7C5B" w:rsidP="005B7C5B">
      <w:pPr>
        <w:spacing w:after="112"/>
      </w:pPr>
      <w:r>
        <w:rPr>
          <w:rFonts w:ascii="Times New Roman" w:eastAsia="Times New Roman" w:hAnsi="Times New Roman"/>
          <w:color w:val="000000"/>
          <w:sz w:val="20"/>
        </w:rPr>
        <w:t>The current public record states that selected longitudinal measurements performed better than declared simple baselines. It does not bind the baseline identities, parameters, or result table. The paper therefore reports the directional comparison but does not retroactively assign a specific baseline implementation to it.</w:t>
      </w:r>
    </w:p>
    <w:p w14:paraId="62A3FCFD" w14:textId="77777777" w:rsidR="005B7C5B" w:rsidRDefault="005B7C5B" w:rsidP="005B7C5B">
      <w:pPr>
        <w:pStyle w:val="Heading2"/>
      </w:pPr>
      <w:r>
        <w:rPr>
          <w:rFonts w:ascii="Arial" w:eastAsia="Times New Roman" w:hAnsi="Arial"/>
          <w:color w:val="000000"/>
          <w:sz w:val="24"/>
        </w:rPr>
        <w:t>Partitioning and case independence</w:t>
      </w:r>
    </w:p>
    <w:p w14:paraId="482D5D9C" w14:textId="77777777" w:rsidR="005B7C5B" w:rsidRDefault="005B7C5B" w:rsidP="005B7C5B">
      <w:pPr>
        <w:keepLines/>
        <w:spacing w:after="112"/>
      </w:pPr>
      <w:r>
        <w:rPr>
          <w:rFonts w:ascii="Times New Roman" w:eastAsia="Times New Roman" w:hAnsi="Times New Roman"/>
          <w:color w:val="000000"/>
          <w:sz w:val="20"/>
        </w:rPr>
        <w:t>Where parameters or thresholds are learned or selected, the corpus should be divided into development, calibration, and held-out evaluation partitions. Related variants of the same source must remain in the same partition to prevent family leakage. When the corpus is too small for a stable held-out estimate, leave-one-family-out analysis, nested resampling, or an explicitly descriptive comparison is preferable to an overconfident point estimate.</w:t>
      </w:r>
    </w:p>
    <w:p w14:paraId="0F6D1280" w14:textId="77777777" w:rsidR="005B7C5B" w:rsidRDefault="005B7C5B" w:rsidP="005B7C5B">
      <w:pPr>
        <w:spacing w:after="112"/>
      </w:pPr>
      <w:r>
        <w:rPr>
          <w:rFonts w:ascii="Times New Roman" w:eastAsia="Times New Roman" w:hAnsi="Times New Roman"/>
          <w:color w:val="000000"/>
          <w:sz w:val="20"/>
        </w:rPr>
        <w:t>The present materials do not expose the train, calibration, and held-out assignments used in the reported controlled result. The confirmation is therefore represented as an internal controlled validation finding rather than a fully auditable held-out performance estimate.</w:t>
      </w:r>
    </w:p>
    <w:p w14:paraId="666B7065" w14:textId="77777777" w:rsidR="005B7C5B" w:rsidRDefault="005B7C5B" w:rsidP="005B7C5B">
      <w:pPr>
        <w:pStyle w:val="Heading2"/>
      </w:pPr>
      <w:r>
        <w:rPr>
          <w:rFonts w:ascii="Arial" w:eastAsia="Times New Roman" w:hAnsi="Arial"/>
          <w:color w:val="000000"/>
          <w:sz w:val="24"/>
        </w:rPr>
        <w:t>Evaluation measures</w:t>
      </w:r>
    </w:p>
    <w:p w14:paraId="42C3BFDD" w14:textId="77777777" w:rsidR="005B7C5B" w:rsidRDefault="005B7C5B" w:rsidP="005B7C5B">
      <w:pPr>
        <w:keepLines/>
        <w:spacing w:after="112"/>
      </w:pPr>
      <w:r>
        <w:rPr>
          <w:rFonts w:ascii="Times New Roman" w:eastAsia="Times New Roman" w:hAnsi="Times New Roman"/>
          <w:color w:val="000000"/>
          <w:sz w:val="20"/>
        </w:rPr>
        <w:t>A complete discrimination report should include the confusion matrix, sensitivity, specificity, false-positive rate, false-negative rate, balanced accuracy, and an appropriate threshold-independent statistic where sample size permits. Effect magnitude should be expressed with a measure appropriate to the design, such as risk difference, odds ratio, standardized mean difference, rank-based probability of superiority, or area under a prespecified operating curve.</w:t>
      </w:r>
    </w:p>
    <w:p w14:paraId="6AA44DB6" w14:textId="77777777" w:rsidR="005B7C5B" w:rsidRDefault="005B7C5B" w:rsidP="005B7C5B">
      <w:pPr>
        <w:spacing w:after="112"/>
      </w:pPr>
      <w:r>
        <w:rPr>
          <w:rFonts w:ascii="Times New Roman" w:eastAsia="Times New Roman" w:hAnsi="Times New Roman"/>
          <w:color w:val="000000"/>
          <w:sz w:val="20"/>
        </w:rPr>
        <w:t>Uncertainty should be estimated at the case or source-family level rather than at the frame level when frames from the same runtime are dependent. Confidence intervals or compatibility intervals should state the resampling unit and method. Exact or permutation procedures are preferable when the number of independent cases is small.</w:t>
      </w:r>
    </w:p>
    <w:p w14:paraId="3C462372" w14:textId="77777777" w:rsidR="005B7C5B" w:rsidRDefault="005B7C5B" w:rsidP="005B7C5B">
      <w:pPr>
        <w:spacing w:after="112"/>
      </w:pPr>
      <w:r>
        <w:rPr>
          <w:rFonts w:ascii="Times New Roman" w:eastAsia="Times New Roman" w:hAnsi="Times New Roman"/>
          <w:color w:val="000000"/>
          <w:sz w:val="20"/>
        </w:rPr>
        <w:t>No numerical value is reported in this paper unless it appears in the bound technical record. This rule prevents the qualitative statement “better than baseline” from being converted into a fabricated performance estimate.</w:t>
      </w:r>
    </w:p>
    <w:p w14:paraId="69CAAE91"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Deterministic Replay Protocol</w:t>
      </w:r>
    </w:p>
    <w:p w14:paraId="1F97EEEF" w14:textId="77777777" w:rsidR="005B7C5B" w:rsidRDefault="005B7C5B" w:rsidP="005B7C5B">
      <w:pPr>
        <w:pStyle w:val="Heading2"/>
      </w:pPr>
      <w:r>
        <w:rPr>
          <w:rFonts w:ascii="Arial" w:eastAsia="Times New Roman" w:hAnsi="Arial"/>
          <w:color w:val="000000"/>
          <w:sz w:val="24"/>
        </w:rPr>
        <w:t>Fixed inputs</w:t>
      </w:r>
    </w:p>
    <w:p w14:paraId="22B5FCC6" w14:textId="77777777" w:rsidR="005B7C5B" w:rsidRDefault="005B7C5B" w:rsidP="005B7C5B">
      <w:pPr>
        <w:keepLines/>
        <w:spacing w:after="112"/>
      </w:pPr>
      <w:r>
        <w:rPr>
          <w:rFonts w:ascii="Times New Roman" w:eastAsia="Times New Roman" w:hAnsi="Times New Roman"/>
          <w:color w:val="000000"/>
          <w:sz w:val="20"/>
        </w:rPr>
        <w:t>Each replay must bind:</w:t>
      </w:r>
    </w:p>
    <w:p w14:paraId="3AAF0961" w14:textId="77777777" w:rsidR="005B7C5B" w:rsidRDefault="005B7C5B" w:rsidP="005B7C5B">
      <w:pPr>
        <w:pStyle w:val="ListBullet"/>
      </w:pPr>
      <w:r>
        <w:rPr>
          <w:rFonts w:eastAsia="Times New Roman"/>
          <w:sz w:val="20"/>
        </w:rPr>
        <w:t>source bytes or source identity;</w:t>
      </w:r>
    </w:p>
    <w:p w14:paraId="680792B8" w14:textId="77777777" w:rsidR="005B7C5B" w:rsidRDefault="005B7C5B" w:rsidP="005B7C5B">
      <w:pPr>
        <w:pStyle w:val="ListBullet"/>
      </w:pPr>
      <w:r>
        <w:rPr>
          <w:rFonts w:eastAsia="Times New Roman"/>
          <w:sz w:val="20"/>
        </w:rPr>
        <w:t>adapter and adapter options;</w:t>
      </w:r>
    </w:p>
    <w:p w14:paraId="05949DCD" w14:textId="77777777" w:rsidR="005B7C5B" w:rsidRDefault="005B7C5B" w:rsidP="005B7C5B">
      <w:pPr>
        <w:pStyle w:val="ListBullet"/>
      </w:pPr>
      <w:r>
        <w:rPr>
          <w:rFonts w:eastAsia="Times New Roman"/>
          <w:sz w:val="20"/>
        </w:rPr>
        <w:t>canonicalization version;</w:t>
      </w:r>
    </w:p>
    <w:p w14:paraId="317665BD" w14:textId="77777777" w:rsidR="005B7C5B" w:rsidRDefault="005B7C5B" w:rsidP="005B7C5B">
      <w:pPr>
        <w:pStyle w:val="ListBullet"/>
      </w:pPr>
      <w:r>
        <w:rPr>
          <w:rFonts w:eastAsia="Times New Roman"/>
          <w:sz w:val="20"/>
        </w:rPr>
        <w:t>configuration and thresholds;</w:t>
      </w:r>
    </w:p>
    <w:p w14:paraId="2629DA34" w14:textId="77777777" w:rsidR="005B7C5B" w:rsidRDefault="005B7C5B" w:rsidP="005B7C5B">
      <w:pPr>
        <w:pStyle w:val="ListBullet"/>
      </w:pPr>
      <w:r>
        <w:rPr>
          <w:rFonts w:eastAsia="Times New Roman"/>
          <w:sz w:val="20"/>
        </w:rPr>
        <w:t>signal and method versions;</w:t>
      </w:r>
    </w:p>
    <w:p w14:paraId="2EA4CEDD" w14:textId="77777777" w:rsidR="005B7C5B" w:rsidRDefault="005B7C5B" w:rsidP="005B7C5B">
      <w:pPr>
        <w:pStyle w:val="ListBullet"/>
      </w:pPr>
      <w:r>
        <w:rPr>
          <w:rFonts w:eastAsia="Times New Roman"/>
          <w:sz w:val="20"/>
        </w:rPr>
        <w:t>instrument contracts;</w:t>
      </w:r>
    </w:p>
    <w:p w14:paraId="03A0C330" w14:textId="77777777" w:rsidR="005B7C5B" w:rsidRDefault="005B7C5B" w:rsidP="005B7C5B">
      <w:pPr>
        <w:pStyle w:val="ListBullet"/>
      </w:pPr>
      <w:r>
        <w:rPr>
          <w:rFonts w:eastAsia="Times New Roman"/>
          <w:sz w:val="20"/>
        </w:rPr>
        <w:t>schema bundle;</w:t>
      </w:r>
    </w:p>
    <w:p w14:paraId="496CC62E" w14:textId="77777777" w:rsidR="005B7C5B" w:rsidRDefault="005B7C5B" w:rsidP="005B7C5B">
      <w:pPr>
        <w:pStyle w:val="ListBullet"/>
      </w:pPr>
      <w:r>
        <w:rPr>
          <w:rFonts w:eastAsia="Times New Roman"/>
          <w:sz w:val="20"/>
        </w:rPr>
        <w:t>implementation or build identity;</w:t>
      </w:r>
    </w:p>
    <w:p w14:paraId="6CFB9FF6" w14:textId="77777777" w:rsidR="005B7C5B" w:rsidRDefault="005B7C5B" w:rsidP="005B7C5B">
      <w:pPr>
        <w:pStyle w:val="ListBullet"/>
      </w:pPr>
      <w:r>
        <w:rPr>
          <w:rFonts w:eastAsia="Times New Roman"/>
          <w:sz w:val="20"/>
        </w:rPr>
        <w:t>runtime environment where relevant; and</w:t>
      </w:r>
    </w:p>
    <w:p w14:paraId="0C3484A0" w14:textId="77777777" w:rsidR="005B7C5B" w:rsidRDefault="005B7C5B" w:rsidP="005B7C5B">
      <w:pPr>
        <w:pStyle w:val="ListBullet"/>
      </w:pPr>
      <w:r>
        <w:rPr>
          <w:rFonts w:eastAsia="Times New Roman"/>
          <w:sz w:val="20"/>
        </w:rPr>
        <w:t>comparison rules and numerical tolerances.</w:t>
      </w:r>
    </w:p>
    <w:p w14:paraId="55D0A319" w14:textId="77777777" w:rsidR="005B7C5B" w:rsidRDefault="005B7C5B" w:rsidP="005B7C5B">
      <w:pPr>
        <w:pStyle w:val="Heading2"/>
      </w:pPr>
      <w:r>
        <w:rPr>
          <w:rFonts w:ascii="Arial" w:eastAsia="Times New Roman" w:hAnsi="Arial"/>
          <w:color w:val="000000"/>
          <w:sz w:val="24"/>
        </w:rPr>
        <w:t>Replay procedure</w:t>
      </w:r>
    </w:p>
    <w:p w14:paraId="400DE008" w14:textId="77777777" w:rsidR="005B7C5B" w:rsidRDefault="005B7C5B" w:rsidP="005B7C5B">
      <w:pPr>
        <w:spacing w:after="64" w:line="250" w:lineRule="auto"/>
        <w:ind w:left="403" w:hanging="403"/>
      </w:pPr>
      <w:r>
        <w:rPr>
          <w:rFonts w:ascii="Times New Roman" w:eastAsia="Times New Roman" w:hAnsi="Times New Roman"/>
          <w:color w:val="000000"/>
          <w:sz w:val="20"/>
        </w:rPr>
        <w:t>1. Verify the source and release manifest.</w:t>
      </w:r>
    </w:p>
    <w:p w14:paraId="6F586699" w14:textId="77777777" w:rsidR="005B7C5B" w:rsidRDefault="005B7C5B" w:rsidP="005B7C5B">
      <w:pPr>
        <w:spacing w:after="64" w:line="250" w:lineRule="auto"/>
        <w:ind w:left="403" w:hanging="403"/>
      </w:pPr>
      <w:r>
        <w:rPr>
          <w:rFonts w:ascii="Times New Roman" w:eastAsia="Times New Roman" w:hAnsi="Times New Roman"/>
          <w:color w:val="000000"/>
          <w:sz w:val="20"/>
        </w:rPr>
        <w:t>2. Qualify and canonicalize the source through the registered ingestion path.</w:t>
      </w:r>
    </w:p>
    <w:p w14:paraId="2D64F7AA" w14:textId="77777777" w:rsidR="005B7C5B" w:rsidRDefault="005B7C5B" w:rsidP="005B7C5B">
      <w:pPr>
        <w:spacing w:after="64" w:line="250" w:lineRule="auto"/>
        <w:ind w:left="403" w:hanging="403"/>
      </w:pPr>
      <w:r>
        <w:rPr>
          <w:rFonts w:ascii="Times New Roman" w:eastAsia="Times New Roman" w:hAnsi="Times New Roman"/>
          <w:color w:val="000000"/>
          <w:sz w:val="20"/>
        </w:rPr>
        <w:t>3. Compute the Current Evidence Run without loading the expectation map.</w:t>
      </w:r>
    </w:p>
    <w:p w14:paraId="157E06CF" w14:textId="77777777" w:rsidR="005B7C5B" w:rsidRDefault="005B7C5B" w:rsidP="005B7C5B">
      <w:pPr>
        <w:spacing w:after="64" w:line="250" w:lineRule="auto"/>
        <w:ind w:left="403" w:hanging="403"/>
      </w:pPr>
      <w:r>
        <w:rPr>
          <w:rFonts w:ascii="Times New Roman" w:eastAsia="Times New Roman" w:hAnsi="Times New Roman"/>
          <w:color w:val="000000"/>
          <w:sz w:val="20"/>
        </w:rPr>
        <w:t>4. Issue or withhold the Runtime Evidence Record, Passport, and Evidence Seal under normal authority rules.</w:t>
      </w:r>
    </w:p>
    <w:p w14:paraId="1ED7E2B5" w14:textId="77777777" w:rsidR="005B7C5B" w:rsidRDefault="005B7C5B" w:rsidP="005B7C5B">
      <w:pPr>
        <w:spacing w:after="64" w:line="250" w:lineRule="auto"/>
        <w:ind w:left="403" w:hanging="403"/>
      </w:pPr>
      <w:r>
        <w:rPr>
          <w:rFonts w:ascii="Times New Roman" w:eastAsia="Times New Roman" w:hAnsi="Times New Roman"/>
          <w:color w:val="000000"/>
          <w:sz w:val="20"/>
        </w:rPr>
        <w:t>5. Repeat the run under identical declared conditions.</w:t>
      </w:r>
    </w:p>
    <w:p w14:paraId="5B20F35F" w14:textId="77777777" w:rsidR="005B7C5B" w:rsidRDefault="005B7C5B" w:rsidP="005B7C5B">
      <w:pPr>
        <w:spacing w:after="64" w:line="250" w:lineRule="auto"/>
        <w:ind w:left="403" w:hanging="403"/>
      </w:pPr>
      <w:r>
        <w:rPr>
          <w:rFonts w:ascii="Times New Roman" w:eastAsia="Times New Roman" w:hAnsi="Times New Roman"/>
          <w:color w:val="000000"/>
          <w:sz w:val="20"/>
        </w:rPr>
        <w:t>6. Compare every governed field using its registered equality rule.</w:t>
      </w:r>
    </w:p>
    <w:p w14:paraId="1A257781" w14:textId="77777777" w:rsidR="005B7C5B" w:rsidRDefault="005B7C5B" w:rsidP="005B7C5B">
      <w:pPr>
        <w:spacing w:after="64" w:line="250" w:lineRule="auto"/>
        <w:ind w:left="403" w:hanging="403"/>
      </w:pPr>
      <w:r>
        <w:rPr>
          <w:rFonts w:ascii="Times New Roman" w:eastAsia="Times New Roman" w:hAnsi="Times New Roman"/>
          <w:color w:val="000000"/>
          <w:sz w:val="20"/>
        </w:rPr>
        <w:t>7. Classify discrepancies as deterministic-core, tolerance, environment, envelope, or presentation differences.</w:t>
      </w:r>
    </w:p>
    <w:p w14:paraId="2A664A3C" w14:textId="77777777" w:rsidR="005B7C5B" w:rsidRDefault="005B7C5B" w:rsidP="005B7C5B">
      <w:pPr>
        <w:spacing w:after="64" w:line="250" w:lineRule="auto"/>
        <w:ind w:left="403" w:hanging="403"/>
      </w:pPr>
      <w:r>
        <w:rPr>
          <w:rFonts w:ascii="Times New Roman" w:eastAsia="Times New Roman" w:hAnsi="Times New Roman"/>
          <w:color w:val="000000"/>
          <w:sz w:val="20"/>
        </w:rPr>
        <w:t>8. Preserve both outputs and the comparison record.</w:t>
      </w:r>
    </w:p>
    <w:p w14:paraId="313AA661" w14:textId="77777777" w:rsidR="005B7C5B" w:rsidRDefault="005B7C5B" w:rsidP="005B7C5B">
      <w:pPr>
        <w:pStyle w:val="Heading2"/>
      </w:pPr>
      <w:r>
        <w:rPr>
          <w:rFonts w:ascii="Arial" w:eastAsia="Times New Roman" w:hAnsi="Arial"/>
          <w:color w:val="000000"/>
          <w:sz w:val="24"/>
        </w:rPr>
        <w:t>Reproducibility endpoint</w:t>
      </w:r>
    </w:p>
    <w:p w14:paraId="320DB520" w14:textId="77777777" w:rsidR="005B7C5B" w:rsidRDefault="005B7C5B" w:rsidP="005B7C5B">
      <w:pPr>
        <w:keepLines/>
        <w:spacing w:after="112"/>
      </w:pPr>
      <w:r>
        <w:rPr>
          <w:rFonts w:ascii="Times New Roman" w:eastAsia="Times New Roman" w:hAnsi="Times New Roman"/>
          <w:color w:val="000000"/>
          <w:sz w:val="20"/>
        </w:rPr>
        <w:t>P1 is satisfied only when all required deterministic-core fields match under their declared comparison semantics. A matching screenshot, similar narrative, or visually identical trajectory is not sufficient. Conversely, a changed issuance timestamp or filename is not a deterministic failure if that field is explicitly outside the core.</w:t>
      </w:r>
    </w:p>
    <w:p w14:paraId="52EA56F4"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Discrimination Protocol</w:t>
      </w:r>
    </w:p>
    <w:p w14:paraId="0316AFAD" w14:textId="77777777" w:rsidR="005B7C5B" w:rsidRDefault="005B7C5B" w:rsidP="005B7C5B">
      <w:pPr>
        <w:pStyle w:val="Heading2"/>
      </w:pPr>
      <w:r>
        <w:rPr>
          <w:rFonts w:ascii="Arial" w:eastAsia="Times New Roman" w:hAnsi="Arial"/>
          <w:color w:val="000000"/>
          <w:sz w:val="24"/>
        </w:rPr>
        <w:t>Protected labels</w:t>
      </w:r>
    </w:p>
    <w:p w14:paraId="185E3BF1" w14:textId="77777777" w:rsidR="005B7C5B" w:rsidRDefault="005B7C5B" w:rsidP="005B7C5B">
      <w:pPr>
        <w:keepLines/>
        <w:spacing w:after="112"/>
      </w:pPr>
      <w:r>
        <w:rPr>
          <w:rFonts w:ascii="Times New Roman" w:eastAsia="Times New Roman" w:hAnsi="Times New Roman"/>
          <w:color w:val="000000"/>
          <w:sz w:val="20"/>
        </w:rPr>
        <w:t>The transition or control status of each case must be established independently of the measurements being evaluated. The label should arise from fixture construction, an external event anchor, or an authorized adjudication process whose inputs and uncertainties are disclosed.</w:t>
      </w:r>
    </w:p>
    <w:p w14:paraId="722E59F4" w14:textId="77777777" w:rsidR="005B7C5B" w:rsidRDefault="005B7C5B" w:rsidP="005B7C5B">
      <w:pPr>
        <w:pStyle w:val="Heading2"/>
      </w:pPr>
      <w:r>
        <w:rPr>
          <w:rFonts w:ascii="Arial" w:eastAsia="Times New Roman" w:hAnsi="Arial"/>
          <w:color w:val="000000"/>
          <w:sz w:val="24"/>
        </w:rPr>
        <w:t>Feature locking</w:t>
      </w:r>
    </w:p>
    <w:p w14:paraId="773DC878" w14:textId="77777777" w:rsidR="005B7C5B" w:rsidRDefault="005B7C5B" w:rsidP="005B7C5B">
      <w:pPr>
        <w:keepLines/>
        <w:spacing w:after="112"/>
      </w:pPr>
      <w:r>
        <w:rPr>
          <w:rFonts w:ascii="Times New Roman" w:eastAsia="Times New Roman" w:hAnsi="Times New Roman"/>
          <w:color w:val="000000"/>
          <w:sz w:val="20"/>
        </w:rPr>
        <w:t>Selected LCD measurements, aggregation windows, persistence rules, thresholds, and class mapping must be fixed before the protected evaluation set is opened. Any change made after inspection of held-out outcomes creates a new method version and requires a new evaluation.</w:t>
      </w:r>
    </w:p>
    <w:p w14:paraId="184093EA" w14:textId="77777777" w:rsidR="005B7C5B" w:rsidRDefault="005B7C5B" w:rsidP="005B7C5B">
      <w:pPr>
        <w:pStyle w:val="Heading2"/>
      </w:pPr>
      <w:r>
        <w:rPr>
          <w:rFonts w:ascii="Arial" w:eastAsia="Times New Roman" w:hAnsi="Arial"/>
          <w:color w:val="000000"/>
          <w:sz w:val="24"/>
        </w:rPr>
        <w:t>Control behavior</w:t>
      </w:r>
    </w:p>
    <w:p w14:paraId="00773647" w14:textId="77777777" w:rsidR="005B7C5B" w:rsidRDefault="005B7C5B" w:rsidP="005B7C5B">
      <w:pPr>
        <w:keepLines/>
        <w:spacing w:after="112"/>
      </w:pPr>
      <w:r>
        <w:rPr>
          <w:rFonts w:ascii="Times New Roman" w:eastAsia="Times New Roman" w:hAnsi="Times New Roman"/>
          <w:color w:val="000000"/>
          <w:sz w:val="20"/>
        </w:rPr>
        <w:t>Stable and negative controls test restraint as well as sensitivity. A valid transition method should not produce confirmed Basin Exit, collapse, observable failure, or formal lead time merely because a long record contains ordinary fluctuation. Missing failure anchors must remain missing. Candidate states must not be scored as confirmed unless the comparison contract explicitly tests candidates.</w:t>
      </w:r>
    </w:p>
    <w:p w14:paraId="7869F318" w14:textId="77777777" w:rsidR="005B7C5B" w:rsidRDefault="005B7C5B" w:rsidP="005B7C5B">
      <w:pPr>
        <w:pStyle w:val="Heading2"/>
      </w:pPr>
      <w:r>
        <w:rPr>
          <w:rFonts w:ascii="Arial" w:eastAsia="Times New Roman" w:hAnsi="Arial"/>
          <w:color w:val="000000"/>
          <w:sz w:val="24"/>
        </w:rPr>
        <w:t>Temporal leakage control</w:t>
      </w:r>
    </w:p>
    <w:p w14:paraId="139FCD7E" w14:textId="77777777" w:rsidR="005B7C5B" w:rsidRDefault="005B7C5B" w:rsidP="005B7C5B">
      <w:pPr>
        <w:keepLines/>
        <w:spacing w:after="112"/>
      </w:pPr>
      <w:r>
        <w:rPr>
          <w:rFonts w:ascii="Times New Roman" w:eastAsia="Times New Roman" w:hAnsi="Times New Roman"/>
          <w:color w:val="000000"/>
          <w:sz w:val="20"/>
        </w:rPr>
        <w:t>For every finding at coordinate t, the evaluator should reconstruct the eligible evidence horizon H(t) and verify that no source event, marker, summary, or label occurring after t entered the computation. Retrospective case classification and prospective warning are separate tasks. A retrospective result may use the complete record; a prospective claim may not.</w:t>
      </w:r>
    </w:p>
    <w:p w14:paraId="749B1DD5" w14:textId="77777777" w:rsidR="005B7C5B" w:rsidRDefault="005B7C5B" w:rsidP="005B7C5B">
      <w:pPr>
        <w:pStyle w:val="Heading2"/>
      </w:pPr>
      <w:r>
        <w:rPr>
          <w:rFonts w:ascii="Arial" w:eastAsia="Times New Roman" w:hAnsi="Arial"/>
          <w:color w:val="000000"/>
          <w:sz w:val="24"/>
        </w:rPr>
        <w:t>Perturbation and ablation</w:t>
      </w:r>
    </w:p>
    <w:p w14:paraId="7DD46405" w14:textId="77777777" w:rsidR="005B7C5B" w:rsidRDefault="005B7C5B" w:rsidP="005B7C5B">
      <w:pPr>
        <w:keepLines/>
        <w:spacing w:after="112"/>
      </w:pPr>
      <w:r>
        <w:rPr>
          <w:rFonts w:ascii="Times New Roman" w:eastAsia="Times New Roman" w:hAnsi="Times New Roman"/>
          <w:color w:val="000000"/>
          <w:sz w:val="20"/>
        </w:rPr>
        <w:t>Perturbation tests should alter one controlled property at a time, including role labels, event order, timestamp availability, repeated segments, tool-error density, or source-family formatting. Ablation tests should remove signal families, role topology, temporal structure, persistence logic, or boundary features to determine which components contribute to discrimination.</w:t>
      </w:r>
    </w:p>
    <w:p w14:paraId="580E0688" w14:textId="77777777" w:rsidR="005B7C5B" w:rsidRDefault="005B7C5B" w:rsidP="005B7C5B">
      <w:pPr>
        <w:spacing w:after="112"/>
      </w:pPr>
      <w:r>
        <w:rPr>
          <w:rFonts w:ascii="Times New Roman" w:eastAsia="Times New Roman" w:hAnsi="Times New Roman"/>
          <w:color w:val="000000"/>
          <w:sz w:val="20"/>
        </w:rPr>
        <w:t>An ablation is informative only when the comparison uses the same case set and protected labels. If removing a feature also changes case eligibility, the effect must be reported separately.</w:t>
      </w:r>
    </w:p>
    <w:p w14:paraId="2D1D6CD8"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Results</w:t>
      </w:r>
    </w:p>
    <w:p w14:paraId="5CE56159" w14:textId="77777777" w:rsidR="005B7C5B" w:rsidRDefault="005B7C5B" w:rsidP="005B7C5B">
      <w:pPr>
        <w:pStyle w:val="Heading2"/>
      </w:pPr>
      <w:r>
        <w:rPr>
          <w:rFonts w:ascii="Arial" w:eastAsia="Times New Roman" w:hAnsi="Arial"/>
          <w:color w:val="000000"/>
          <w:sz w:val="24"/>
        </w:rPr>
        <w:t>Evidence status of the present report</w:t>
      </w:r>
    </w:p>
    <w:p w14:paraId="66D48D17" w14:textId="77777777" w:rsidR="005B7C5B" w:rsidRDefault="005B7C5B" w:rsidP="005B7C5B">
      <w:pPr>
        <w:keepLines/>
        <w:spacing w:after="112"/>
      </w:pPr>
      <w:r>
        <w:rPr>
          <w:rFonts w:ascii="Times New Roman" w:eastAsia="Times New Roman" w:hAnsi="Times New Roman"/>
          <w:color w:val="000000"/>
          <w:sz w:val="20"/>
        </w:rPr>
        <w:t>The controlled program reports two confirmed findings:</w:t>
      </w:r>
    </w:p>
    <w:p w14:paraId="03358B91" w14:textId="77777777" w:rsidR="005B7C5B" w:rsidRDefault="005B7C5B" w:rsidP="005B7C5B">
      <w:pPr>
        <w:spacing w:after="64" w:line="250" w:lineRule="auto"/>
        <w:ind w:left="403" w:hanging="403"/>
      </w:pPr>
      <w:r>
        <w:rPr>
          <w:rFonts w:ascii="Times New Roman" w:eastAsia="Times New Roman" w:hAnsi="Times New Roman"/>
          <w:color w:val="000000"/>
          <w:sz w:val="20"/>
        </w:rPr>
        <w:t>1. Fixed eligible inputs and governing versions reproduced the same core evidence record.</w:t>
      </w:r>
    </w:p>
    <w:p w14:paraId="3837F5D8" w14:textId="77777777" w:rsidR="005B7C5B" w:rsidRDefault="005B7C5B" w:rsidP="005B7C5B">
      <w:pPr>
        <w:spacing w:after="64" w:line="250" w:lineRule="auto"/>
        <w:ind w:left="403" w:hanging="403"/>
      </w:pPr>
      <w:r>
        <w:rPr>
          <w:rFonts w:ascii="Times New Roman" w:eastAsia="Times New Roman" w:hAnsi="Times New Roman"/>
          <w:color w:val="000000"/>
          <w:sz w:val="20"/>
        </w:rPr>
        <w:t>2. Selected longitudinal measurements distinguished known transition cases from stable and negative controls better than the declared simple baselines.</w:t>
      </w:r>
    </w:p>
    <w:p w14:paraId="55DF33D7" w14:textId="77777777" w:rsidR="005B7C5B" w:rsidRDefault="005B7C5B" w:rsidP="005B7C5B">
      <w:pPr>
        <w:spacing w:after="112"/>
      </w:pPr>
      <w:r>
        <w:rPr>
          <w:rFonts w:ascii="Times New Roman" w:eastAsia="Times New Roman" w:hAnsi="Times New Roman"/>
          <w:color w:val="000000"/>
          <w:sz w:val="20"/>
        </w:rPr>
        <w:t>These are first-party controlled validation results. Their evidentiary status is stronger than an architectural proposal or visual demonstration and narrower than a complete public replication package.</w:t>
      </w:r>
    </w:p>
    <w:p w14:paraId="6ED49DD0" w14:textId="77777777" w:rsidR="005B7C5B" w:rsidRDefault="005B7C5B" w:rsidP="005B7C5B">
      <w:pPr>
        <w:pStyle w:val="Heading2"/>
      </w:pPr>
      <w:r>
        <w:rPr>
          <w:rFonts w:ascii="Arial" w:eastAsia="Times New Roman" w:hAnsi="Arial"/>
          <w:color w:val="000000"/>
          <w:sz w:val="24"/>
        </w:rPr>
        <w:t>Computational reproducibility</w:t>
      </w:r>
    </w:p>
    <w:p w14:paraId="6DB7252D" w14:textId="77777777" w:rsidR="005B7C5B" w:rsidRDefault="005B7C5B" w:rsidP="005B7C5B">
      <w:pPr>
        <w:keepLines/>
        <w:spacing w:after="112"/>
      </w:pPr>
      <w:r>
        <w:rPr>
          <w:rFonts w:ascii="Times New Roman" w:eastAsia="Times New Roman" w:hAnsi="Times New Roman"/>
          <w:color w:val="000000"/>
          <w:sz w:val="20"/>
        </w:rPr>
        <w:t>P1 was confirmed within the controlled validation program. Eligible replays reproduced the governed evidence identity and core Runtime Evidence Record under the declared version conditions. The result supports the proposition that Aperture can operate as a deterministic evidence instrument: the core record is a function of the qualified source, configuration, canonicalization, and governing versions rather than interface state or expected outcome.</w:t>
      </w:r>
    </w:p>
    <w:p w14:paraId="261A2FDA" w14:textId="77777777" w:rsidR="005B7C5B" w:rsidRDefault="005B7C5B" w:rsidP="005B7C5B">
      <w:pPr>
        <w:spacing w:after="112"/>
      </w:pPr>
      <w:r>
        <w:rPr>
          <w:rFonts w:ascii="Times New Roman" w:eastAsia="Times New Roman" w:hAnsi="Times New Roman"/>
          <w:color w:val="000000"/>
          <w:sz w:val="20"/>
        </w:rPr>
        <w:t>The reviewed public materials do not bind the number of replay repetitions, execution environments, field-by-field comparison ledger, numerical tolerances, or release hashes associated with the confirmation. No cross-browser or independent-implementation conclusion is therefore drawn.</w:t>
      </w:r>
    </w:p>
    <w:p w14:paraId="55AA8573" w14:textId="77777777" w:rsidR="005B7C5B" w:rsidRDefault="005B7C5B" w:rsidP="005B7C5B">
      <w:pPr>
        <w:pStyle w:val="Heading2"/>
      </w:pPr>
      <w:r>
        <w:rPr>
          <w:rFonts w:ascii="Arial" w:eastAsia="Times New Roman" w:hAnsi="Arial"/>
          <w:color w:val="000000"/>
          <w:sz w:val="24"/>
        </w:rPr>
        <w:t>Scientific discrimination</w:t>
      </w:r>
    </w:p>
    <w:p w14:paraId="09CE8305" w14:textId="77777777" w:rsidR="005B7C5B" w:rsidRDefault="005B7C5B" w:rsidP="005B7C5B">
      <w:pPr>
        <w:keepLines/>
        <w:spacing w:after="112"/>
      </w:pPr>
      <w:r>
        <w:rPr>
          <w:rFonts w:ascii="Times New Roman" w:eastAsia="Times New Roman" w:hAnsi="Times New Roman"/>
          <w:color w:val="000000"/>
          <w:sz w:val="20"/>
        </w:rPr>
        <w:t>P2 was confirmed within the declared controlled case set. The selected longitudinal measurement set separated specified transition cases from stable and negative controls better than the declared simple baselines. This result supports the scientific proposition that longitudinal structure contributes information beyond a simplified endpoint or univariate account under the tested conditions.</w:t>
      </w:r>
    </w:p>
    <w:p w14:paraId="5284FC0E" w14:textId="77777777" w:rsidR="005B7C5B" w:rsidRDefault="005B7C5B" w:rsidP="005B7C5B">
      <w:pPr>
        <w:spacing w:after="112"/>
      </w:pPr>
      <w:r>
        <w:rPr>
          <w:rFonts w:ascii="Times New Roman" w:eastAsia="Times New Roman" w:hAnsi="Times New Roman"/>
          <w:color w:val="000000"/>
          <w:sz w:val="20"/>
        </w:rPr>
        <w:t>The current public record does not include the exact case allocation, feature subset, baseline definitions, confusion matrices, effect estimates, uncertainty intervals, or protected evaluation split. The result is therefore reported as a confirmed directional discrimination finding, not as a calibrated performance claim.</w:t>
      </w:r>
    </w:p>
    <w:p w14:paraId="52C6897D" w14:textId="77777777" w:rsidR="005B7C5B" w:rsidRDefault="005B7C5B" w:rsidP="005B7C5B">
      <w:pPr>
        <w:pStyle w:val="Heading2"/>
      </w:pPr>
      <w:r>
        <w:rPr>
          <w:rFonts w:ascii="Arial" w:eastAsia="Times New Roman" w:hAnsi="Arial"/>
          <w:color w:val="000000"/>
          <w:sz w:val="24"/>
        </w:rPr>
        <w:t>Result ledger</w:t>
      </w:r>
    </w:p>
    <w:p w14:paraId="25956989" w14:textId="77777777" w:rsidR="005B7C5B" w:rsidRDefault="005B7C5B" w:rsidP="005B7C5B">
      <w:pPr>
        <w:keepNext/>
        <w:spacing w:before="140" w:after="80"/>
      </w:pPr>
      <w:r>
        <w:rPr>
          <w:rFonts w:ascii="Times New Roman" w:eastAsia="Times New Roman" w:hAnsi="Times New Roman"/>
          <w:i/>
          <w:color w:val="66717C"/>
          <w:sz w:val="18"/>
        </w:rPr>
        <w:t>Table 4. Current result and disclosure ledger.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1655"/>
        <w:gridCol w:w="2951"/>
        <w:gridCol w:w="3384"/>
      </w:tblGrid>
      <w:tr w:rsidR="005B7C5B" w14:paraId="0E2B3D10" w14:textId="77777777">
        <w:trPr>
          <w:cantSplit/>
          <w:tblHeader/>
          <w:jc w:val="center"/>
        </w:trPr>
        <w:tc>
          <w:tcPr>
            <w:tcW w:w="1728" w:type="dxa"/>
            <w:shd w:val="clear" w:color="auto" w:fill="17324D"/>
            <w:tcMar>
              <w:top w:w="70" w:type="dxa"/>
              <w:left w:w="100" w:type="dxa"/>
              <w:bottom w:w="70" w:type="dxa"/>
              <w:right w:w="100" w:type="dxa"/>
            </w:tcMar>
            <w:vAlign w:val="center"/>
          </w:tcPr>
          <w:p w14:paraId="6FFE8089" w14:textId="77777777" w:rsidR="005B7C5B" w:rsidRDefault="005B7C5B" w:rsidP="00F96983">
            <w:pPr>
              <w:spacing w:after="0" w:line="240" w:lineRule="auto"/>
            </w:pPr>
            <w:r>
              <w:rPr>
                <w:rFonts w:ascii="Arial" w:eastAsia="Times New Roman" w:hAnsi="Arial"/>
                <w:b/>
                <w:color w:val="FFFFFF"/>
                <w:sz w:val="17"/>
              </w:rPr>
              <w:t>Result</w:t>
            </w:r>
          </w:p>
        </w:tc>
        <w:tc>
          <w:tcPr>
            <w:tcW w:w="1655" w:type="dxa"/>
            <w:shd w:val="clear" w:color="auto" w:fill="17324D"/>
            <w:tcMar>
              <w:top w:w="70" w:type="dxa"/>
              <w:left w:w="100" w:type="dxa"/>
              <w:bottom w:w="70" w:type="dxa"/>
              <w:right w:w="100" w:type="dxa"/>
            </w:tcMar>
            <w:vAlign w:val="center"/>
          </w:tcPr>
          <w:p w14:paraId="11960AD3" w14:textId="77777777" w:rsidR="005B7C5B" w:rsidRDefault="005B7C5B" w:rsidP="00F96983">
            <w:pPr>
              <w:spacing w:after="0" w:line="240" w:lineRule="auto"/>
            </w:pPr>
            <w:r>
              <w:rPr>
                <w:rFonts w:ascii="Arial" w:eastAsia="Times New Roman" w:hAnsi="Arial"/>
                <w:b/>
                <w:color w:val="FFFFFF"/>
                <w:sz w:val="17"/>
              </w:rPr>
              <w:t>Reported status</w:t>
            </w:r>
          </w:p>
        </w:tc>
        <w:tc>
          <w:tcPr>
            <w:tcW w:w="2951" w:type="dxa"/>
            <w:shd w:val="clear" w:color="auto" w:fill="17324D"/>
            <w:tcMar>
              <w:top w:w="70" w:type="dxa"/>
              <w:left w:w="100" w:type="dxa"/>
              <w:bottom w:w="70" w:type="dxa"/>
              <w:right w:w="100" w:type="dxa"/>
            </w:tcMar>
            <w:vAlign w:val="center"/>
          </w:tcPr>
          <w:p w14:paraId="4429E84A" w14:textId="77777777" w:rsidR="005B7C5B" w:rsidRDefault="005B7C5B" w:rsidP="00F96983">
            <w:pPr>
              <w:spacing w:after="0" w:line="240" w:lineRule="auto"/>
            </w:pPr>
            <w:r>
              <w:rPr>
                <w:rFonts w:ascii="Arial" w:eastAsia="Times New Roman" w:hAnsi="Arial"/>
                <w:b/>
                <w:color w:val="FFFFFF"/>
                <w:sz w:val="17"/>
              </w:rPr>
              <w:t>What is supported</w:t>
            </w:r>
          </w:p>
        </w:tc>
        <w:tc>
          <w:tcPr>
            <w:tcW w:w="3384" w:type="dxa"/>
            <w:shd w:val="clear" w:color="auto" w:fill="17324D"/>
            <w:tcMar>
              <w:top w:w="70" w:type="dxa"/>
              <w:left w:w="100" w:type="dxa"/>
              <w:bottom w:w="70" w:type="dxa"/>
              <w:right w:w="100" w:type="dxa"/>
            </w:tcMar>
            <w:vAlign w:val="center"/>
          </w:tcPr>
          <w:p w14:paraId="16C13C19" w14:textId="77777777" w:rsidR="005B7C5B" w:rsidRDefault="005B7C5B" w:rsidP="00F96983">
            <w:pPr>
              <w:spacing w:after="0" w:line="240" w:lineRule="auto"/>
            </w:pPr>
            <w:r>
              <w:rPr>
                <w:rFonts w:ascii="Arial" w:eastAsia="Times New Roman" w:hAnsi="Arial"/>
                <w:b/>
                <w:color w:val="FFFFFF"/>
                <w:sz w:val="17"/>
              </w:rPr>
              <w:t>What is not yet publicly quantified</w:t>
            </w:r>
          </w:p>
        </w:tc>
      </w:tr>
      <w:tr w:rsidR="005B7C5B" w14:paraId="698AA943" w14:textId="77777777">
        <w:trPr>
          <w:cantSplit/>
          <w:jc w:val="center"/>
        </w:trPr>
        <w:tc>
          <w:tcPr>
            <w:tcW w:w="1728" w:type="dxa"/>
            <w:shd w:val="clear" w:color="auto" w:fill="FFFFFF"/>
            <w:tcMar>
              <w:top w:w="70" w:type="dxa"/>
              <w:left w:w="100" w:type="dxa"/>
              <w:bottom w:w="70" w:type="dxa"/>
              <w:right w:w="100" w:type="dxa"/>
            </w:tcMar>
            <w:vAlign w:val="center"/>
          </w:tcPr>
          <w:p w14:paraId="2BD24836" w14:textId="77777777" w:rsidR="005B7C5B" w:rsidRDefault="005B7C5B" w:rsidP="00F96983">
            <w:pPr>
              <w:spacing w:after="0" w:line="240" w:lineRule="auto"/>
            </w:pPr>
            <w:r>
              <w:rPr>
                <w:rFonts w:ascii="Times New Roman" w:eastAsia="Times New Roman" w:hAnsi="Times New Roman"/>
                <w:color w:val="000000"/>
                <w:sz w:val="17"/>
              </w:rPr>
              <w:t>Deterministic evidence reproduction</w:t>
            </w:r>
          </w:p>
        </w:tc>
        <w:tc>
          <w:tcPr>
            <w:tcW w:w="1655" w:type="dxa"/>
            <w:shd w:val="clear" w:color="auto" w:fill="FFFFFF"/>
            <w:tcMar>
              <w:top w:w="70" w:type="dxa"/>
              <w:left w:w="100" w:type="dxa"/>
              <w:bottom w:w="70" w:type="dxa"/>
              <w:right w:w="100" w:type="dxa"/>
            </w:tcMar>
            <w:vAlign w:val="center"/>
          </w:tcPr>
          <w:p w14:paraId="3D28F857" w14:textId="77777777" w:rsidR="005B7C5B" w:rsidRDefault="005B7C5B" w:rsidP="00F96983">
            <w:pPr>
              <w:spacing w:after="0" w:line="240" w:lineRule="auto"/>
            </w:pPr>
            <w:r>
              <w:rPr>
                <w:rFonts w:ascii="Times New Roman" w:eastAsia="Times New Roman" w:hAnsi="Times New Roman"/>
                <w:color w:val="000000"/>
                <w:sz w:val="17"/>
              </w:rPr>
              <w:t>Confirmed in controlled validation</w:t>
            </w:r>
          </w:p>
        </w:tc>
        <w:tc>
          <w:tcPr>
            <w:tcW w:w="2951" w:type="dxa"/>
            <w:shd w:val="clear" w:color="auto" w:fill="FFFFFF"/>
            <w:tcMar>
              <w:top w:w="70" w:type="dxa"/>
              <w:left w:w="100" w:type="dxa"/>
              <w:bottom w:w="70" w:type="dxa"/>
              <w:right w:w="100" w:type="dxa"/>
            </w:tcMar>
            <w:vAlign w:val="center"/>
          </w:tcPr>
          <w:p w14:paraId="67CBE856" w14:textId="77777777" w:rsidR="005B7C5B" w:rsidRDefault="005B7C5B" w:rsidP="00F96983">
            <w:pPr>
              <w:spacing w:after="0" w:line="240" w:lineRule="auto"/>
            </w:pPr>
            <w:r>
              <w:rPr>
                <w:rFonts w:ascii="Times New Roman" w:eastAsia="Times New Roman" w:hAnsi="Times New Roman"/>
                <w:color w:val="000000"/>
                <w:sz w:val="17"/>
              </w:rPr>
              <w:t>Same eligible source and versions reproduce the governed core evidence record</w:t>
            </w:r>
          </w:p>
        </w:tc>
        <w:tc>
          <w:tcPr>
            <w:tcW w:w="3384" w:type="dxa"/>
            <w:shd w:val="clear" w:color="auto" w:fill="FFFFFF"/>
            <w:tcMar>
              <w:top w:w="70" w:type="dxa"/>
              <w:left w:w="100" w:type="dxa"/>
              <w:bottom w:w="70" w:type="dxa"/>
              <w:right w:w="100" w:type="dxa"/>
            </w:tcMar>
            <w:vAlign w:val="center"/>
          </w:tcPr>
          <w:p w14:paraId="149D1711" w14:textId="77777777" w:rsidR="005B7C5B" w:rsidRDefault="005B7C5B" w:rsidP="00F96983">
            <w:pPr>
              <w:spacing w:after="0" w:line="240" w:lineRule="auto"/>
            </w:pPr>
            <w:r>
              <w:rPr>
                <w:rFonts w:ascii="Times New Roman" w:eastAsia="Times New Roman" w:hAnsi="Times New Roman"/>
                <w:color w:val="000000"/>
                <w:sz w:val="17"/>
              </w:rPr>
              <w:t>Repeat count, environment matrix, field-level mismatch table, hashes</w:t>
            </w:r>
          </w:p>
        </w:tc>
      </w:tr>
      <w:tr w:rsidR="005B7C5B" w14:paraId="06A6BC85" w14:textId="77777777">
        <w:trPr>
          <w:cantSplit/>
          <w:jc w:val="center"/>
        </w:trPr>
        <w:tc>
          <w:tcPr>
            <w:tcW w:w="1728" w:type="dxa"/>
            <w:shd w:val="clear" w:color="auto" w:fill="F6F9FB"/>
            <w:tcMar>
              <w:top w:w="70" w:type="dxa"/>
              <w:left w:w="100" w:type="dxa"/>
              <w:bottom w:w="70" w:type="dxa"/>
              <w:right w:w="100" w:type="dxa"/>
            </w:tcMar>
            <w:vAlign w:val="center"/>
          </w:tcPr>
          <w:p w14:paraId="078C5120" w14:textId="77777777" w:rsidR="005B7C5B" w:rsidRDefault="005B7C5B" w:rsidP="00F96983">
            <w:pPr>
              <w:spacing w:after="0" w:line="240" w:lineRule="auto"/>
            </w:pPr>
            <w:r>
              <w:rPr>
                <w:rFonts w:ascii="Times New Roman" w:eastAsia="Times New Roman" w:hAnsi="Times New Roman"/>
                <w:color w:val="000000"/>
                <w:sz w:val="17"/>
              </w:rPr>
              <w:t>Transition-versus-control discrimination</w:t>
            </w:r>
          </w:p>
        </w:tc>
        <w:tc>
          <w:tcPr>
            <w:tcW w:w="1655" w:type="dxa"/>
            <w:shd w:val="clear" w:color="auto" w:fill="F6F9FB"/>
            <w:tcMar>
              <w:top w:w="70" w:type="dxa"/>
              <w:left w:w="100" w:type="dxa"/>
              <w:bottom w:w="70" w:type="dxa"/>
              <w:right w:w="100" w:type="dxa"/>
            </w:tcMar>
            <w:vAlign w:val="center"/>
          </w:tcPr>
          <w:p w14:paraId="2D10EDAD" w14:textId="77777777" w:rsidR="005B7C5B" w:rsidRDefault="005B7C5B" w:rsidP="00F96983">
            <w:pPr>
              <w:spacing w:after="0" w:line="240" w:lineRule="auto"/>
            </w:pPr>
            <w:r>
              <w:rPr>
                <w:rFonts w:ascii="Times New Roman" w:eastAsia="Times New Roman" w:hAnsi="Times New Roman"/>
                <w:color w:val="000000"/>
                <w:sz w:val="17"/>
              </w:rPr>
              <w:t>Confirmed in controlled validation</w:t>
            </w:r>
          </w:p>
        </w:tc>
        <w:tc>
          <w:tcPr>
            <w:tcW w:w="2951" w:type="dxa"/>
            <w:shd w:val="clear" w:color="auto" w:fill="F6F9FB"/>
            <w:tcMar>
              <w:top w:w="70" w:type="dxa"/>
              <w:left w:w="100" w:type="dxa"/>
              <w:bottom w:w="70" w:type="dxa"/>
              <w:right w:w="100" w:type="dxa"/>
            </w:tcMar>
            <w:vAlign w:val="center"/>
          </w:tcPr>
          <w:p w14:paraId="7D7AD066" w14:textId="77777777" w:rsidR="005B7C5B" w:rsidRDefault="005B7C5B" w:rsidP="00F96983">
            <w:pPr>
              <w:spacing w:after="0" w:line="240" w:lineRule="auto"/>
            </w:pPr>
            <w:r>
              <w:rPr>
                <w:rFonts w:ascii="Times New Roman" w:eastAsia="Times New Roman" w:hAnsi="Times New Roman"/>
                <w:color w:val="000000"/>
                <w:sz w:val="17"/>
              </w:rPr>
              <w:t>Selected longitudinal measurements outperform declared simple baselines on specified controlled cases</w:t>
            </w:r>
          </w:p>
        </w:tc>
        <w:tc>
          <w:tcPr>
            <w:tcW w:w="3384" w:type="dxa"/>
            <w:shd w:val="clear" w:color="auto" w:fill="F6F9FB"/>
            <w:tcMar>
              <w:top w:w="70" w:type="dxa"/>
              <w:left w:w="100" w:type="dxa"/>
              <w:bottom w:w="70" w:type="dxa"/>
              <w:right w:w="100" w:type="dxa"/>
            </w:tcMar>
            <w:vAlign w:val="center"/>
          </w:tcPr>
          <w:p w14:paraId="6B99CEFD" w14:textId="77777777" w:rsidR="005B7C5B" w:rsidRDefault="005B7C5B" w:rsidP="00F96983">
            <w:pPr>
              <w:spacing w:after="0" w:line="240" w:lineRule="auto"/>
            </w:pPr>
            <w:r>
              <w:rPr>
                <w:rFonts w:ascii="Times New Roman" w:eastAsia="Times New Roman" w:hAnsi="Times New Roman"/>
                <w:color w:val="000000"/>
                <w:sz w:val="17"/>
              </w:rPr>
              <w:t>Baseline identities, numerical margin, confidence interval, effect size</w:t>
            </w:r>
          </w:p>
        </w:tc>
      </w:tr>
      <w:tr w:rsidR="005B7C5B" w14:paraId="5EFB67B6" w14:textId="77777777">
        <w:trPr>
          <w:cantSplit/>
          <w:jc w:val="center"/>
        </w:trPr>
        <w:tc>
          <w:tcPr>
            <w:tcW w:w="1728" w:type="dxa"/>
            <w:shd w:val="clear" w:color="auto" w:fill="FFFFFF"/>
            <w:tcMar>
              <w:top w:w="70" w:type="dxa"/>
              <w:left w:w="100" w:type="dxa"/>
              <w:bottom w:w="70" w:type="dxa"/>
              <w:right w:w="100" w:type="dxa"/>
            </w:tcMar>
            <w:vAlign w:val="center"/>
          </w:tcPr>
          <w:p w14:paraId="459AF07D" w14:textId="77777777" w:rsidR="005B7C5B" w:rsidRDefault="005B7C5B" w:rsidP="00F96983">
            <w:pPr>
              <w:spacing w:after="0" w:line="240" w:lineRule="auto"/>
            </w:pPr>
            <w:r>
              <w:rPr>
                <w:rFonts w:ascii="Times New Roman" w:eastAsia="Times New Roman" w:hAnsi="Times New Roman"/>
                <w:color w:val="000000"/>
                <w:sz w:val="17"/>
              </w:rPr>
              <w:t>Stable and negative-control restraint</w:t>
            </w:r>
          </w:p>
        </w:tc>
        <w:tc>
          <w:tcPr>
            <w:tcW w:w="1655" w:type="dxa"/>
            <w:shd w:val="clear" w:color="auto" w:fill="FFFFFF"/>
            <w:tcMar>
              <w:top w:w="70" w:type="dxa"/>
              <w:left w:w="100" w:type="dxa"/>
              <w:bottom w:w="70" w:type="dxa"/>
              <w:right w:w="100" w:type="dxa"/>
            </w:tcMar>
            <w:vAlign w:val="center"/>
          </w:tcPr>
          <w:p w14:paraId="6408D1C3" w14:textId="77777777" w:rsidR="005B7C5B" w:rsidRDefault="005B7C5B" w:rsidP="00F96983">
            <w:pPr>
              <w:spacing w:after="0" w:line="240" w:lineRule="auto"/>
            </w:pPr>
            <w:r>
              <w:rPr>
                <w:rFonts w:ascii="Times New Roman" w:eastAsia="Times New Roman" w:hAnsi="Times New Roman"/>
                <w:color w:val="000000"/>
                <w:sz w:val="17"/>
              </w:rPr>
              <w:t>Included in the confirmed discrimination proposition</w:t>
            </w:r>
          </w:p>
        </w:tc>
        <w:tc>
          <w:tcPr>
            <w:tcW w:w="2951" w:type="dxa"/>
            <w:shd w:val="clear" w:color="auto" w:fill="FFFFFF"/>
            <w:tcMar>
              <w:top w:w="70" w:type="dxa"/>
              <w:left w:w="100" w:type="dxa"/>
              <w:bottom w:w="70" w:type="dxa"/>
              <w:right w:w="100" w:type="dxa"/>
            </w:tcMar>
            <w:vAlign w:val="center"/>
          </w:tcPr>
          <w:p w14:paraId="41640453" w14:textId="77777777" w:rsidR="005B7C5B" w:rsidRDefault="005B7C5B" w:rsidP="00F96983">
            <w:pPr>
              <w:spacing w:after="0" w:line="240" w:lineRule="auto"/>
            </w:pPr>
            <w:r>
              <w:rPr>
                <w:rFonts w:ascii="Times New Roman" w:eastAsia="Times New Roman" w:hAnsi="Times New Roman"/>
                <w:color w:val="000000"/>
                <w:sz w:val="17"/>
              </w:rPr>
              <w:t>Target transitions are distinguishable from stable and negative controls</w:t>
            </w:r>
          </w:p>
        </w:tc>
        <w:tc>
          <w:tcPr>
            <w:tcW w:w="3384" w:type="dxa"/>
            <w:shd w:val="clear" w:color="auto" w:fill="FFFFFF"/>
            <w:tcMar>
              <w:top w:w="70" w:type="dxa"/>
              <w:left w:w="100" w:type="dxa"/>
              <w:bottom w:w="70" w:type="dxa"/>
              <w:right w:w="100" w:type="dxa"/>
            </w:tcMar>
            <w:vAlign w:val="center"/>
          </w:tcPr>
          <w:p w14:paraId="3506BFDE" w14:textId="77777777" w:rsidR="005B7C5B" w:rsidRDefault="005B7C5B" w:rsidP="00F96983">
            <w:pPr>
              <w:spacing w:after="0" w:line="240" w:lineRule="auto"/>
            </w:pPr>
            <w:r>
              <w:rPr>
                <w:rFonts w:ascii="Times New Roman" w:eastAsia="Times New Roman" w:hAnsi="Times New Roman"/>
                <w:color w:val="000000"/>
                <w:sz w:val="17"/>
              </w:rPr>
              <w:t>False-positive rate and control-family stratification</w:t>
            </w:r>
          </w:p>
        </w:tc>
      </w:tr>
      <w:tr w:rsidR="005B7C5B" w14:paraId="642003AC" w14:textId="77777777">
        <w:trPr>
          <w:cantSplit/>
          <w:jc w:val="center"/>
        </w:trPr>
        <w:tc>
          <w:tcPr>
            <w:tcW w:w="1728" w:type="dxa"/>
            <w:shd w:val="clear" w:color="auto" w:fill="F6F9FB"/>
            <w:tcMar>
              <w:top w:w="70" w:type="dxa"/>
              <w:left w:w="100" w:type="dxa"/>
              <w:bottom w:w="70" w:type="dxa"/>
              <w:right w:w="100" w:type="dxa"/>
            </w:tcMar>
            <w:vAlign w:val="center"/>
          </w:tcPr>
          <w:p w14:paraId="6DC69691" w14:textId="77777777" w:rsidR="005B7C5B" w:rsidRDefault="005B7C5B" w:rsidP="00F96983">
            <w:pPr>
              <w:spacing w:after="0" w:line="240" w:lineRule="auto"/>
            </w:pPr>
            <w:r>
              <w:rPr>
                <w:rFonts w:ascii="Times New Roman" w:eastAsia="Times New Roman" w:hAnsi="Times New Roman"/>
                <w:color w:val="000000"/>
                <w:sz w:val="17"/>
              </w:rPr>
              <w:t>Missing-evidence discipline</w:t>
            </w:r>
          </w:p>
        </w:tc>
        <w:tc>
          <w:tcPr>
            <w:tcW w:w="1655" w:type="dxa"/>
            <w:shd w:val="clear" w:color="auto" w:fill="F6F9FB"/>
            <w:tcMar>
              <w:top w:w="70" w:type="dxa"/>
              <w:left w:w="100" w:type="dxa"/>
              <w:bottom w:w="70" w:type="dxa"/>
              <w:right w:w="100" w:type="dxa"/>
            </w:tcMar>
            <w:vAlign w:val="center"/>
          </w:tcPr>
          <w:p w14:paraId="768B36A1" w14:textId="77777777" w:rsidR="005B7C5B" w:rsidRDefault="005B7C5B" w:rsidP="00F96983">
            <w:pPr>
              <w:spacing w:after="0" w:line="240" w:lineRule="auto"/>
            </w:pPr>
            <w:r>
              <w:rPr>
                <w:rFonts w:ascii="Times New Roman" w:eastAsia="Times New Roman" w:hAnsi="Times New Roman"/>
                <w:color w:val="000000"/>
                <w:sz w:val="17"/>
              </w:rPr>
              <w:t>Architecturally required and testable</w:t>
            </w:r>
          </w:p>
        </w:tc>
        <w:tc>
          <w:tcPr>
            <w:tcW w:w="2951" w:type="dxa"/>
            <w:shd w:val="clear" w:color="auto" w:fill="F6F9FB"/>
            <w:tcMar>
              <w:top w:w="70" w:type="dxa"/>
              <w:left w:w="100" w:type="dxa"/>
              <w:bottom w:w="70" w:type="dxa"/>
              <w:right w:w="100" w:type="dxa"/>
            </w:tcMar>
            <w:vAlign w:val="center"/>
          </w:tcPr>
          <w:p w14:paraId="55BBA55D" w14:textId="77777777" w:rsidR="005B7C5B" w:rsidRDefault="005B7C5B" w:rsidP="00F96983">
            <w:pPr>
              <w:spacing w:after="0" w:line="240" w:lineRule="auto"/>
            </w:pPr>
            <w:r>
              <w:rPr>
                <w:rFonts w:ascii="Times New Roman" w:eastAsia="Times New Roman" w:hAnsi="Times New Roman"/>
                <w:color w:val="000000"/>
                <w:sz w:val="17"/>
              </w:rPr>
              <w:t>Missingness is preserved as a first-class evidence state</w:t>
            </w:r>
          </w:p>
        </w:tc>
        <w:tc>
          <w:tcPr>
            <w:tcW w:w="3384" w:type="dxa"/>
            <w:shd w:val="clear" w:color="auto" w:fill="F6F9FB"/>
            <w:tcMar>
              <w:top w:w="70" w:type="dxa"/>
              <w:left w:w="100" w:type="dxa"/>
              <w:bottom w:w="70" w:type="dxa"/>
              <w:right w:w="100" w:type="dxa"/>
            </w:tcMar>
            <w:vAlign w:val="center"/>
          </w:tcPr>
          <w:p w14:paraId="1AC3C9C3" w14:textId="77777777" w:rsidR="005B7C5B" w:rsidRDefault="005B7C5B" w:rsidP="00F96983">
            <w:pPr>
              <w:spacing w:after="0" w:line="240" w:lineRule="auto"/>
            </w:pPr>
            <w:r>
              <w:rPr>
                <w:rFonts w:ascii="Times New Roman" w:eastAsia="Times New Roman" w:hAnsi="Times New Roman"/>
                <w:color w:val="000000"/>
                <w:sz w:val="17"/>
              </w:rPr>
              <w:t>Case-level conformance table</w:t>
            </w:r>
          </w:p>
        </w:tc>
      </w:tr>
      <w:tr w:rsidR="005B7C5B" w14:paraId="6411E112" w14:textId="77777777">
        <w:trPr>
          <w:cantSplit/>
          <w:jc w:val="center"/>
        </w:trPr>
        <w:tc>
          <w:tcPr>
            <w:tcW w:w="1728" w:type="dxa"/>
            <w:shd w:val="clear" w:color="auto" w:fill="FFFFFF"/>
            <w:tcMar>
              <w:top w:w="70" w:type="dxa"/>
              <w:left w:w="100" w:type="dxa"/>
              <w:bottom w:w="70" w:type="dxa"/>
              <w:right w:w="100" w:type="dxa"/>
            </w:tcMar>
            <w:vAlign w:val="center"/>
          </w:tcPr>
          <w:p w14:paraId="3B39C26A" w14:textId="77777777" w:rsidR="005B7C5B" w:rsidRDefault="005B7C5B" w:rsidP="00F96983">
            <w:pPr>
              <w:spacing w:after="0" w:line="240" w:lineRule="auto"/>
            </w:pPr>
            <w:r>
              <w:rPr>
                <w:rFonts w:ascii="Times New Roman" w:eastAsia="Times New Roman" w:hAnsi="Times New Roman"/>
                <w:color w:val="000000"/>
                <w:sz w:val="17"/>
              </w:rPr>
              <w:t>Temporal leakage resistance</w:t>
            </w:r>
          </w:p>
        </w:tc>
        <w:tc>
          <w:tcPr>
            <w:tcW w:w="1655" w:type="dxa"/>
            <w:shd w:val="clear" w:color="auto" w:fill="FFFFFF"/>
            <w:tcMar>
              <w:top w:w="70" w:type="dxa"/>
              <w:left w:w="100" w:type="dxa"/>
              <w:bottom w:w="70" w:type="dxa"/>
              <w:right w:w="100" w:type="dxa"/>
            </w:tcMar>
            <w:vAlign w:val="center"/>
          </w:tcPr>
          <w:p w14:paraId="31E429AF" w14:textId="77777777" w:rsidR="005B7C5B" w:rsidRDefault="005B7C5B" w:rsidP="00F96983">
            <w:pPr>
              <w:spacing w:after="0" w:line="240" w:lineRule="auto"/>
            </w:pPr>
            <w:r>
              <w:rPr>
                <w:rFonts w:ascii="Times New Roman" w:eastAsia="Times New Roman" w:hAnsi="Times New Roman"/>
                <w:color w:val="000000"/>
                <w:sz w:val="17"/>
              </w:rPr>
              <w:t>Protocol defined</w:t>
            </w:r>
          </w:p>
        </w:tc>
        <w:tc>
          <w:tcPr>
            <w:tcW w:w="2951" w:type="dxa"/>
            <w:shd w:val="clear" w:color="auto" w:fill="FFFFFF"/>
            <w:tcMar>
              <w:top w:w="70" w:type="dxa"/>
              <w:left w:w="100" w:type="dxa"/>
              <w:bottom w:w="70" w:type="dxa"/>
              <w:right w:w="100" w:type="dxa"/>
            </w:tcMar>
            <w:vAlign w:val="center"/>
          </w:tcPr>
          <w:p w14:paraId="191FFBDD" w14:textId="77777777" w:rsidR="005B7C5B" w:rsidRDefault="005B7C5B" w:rsidP="00F96983">
            <w:pPr>
              <w:spacing w:after="0" w:line="240" w:lineRule="auto"/>
            </w:pPr>
            <w:r>
              <w:rPr>
                <w:rFonts w:ascii="Times New Roman" w:eastAsia="Times New Roman" w:hAnsi="Times New Roman"/>
                <w:color w:val="000000"/>
                <w:sz w:val="17"/>
              </w:rPr>
              <w:t>Prospective claims require eligible prefix evidence</w:t>
            </w:r>
          </w:p>
        </w:tc>
        <w:tc>
          <w:tcPr>
            <w:tcW w:w="3384" w:type="dxa"/>
            <w:shd w:val="clear" w:color="auto" w:fill="FFFFFF"/>
            <w:tcMar>
              <w:top w:w="70" w:type="dxa"/>
              <w:left w:w="100" w:type="dxa"/>
              <w:bottom w:w="70" w:type="dxa"/>
              <w:right w:w="100" w:type="dxa"/>
            </w:tcMar>
            <w:vAlign w:val="center"/>
          </w:tcPr>
          <w:p w14:paraId="7B0E063A" w14:textId="77777777" w:rsidR="005B7C5B" w:rsidRDefault="005B7C5B" w:rsidP="00F96983">
            <w:pPr>
              <w:spacing w:after="0" w:line="240" w:lineRule="auto"/>
            </w:pPr>
            <w:r>
              <w:rPr>
                <w:rFonts w:ascii="Times New Roman" w:eastAsia="Times New Roman" w:hAnsi="Times New Roman"/>
                <w:color w:val="000000"/>
                <w:sz w:val="17"/>
              </w:rPr>
              <w:t>Completed leakage audit results</w:t>
            </w:r>
          </w:p>
        </w:tc>
      </w:tr>
      <w:tr w:rsidR="005B7C5B" w14:paraId="79AA2DEE" w14:textId="77777777">
        <w:trPr>
          <w:cantSplit/>
          <w:jc w:val="center"/>
        </w:trPr>
        <w:tc>
          <w:tcPr>
            <w:tcW w:w="1728" w:type="dxa"/>
            <w:shd w:val="clear" w:color="auto" w:fill="F6F9FB"/>
            <w:tcMar>
              <w:top w:w="70" w:type="dxa"/>
              <w:left w:w="100" w:type="dxa"/>
              <w:bottom w:w="70" w:type="dxa"/>
              <w:right w:w="100" w:type="dxa"/>
            </w:tcMar>
            <w:vAlign w:val="center"/>
          </w:tcPr>
          <w:p w14:paraId="1CF44F13" w14:textId="77777777" w:rsidR="005B7C5B" w:rsidRDefault="005B7C5B" w:rsidP="00F96983">
            <w:pPr>
              <w:spacing w:after="0" w:line="240" w:lineRule="auto"/>
            </w:pPr>
            <w:r>
              <w:rPr>
                <w:rFonts w:ascii="Times New Roman" w:eastAsia="Times New Roman" w:hAnsi="Times New Roman"/>
                <w:color w:val="000000"/>
                <w:sz w:val="17"/>
              </w:rPr>
              <w:t>Ablation and perturbation</w:t>
            </w:r>
          </w:p>
        </w:tc>
        <w:tc>
          <w:tcPr>
            <w:tcW w:w="1655" w:type="dxa"/>
            <w:shd w:val="clear" w:color="auto" w:fill="F6F9FB"/>
            <w:tcMar>
              <w:top w:w="70" w:type="dxa"/>
              <w:left w:w="100" w:type="dxa"/>
              <w:bottom w:w="70" w:type="dxa"/>
              <w:right w:w="100" w:type="dxa"/>
            </w:tcMar>
            <w:vAlign w:val="center"/>
          </w:tcPr>
          <w:p w14:paraId="638A5614" w14:textId="77777777" w:rsidR="005B7C5B" w:rsidRDefault="005B7C5B" w:rsidP="00F96983">
            <w:pPr>
              <w:spacing w:after="0" w:line="240" w:lineRule="auto"/>
            </w:pPr>
            <w:r>
              <w:rPr>
                <w:rFonts w:ascii="Times New Roman" w:eastAsia="Times New Roman" w:hAnsi="Times New Roman"/>
                <w:color w:val="000000"/>
                <w:sz w:val="17"/>
              </w:rPr>
              <w:t>Protocol defined</w:t>
            </w:r>
          </w:p>
        </w:tc>
        <w:tc>
          <w:tcPr>
            <w:tcW w:w="2951" w:type="dxa"/>
            <w:shd w:val="clear" w:color="auto" w:fill="F6F9FB"/>
            <w:tcMar>
              <w:top w:w="70" w:type="dxa"/>
              <w:left w:w="100" w:type="dxa"/>
              <w:bottom w:w="70" w:type="dxa"/>
              <w:right w:w="100" w:type="dxa"/>
            </w:tcMar>
            <w:vAlign w:val="center"/>
          </w:tcPr>
          <w:p w14:paraId="4D1536B9" w14:textId="77777777" w:rsidR="005B7C5B" w:rsidRDefault="005B7C5B" w:rsidP="00F96983">
            <w:pPr>
              <w:spacing w:after="0" w:line="240" w:lineRule="auto"/>
            </w:pPr>
            <w:r>
              <w:rPr>
                <w:rFonts w:ascii="Times New Roman" w:eastAsia="Times New Roman" w:hAnsi="Times New Roman"/>
                <w:color w:val="000000"/>
                <w:sz w:val="17"/>
              </w:rPr>
              <w:t>Component contribution can be tested</w:t>
            </w:r>
          </w:p>
        </w:tc>
        <w:tc>
          <w:tcPr>
            <w:tcW w:w="3384" w:type="dxa"/>
            <w:shd w:val="clear" w:color="auto" w:fill="F6F9FB"/>
            <w:tcMar>
              <w:top w:w="70" w:type="dxa"/>
              <w:left w:w="100" w:type="dxa"/>
              <w:bottom w:w="70" w:type="dxa"/>
              <w:right w:w="100" w:type="dxa"/>
            </w:tcMar>
            <w:vAlign w:val="center"/>
          </w:tcPr>
          <w:p w14:paraId="41E141E8" w14:textId="77777777" w:rsidR="005B7C5B" w:rsidRDefault="005B7C5B" w:rsidP="00F96983">
            <w:pPr>
              <w:spacing w:after="0" w:line="240" w:lineRule="auto"/>
            </w:pPr>
            <w:r>
              <w:rPr>
                <w:rFonts w:ascii="Times New Roman" w:eastAsia="Times New Roman" w:hAnsi="Times New Roman"/>
                <w:color w:val="000000"/>
                <w:sz w:val="17"/>
              </w:rPr>
              <w:t>Numerical ablation and perturbation results</w:t>
            </w:r>
          </w:p>
        </w:tc>
      </w:tr>
      <w:tr w:rsidR="005B7C5B" w14:paraId="51C1D551" w14:textId="77777777">
        <w:trPr>
          <w:cantSplit/>
          <w:jc w:val="center"/>
        </w:trPr>
        <w:tc>
          <w:tcPr>
            <w:tcW w:w="1728" w:type="dxa"/>
            <w:shd w:val="clear" w:color="auto" w:fill="FFFFFF"/>
            <w:tcMar>
              <w:top w:w="70" w:type="dxa"/>
              <w:left w:w="100" w:type="dxa"/>
              <w:bottom w:w="70" w:type="dxa"/>
              <w:right w:w="100" w:type="dxa"/>
            </w:tcMar>
            <w:vAlign w:val="center"/>
          </w:tcPr>
          <w:p w14:paraId="10B0FCB3" w14:textId="77777777" w:rsidR="005B7C5B" w:rsidRDefault="005B7C5B" w:rsidP="00F96983">
            <w:pPr>
              <w:spacing w:after="0" w:line="240" w:lineRule="auto"/>
            </w:pPr>
            <w:r>
              <w:rPr>
                <w:rFonts w:ascii="Times New Roman" w:eastAsia="Times New Roman" w:hAnsi="Times New Roman"/>
                <w:color w:val="000000"/>
                <w:sz w:val="17"/>
              </w:rPr>
              <w:t>Cross-source-family transport</w:t>
            </w:r>
          </w:p>
        </w:tc>
        <w:tc>
          <w:tcPr>
            <w:tcW w:w="1655" w:type="dxa"/>
            <w:shd w:val="clear" w:color="auto" w:fill="FFFFFF"/>
            <w:tcMar>
              <w:top w:w="70" w:type="dxa"/>
              <w:left w:w="100" w:type="dxa"/>
              <w:bottom w:w="70" w:type="dxa"/>
              <w:right w:w="100" w:type="dxa"/>
            </w:tcMar>
            <w:vAlign w:val="center"/>
          </w:tcPr>
          <w:p w14:paraId="70DB0E9B" w14:textId="77777777" w:rsidR="005B7C5B" w:rsidRDefault="005B7C5B" w:rsidP="00F96983">
            <w:pPr>
              <w:spacing w:after="0" w:line="240" w:lineRule="auto"/>
            </w:pPr>
            <w:r>
              <w:rPr>
                <w:rFonts w:ascii="Times New Roman" w:eastAsia="Times New Roman" w:hAnsi="Times New Roman"/>
                <w:color w:val="000000"/>
                <w:sz w:val="17"/>
              </w:rPr>
              <w:t>Program scope identified</w:t>
            </w:r>
          </w:p>
        </w:tc>
        <w:tc>
          <w:tcPr>
            <w:tcW w:w="2951" w:type="dxa"/>
            <w:shd w:val="clear" w:color="auto" w:fill="FFFFFF"/>
            <w:tcMar>
              <w:top w:w="70" w:type="dxa"/>
              <w:left w:w="100" w:type="dxa"/>
              <w:bottom w:w="70" w:type="dxa"/>
              <w:right w:w="100" w:type="dxa"/>
            </w:tcMar>
            <w:vAlign w:val="center"/>
          </w:tcPr>
          <w:p w14:paraId="1ECC3743" w14:textId="77777777" w:rsidR="005B7C5B" w:rsidRDefault="005B7C5B" w:rsidP="00F96983">
            <w:pPr>
              <w:spacing w:after="0" w:line="240" w:lineRule="auto"/>
            </w:pPr>
            <w:r>
              <w:rPr>
                <w:rFonts w:ascii="Times New Roman" w:eastAsia="Times New Roman" w:hAnsi="Times New Roman"/>
                <w:color w:val="000000"/>
                <w:sz w:val="17"/>
              </w:rPr>
              <w:t>Multiple source families are supported by the architecture</w:t>
            </w:r>
          </w:p>
        </w:tc>
        <w:tc>
          <w:tcPr>
            <w:tcW w:w="3384" w:type="dxa"/>
            <w:shd w:val="clear" w:color="auto" w:fill="FFFFFF"/>
            <w:tcMar>
              <w:top w:w="70" w:type="dxa"/>
              <w:left w:w="100" w:type="dxa"/>
              <w:bottom w:w="70" w:type="dxa"/>
              <w:right w:w="100" w:type="dxa"/>
            </w:tcMar>
            <w:vAlign w:val="center"/>
          </w:tcPr>
          <w:p w14:paraId="1B70CEFF" w14:textId="77777777" w:rsidR="005B7C5B" w:rsidRDefault="005B7C5B" w:rsidP="00F96983">
            <w:pPr>
              <w:spacing w:after="0" w:line="240" w:lineRule="auto"/>
            </w:pPr>
            <w:r>
              <w:rPr>
                <w:rFonts w:ascii="Times New Roman" w:eastAsia="Times New Roman" w:hAnsi="Times New Roman"/>
                <w:color w:val="000000"/>
                <w:sz w:val="17"/>
              </w:rPr>
              <w:t>Stratified generalization estimates</w:t>
            </w:r>
          </w:p>
        </w:tc>
      </w:tr>
      <w:tr w:rsidR="005B7C5B" w14:paraId="50921260" w14:textId="77777777">
        <w:trPr>
          <w:cantSplit/>
          <w:jc w:val="center"/>
        </w:trPr>
        <w:tc>
          <w:tcPr>
            <w:tcW w:w="1728" w:type="dxa"/>
            <w:shd w:val="clear" w:color="auto" w:fill="F6F9FB"/>
            <w:tcMar>
              <w:top w:w="70" w:type="dxa"/>
              <w:left w:w="100" w:type="dxa"/>
              <w:bottom w:w="70" w:type="dxa"/>
              <w:right w:w="100" w:type="dxa"/>
            </w:tcMar>
            <w:vAlign w:val="center"/>
          </w:tcPr>
          <w:p w14:paraId="1421659C" w14:textId="77777777" w:rsidR="005B7C5B" w:rsidRDefault="005B7C5B" w:rsidP="00F96983">
            <w:pPr>
              <w:spacing w:after="0" w:line="240" w:lineRule="auto"/>
            </w:pPr>
            <w:r>
              <w:rPr>
                <w:rFonts w:ascii="Times New Roman" w:eastAsia="Times New Roman" w:hAnsi="Times New Roman"/>
                <w:color w:val="000000"/>
                <w:sz w:val="17"/>
              </w:rPr>
              <w:t>Independent replication</w:t>
            </w:r>
          </w:p>
        </w:tc>
        <w:tc>
          <w:tcPr>
            <w:tcW w:w="1655" w:type="dxa"/>
            <w:shd w:val="clear" w:color="auto" w:fill="F6F9FB"/>
            <w:tcMar>
              <w:top w:w="70" w:type="dxa"/>
              <w:left w:w="100" w:type="dxa"/>
              <w:bottom w:w="70" w:type="dxa"/>
              <w:right w:w="100" w:type="dxa"/>
            </w:tcMar>
            <w:vAlign w:val="center"/>
          </w:tcPr>
          <w:p w14:paraId="6043DBB3" w14:textId="77777777" w:rsidR="005B7C5B" w:rsidRDefault="005B7C5B" w:rsidP="00F96983">
            <w:pPr>
              <w:spacing w:after="0" w:line="240" w:lineRule="auto"/>
            </w:pPr>
            <w:r>
              <w:rPr>
                <w:rFonts w:ascii="Times New Roman" w:eastAsia="Times New Roman" w:hAnsi="Times New Roman"/>
                <w:color w:val="000000"/>
                <w:sz w:val="17"/>
              </w:rPr>
              <w:t>Not established</w:t>
            </w:r>
          </w:p>
        </w:tc>
        <w:tc>
          <w:tcPr>
            <w:tcW w:w="2951" w:type="dxa"/>
            <w:shd w:val="clear" w:color="auto" w:fill="F6F9FB"/>
            <w:tcMar>
              <w:top w:w="70" w:type="dxa"/>
              <w:left w:w="100" w:type="dxa"/>
              <w:bottom w:w="70" w:type="dxa"/>
              <w:right w:w="100" w:type="dxa"/>
            </w:tcMar>
            <w:vAlign w:val="center"/>
          </w:tcPr>
          <w:p w14:paraId="26504D8D" w14:textId="77777777" w:rsidR="005B7C5B" w:rsidRDefault="005B7C5B" w:rsidP="00F96983">
            <w:pPr>
              <w:spacing w:after="0" w:line="240" w:lineRule="auto"/>
            </w:pPr>
            <w:r>
              <w:rPr>
                <w:rFonts w:ascii="Times New Roman" w:eastAsia="Times New Roman" w:hAnsi="Times New Roman"/>
                <w:color w:val="000000"/>
                <w:sz w:val="17"/>
              </w:rPr>
              <w:t>Replication procedure is specified</w:t>
            </w:r>
          </w:p>
        </w:tc>
        <w:tc>
          <w:tcPr>
            <w:tcW w:w="3384" w:type="dxa"/>
            <w:shd w:val="clear" w:color="auto" w:fill="F6F9FB"/>
            <w:tcMar>
              <w:top w:w="70" w:type="dxa"/>
              <w:left w:w="100" w:type="dxa"/>
              <w:bottom w:w="70" w:type="dxa"/>
              <w:right w:w="100" w:type="dxa"/>
            </w:tcMar>
            <w:vAlign w:val="center"/>
          </w:tcPr>
          <w:p w14:paraId="71BBE6CC" w14:textId="77777777" w:rsidR="005B7C5B" w:rsidRDefault="005B7C5B" w:rsidP="00F96983">
            <w:pPr>
              <w:spacing w:after="0" w:line="240" w:lineRule="auto"/>
            </w:pPr>
            <w:r>
              <w:rPr>
                <w:rFonts w:ascii="Times New Roman" w:eastAsia="Times New Roman" w:hAnsi="Times New Roman"/>
                <w:color w:val="000000"/>
                <w:sz w:val="17"/>
              </w:rPr>
              <w:t>Unaffiliated execution and published comparison</w:t>
            </w:r>
          </w:p>
        </w:tc>
      </w:tr>
    </w:tbl>
    <w:p w14:paraId="0ED7C6DE" w14:textId="77777777" w:rsidR="005B7C5B" w:rsidRDefault="005B7C5B" w:rsidP="005B7C5B">
      <w:pPr>
        <w:spacing w:after="20"/>
      </w:pPr>
    </w:p>
    <w:p w14:paraId="06F4EBE6" w14:textId="77777777" w:rsidR="005B7C5B" w:rsidRDefault="005B7C5B" w:rsidP="005B7C5B">
      <w:pPr>
        <w:keepNext/>
        <w:spacing w:before="120" w:after="60"/>
        <w:jc w:val="center"/>
      </w:pPr>
      <w:r>
        <w:rPr>
          <w:noProof/>
        </w:rPr>
        <w:drawing>
          <wp:inline distT="0" distB="0" distL="0" distR="0" wp14:anchorId="184A8CF8" wp14:editId="7F0EB3A6">
            <wp:extent cx="5715000" cy="3098579"/>
            <wp:effectExtent l="0" t="0" r="0" b="0"/>
            <wp:docPr id="3" name="Figure 3" descr="Six-stage validation maturity sequence showing defined, implemented, deterministic and validated as established, with external generalization and independent replication not established; a lower band identifies missing numerical tables and ha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ublication_boundary.png"/>
                    <pic:cNvPicPr/>
                  </pic:nvPicPr>
                  <pic:blipFill>
                    <a:blip r:embed="rId13"/>
                    <a:stretch>
                      <a:fillRect/>
                    </a:stretch>
                  </pic:blipFill>
                  <pic:spPr>
                    <a:xfrm>
                      <a:off x="0" y="0"/>
                      <a:ext cx="5715000" cy="3098579"/>
                    </a:xfrm>
                    <a:prstGeom prst="rect">
                      <a:avLst/>
                    </a:prstGeom>
                  </pic:spPr>
                </pic:pic>
              </a:graphicData>
            </a:graphic>
          </wp:inline>
        </w:drawing>
      </w:r>
    </w:p>
    <w:p w14:paraId="7D0A8156" w14:textId="77777777" w:rsidR="005B7C5B" w:rsidRDefault="005B7C5B" w:rsidP="005B7C5B">
      <w:pPr>
        <w:jc w:val="center"/>
      </w:pPr>
      <w:r>
        <w:rPr>
          <w:rFonts w:ascii="Times New Roman" w:eastAsia="Times New Roman" w:hAnsi="Times New Roman"/>
          <w:i/>
          <w:color w:val="66717C"/>
          <w:sz w:val="18"/>
        </w:rPr>
        <w:t>Figure 3. Validation maturity and the current publication boundary.</w:t>
      </w:r>
    </w:p>
    <w:p w14:paraId="1710B595" w14:textId="77777777" w:rsidR="005B7C5B" w:rsidRDefault="005B7C5B" w:rsidP="005B7C5B">
      <w:pPr>
        <w:pStyle w:val="Heading2"/>
      </w:pPr>
      <w:r>
        <w:rPr>
          <w:rFonts w:ascii="Arial" w:eastAsia="Times New Roman" w:hAnsi="Arial"/>
          <w:color w:val="000000"/>
          <w:sz w:val="24"/>
        </w:rPr>
        <w:t>False-positive and false-negative behavior</w:t>
      </w:r>
    </w:p>
    <w:p w14:paraId="7712D9FC" w14:textId="77777777" w:rsidR="005B7C5B" w:rsidRDefault="005B7C5B" w:rsidP="005B7C5B">
      <w:pPr>
        <w:keepLines/>
        <w:spacing w:after="112"/>
      </w:pPr>
      <w:r>
        <w:rPr>
          <w:rFonts w:ascii="Times New Roman" w:eastAsia="Times New Roman" w:hAnsi="Times New Roman"/>
          <w:color w:val="000000"/>
          <w:sz w:val="20"/>
        </w:rPr>
        <w:t>The confirmed discrimination result entails successful separation of the tested transition conditions from the included stable and negative controls. However, the absence of a bound confusion matrix prevents calculation of false-positive and false-negative rates. This paper therefore does not translate successful control behavior into a population error estimate.</w:t>
      </w:r>
    </w:p>
    <w:p w14:paraId="294195FB" w14:textId="77777777" w:rsidR="005B7C5B" w:rsidRDefault="005B7C5B" w:rsidP="005B7C5B">
      <w:pPr>
        <w:spacing w:after="112"/>
      </w:pPr>
      <w:r>
        <w:rPr>
          <w:rFonts w:ascii="Times New Roman" w:eastAsia="Times New Roman" w:hAnsi="Times New Roman"/>
          <w:color w:val="000000"/>
          <w:sz w:val="20"/>
        </w:rPr>
        <w:t>False positives in this domain include unsupported transition, Basin Exit, collapse, failure, or lead-time findings in stable or target-absent cases. False negatives include failure to identify the declared transition when the required evidence and method conditions are present. Candidate-only, unavailable, and ambiguous states should be reported separately rather than forced into either error category.</w:t>
      </w:r>
    </w:p>
    <w:p w14:paraId="5423745B" w14:textId="77777777" w:rsidR="005B7C5B" w:rsidRDefault="005B7C5B" w:rsidP="005B7C5B">
      <w:pPr>
        <w:pStyle w:val="Heading2"/>
      </w:pPr>
      <w:r>
        <w:rPr>
          <w:rFonts w:ascii="Arial" w:eastAsia="Times New Roman" w:hAnsi="Arial"/>
          <w:color w:val="000000"/>
          <w:sz w:val="24"/>
        </w:rPr>
        <w:t>Effect size and uncertainty</w:t>
      </w:r>
    </w:p>
    <w:p w14:paraId="6F33AD68" w14:textId="77777777" w:rsidR="005B7C5B" w:rsidRDefault="005B7C5B" w:rsidP="005B7C5B">
      <w:pPr>
        <w:keepLines/>
        <w:spacing w:after="112"/>
      </w:pPr>
      <w:r>
        <w:rPr>
          <w:rFonts w:ascii="Times New Roman" w:eastAsia="Times New Roman" w:hAnsi="Times New Roman"/>
          <w:color w:val="000000"/>
          <w:sz w:val="20"/>
        </w:rPr>
        <w:t>The directional result “better than declared simple baselines” establishes ordering within the controlled study, not magnitude. The public materials reviewed for this paper contain no bound numerical effect size or uncertainty interval. Reporting a reconstructed number would violate the same evidence-governance principle the study is intended to test.</w:t>
      </w:r>
    </w:p>
    <w:p w14:paraId="2C9073A1" w14:textId="77777777" w:rsidR="005B7C5B" w:rsidRDefault="005B7C5B" w:rsidP="005B7C5B">
      <w:pPr>
        <w:spacing w:after="112"/>
      </w:pPr>
      <w:r>
        <w:rPr>
          <w:rFonts w:ascii="Times New Roman" w:eastAsia="Times New Roman" w:hAnsi="Times New Roman"/>
          <w:color w:val="000000"/>
          <w:sz w:val="20"/>
        </w:rPr>
        <w:t>A release-ready result table should report, at minimum, the number of independent cases by class, the number of related variants, the primary discrimination statistic, the baseline value, the paired or unpaired effect estimate, its uncertainty interval, the resampling unit, and every excluded or inconclusive case.</w:t>
      </w:r>
    </w:p>
    <w:p w14:paraId="3CB0C347" w14:textId="77777777" w:rsidR="005B7C5B" w:rsidRDefault="005B7C5B" w:rsidP="005B7C5B">
      <w:pPr>
        <w:pStyle w:val="Heading2"/>
      </w:pPr>
      <w:r>
        <w:rPr>
          <w:rFonts w:ascii="Arial" w:eastAsia="Times New Roman" w:hAnsi="Arial"/>
          <w:color w:val="000000"/>
          <w:sz w:val="24"/>
        </w:rPr>
        <w:t>Failure cases and discrepancies</w:t>
      </w:r>
    </w:p>
    <w:p w14:paraId="644041D3" w14:textId="77777777" w:rsidR="005B7C5B" w:rsidRDefault="005B7C5B" w:rsidP="005B7C5B">
      <w:pPr>
        <w:keepLines/>
        <w:spacing w:after="112"/>
      </w:pPr>
      <w:r>
        <w:rPr>
          <w:rFonts w:ascii="Times New Roman" w:eastAsia="Times New Roman" w:hAnsi="Times New Roman"/>
          <w:color w:val="000000"/>
          <w:sz w:val="20"/>
        </w:rPr>
        <w:t>The Validation Harness preserves not-matched, partially matched, unexpected, unavailable, and inadmissible outcomes. The current technical baseline does not bind a case-level discrepancy ledger for the reported result. This prevents a numerical failure analysis but does not justify treating all 26 inventory cases as successful.</w:t>
      </w:r>
    </w:p>
    <w:p w14:paraId="102A1CFD" w14:textId="77777777" w:rsidR="005B7C5B" w:rsidRDefault="005B7C5B" w:rsidP="005B7C5B">
      <w:pPr>
        <w:spacing w:after="112"/>
      </w:pPr>
      <w:r>
        <w:rPr>
          <w:rFonts w:ascii="Times New Roman" w:eastAsia="Times New Roman" w:hAnsi="Times New Roman"/>
          <w:color w:val="000000"/>
          <w:sz w:val="20"/>
        </w:rPr>
        <w:t>The absence of a published discrepancy ledger is recorded here as a release limitation. Future publication should retain failed and ambiguous cases, because the scientific value of the program depends partly on revealing where the ontology, measurement set, or implementation does not discriminate cleanly.</w:t>
      </w:r>
    </w:p>
    <w:p w14:paraId="3AA6C783"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Interpretation</w:t>
      </w:r>
    </w:p>
    <w:p w14:paraId="2B40CFDF" w14:textId="77777777" w:rsidR="005B7C5B" w:rsidRDefault="005B7C5B" w:rsidP="005B7C5B">
      <w:pPr>
        <w:pStyle w:val="Heading2"/>
      </w:pPr>
      <w:r>
        <w:rPr>
          <w:rFonts w:ascii="Arial" w:eastAsia="Times New Roman" w:hAnsi="Arial"/>
          <w:color w:val="000000"/>
          <w:sz w:val="24"/>
        </w:rPr>
        <w:t>Significance of deterministic evidence</w:t>
      </w:r>
    </w:p>
    <w:p w14:paraId="70736B56" w14:textId="77777777" w:rsidR="005B7C5B" w:rsidRDefault="005B7C5B" w:rsidP="005B7C5B">
      <w:pPr>
        <w:keepLines/>
        <w:spacing w:after="112"/>
      </w:pPr>
      <w:r>
        <w:rPr>
          <w:rFonts w:ascii="Times New Roman" w:eastAsia="Times New Roman" w:hAnsi="Times New Roman"/>
          <w:color w:val="000000"/>
          <w:sz w:val="20"/>
        </w:rPr>
        <w:t>P1 establishes an essential precondition for cumulative science. A source-bound runtime can be compared across instruments, interfaces, investigations, and preserved artifacts only if its governed identity and core measurements remain stable under eligible replay. This does not make the measurement scientifically correct, but it makes disagreement inspectable. A deterministic method can be challenged at the level of source, transformation, parameter, threshold, or construct rather than through irreproducible presentation.</w:t>
      </w:r>
    </w:p>
    <w:p w14:paraId="16E9AD78" w14:textId="77777777" w:rsidR="005B7C5B" w:rsidRDefault="005B7C5B" w:rsidP="005B7C5B">
      <w:pPr>
        <w:pStyle w:val="Heading2"/>
      </w:pPr>
      <w:r>
        <w:rPr>
          <w:rFonts w:ascii="Arial" w:eastAsia="Times New Roman" w:hAnsi="Arial"/>
          <w:color w:val="000000"/>
          <w:sz w:val="24"/>
        </w:rPr>
        <w:t>Significance of controlled discrimination</w:t>
      </w:r>
    </w:p>
    <w:p w14:paraId="1DB08560" w14:textId="77777777" w:rsidR="005B7C5B" w:rsidRDefault="005B7C5B" w:rsidP="005B7C5B">
      <w:pPr>
        <w:keepLines/>
        <w:spacing w:after="112"/>
      </w:pPr>
      <w:r>
        <w:rPr>
          <w:rFonts w:ascii="Times New Roman" w:eastAsia="Times New Roman" w:hAnsi="Times New Roman"/>
          <w:color w:val="000000"/>
          <w:sz w:val="20"/>
        </w:rPr>
        <w:t>P2 is the first scientific result for the field. It indicates that selected longitudinal measurements carry discriminative information about specified runtime transitions beyond the declared simple baselines in the controlled corpus. The value of the finding is not that every runtime can now be diagnosed. Its value is that the field's central empirical object—organization through time—produced a testable difference under controlled comparison.</w:t>
      </w:r>
    </w:p>
    <w:p w14:paraId="17F970DF" w14:textId="77777777" w:rsidR="005B7C5B" w:rsidRDefault="005B7C5B" w:rsidP="005B7C5B">
      <w:pPr>
        <w:spacing w:after="112"/>
      </w:pPr>
      <w:r>
        <w:rPr>
          <w:rFonts w:ascii="Times New Roman" w:eastAsia="Times New Roman" w:hAnsi="Times New Roman"/>
          <w:color w:val="000000"/>
          <w:sz w:val="20"/>
        </w:rPr>
        <w:t>This result justifies a larger validation program. It does not settle which measurement is necessary, whether thresholds transport, whether regimes correspond to external operational outcomes, or whether performance persists under uncontrolled records.</w:t>
      </w:r>
    </w:p>
    <w:p w14:paraId="576BC8F1" w14:textId="77777777" w:rsidR="005B7C5B" w:rsidRDefault="005B7C5B" w:rsidP="005B7C5B">
      <w:pPr>
        <w:pStyle w:val="Heading2"/>
      </w:pPr>
      <w:r>
        <w:rPr>
          <w:rFonts w:ascii="Arial" w:eastAsia="Times New Roman" w:hAnsi="Arial"/>
          <w:color w:val="000000"/>
          <w:sz w:val="24"/>
        </w:rPr>
        <w:t>Why both results are necessary</w:t>
      </w:r>
    </w:p>
    <w:p w14:paraId="5D08ACA7" w14:textId="77777777" w:rsidR="005B7C5B" w:rsidRDefault="005B7C5B" w:rsidP="005B7C5B">
      <w:pPr>
        <w:keepLines/>
        <w:spacing w:after="112"/>
      </w:pPr>
      <w:r>
        <w:rPr>
          <w:rFonts w:ascii="Times New Roman" w:eastAsia="Times New Roman" w:hAnsi="Times New Roman"/>
          <w:color w:val="000000"/>
          <w:sz w:val="20"/>
        </w:rPr>
        <w:t>The two propositions constrain different failure modes.</w:t>
      </w:r>
    </w:p>
    <w:p w14:paraId="30D45A1C" w14:textId="77777777" w:rsidR="005B7C5B" w:rsidRDefault="005B7C5B" w:rsidP="005B7C5B">
      <w:pPr>
        <w:spacing w:after="112"/>
      </w:pPr>
      <w:r>
        <w:rPr>
          <w:rFonts w:ascii="Times New Roman" w:eastAsia="Times New Roman" w:hAnsi="Times New Roman"/>
          <w:color w:val="000000"/>
          <w:sz w:val="20"/>
        </w:rPr>
        <w:t xml:space="preserve">A discriminative but irreproducible method cannot support stable evidence. A reproducible but </w:t>
      </w:r>
      <w:proofErr w:type="spellStart"/>
      <w:r>
        <w:rPr>
          <w:rFonts w:ascii="Times New Roman" w:eastAsia="Times New Roman" w:hAnsi="Times New Roman"/>
          <w:color w:val="000000"/>
          <w:sz w:val="20"/>
        </w:rPr>
        <w:t>nondiscriminative</w:t>
      </w:r>
      <w:proofErr w:type="spellEnd"/>
      <w:r>
        <w:rPr>
          <w:rFonts w:ascii="Times New Roman" w:eastAsia="Times New Roman" w:hAnsi="Times New Roman"/>
          <w:color w:val="000000"/>
          <w:sz w:val="20"/>
        </w:rPr>
        <w:t xml:space="preserve"> method can generate consistent records that say little about the phenomenon. LCD requires both a governed computational object and a measurement that survives comparison with controls.</w:t>
      </w:r>
    </w:p>
    <w:p w14:paraId="5D91BD09" w14:textId="77777777" w:rsidR="005B7C5B" w:rsidRDefault="005B7C5B" w:rsidP="005B7C5B">
      <w:pPr>
        <w:pStyle w:val="Heading2"/>
      </w:pPr>
      <w:r>
        <w:rPr>
          <w:rFonts w:ascii="Arial" w:eastAsia="Times New Roman" w:hAnsi="Arial"/>
          <w:color w:val="000000"/>
          <w:sz w:val="24"/>
        </w:rPr>
        <w:t>Evidence-Governed Computation as validation discipline</w:t>
      </w:r>
    </w:p>
    <w:p w14:paraId="3B0DEC72" w14:textId="77777777" w:rsidR="005B7C5B" w:rsidRDefault="005B7C5B" w:rsidP="005B7C5B">
      <w:pPr>
        <w:keepLines/>
        <w:spacing w:after="112"/>
      </w:pPr>
      <w:r>
        <w:rPr>
          <w:rFonts w:ascii="Times New Roman" w:eastAsia="Times New Roman" w:hAnsi="Times New Roman"/>
          <w:color w:val="000000"/>
          <w:sz w:val="20"/>
        </w:rPr>
        <w:t>Evidence-Governed Computation™ extends governance beyond data ingestion. It constrains measurement, classification, synthesis, and reporting to the authority of the evidence that supports them. In this paper, that discipline has a concrete consequence: the two confirmed propositions are reported, while absent numerical tables, hashes, and independent replication are not silently supplied by narrative.</w:t>
      </w:r>
    </w:p>
    <w:p w14:paraId="203493A7" w14:textId="77777777" w:rsidR="005B7C5B" w:rsidRDefault="005B7C5B" w:rsidP="005B7C5B">
      <w:pPr>
        <w:spacing w:after="112"/>
      </w:pPr>
      <w:r>
        <w:rPr>
          <w:rFonts w:ascii="Times New Roman" w:eastAsia="Times New Roman" w:hAnsi="Times New Roman"/>
          <w:color w:val="000000"/>
          <w:sz w:val="20"/>
        </w:rPr>
        <w:t>The limitation is therefore part of the result. A validation paper should not acquire greater authority than the validation artifact it describes.</w:t>
      </w:r>
    </w:p>
    <w:p w14:paraId="1C113706"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Robustness Tests Required for the Next Release</w:t>
      </w:r>
    </w:p>
    <w:p w14:paraId="5B78B459" w14:textId="77777777" w:rsidR="005B7C5B" w:rsidRDefault="005B7C5B" w:rsidP="005B7C5B">
      <w:pPr>
        <w:pStyle w:val="Heading2"/>
      </w:pPr>
      <w:r>
        <w:rPr>
          <w:rFonts w:ascii="Arial" w:eastAsia="Times New Roman" w:hAnsi="Arial"/>
          <w:color w:val="000000"/>
          <w:sz w:val="24"/>
        </w:rPr>
        <w:t>Ablation</w:t>
      </w:r>
    </w:p>
    <w:p w14:paraId="40ABAC00" w14:textId="77777777" w:rsidR="005B7C5B" w:rsidRDefault="005B7C5B" w:rsidP="005B7C5B">
      <w:pPr>
        <w:keepLines/>
        <w:spacing w:after="112"/>
      </w:pPr>
      <w:r>
        <w:rPr>
          <w:rFonts w:ascii="Times New Roman" w:eastAsia="Times New Roman" w:hAnsi="Times New Roman"/>
          <w:color w:val="000000"/>
          <w:sz w:val="20"/>
        </w:rPr>
        <w:t>The next bound study should remove, individually and in combinations, temporal structure, persistence and hysteresis, role topology, recurrence, drift, pressure, boundary features, and cross-signal relationships. The objective is to determine whether discrimination is broadly distributed or depends on a narrow component.</w:t>
      </w:r>
    </w:p>
    <w:p w14:paraId="14F24489" w14:textId="77777777" w:rsidR="005B7C5B" w:rsidRDefault="005B7C5B" w:rsidP="005B7C5B">
      <w:pPr>
        <w:pStyle w:val="Heading2"/>
      </w:pPr>
      <w:r>
        <w:rPr>
          <w:rFonts w:ascii="Arial" w:eastAsia="Times New Roman" w:hAnsi="Arial"/>
          <w:color w:val="000000"/>
          <w:sz w:val="24"/>
        </w:rPr>
        <w:t>Perturbation</w:t>
      </w:r>
    </w:p>
    <w:p w14:paraId="2D3BE8A7" w14:textId="77777777" w:rsidR="005B7C5B" w:rsidRDefault="005B7C5B" w:rsidP="005B7C5B">
      <w:pPr>
        <w:keepLines/>
        <w:spacing w:after="112"/>
      </w:pPr>
      <w:r>
        <w:rPr>
          <w:rFonts w:ascii="Times New Roman" w:eastAsia="Times New Roman" w:hAnsi="Times New Roman"/>
          <w:color w:val="000000"/>
          <w:sz w:val="20"/>
        </w:rPr>
        <w:t>Controlled perturbations should test monotonicity and invariance. Harmless formatting changes should not alter scientific findings. Meaningful event-order changes should alter time-dependent results. Removal of a failure anchor should make formal lead time unavailable. Role relabeling should affect role-dependent measurements without changing unrelated source-derived telemetry.</w:t>
      </w:r>
    </w:p>
    <w:p w14:paraId="6E5920F0" w14:textId="77777777" w:rsidR="005B7C5B" w:rsidRDefault="005B7C5B" w:rsidP="005B7C5B">
      <w:pPr>
        <w:pStyle w:val="Heading2"/>
      </w:pPr>
      <w:r>
        <w:rPr>
          <w:rFonts w:ascii="Arial" w:eastAsia="Times New Roman" w:hAnsi="Arial"/>
          <w:color w:val="000000"/>
          <w:sz w:val="24"/>
        </w:rPr>
        <w:t>Temporal leakage</w:t>
      </w:r>
    </w:p>
    <w:p w14:paraId="6C5181F5" w14:textId="77777777" w:rsidR="005B7C5B" w:rsidRDefault="005B7C5B" w:rsidP="005B7C5B">
      <w:pPr>
        <w:keepLines/>
        <w:spacing w:after="112"/>
      </w:pPr>
      <w:r>
        <w:rPr>
          <w:rFonts w:ascii="Times New Roman" w:eastAsia="Times New Roman" w:hAnsi="Times New Roman"/>
          <w:color w:val="000000"/>
          <w:sz w:val="20"/>
        </w:rPr>
        <w:t>Every warning or precursor claim should be recomputed from prefixes ending at the claimed detection coordinate. The prefix result should match the online-eligible state of the full-run computation. Any dependence on later events disqualifies the finding as prospective evidence.</w:t>
      </w:r>
    </w:p>
    <w:p w14:paraId="0DF38E11" w14:textId="77777777" w:rsidR="005B7C5B" w:rsidRDefault="005B7C5B" w:rsidP="005B7C5B">
      <w:pPr>
        <w:pStyle w:val="Heading2"/>
      </w:pPr>
      <w:r>
        <w:rPr>
          <w:rFonts w:ascii="Arial" w:eastAsia="Times New Roman" w:hAnsi="Arial"/>
          <w:color w:val="000000"/>
          <w:sz w:val="24"/>
        </w:rPr>
        <w:t>Cross-source-family evaluation</w:t>
      </w:r>
    </w:p>
    <w:p w14:paraId="539DD19B" w14:textId="77777777" w:rsidR="005B7C5B" w:rsidRDefault="005B7C5B" w:rsidP="005B7C5B">
      <w:pPr>
        <w:keepLines/>
        <w:spacing w:after="112"/>
      </w:pPr>
      <w:r>
        <w:rPr>
          <w:rFonts w:ascii="Times New Roman" w:eastAsia="Times New Roman" w:hAnsi="Times New Roman"/>
          <w:color w:val="000000"/>
          <w:sz w:val="20"/>
        </w:rPr>
        <w:t>Results should be stratified by source family and by synthetic versus operational origin. A leave-one-family-out design can test whether a measurement captures general longitudinal structure or source-specific formatting. Transport should not be claimed when the target family influenced method selection.</w:t>
      </w:r>
    </w:p>
    <w:p w14:paraId="687F0052" w14:textId="77777777" w:rsidR="005B7C5B" w:rsidRDefault="005B7C5B" w:rsidP="005B7C5B">
      <w:pPr>
        <w:pStyle w:val="Heading2"/>
      </w:pPr>
      <w:r>
        <w:rPr>
          <w:rFonts w:ascii="Arial" w:eastAsia="Times New Roman" w:hAnsi="Arial"/>
          <w:color w:val="000000"/>
          <w:sz w:val="24"/>
        </w:rPr>
        <w:t>External outcomes and calibration</w:t>
      </w:r>
    </w:p>
    <w:p w14:paraId="6B3C41E6" w14:textId="77777777" w:rsidR="005B7C5B" w:rsidRDefault="005B7C5B" w:rsidP="005B7C5B">
      <w:pPr>
        <w:keepLines/>
        <w:spacing w:after="112"/>
      </w:pPr>
      <w:r>
        <w:rPr>
          <w:rFonts w:ascii="Times New Roman" w:eastAsia="Times New Roman" w:hAnsi="Times New Roman"/>
          <w:color w:val="000000"/>
          <w:sz w:val="20"/>
        </w:rPr>
        <w:t>Operational consequence must be supplied independently of runtime intensity. Boundary pressure, instability, or drift should not be converted into probability of real-world failure without calibrated external outcome data. A future predictive study should prespecify the event definition, eligible evidence horizon, threshold selection procedure, and decision context.</w:t>
      </w:r>
    </w:p>
    <w:p w14:paraId="01B8F4EB"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Reproducibility and Replication Package</w:t>
      </w:r>
    </w:p>
    <w:p w14:paraId="2F987F43" w14:textId="77777777" w:rsidR="005B7C5B" w:rsidRDefault="005B7C5B" w:rsidP="005B7C5B">
      <w:pPr>
        <w:pStyle w:val="Heading2"/>
      </w:pPr>
      <w:r>
        <w:rPr>
          <w:rFonts w:ascii="Arial" w:eastAsia="Times New Roman" w:hAnsi="Arial"/>
          <w:color w:val="000000"/>
          <w:sz w:val="24"/>
        </w:rPr>
        <w:t>Required release artifacts</w:t>
      </w:r>
    </w:p>
    <w:p w14:paraId="08570769" w14:textId="77777777" w:rsidR="005B7C5B" w:rsidRDefault="005B7C5B" w:rsidP="005B7C5B">
      <w:pPr>
        <w:keepNext/>
        <w:spacing w:before="140" w:after="80"/>
      </w:pPr>
      <w:r>
        <w:rPr>
          <w:rFonts w:ascii="Times New Roman" w:eastAsia="Times New Roman" w:hAnsi="Times New Roman"/>
          <w:i/>
          <w:color w:val="66717C"/>
          <w:sz w:val="18"/>
        </w:rPr>
        <w:t>Table 5. Minimum contents of a replication-ready release package.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4536"/>
        <w:gridCol w:w="3384"/>
      </w:tblGrid>
      <w:tr w:rsidR="005B7C5B" w14:paraId="486B619C" w14:textId="77777777">
        <w:trPr>
          <w:cantSplit/>
          <w:tblHeader/>
          <w:jc w:val="center"/>
        </w:trPr>
        <w:tc>
          <w:tcPr>
            <w:tcW w:w="1800" w:type="dxa"/>
            <w:shd w:val="clear" w:color="auto" w:fill="17324D"/>
            <w:tcMar>
              <w:top w:w="70" w:type="dxa"/>
              <w:left w:w="100" w:type="dxa"/>
              <w:bottom w:w="70" w:type="dxa"/>
              <w:right w:w="100" w:type="dxa"/>
            </w:tcMar>
            <w:vAlign w:val="center"/>
          </w:tcPr>
          <w:p w14:paraId="0DC3F800" w14:textId="77777777" w:rsidR="005B7C5B" w:rsidRDefault="005B7C5B" w:rsidP="00F96983">
            <w:pPr>
              <w:spacing w:after="0" w:line="240" w:lineRule="auto"/>
            </w:pPr>
            <w:r>
              <w:rPr>
                <w:rFonts w:ascii="Arial" w:eastAsia="Times New Roman" w:hAnsi="Arial"/>
                <w:b/>
                <w:color w:val="FFFFFF"/>
                <w:sz w:val="17"/>
              </w:rPr>
              <w:t>Artifact</w:t>
            </w:r>
          </w:p>
        </w:tc>
        <w:tc>
          <w:tcPr>
            <w:tcW w:w="4536" w:type="dxa"/>
            <w:shd w:val="clear" w:color="auto" w:fill="17324D"/>
            <w:tcMar>
              <w:top w:w="70" w:type="dxa"/>
              <w:left w:w="100" w:type="dxa"/>
              <w:bottom w:w="70" w:type="dxa"/>
              <w:right w:w="100" w:type="dxa"/>
            </w:tcMar>
            <w:vAlign w:val="center"/>
          </w:tcPr>
          <w:p w14:paraId="320DDBF6" w14:textId="77777777" w:rsidR="005B7C5B" w:rsidRDefault="005B7C5B" w:rsidP="00F96983">
            <w:pPr>
              <w:spacing w:after="0" w:line="240" w:lineRule="auto"/>
            </w:pPr>
            <w:r>
              <w:rPr>
                <w:rFonts w:ascii="Arial" w:eastAsia="Times New Roman" w:hAnsi="Arial"/>
                <w:b/>
                <w:color w:val="FFFFFF"/>
                <w:sz w:val="17"/>
              </w:rPr>
              <w:t>Minimum content</w:t>
            </w:r>
          </w:p>
        </w:tc>
        <w:tc>
          <w:tcPr>
            <w:tcW w:w="3384" w:type="dxa"/>
            <w:shd w:val="clear" w:color="auto" w:fill="17324D"/>
            <w:tcMar>
              <w:top w:w="70" w:type="dxa"/>
              <w:left w:w="100" w:type="dxa"/>
              <w:bottom w:w="70" w:type="dxa"/>
              <w:right w:w="100" w:type="dxa"/>
            </w:tcMar>
            <w:vAlign w:val="center"/>
          </w:tcPr>
          <w:p w14:paraId="58BC3C8A" w14:textId="77777777" w:rsidR="005B7C5B" w:rsidRDefault="005B7C5B" w:rsidP="00F96983">
            <w:pPr>
              <w:spacing w:after="0" w:line="240" w:lineRule="auto"/>
            </w:pPr>
            <w:r>
              <w:rPr>
                <w:rFonts w:ascii="Arial" w:eastAsia="Times New Roman" w:hAnsi="Arial"/>
                <w:b/>
                <w:color w:val="FFFFFF"/>
                <w:sz w:val="17"/>
              </w:rPr>
              <w:t>Integrity requirement</w:t>
            </w:r>
          </w:p>
        </w:tc>
      </w:tr>
      <w:tr w:rsidR="005B7C5B" w14:paraId="78B62923" w14:textId="77777777">
        <w:trPr>
          <w:cantSplit/>
          <w:jc w:val="center"/>
        </w:trPr>
        <w:tc>
          <w:tcPr>
            <w:tcW w:w="1800" w:type="dxa"/>
            <w:shd w:val="clear" w:color="auto" w:fill="FFFFFF"/>
            <w:tcMar>
              <w:top w:w="70" w:type="dxa"/>
              <w:left w:w="100" w:type="dxa"/>
              <w:bottom w:w="70" w:type="dxa"/>
              <w:right w:w="100" w:type="dxa"/>
            </w:tcMar>
            <w:vAlign w:val="center"/>
          </w:tcPr>
          <w:p w14:paraId="5A8C7197" w14:textId="77777777" w:rsidR="005B7C5B" w:rsidRDefault="005B7C5B" w:rsidP="00F96983">
            <w:pPr>
              <w:spacing w:after="0" w:line="240" w:lineRule="auto"/>
            </w:pPr>
            <w:r>
              <w:rPr>
                <w:rFonts w:ascii="Times New Roman" w:eastAsia="Times New Roman" w:hAnsi="Times New Roman"/>
                <w:color w:val="000000"/>
                <w:sz w:val="17"/>
              </w:rPr>
              <w:t>Case manifest</w:t>
            </w:r>
          </w:p>
        </w:tc>
        <w:tc>
          <w:tcPr>
            <w:tcW w:w="4536" w:type="dxa"/>
            <w:shd w:val="clear" w:color="auto" w:fill="FFFFFF"/>
            <w:tcMar>
              <w:top w:w="70" w:type="dxa"/>
              <w:left w:w="100" w:type="dxa"/>
              <w:bottom w:w="70" w:type="dxa"/>
              <w:right w:w="100" w:type="dxa"/>
            </w:tcMar>
            <w:vAlign w:val="center"/>
          </w:tcPr>
          <w:p w14:paraId="58EE987A" w14:textId="77777777" w:rsidR="005B7C5B" w:rsidRDefault="005B7C5B" w:rsidP="00F96983">
            <w:pPr>
              <w:spacing w:after="0" w:line="240" w:lineRule="auto"/>
            </w:pPr>
            <w:r>
              <w:rPr>
                <w:rFonts w:ascii="Times New Roman" w:eastAsia="Times New Roman" w:hAnsi="Times New Roman"/>
                <w:color w:val="000000"/>
                <w:sz w:val="17"/>
              </w:rPr>
              <w:t>Case ID, class, source family, provenance, dependence group, inclusion status</w:t>
            </w:r>
          </w:p>
        </w:tc>
        <w:tc>
          <w:tcPr>
            <w:tcW w:w="3384" w:type="dxa"/>
            <w:shd w:val="clear" w:color="auto" w:fill="FFFFFF"/>
            <w:tcMar>
              <w:top w:w="70" w:type="dxa"/>
              <w:left w:w="100" w:type="dxa"/>
              <w:bottom w:w="70" w:type="dxa"/>
              <w:right w:w="100" w:type="dxa"/>
            </w:tcMar>
            <w:vAlign w:val="center"/>
          </w:tcPr>
          <w:p w14:paraId="545C6C5E" w14:textId="77777777" w:rsidR="005B7C5B" w:rsidRDefault="005B7C5B" w:rsidP="00F96983">
            <w:pPr>
              <w:spacing w:after="0" w:line="240" w:lineRule="auto"/>
            </w:pPr>
            <w:r>
              <w:rPr>
                <w:rFonts w:ascii="Times New Roman" w:eastAsia="Times New Roman" w:hAnsi="Times New Roman"/>
                <w:color w:val="000000"/>
                <w:sz w:val="17"/>
              </w:rPr>
              <w:t>Manifest hash and version</w:t>
            </w:r>
          </w:p>
        </w:tc>
      </w:tr>
      <w:tr w:rsidR="005B7C5B" w14:paraId="3303EB2C" w14:textId="77777777">
        <w:trPr>
          <w:cantSplit/>
          <w:jc w:val="center"/>
        </w:trPr>
        <w:tc>
          <w:tcPr>
            <w:tcW w:w="1800" w:type="dxa"/>
            <w:shd w:val="clear" w:color="auto" w:fill="F6F9FB"/>
            <w:tcMar>
              <w:top w:w="70" w:type="dxa"/>
              <w:left w:w="100" w:type="dxa"/>
              <w:bottom w:w="70" w:type="dxa"/>
              <w:right w:w="100" w:type="dxa"/>
            </w:tcMar>
            <w:vAlign w:val="center"/>
          </w:tcPr>
          <w:p w14:paraId="7F551F7E" w14:textId="77777777" w:rsidR="005B7C5B" w:rsidRDefault="005B7C5B" w:rsidP="00F96983">
            <w:pPr>
              <w:spacing w:after="0" w:line="240" w:lineRule="auto"/>
            </w:pPr>
            <w:r>
              <w:rPr>
                <w:rFonts w:ascii="Times New Roman" w:eastAsia="Times New Roman" w:hAnsi="Times New Roman"/>
                <w:color w:val="000000"/>
                <w:sz w:val="17"/>
              </w:rPr>
              <w:t>Source bundle</w:t>
            </w:r>
          </w:p>
        </w:tc>
        <w:tc>
          <w:tcPr>
            <w:tcW w:w="4536" w:type="dxa"/>
            <w:shd w:val="clear" w:color="auto" w:fill="F6F9FB"/>
            <w:tcMar>
              <w:top w:w="70" w:type="dxa"/>
              <w:left w:w="100" w:type="dxa"/>
              <w:bottom w:w="70" w:type="dxa"/>
              <w:right w:w="100" w:type="dxa"/>
            </w:tcMar>
            <w:vAlign w:val="center"/>
          </w:tcPr>
          <w:p w14:paraId="7FA627AB" w14:textId="77777777" w:rsidR="005B7C5B" w:rsidRDefault="005B7C5B" w:rsidP="00F96983">
            <w:pPr>
              <w:spacing w:after="0" w:line="240" w:lineRule="auto"/>
            </w:pPr>
            <w:r>
              <w:rPr>
                <w:rFonts w:ascii="Times New Roman" w:eastAsia="Times New Roman" w:hAnsi="Times New Roman"/>
                <w:color w:val="000000"/>
                <w:sz w:val="17"/>
              </w:rPr>
              <w:t>Exact source bytes or authorized immutable references</w:t>
            </w:r>
          </w:p>
        </w:tc>
        <w:tc>
          <w:tcPr>
            <w:tcW w:w="3384" w:type="dxa"/>
            <w:shd w:val="clear" w:color="auto" w:fill="F6F9FB"/>
            <w:tcMar>
              <w:top w:w="70" w:type="dxa"/>
              <w:left w:w="100" w:type="dxa"/>
              <w:bottom w:w="70" w:type="dxa"/>
              <w:right w:w="100" w:type="dxa"/>
            </w:tcMar>
            <w:vAlign w:val="center"/>
          </w:tcPr>
          <w:p w14:paraId="244CD7EA" w14:textId="77777777" w:rsidR="005B7C5B" w:rsidRDefault="005B7C5B" w:rsidP="00F96983">
            <w:pPr>
              <w:spacing w:after="0" w:line="240" w:lineRule="auto"/>
            </w:pPr>
            <w:r>
              <w:rPr>
                <w:rFonts w:ascii="Times New Roman" w:eastAsia="Times New Roman" w:hAnsi="Times New Roman"/>
                <w:color w:val="000000"/>
                <w:sz w:val="17"/>
              </w:rPr>
              <w:t>Per-source hash</w:t>
            </w:r>
          </w:p>
        </w:tc>
      </w:tr>
      <w:tr w:rsidR="005B7C5B" w14:paraId="2CEBE47F" w14:textId="77777777">
        <w:trPr>
          <w:cantSplit/>
          <w:jc w:val="center"/>
        </w:trPr>
        <w:tc>
          <w:tcPr>
            <w:tcW w:w="1800" w:type="dxa"/>
            <w:shd w:val="clear" w:color="auto" w:fill="FFFFFF"/>
            <w:tcMar>
              <w:top w:w="70" w:type="dxa"/>
              <w:left w:w="100" w:type="dxa"/>
              <w:bottom w:w="70" w:type="dxa"/>
              <w:right w:w="100" w:type="dxa"/>
            </w:tcMar>
            <w:vAlign w:val="center"/>
          </w:tcPr>
          <w:p w14:paraId="3861D58B" w14:textId="77777777" w:rsidR="005B7C5B" w:rsidRDefault="005B7C5B" w:rsidP="00F96983">
            <w:pPr>
              <w:spacing w:after="0" w:line="240" w:lineRule="auto"/>
            </w:pPr>
            <w:r>
              <w:rPr>
                <w:rFonts w:ascii="Times New Roman" w:eastAsia="Times New Roman" w:hAnsi="Times New Roman"/>
                <w:color w:val="000000"/>
                <w:sz w:val="17"/>
              </w:rPr>
              <w:t>Expectation maps</w:t>
            </w:r>
          </w:p>
        </w:tc>
        <w:tc>
          <w:tcPr>
            <w:tcW w:w="4536" w:type="dxa"/>
            <w:shd w:val="clear" w:color="auto" w:fill="FFFFFF"/>
            <w:tcMar>
              <w:top w:w="70" w:type="dxa"/>
              <w:left w:w="100" w:type="dxa"/>
              <w:bottom w:w="70" w:type="dxa"/>
              <w:right w:w="100" w:type="dxa"/>
            </w:tcMar>
            <w:vAlign w:val="center"/>
          </w:tcPr>
          <w:p w14:paraId="1C4A182E" w14:textId="77777777" w:rsidR="005B7C5B" w:rsidRDefault="005B7C5B" w:rsidP="00F96983">
            <w:pPr>
              <w:spacing w:after="0" w:line="240" w:lineRule="auto"/>
            </w:pPr>
            <w:r>
              <w:rPr>
                <w:rFonts w:ascii="Times New Roman" w:eastAsia="Times New Roman" w:hAnsi="Times New Roman"/>
                <w:color w:val="000000"/>
                <w:sz w:val="17"/>
              </w:rPr>
              <w:t>Positive, negative, unavailable, and prohibited outcomes locked before compute</w:t>
            </w:r>
          </w:p>
        </w:tc>
        <w:tc>
          <w:tcPr>
            <w:tcW w:w="3384" w:type="dxa"/>
            <w:shd w:val="clear" w:color="auto" w:fill="FFFFFF"/>
            <w:tcMar>
              <w:top w:w="70" w:type="dxa"/>
              <w:left w:w="100" w:type="dxa"/>
              <w:bottom w:w="70" w:type="dxa"/>
              <w:right w:w="100" w:type="dxa"/>
            </w:tcMar>
            <w:vAlign w:val="center"/>
          </w:tcPr>
          <w:p w14:paraId="618E58A7" w14:textId="77777777" w:rsidR="005B7C5B" w:rsidRDefault="005B7C5B" w:rsidP="00F96983">
            <w:pPr>
              <w:spacing w:after="0" w:line="240" w:lineRule="auto"/>
            </w:pPr>
            <w:r>
              <w:rPr>
                <w:rFonts w:ascii="Times New Roman" w:eastAsia="Times New Roman" w:hAnsi="Times New Roman"/>
                <w:color w:val="000000"/>
                <w:sz w:val="17"/>
              </w:rPr>
              <w:t>Map hash and lock time</w:t>
            </w:r>
          </w:p>
        </w:tc>
      </w:tr>
      <w:tr w:rsidR="005B7C5B" w14:paraId="56C5D9BD" w14:textId="77777777">
        <w:trPr>
          <w:cantSplit/>
          <w:jc w:val="center"/>
        </w:trPr>
        <w:tc>
          <w:tcPr>
            <w:tcW w:w="1800" w:type="dxa"/>
            <w:shd w:val="clear" w:color="auto" w:fill="F6F9FB"/>
            <w:tcMar>
              <w:top w:w="70" w:type="dxa"/>
              <w:left w:w="100" w:type="dxa"/>
              <w:bottom w:w="70" w:type="dxa"/>
              <w:right w:w="100" w:type="dxa"/>
            </w:tcMar>
            <w:vAlign w:val="center"/>
          </w:tcPr>
          <w:p w14:paraId="70A9B034" w14:textId="77777777" w:rsidR="005B7C5B" w:rsidRDefault="005B7C5B" w:rsidP="00F96983">
            <w:pPr>
              <w:spacing w:after="0" w:line="240" w:lineRule="auto"/>
            </w:pPr>
            <w:r>
              <w:rPr>
                <w:rFonts w:ascii="Times New Roman" w:eastAsia="Times New Roman" w:hAnsi="Times New Roman"/>
                <w:color w:val="000000"/>
                <w:sz w:val="17"/>
              </w:rPr>
              <w:t>Method bundle</w:t>
            </w:r>
          </w:p>
        </w:tc>
        <w:tc>
          <w:tcPr>
            <w:tcW w:w="4536" w:type="dxa"/>
            <w:shd w:val="clear" w:color="auto" w:fill="F6F9FB"/>
            <w:tcMar>
              <w:top w:w="70" w:type="dxa"/>
              <w:left w:w="100" w:type="dxa"/>
              <w:bottom w:w="70" w:type="dxa"/>
              <w:right w:w="100" w:type="dxa"/>
            </w:tcMar>
            <w:vAlign w:val="center"/>
          </w:tcPr>
          <w:p w14:paraId="38D9B373" w14:textId="77777777" w:rsidR="005B7C5B" w:rsidRDefault="005B7C5B" w:rsidP="00F96983">
            <w:pPr>
              <w:spacing w:after="0" w:line="240" w:lineRule="auto"/>
            </w:pPr>
            <w:r>
              <w:rPr>
                <w:rFonts w:ascii="Times New Roman" w:eastAsia="Times New Roman" w:hAnsi="Times New Roman"/>
                <w:color w:val="000000"/>
                <w:sz w:val="17"/>
              </w:rPr>
              <w:t>Signal definitions, parameters, thresholds, horizons, persistence rules</w:t>
            </w:r>
          </w:p>
        </w:tc>
        <w:tc>
          <w:tcPr>
            <w:tcW w:w="3384" w:type="dxa"/>
            <w:shd w:val="clear" w:color="auto" w:fill="F6F9FB"/>
            <w:tcMar>
              <w:top w:w="70" w:type="dxa"/>
              <w:left w:w="100" w:type="dxa"/>
              <w:bottom w:w="70" w:type="dxa"/>
              <w:right w:w="100" w:type="dxa"/>
            </w:tcMar>
            <w:vAlign w:val="center"/>
          </w:tcPr>
          <w:p w14:paraId="12C626A9" w14:textId="77777777" w:rsidR="005B7C5B" w:rsidRDefault="005B7C5B" w:rsidP="00F96983">
            <w:pPr>
              <w:spacing w:after="0" w:line="240" w:lineRule="auto"/>
            </w:pPr>
            <w:r>
              <w:rPr>
                <w:rFonts w:ascii="Times New Roman" w:eastAsia="Times New Roman" w:hAnsi="Times New Roman"/>
                <w:color w:val="000000"/>
                <w:sz w:val="17"/>
              </w:rPr>
              <w:t>Computation-contract hash</w:t>
            </w:r>
          </w:p>
        </w:tc>
      </w:tr>
      <w:tr w:rsidR="005B7C5B" w14:paraId="32B9407C" w14:textId="77777777">
        <w:trPr>
          <w:cantSplit/>
          <w:jc w:val="center"/>
        </w:trPr>
        <w:tc>
          <w:tcPr>
            <w:tcW w:w="1800" w:type="dxa"/>
            <w:shd w:val="clear" w:color="auto" w:fill="FFFFFF"/>
            <w:tcMar>
              <w:top w:w="70" w:type="dxa"/>
              <w:left w:w="100" w:type="dxa"/>
              <w:bottom w:w="70" w:type="dxa"/>
              <w:right w:w="100" w:type="dxa"/>
            </w:tcMar>
            <w:vAlign w:val="center"/>
          </w:tcPr>
          <w:p w14:paraId="7F3F1846" w14:textId="77777777" w:rsidR="005B7C5B" w:rsidRDefault="005B7C5B" w:rsidP="00F96983">
            <w:pPr>
              <w:spacing w:after="0" w:line="240" w:lineRule="auto"/>
            </w:pPr>
            <w:r>
              <w:rPr>
                <w:rFonts w:ascii="Times New Roman" w:eastAsia="Times New Roman" w:hAnsi="Times New Roman"/>
                <w:color w:val="000000"/>
                <w:sz w:val="17"/>
              </w:rPr>
              <w:t>Baseline bundle</w:t>
            </w:r>
          </w:p>
        </w:tc>
        <w:tc>
          <w:tcPr>
            <w:tcW w:w="4536" w:type="dxa"/>
            <w:shd w:val="clear" w:color="auto" w:fill="FFFFFF"/>
            <w:tcMar>
              <w:top w:w="70" w:type="dxa"/>
              <w:left w:w="100" w:type="dxa"/>
              <w:bottom w:w="70" w:type="dxa"/>
              <w:right w:w="100" w:type="dxa"/>
            </w:tcMar>
            <w:vAlign w:val="center"/>
          </w:tcPr>
          <w:p w14:paraId="329335DC" w14:textId="77777777" w:rsidR="005B7C5B" w:rsidRDefault="005B7C5B" w:rsidP="00F96983">
            <w:pPr>
              <w:spacing w:after="0" w:line="240" w:lineRule="auto"/>
            </w:pPr>
            <w:r>
              <w:rPr>
                <w:rFonts w:ascii="Times New Roman" w:eastAsia="Times New Roman" w:hAnsi="Times New Roman"/>
                <w:color w:val="000000"/>
                <w:sz w:val="17"/>
              </w:rPr>
              <w:t>Baseline algorithms, parameters, and selection procedure</w:t>
            </w:r>
          </w:p>
        </w:tc>
        <w:tc>
          <w:tcPr>
            <w:tcW w:w="3384" w:type="dxa"/>
            <w:shd w:val="clear" w:color="auto" w:fill="FFFFFF"/>
            <w:tcMar>
              <w:top w:w="70" w:type="dxa"/>
              <w:left w:w="100" w:type="dxa"/>
              <w:bottom w:w="70" w:type="dxa"/>
              <w:right w:w="100" w:type="dxa"/>
            </w:tcMar>
            <w:vAlign w:val="center"/>
          </w:tcPr>
          <w:p w14:paraId="5485F949" w14:textId="77777777" w:rsidR="005B7C5B" w:rsidRDefault="005B7C5B" w:rsidP="00F96983">
            <w:pPr>
              <w:spacing w:after="0" w:line="240" w:lineRule="auto"/>
            </w:pPr>
            <w:r>
              <w:rPr>
                <w:rFonts w:ascii="Times New Roman" w:eastAsia="Times New Roman" w:hAnsi="Times New Roman"/>
                <w:color w:val="000000"/>
                <w:sz w:val="17"/>
              </w:rPr>
              <w:t>Baseline version and hash</w:t>
            </w:r>
          </w:p>
        </w:tc>
      </w:tr>
      <w:tr w:rsidR="005B7C5B" w14:paraId="2EFBAB6B" w14:textId="77777777">
        <w:trPr>
          <w:cantSplit/>
          <w:jc w:val="center"/>
        </w:trPr>
        <w:tc>
          <w:tcPr>
            <w:tcW w:w="1800" w:type="dxa"/>
            <w:shd w:val="clear" w:color="auto" w:fill="F6F9FB"/>
            <w:tcMar>
              <w:top w:w="70" w:type="dxa"/>
              <w:left w:w="100" w:type="dxa"/>
              <w:bottom w:w="70" w:type="dxa"/>
              <w:right w:w="100" w:type="dxa"/>
            </w:tcMar>
            <w:vAlign w:val="center"/>
          </w:tcPr>
          <w:p w14:paraId="07EB9C28" w14:textId="77777777" w:rsidR="005B7C5B" w:rsidRDefault="005B7C5B" w:rsidP="00F96983">
            <w:pPr>
              <w:spacing w:after="0" w:line="240" w:lineRule="auto"/>
            </w:pPr>
            <w:r>
              <w:rPr>
                <w:rFonts w:ascii="Times New Roman" w:eastAsia="Times New Roman" w:hAnsi="Times New Roman"/>
                <w:color w:val="000000"/>
                <w:sz w:val="17"/>
              </w:rPr>
              <w:t>Release bundle</w:t>
            </w:r>
          </w:p>
        </w:tc>
        <w:tc>
          <w:tcPr>
            <w:tcW w:w="4536" w:type="dxa"/>
            <w:shd w:val="clear" w:color="auto" w:fill="F6F9FB"/>
            <w:tcMar>
              <w:top w:w="70" w:type="dxa"/>
              <w:left w:w="100" w:type="dxa"/>
              <w:bottom w:w="70" w:type="dxa"/>
              <w:right w:w="100" w:type="dxa"/>
            </w:tcMar>
            <w:vAlign w:val="center"/>
          </w:tcPr>
          <w:p w14:paraId="74D26C77" w14:textId="77777777" w:rsidR="005B7C5B" w:rsidRDefault="005B7C5B" w:rsidP="00F96983">
            <w:pPr>
              <w:spacing w:after="0" w:line="240" w:lineRule="auto"/>
            </w:pPr>
            <w:r>
              <w:rPr>
                <w:rFonts w:ascii="Times New Roman" w:eastAsia="Times New Roman" w:hAnsi="Times New Roman"/>
                <w:color w:val="000000"/>
                <w:sz w:val="17"/>
              </w:rPr>
              <w:t>Executable implementation and environment declaration</w:t>
            </w:r>
          </w:p>
        </w:tc>
        <w:tc>
          <w:tcPr>
            <w:tcW w:w="3384" w:type="dxa"/>
            <w:shd w:val="clear" w:color="auto" w:fill="F6F9FB"/>
            <w:tcMar>
              <w:top w:w="70" w:type="dxa"/>
              <w:left w:w="100" w:type="dxa"/>
              <w:bottom w:w="70" w:type="dxa"/>
              <w:right w:w="100" w:type="dxa"/>
            </w:tcMar>
            <w:vAlign w:val="center"/>
          </w:tcPr>
          <w:p w14:paraId="47980B70" w14:textId="77777777" w:rsidR="005B7C5B" w:rsidRDefault="005B7C5B" w:rsidP="00F96983">
            <w:pPr>
              <w:spacing w:after="0" w:line="240" w:lineRule="auto"/>
            </w:pPr>
            <w:r>
              <w:rPr>
                <w:rFonts w:ascii="Times New Roman" w:eastAsia="Times New Roman" w:hAnsi="Times New Roman"/>
                <w:color w:val="000000"/>
                <w:sz w:val="17"/>
              </w:rPr>
              <w:t>Build or software hash</w:t>
            </w:r>
          </w:p>
        </w:tc>
      </w:tr>
      <w:tr w:rsidR="005B7C5B" w14:paraId="410F8B9F" w14:textId="77777777">
        <w:trPr>
          <w:cantSplit/>
          <w:jc w:val="center"/>
        </w:trPr>
        <w:tc>
          <w:tcPr>
            <w:tcW w:w="1800" w:type="dxa"/>
            <w:shd w:val="clear" w:color="auto" w:fill="FFFFFF"/>
            <w:tcMar>
              <w:top w:w="70" w:type="dxa"/>
              <w:left w:w="100" w:type="dxa"/>
              <w:bottom w:w="70" w:type="dxa"/>
              <w:right w:w="100" w:type="dxa"/>
            </w:tcMar>
            <w:vAlign w:val="center"/>
          </w:tcPr>
          <w:p w14:paraId="07EBF8A6" w14:textId="77777777" w:rsidR="005B7C5B" w:rsidRDefault="005B7C5B" w:rsidP="00F96983">
            <w:pPr>
              <w:spacing w:after="0" w:line="240" w:lineRule="auto"/>
            </w:pPr>
            <w:r>
              <w:rPr>
                <w:rFonts w:ascii="Times New Roman" w:eastAsia="Times New Roman" w:hAnsi="Times New Roman"/>
                <w:color w:val="000000"/>
                <w:sz w:val="17"/>
              </w:rPr>
              <w:t>Expected outputs</w:t>
            </w:r>
          </w:p>
        </w:tc>
        <w:tc>
          <w:tcPr>
            <w:tcW w:w="4536" w:type="dxa"/>
            <w:shd w:val="clear" w:color="auto" w:fill="FFFFFF"/>
            <w:tcMar>
              <w:top w:w="70" w:type="dxa"/>
              <w:left w:w="100" w:type="dxa"/>
              <w:bottom w:w="70" w:type="dxa"/>
              <w:right w:w="100" w:type="dxa"/>
            </w:tcMar>
            <w:vAlign w:val="center"/>
          </w:tcPr>
          <w:p w14:paraId="02AEA471" w14:textId="77777777" w:rsidR="005B7C5B" w:rsidRDefault="005B7C5B" w:rsidP="00F96983">
            <w:pPr>
              <w:spacing w:after="0" w:line="240" w:lineRule="auto"/>
            </w:pPr>
            <w:r>
              <w:rPr>
                <w:rFonts w:ascii="Times New Roman" w:eastAsia="Times New Roman" w:hAnsi="Times New Roman"/>
                <w:color w:val="000000"/>
                <w:sz w:val="17"/>
              </w:rPr>
              <w:t>Canonical objects, deterministic fields, numerical tolerances</w:t>
            </w:r>
          </w:p>
        </w:tc>
        <w:tc>
          <w:tcPr>
            <w:tcW w:w="3384" w:type="dxa"/>
            <w:shd w:val="clear" w:color="auto" w:fill="FFFFFF"/>
            <w:tcMar>
              <w:top w:w="70" w:type="dxa"/>
              <w:left w:w="100" w:type="dxa"/>
              <w:bottom w:w="70" w:type="dxa"/>
              <w:right w:w="100" w:type="dxa"/>
            </w:tcMar>
            <w:vAlign w:val="center"/>
          </w:tcPr>
          <w:p w14:paraId="00E73602" w14:textId="77777777" w:rsidR="005B7C5B" w:rsidRDefault="005B7C5B" w:rsidP="00F96983">
            <w:pPr>
              <w:spacing w:after="0" w:line="240" w:lineRule="auto"/>
            </w:pPr>
            <w:r>
              <w:rPr>
                <w:rFonts w:ascii="Times New Roman" w:eastAsia="Times New Roman" w:hAnsi="Times New Roman"/>
                <w:color w:val="000000"/>
                <w:sz w:val="17"/>
              </w:rPr>
              <w:t>Expected-output bundle hash</w:t>
            </w:r>
          </w:p>
        </w:tc>
      </w:tr>
      <w:tr w:rsidR="005B7C5B" w14:paraId="6AF7ABC0" w14:textId="77777777">
        <w:trPr>
          <w:cantSplit/>
          <w:jc w:val="center"/>
        </w:trPr>
        <w:tc>
          <w:tcPr>
            <w:tcW w:w="1800" w:type="dxa"/>
            <w:shd w:val="clear" w:color="auto" w:fill="F6F9FB"/>
            <w:tcMar>
              <w:top w:w="70" w:type="dxa"/>
              <w:left w:w="100" w:type="dxa"/>
              <w:bottom w:w="70" w:type="dxa"/>
              <w:right w:w="100" w:type="dxa"/>
            </w:tcMar>
            <w:vAlign w:val="center"/>
          </w:tcPr>
          <w:p w14:paraId="0C6C39A3" w14:textId="77777777" w:rsidR="005B7C5B" w:rsidRDefault="005B7C5B" w:rsidP="00F96983">
            <w:pPr>
              <w:spacing w:after="0" w:line="240" w:lineRule="auto"/>
            </w:pPr>
            <w:r>
              <w:rPr>
                <w:rFonts w:ascii="Times New Roman" w:eastAsia="Times New Roman" w:hAnsi="Times New Roman"/>
                <w:color w:val="000000"/>
                <w:sz w:val="17"/>
              </w:rPr>
              <w:t>Result tables</w:t>
            </w:r>
          </w:p>
        </w:tc>
        <w:tc>
          <w:tcPr>
            <w:tcW w:w="4536" w:type="dxa"/>
            <w:shd w:val="clear" w:color="auto" w:fill="F6F9FB"/>
            <w:tcMar>
              <w:top w:w="70" w:type="dxa"/>
              <w:left w:w="100" w:type="dxa"/>
              <w:bottom w:w="70" w:type="dxa"/>
              <w:right w:w="100" w:type="dxa"/>
            </w:tcMar>
            <w:vAlign w:val="center"/>
          </w:tcPr>
          <w:p w14:paraId="2EEBD1A5" w14:textId="77777777" w:rsidR="005B7C5B" w:rsidRDefault="005B7C5B" w:rsidP="00F96983">
            <w:pPr>
              <w:spacing w:after="0" w:line="240" w:lineRule="auto"/>
            </w:pPr>
            <w:r>
              <w:rPr>
                <w:rFonts w:ascii="Times New Roman" w:eastAsia="Times New Roman" w:hAnsi="Times New Roman"/>
                <w:color w:val="000000"/>
                <w:sz w:val="17"/>
              </w:rPr>
              <w:t>Case-level predictions, controls, exclusions, discrepancies, summary statistics</w:t>
            </w:r>
          </w:p>
        </w:tc>
        <w:tc>
          <w:tcPr>
            <w:tcW w:w="3384" w:type="dxa"/>
            <w:shd w:val="clear" w:color="auto" w:fill="F6F9FB"/>
            <w:tcMar>
              <w:top w:w="70" w:type="dxa"/>
              <w:left w:w="100" w:type="dxa"/>
              <w:bottom w:w="70" w:type="dxa"/>
              <w:right w:w="100" w:type="dxa"/>
            </w:tcMar>
            <w:vAlign w:val="center"/>
          </w:tcPr>
          <w:p w14:paraId="27D67FF5" w14:textId="77777777" w:rsidR="005B7C5B" w:rsidRDefault="005B7C5B" w:rsidP="00F96983">
            <w:pPr>
              <w:spacing w:after="0" w:line="240" w:lineRule="auto"/>
            </w:pPr>
            <w:r>
              <w:rPr>
                <w:rFonts w:ascii="Times New Roman" w:eastAsia="Times New Roman" w:hAnsi="Times New Roman"/>
                <w:color w:val="000000"/>
                <w:sz w:val="17"/>
              </w:rPr>
              <w:t>Result-record identity</w:t>
            </w:r>
          </w:p>
        </w:tc>
      </w:tr>
      <w:tr w:rsidR="005B7C5B" w14:paraId="559C01F8" w14:textId="77777777">
        <w:trPr>
          <w:cantSplit/>
          <w:jc w:val="center"/>
        </w:trPr>
        <w:tc>
          <w:tcPr>
            <w:tcW w:w="1800" w:type="dxa"/>
            <w:shd w:val="clear" w:color="auto" w:fill="FFFFFF"/>
            <w:tcMar>
              <w:top w:w="70" w:type="dxa"/>
              <w:left w:w="100" w:type="dxa"/>
              <w:bottom w:w="70" w:type="dxa"/>
              <w:right w:w="100" w:type="dxa"/>
            </w:tcMar>
            <w:vAlign w:val="center"/>
          </w:tcPr>
          <w:p w14:paraId="3A84C51C" w14:textId="77777777" w:rsidR="005B7C5B" w:rsidRDefault="005B7C5B" w:rsidP="00F96983">
            <w:pPr>
              <w:spacing w:after="0" w:line="240" w:lineRule="auto"/>
            </w:pPr>
            <w:r>
              <w:rPr>
                <w:rFonts w:ascii="Times New Roman" w:eastAsia="Times New Roman" w:hAnsi="Times New Roman"/>
                <w:color w:val="000000"/>
                <w:sz w:val="17"/>
              </w:rPr>
              <w:t>Evidence artifacts</w:t>
            </w:r>
          </w:p>
        </w:tc>
        <w:tc>
          <w:tcPr>
            <w:tcW w:w="4536" w:type="dxa"/>
            <w:shd w:val="clear" w:color="auto" w:fill="FFFFFF"/>
            <w:tcMar>
              <w:top w:w="70" w:type="dxa"/>
              <w:left w:w="100" w:type="dxa"/>
              <w:bottom w:w="70" w:type="dxa"/>
              <w:right w:w="100" w:type="dxa"/>
            </w:tcMar>
            <w:vAlign w:val="center"/>
          </w:tcPr>
          <w:p w14:paraId="128A8D6E" w14:textId="77777777" w:rsidR="005B7C5B" w:rsidRDefault="005B7C5B" w:rsidP="00F96983">
            <w:pPr>
              <w:spacing w:after="0" w:line="240" w:lineRule="auto"/>
            </w:pPr>
            <w:r>
              <w:rPr>
                <w:rFonts w:ascii="Times New Roman" w:eastAsia="Times New Roman" w:hAnsi="Times New Roman"/>
                <w:color w:val="000000"/>
                <w:sz w:val="17"/>
              </w:rPr>
              <w:t>Runtime Evidence Records, Passports, seals, and preservation manifests</w:t>
            </w:r>
          </w:p>
        </w:tc>
        <w:tc>
          <w:tcPr>
            <w:tcW w:w="3384" w:type="dxa"/>
            <w:shd w:val="clear" w:color="auto" w:fill="FFFFFF"/>
            <w:tcMar>
              <w:top w:w="70" w:type="dxa"/>
              <w:left w:w="100" w:type="dxa"/>
              <w:bottom w:w="70" w:type="dxa"/>
              <w:right w:w="100" w:type="dxa"/>
            </w:tcMar>
            <w:vAlign w:val="center"/>
          </w:tcPr>
          <w:p w14:paraId="686068A9" w14:textId="77777777" w:rsidR="005B7C5B" w:rsidRDefault="005B7C5B" w:rsidP="00F96983">
            <w:pPr>
              <w:spacing w:after="0" w:line="240" w:lineRule="auto"/>
            </w:pPr>
            <w:r>
              <w:rPr>
                <w:rFonts w:ascii="Times New Roman" w:eastAsia="Times New Roman" w:hAnsi="Times New Roman"/>
                <w:color w:val="000000"/>
                <w:sz w:val="17"/>
              </w:rPr>
              <w:t>Record and artifact hashes</w:t>
            </w:r>
          </w:p>
        </w:tc>
      </w:tr>
      <w:tr w:rsidR="005B7C5B" w14:paraId="10A1AD6A" w14:textId="77777777">
        <w:trPr>
          <w:cantSplit/>
          <w:jc w:val="center"/>
        </w:trPr>
        <w:tc>
          <w:tcPr>
            <w:tcW w:w="1800" w:type="dxa"/>
            <w:shd w:val="clear" w:color="auto" w:fill="F6F9FB"/>
            <w:tcMar>
              <w:top w:w="70" w:type="dxa"/>
              <w:left w:w="100" w:type="dxa"/>
              <w:bottom w:w="70" w:type="dxa"/>
              <w:right w:w="100" w:type="dxa"/>
            </w:tcMar>
            <w:vAlign w:val="center"/>
          </w:tcPr>
          <w:p w14:paraId="5D047A7B" w14:textId="77777777" w:rsidR="005B7C5B" w:rsidRDefault="005B7C5B" w:rsidP="00F96983">
            <w:pPr>
              <w:spacing w:after="0" w:line="240" w:lineRule="auto"/>
            </w:pPr>
            <w:r>
              <w:rPr>
                <w:rFonts w:ascii="Times New Roman" w:eastAsia="Times New Roman" w:hAnsi="Times New Roman"/>
                <w:color w:val="000000"/>
                <w:sz w:val="17"/>
              </w:rPr>
              <w:t>Replication instructions</w:t>
            </w:r>
          </w:p>
        </w:tc>
        <w:tc>
          <w:tcPr>
            <w:tcW w:w="4536" w:type="dxa"/>
            <w:shd w:val="clear" w:color="auto" w:fill="F6F9FB"/>
            <w:tcMar>
              <w:top w:w="70" w:type="dxa"/>
              <w:left w:w="100" w:type="dxa"/>
              <w:bottom w:w="70" w:type="dxa"/>
              <w:right w:w="100" w:type="dxa"/>
            </w:tcMar>
            <w:vAlign w:val="center"/>
          </w:tcPr>
          <w:p w14:paraId="0FDBB666" w14:textId="77777777" w:rsidR="005B7C5B" w:rsidRDefault="005B7C5B" w:rsidP="00F96983">
            <w:pPr>
              <w:spacing w:after="0" w:line="240" w:lineRule="auto"/>
            </w:pPr>
            <w:r>
              <w:rPr>
                <w:rFonts w:ascii="Times New Roman" w:eastAsia="Times New Roman" w:hAnsi="Times New Roman"/>
                <w:color w:val="000000"/>
                <w:sz w:val="17"/>
              </w:rPr>
              <w:t>Exact commands, environment, comparison procedure, discrepancy taxonomy</w:t>
            </w:r>
          </w:p>
        </w:tc>
        <w:tc>
          <w:tcPr>
            <w:tcW w:w="3384" w:type="dxa"/>
            <w:shd w:val="clear" w:color="auto" w:fill="F6F9FB"/>
            <w:tcMar>
              <w:top w:w="70" w:type="dxa"/>
              <w:left w:w="100" w:type="dxa"/>
              <w:bottom w:w="70" w:type="dxa"/>
              <w:right w:w="100" w:type="dxa"/>
            </w:tcMar>
            <w:vAlign w:val="center"/>
          </w:tcPr>
          <w:p w14:paraId="7AF1283D" w14:textId="77777777" w:rsidR="005B7C5B" w:rsidRDefault="005B7C5B" w:rsidP="00F96983">
            <w:pPr>
              <w:spacing w:after="0" w:line="240" w:lineRule="auto"/>
            </w:pPr>
            <w:r>
              <w:rPr>
                <w:rFonts w:ascii="Times New Roman" w:eastAsia="Times New Roman" w:hAnsi="Times New Roman"/>
                <w:color w:val="000000"/>
                <w:sz w:val="17"/>
              </w:rPr>
              <w:t>Protocol version</w:t>
            </w:r>
          </w:p>
        </w:tc>
      </w:tr>
    </w:tbl>
    <w:p w14:paraId="25867BB9" w14:textId="77777777" w:rsidR="005B7C5B" w:rsidRDefault="005B7C5B" w:rsidP="005B7C5B">
      <w:pPr>
        <w:spacing w:after="20"/>
      </w:pPr>
    </w:p>
    <w:p w14:paraId="3345353C" w14:textId="77777777" w:rsidR="005B7C5B" w:rsidRDefault="005B7C5B" w:rsidP="005B7C5B">
      <w:pPr>
        <w:pStyle w:val="Heading2"/>
      </w:pPr>
      <w:r>
        <w:rPr>
          <w:rFonts w:ascii="Arial" w:eastAsia="Times New Roman" w:hAnsi="Arial"/>
          <w:color w:val="000000"/>
          <w:sz w:val="24"/>
        </w:rPr>
        <w:t>Independent replication procedure</w:t>
      </w:r>
    </w:p>
    <w:p w14:paraId="01180E26" w14:textId="77777777" w:rsidR="005B7C5B" w:rsidRDefault="005B7C5B" w:rsidP="005B7C5B">
      <w:pPr>
        <w:keepLines/>
        <w:spacing w:after="112"/>
      </w:pPr>
      <w:r>
        <w:rPr>
          <w:rFonts w:ascii="Times New Roman" w:eastAsia="Times New Roman" w:hAnsi="Times New Roman"/>
          <w:color w:val="000000"/>
          <w:sz w:val="20"/>
        </w:rPr>
        <w:t>An unaffiliated team should:</w:t>
      </w:r>
    </w:p>
    <w:p w14:paraId="12E388FF" w14:textId="77777777" w:rsidR="005B7C5B" w:rsidRDefault="005B7C5B" w:rsidP="005B7C5B">
      <w:pPr>
        <w:spacing w:after="64" w:line="250" w:lineRule="auto"/>
        <w:ind w:left="403" w:hanging="403"/>
      </w:pPr>
      <w:r>
        <w:rPr>
          <w:rFonts w:ascii="Times New Roman" w:eastAsia="Times New Roman" w:hAnsi="Times New Roman"/>
          <w:color w:val="000000"/>
          <w:sz w:val="20"/>
        </w:rPr>
        <w:t>1. obtain and verify the complete release package;</w:t>
      </w:r>
    </w:p>
    <w:p w14:paraId="3E0B532A" w14:textId="77777777" w:rsidR="005B7C5B" w:rsidRDefault="005B7C5B" w:rsidP="005B7C5B">
      <w:pPr>
        <w:spacing w:after="64" w:line="250" w:lineRule="auto"/>
        <w:ind w:left="403" w:hanging="403"/>
      </w:pPr>
      <w:r>
        <w:rPr>
          <w:rFonts w:ascii="Times New Roman" w:eastAsia="Times New Roman" w:hAnsi="Times New Roman"/>
          <w:color w:val="000000"/>
          <w:sz w:val="20"/>
        </w:rPr>
        <w:t>2. reconstruct the declared execution environment;</w:t>
      </w:r>
    </w:p>
    <w:p w14:paraId="53823DE6" w14:textId="77777777" w:rsidR="005B7C5B" w:rsidRDefault="005B7C5B" w:rsidP="005B7C5B">
      <w:pPr>
        <w:spacing w:after="64" w:line="250" w:lineRule="auto"/>
        <w:ind w:left="403" w:hanging="403"/>
      </w:pPr>
      <w:r>
        <w:rPr>
          <w:rFonts w:ascii="Times New Roman" w:eastAsia="Times New Roman" w:hAnsi="Times New Roman"/>
          <w:color w:val="000000"/>
          <w:sz w:val="20"/>
        </w:rPr>
        <w:t>3. verify registries, schemas, methods, and case-manifest hashes;</w:t>
      </w:r>
    </w:p>
    <w:p w14:paraId="468D7539" w14:textId="77777777" w:rsidR="005B7C5B" w:rsidRDefault="005B7C5B" w:rsidP="005B7C5B">
      <w:pPr>
        <w:spacing w:after="64" w:line="250" w:lineRule="auto"/>
        <w:ind w:left="403" w:hanging="403"/>
      </w:pPr>
      <w:r>
        <w:rPr>
          <w:rFonts w:ascii="Times New Roman" w:eastAsia="Times New Roman" w:hAnsi="Times New Roman"/>
          <w:color w:val="000000"/>
          <w:sz w:val="20"/>
        </w:rPr>
        <w:t>4. confirm that expectation maps are unavailable to the evidence engine;</w:t>
      </w:r>
    </w:p>
    <w:p w14:paraId="3BD6EF4A" w14:textId="77777777" w:rsidR="005B7C5B" w:rsidRDefault="005B7C5B" w:rsidP="005B7C5B">
      <w:pPr>
        <w:spacing w:after="64" w:line="250" w:lineRule="auto"/>
        <w:ind w:left="403" w:hanging="403"/>
      </w:pPr>
      <w:r>
        <w:rPr>
          <w:rFonts w:ascii="Times New Roman" w:eastAsia="Times New Roman" w:hAnsi="Times New Roman"/>
          <w:color w:val="000000"/>
          <w:sz w:val="20"/>
        </w:rPr>
        <w:t>5. load each source through the registered ingestion path;</w:t>
      </w:r>
    </w:p>
    <w:p w14:paraId="3FA6ACB8" w14:textId="77777777" w:rsidR="005B7C5B" w:rsidRDefault="005B7C5B" w:rsidP="005B7C5B">
      <w:pPr>
        <w:spacing w:after="64" w:line="250" w:lineRule="auto"/>
        <w:ind w:left="403" w:hanging="403"/>
      </w:pPr>
      <w:r>
        <w:rPr>
          <w:rFonts w:ascii="Times New Roman" w:eastAsia="Times New Roman" w:hAnsi="Times New Roman"/>
          <w:color w:val="000000"/>
          <w:sz w:val="20"/>
        </w:rPr>
        <w:t>6. compare source qualification and canonicalization;</w:t>
      </w:r>
    </w:p>
    <w:p w14:paraId="783CE994" w14:textId="77777777" w:rsidR="005B7C5B" w:rsidRDefault="005B7C5B" w:rsidP="005B7C5B">
      <w:pPr>
        <w:spacing w:after="64" w:line="250" w:lineRule="auto"/>
        <w:ind w:left="403" w:hanging="403"/>
      </w:pPr>
      <w:r>
        <w:rPr>
          <w:rFonts w:ascii="Times New Roman" w:eastAsia="Times New Roman" w:hAnsi="Times New Roman"/>
          <w:color w:val="000000"/>
          <w:sz w:val="20"/>
        </w:rPr>
        <w:t>7. compute the Current Evidence Run and Runtime Evidence Record;</w:t>
      </w:r>
    </w:p>
    <w:p w14:paraId="53D9D1B1" w14:textId="77777777" w:rsidR="005B7C5B" w:rsidRDefault="005B7C5B" w:rsidP="005B7C5B">
      <w:pPr>
        <w:spacing w:after="64" w:line="250" w:lineRule="auto"/>
        <w:ind w:left="403" w:hanging="403"/>
      </w:pPr>
      <w:r>
        <w:rPr>
          <w:rFonts w:ascii="Times New Roman" w:eastAsia="Times New Roman" w:hAnsi="Times New Roman"/>
          <w:color w:val="000000"/>
          <w:sz w:val="20"/>
        </w:rPr>
        <w:t>8. repeat deterministic cases within and across declared environments;</w:t>
      </w:r>
    </w:p>
    <w:p w14:paraId="664E681D" w14:textId="77777777" w:rsidR="005B7C5B" w:rsidRDefault="005B7C5B" w:rsidP="005B7C5B">
      <w:pPr>
        <w:spacing w:after="64" w:line="250" w:lineRule="auto"/>
        <w:ind w:left="403" w:hanging="403"/>
      </w:pPr>
      <w:r>
        <w:rPr>
          <w:rFonts w:ascii="Times New Roman" w:eastAsia="Times New Roman" w:hAnsi="Times New Roman"/>
          <w:color w:val="000000"/>
          <w:sz w:val="20"/>
        </w:rPr>
        <w:t>9. compare the selected LCD method with every declared baseline;</w:t>
      </w:r>
    </w:p>
    <w:p w14:paraId="68FD0131" w14:textId="77777777" w:rsidR="005B7C5B" w:rsidRDefault="005B7C5B" w:rsidP="005B7C5B">
      <w:pPr>
        <w:spacing w:after="64" w:line="250" w:lineRule="auto"/>
        <w:ind w:left="403" w:hanging="403"/>
      </w:pPr>
      <w:r>
        <w:rPr>
          <w:rFonts w:ascii="Times New Roman" w:eastAsia="Times New Roman" w:hAnsi="Times New Roman"/>
          <w:color w:val="000000"/>
          <w:sz w:val="20"/>
        </w:rPr>
        <w:t>10. execute stable, negative, ambiguous, and missing-evidence cases;</w:t>
      </w:r>
    </w:p>
    <w:p w14:paraId="4D239AC7" w14:textId="77777777" w:rsidR="005B7C5B" w:rsidRDefault="005B7C5B" w:rsidP="005B7C5B">
      <w:pPr>
        <w:spacing w:after="64" w:line="250" w:lineRule="auto"/>
        <w:ind w:left="403" w:hanging="403"/>
      </w:pPr>
      <w:r>
        <w:rPr>
          <w:rFonts w:ascii="Times New Roman" w:eastAsia="Times New Roman" w:hAnsi="Times New Roman"/>
          <w:color w:val="000000"/>
          <w:sz w:val="20"/>
        </w:rPr>
        <w:t>11. run temporal-leakage, perturbation, and ablation protocols;</w:t>
      </w:r>
    </w:p>
    <w:p w14:paraId="69F5A64C" w14:textId="77777777" w:rsidR="005B7C5B" w:rsidRDefault="005B7C5B" w:rsidP="005B7C5B">
      <w:pPr>
        <w:spacing w:after="64" w:line="250" w:lineRule="auto"/>
        <w:ind w:left="403" w:hanging="403"/>
      </w:pPr>
      <w:r>
        <w:rPr>
          <w:rFonts w:ascii="Times New Roman" w:eastAsia="Times New Roman" w:hAnsi="Times New Roman"/>
          <w:color w:val="000000"/>
          <w:sz w:val="20"/>
        </w:rPr>
        <w:t>12. export and reload preservation artifacts;</w:t>
      </w:r>
    </w:p>
    <w:p w14:paraId="0FF9A1EE" w14:textId="77777777" w:rsidR="005B7C5B" w:rsidRDefault="005B7C5B" w:rsidP="005B7C5B">
      <w:pPr>
        <w:spacing w:after="64" w:line="250" w:lineRule="auto"/>
        <w:ind w:left="403" w:hanging="403"/>
      </w:pPr>
      <w:r>
        <w:rPr>
          <w:rFonts w:ascii="Times New Roman" w:eastAsia="Times New Roman" w:hAnsi="Times New Roman"/>
          <w:color w:val="000000"/>
          <w:sz w:val="20"/>
        </w:rPr>
        <w:t>13. classify every discrepancy; and</w:t>
      </w:r>
    </w:p>
    <w:p w14:paraId="76C5E5A6" w14:textId="77777777" w:rsidR="005B7C5B" w:rsidRDefault="005B7C5B" w:rsidP="005B7C5B">
      <w:pPr>
        <w:spacing w:after="64" w:line="250" w:lineRule="auto"/>
        <w:ind w:left="403" w:hanging="403"/>
      </w:pPr>
      <w:r>
        <w:rPr>
          <w:rFonts w:ascii="Times New Roman" w:eastAsia="Times New Roman" w:hAnsi="Times New Roman"/>
          <w:color w:val="000000"/>
          <w:sz w:val="20"/>
        </w:rPr>
        <w:t>14. publish methods, numerical results, hashes, exclusions, failures, and limitations.</w:t>
      </w:r>
    </w:p>
    <w:p w14:paraId="2108085E" w14:textId="77777777" w:rsidR="005B7C5B" w:rsidRDefault="005B7C5B" w:rsidP="005B7C5B">
      <w:pPr>
        <w:spacing w:after="112"/>
      </w:pPr>
      <w:r>
        <w:rPr>
          <w:rFonts w:ascii="Times New Roman" w:eastAsia="Times New Roman" w:hAnsi="Times New Roman"/>
          <w:color w:val="000000"/>
          <w:sz w:val="20"/>
        </w:rPr>
        <w:t>Replication may be positive, partial, negative, inconclusive, or blocked by unavailable materials. Each state should remain visible.</w:t>
      </w:r>
    </w:p>
    <w:p w14:paraId="4C35C9C0"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Current Publication Boundary</w:t>
      </w:r>
    </w:p>
    <w:p w14:paraId="4689AF27" w14:textId="77777777" w:rsidR="005B7C5B" w:rsidRDefault="005B7C5B" w:rsidP="005B7C5B">
      <w:pPr>
        <w:pStyle w:val="Heading2"/>
      </w:pPr>
      <w:r>
        <w:rPr>
          <w:rFonts w:ascii="Arial" w:eastAsia="Times New Roman" w:hAnsi="Arial"/>
          <w:color w:val="000000"/>
          <w:sz w:val="24"/>
        </w:rPr>
        <w:t>Available and reported</w:t>
      </w:r>
    </w:p>
    <w:p w14:paraId="2B11544B" w14:textId="77777777" w:rsidR="005B7C5B" w:rsidRDefault="005B7C5B" w:rsidP="005B7C5B">
      <w:pPr>
        <w:keepLines/>
        <w:spacing w:after="112"/>
      </w:pPr>
      <w:r>
        <w:rPr>
          <w:rFonts w:ascii="Times New Roman" w:eastAsia="Times New Roman" w:hAnsi="Times New Roman"/>
          <w:color w:val="000000"/>
          <w:sz w:val="20"/>
        </w:rPr>
        <w:t>The present record establishes:</w:t>
      </w:r>
    </w:p>
    <w:p w14:paraId="52DB9504" w14:textId="77777777" w:rsidR="005B7C5B" w:rsidRDefault="005B7C5B" w:rsidP="005B7C5B">
      <w:pPr>
        <w:pStyle w:val="ListBullet"/>
      </w:pPr>
      <w:r>
        <w:rPr>
          <w:rFonts w:eastAsia="Times New Roman"/>
          <w:sz w:val="20"/>
        </w:rPr>
        <w:t>the two-object validation architecture;</w:t>
      </w:r>
    </w:p>
    <w:p w14:paraId="4CF09724" w14:textId="77777777" w:rsidR="005B7C5B" w:rsidRDefault="005B7C5B" w:rsidP="005B7C5B">
      <w:pPr>
        <w:pStyle w:val="ListBullet"/>
      </w:pPr>
      <w:r>
        <w:rPr>
          <w:rFonts w:eastAsia="Times New Roman"/>
          <w:sz w:val="20"/>
        </w:rPr>
        <w:t>the anti-contamination boundary;</w:t>
      </w:r>
    </w:p>
    <w:p w14:paraId="44E30E01" w14:textId="77777777" w:rsidR="005B7C5B" w:rsidRDefault="005B7C5B" w:rsidP="005B7C5B">
      <w:pPr>
        <w:pStyle w:val="ListBullet"/>
      </w:pPr>
      <w:r>
        <w:rPr>
          <w:rFonts w:eastAsia="Times New Roman"/>
          <w:sz w:val="20"/>
        </w:rPr>
        <w:t>the two confirmed controlled propositions;</w:t>
      </w:r>
    </w:p>
    <w:p w14:paraId="559D129B" w14:textId="77777777" w:rsidR="005B7C5B" w:rsidRDefault="005B7C5B" w:rsidP="005B7C5B">
      <w:pPr>
        <w:pStyle w:val="ListBullet"/>
      </w:pPr>
      <w:r>
        <w:rPr>
          <w:rFonts w:eastAsia="Times New Roman"/>
          <w:sz w:val="20"/>
        </w:rPr>
        <w:t>the current program inventory;</w:t>
      </w:r>
    </w:p>
    <w:p w14:paraId="05DFA0C6" w14:textId="77777777" w:rsidR="005B7C5B" w:rsidRDefault="005B7C5B" w:rsidP="005B7C5B">
      <w:pPr>
        <w:pStyle w:val="ListBullet"/>
      </w:pPr>
      <w:r>
        <w:rPr>
          <w:rFonts w:eastAsia="Times New Roman"/>
          <w:sz w:val="20"/>
        </w:rPr>
        <w:t>the distinction between runtime and research signal registries;</w:t>
      </w:r>
    </w:p>
    <w:p w14:paraId="6F2784F3" w14:textId="77777777" w:rsidR="005B7C5B" w:rsidRDefault="005B7C5B" w:rsidP="005B7C5B">
      <w:pPr>
        <w:pStyle w:val="ListBullet"/>
      </w:pPr>
      <w:r>
        <w:rPr>
          <w:rFonts w:eastAsia="Times New Roman"/>
          <w:sz w:val="20"/>
        </w:rPr>
        <w:t>the fourteen-protocol validation framework;</w:t>
      </w:r>
    </w:p>
    <w:p w14:paraId="5A2440E2" w14:textId="77777777" w:rsidR="005B7C5B" w:rsidRDefault="005B7C5B" w:rsidP="005B7C5B">
      <w:pPr>
        <w:pStyle w:val="ListBullet"/>
      </w:pPr>
      <w:r>
        <w:rPr>
          <w:rFonts w:eastAsia="Times New Roman"/>
          <w:sz w:val="20"/>
        </w:rPr>
        <w:t>the required missingness and temporal boundaries; and</w:t>
      </w:r>
    </w:p>
    <w:p w14:paraId="3BD9F971" w14:textId="77777777" w:rsidR="005B7C5B" w:rsidRDefault="005B7C5B" w:rsidP="005B7C5B">
      <w:pPr>
        <w:pStyle w:val="ListBullet"/>
      </w:pPr>
      <w:r>
        <w:rPr>
          <w:rFonts w:eastAsia="Times New Roman"/>
          <w:sz w:val="20"/>
        </w:rPr>
        <w:t>an executable independent-replication procedure.</w:t>
      </w:r>
    </w:p>
    <w:p w14:paraId="344327A3" w14:textId="77777777" w:rsidR="005B7C5B" w:rsidRDefault="005B7C5B" w:rsidP="005B7C5B">
      <w:pPr>
        <w:pStyle w:val="Heading2"/>
      </w:pPr>
      <w:r>
        <w:rPr>
          <w:rFonts w:ascii="Arial" w:eastAsia="Times New Roman" w:hAnsi="Arial"/>
          <w:color w:val="000000"/>
          <w:sz w:val="24"/>
        </w:rPr>
        <w:t>Not bound in the current public record</w:t>
      </w:r>
    </w:p>
    <w:p w14:paraId="0F546BEA" w14:textId="77777777" w:rsidR="005B7C5B" w:rsidRDefault="005B7C5B" w:rsidP="005B7C5B">
      <w:pPr>
        <w:keepLines/>
        <w:spacing w:after="112"/>
      </w:pPr>
      <w:r>
        <w:rPr>
          <w:rFonts w:ascii="Times New Roman" w:eastAsia="Times New Roman" w:hAnsi="Times New Roman"/>
          <w:color w:val="000000"/>
          <w:sz w:val="20"/>
        </w:rPr>
        <w:t>The following are not available in the reviewed public materials:</w:t>
      </w:r>
    </w:p>
    <w:p w14:paraId="34BC9F5D" w14:textId="77777777" w:rsidR="005B7C5B" w:rsidRDefault="005B7C5B" w:rsidP="005B7C5B">
      <w:pPr>
        <w:pStyle w:val="ListBullet"/>
      </w:pPr>
      <w:r>
        <w:rPr>
          <w:rFonts w:eastAsia="Times New Roman"/>
          <w:sz w:val="20"/>
        </w:rPr>
        <w:t>a complete machine-readable manifest for the 26 reported cases;</w:t>
      </w:r>
    </w:p>
    <w:p w14:paraId="433A84D5" w14:textId="77777777" w:rsidR="005B7C5B" w:rsidRDefault="005B7C5B" w:rsidP="005B7C5B">
      <w:pPr>
        <w:pStyle w:val="ListBullet"/>
      </w:pPr>
      <w:r>
        <w:rPr>
          <w:rFonts w:eastAsia="Times New Roman"/>
          <w:sz w:val="20"/>
        </w:rPr>
        <w:t>case-class composition and dependence groups;</w:t>
      </w:r>
    </w:p>
    <w:p w14:paraId="3706B53F" w14:textId="77777777" w:rsidR="005B7C5B" w:rsidRDefault="005B7C5B" w:rsidP="005B7C5B">
      <w:pPr>
        <w:pStyle w:val="ListBullet"/>
      </w:pPr>
      <w:r>
        <w:rPr>
          <w:rFonts w:eastAsia="Times New Roman"/>
          <w:sz w:val="20"/>
        </w:rPr>
        <w:t>replay counts and environment matrix;</w:t>
      </w:r>
    </w:p>
    <w:p w14:paraId="176411DF" w14:textId="77777777" w:rsidR="005B7C5B" w:rsidRDefault="005B7C5B" w:rsidP="005B7C5B">
      <w:pPr>
        <w:pStyle w:val="ListBullet"/>
      </w:pPr>
      <w:r>
        <w:rPr>
          <w:rFonts w:eastAsia="Times New Roman"/>
          <w:sz w:val="20"/>
        </w:rPr>
        <w:t>the exact selected measurement subset for P2;</w:t>
      </w:r>
    </w:p>
    <w:p w14:paraId="750E65A2" w14:textId="77777777" w:rsidR="005B7C5B" w:rsidRDefault="005B7C5B" w:rsidP="005B7C5B">
      <w:pPr>
        <w:pStyle w:val="ListBullet"/>
      </w:pPr>
      <w:r>
        <w:rPr>
          <w:rFonts w:eastAsia="Times New Roman"/>
          <w:sz w:val="20"/>
        </w:rPr>
        <w:t>baseline definitions and parameters;</w:t>
      </w:r>
    </w:p>
    <w:p w14:paraId="445DFEF3" w14:textId="77777777" w:rsidR="005B7C5B" w:rsidRDefault="005B7C5B" w:rsidP="005B7C5B">
      <w:pPr>
        <w:pStyle w:val="ListBullet"/>
      </w:pPr>
      <w:r>
        <w:rPr>
          <w:rFonts w:eastAsia="Times New Roman"/>
          <w:sz w:val="20"/>
        </w:rPr>
        <w:t>train, calibration, and held-out assignments;</w:t>
      </w:r>
    </w:p>
    <w:p w14:paraId="650A76EF" w14:textId="77777777" w:rsidR="005B7C5B" w:rsidRDefault="005B7C5B" w:rsidP="005B7C5B">
      <w:pPr>
        <w:pStyle w:val="ListBullet"/>
      </w:pPr>
      <w:r>
        <w:rPr>
          <w:rFonts w:eastAsia="Times New Roman"/>
          <w:sz w:val="20"/>
        </w:rPr>
        <w:t>case-level numerical predictions and comparison states;</w:t>
      </w:r>
    </w:p>
    <w:p w14:paraId="5D8193AD" w14:textId="77777777" w:rsidR="005B7C5B" w:rsidRDefault="005B7C5B" w:rsidP="005B7C5B">
      <w:pPr>
        <w:pStyle w:val="ListBullet"/>
      </w:pPr>
      <w:r>
        <w:rPr>
          <w:rFonts w:eastAsia="Times New Roman"/>
          <w:sz w:val="20"/>
        </w:rPr>
        <w:t>confusion matrices, effect sizes, and uncertainty intervals;</w:t>
      </w:r>
    </w:p>
    <w:p w14:paraId="4F0B406B" w14:textId="77777777" w:rsidR="005B7C5B" w:rsidRDefault="005B7C5B" w:rsidP="005B7C5B">
      <w:pPr>
        <w:pStyle w:val="ListBullet"/>
      </w:pPr>
      <w:r>
        <w:rPr>
          <w:rFonts w:eastAsia="Times New Roman"/>
          <w:sz w:val="20"/>
        </w:rPr>
        <w:t>complete ablation, perturbation, and temporal-leakage results;</w:t>
      </w:r>
    </w:p>
    <w:p w14:paraId="7DB32A46" w14:textId="77777777" w:rsidR="005B7C5B" w:rsidRDefault="005B7C5B" w:rsidP="005B7C5B">
      <w:pPr>
        <w:pStyle w:val="ListBullet"/>
      </w:pPr>
      <w:r>
        <w:rPr>
          <w:rFonts w:eastAsia="Times New Roman"/>
          <w:sz w:val="20"/>
        </w:rPr>
        <w:t>cross-source-family numerical results;</w:t>
      </w:r>
    </w:p>
    <w:p w14:paraId="5D69C4BA" w14:textId="77777777" w:rsidR="005B7C5B" w:rsidRDefault="005B7C5B" w:rsidP="005B7C5B">
      <w:pPr>
        <w:pStyle w:val="ListBullet"/>
      </w:pPr>
      <w:r>
        <w:rPr>
          <w:rFonts w:eastAsia="Times New Roman"/>
          <w:sz w:val="20"/>
        </w:rPr>
        <w:t>frozen executable and dependency bundle;</w:t>
      </w:r>
    </w:p>
    <w:p w14:paraId="3DACF2CE" w14:textId="77777777" w:rsidR="005B7C5B" w:rsidRDefault="005B7C5B" w:rsidP="005B7C5B">
      <w:pPr>
        <w:pStyle w:val="ListBullet"/>
      </w:pPr>
      <w:r>
        <w:rPr>
          <w:rFonts w:eastAsia="Times New Roman"/>
          <w:sz w:val="20"/>
        </w:rPr>
        <w:t>computation, expected-output, result, and artifact hashes; and</w:t>
      </w:r>
    </w:p>
    <w:p w14:paraId="2EEB9D82" w14:textId="77777777" w:rsidR="005B7C5B" w:rsidRDefault="005B7C5B" w:rsidP="005B7C5B">
      <w:pPr>
        <w:pStyle w:val="ListBullet"/>
      </w:pPr>
      <w:r>
        <w:rPr>
          <w:rFonts w:eastAsia="Times New Roman"/>
          <w:sz w:val="20"/>
        </w:rPr>
        <w:t>independent replication results.</w:t>
      </w:r>
    </w:p>
    <w:p w14:paraId="20064172" w14:textId="77777777" w:rsidR="005B7C5B" w:rsidRDefault="005B7C5B" w:rsidP="005B7C5B">
      <w:pPr>
        <w:spacing w:after="112"/>
      </w:pPr>
      <w:r>
        <w:rPr>
          <w:rFonts w:ascii="Times New Roman" w:eastAsia="Times New Roman" w:hAnsi="Times New Roman"/>
          <w:color w:val="000000"/>
          <w:sz w:val="20"/>
        </w:rPr>
        <w:t>These are not filled with estimates. Their absence limits the present paper to a controlled validation report rather than a complete independently reproducible empirical package.</w:t>
      </w:r>
    </w:p>
    <w:p w14:paraId="2B097540"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Threats to Validity</w:t>
      </w:r>
    </w:p>
    <w:p w14:paraId="24E3F2FD" w14:textId="77777777" w:rsidR="005B7C5B" w:rsidRDefault="005B7C5B" w:rsidP="005B7C5B">
      <w:pPr>
        <w:pStyle w:val="Heading2"/>
      </w:pPr>
      <w:r>
        <w:rPr>
          <w:rFonts w:ascii="Arial" w:eastAsia="Times New Roman" w:hAnsi="Arial"/>
          <w:color w:val="000000"/>
          <w:sz w:val="24"/>
        </w:rPr>
        <w:t>Internal validity</w:t>
      </w:r>
    </w:p>
    <w:p w14:paraId="57EDAC79" w14:textId="77777777" w:rsidR="005B7C5B" w:rsidRDefault="005B7C5B" w:rsidP="005B7C5B">
      <w:pPr>
        <w:keepLines/>
        <w:spacing w:after="112"/>
      </w:pPr>
      <w:r>
        <w:rPr>
          <w:rFonts w:ascii="Times New Roman" w:eastAsia="Times New Roman" w:hAnsi="Times New Roman"/>
          <w:color w:val="000000"/>
          <w:sz w:val="20"/>
        </w:rPr>
        <w:t>Potential threats include contamination from fixture identity, thresholds selected after inspecting outcomes, related case variants crossing partitions, circular labels, and case construction that directly encodes the target measurement. The two-object architecture and locked expectation maps reduce but do not eliminate these risks. A public manifest and protected result table are required to audit them.</w:t>
      </w:r>
    </w:p>
    <w:p w14:paraId="53FE929F" w14:textId="77777777" w:rsidR="005B7C5B" w:rsidRDefault="005B7C5B" w:rsidP="005B7C5B">
      <w:pPr>
        <w:pStyle w:val="Heading2"/>
      </w:pPr>
      <w:r>
        <w:rPr>
          <w:rFonts w:ascii="Arial" w:eastAsia="Times New Roman" w:hAnsi="Arial"/>
          <w:color w:val="000000"/>
          <w:sz w:val="24"/>
        </w:rPr>
        <w:t>Construct validity</w:t>
      </w:r>
    </w:p>
    <w:p w14:paraId="684BB07B" w14:textId="77777777" w:rsidR="005B7C5B" w:rsidRDefault="005B7C5B" w:rsidP="005B7C5B">
      <w:pPr>
        <w:keepLines/>
        <w:spacing w:after="112"/>
      </w:pPr>
      <w:r>
        <w:rPr>
          <w:rFonts w:ascii="Times New Roman" w:eastAsia="Times New Roman" w:hAnsi="Times New Roman"/>
          <w:color w:val="000000"/>
          <w:sz w:val="20"/>
        </w:rPr>
        <w:t>The selected measurements may distinguish the fixtures for reasons narrower than the intended constructs. A pressure or drift measure might respond to length, lexical repetition, or formatting artifacts rather than a general regime transition. Ablation, perturbation, matched controls, and convergent comparison with independent operational criteria are required.</w:t>
      </w:r>
    </w:p>
    <w:p w14:paraId="3ABE4CE7" w14:textId="77777777" w:rsidR="005B7C5B" w:rsidRDefault="005B7C5B" w:rsidP="005B7C5B">
      <w:pPr>
        <w:pStyle w:val="Heading2"/>
      </w:pPr>
      <w:r>
        <w:rPr>
          <w:rFonts w:ascii="Arial" w:eastAsia="Times New Roman" w:hAnsi="Arial"/>
          <w:color w:val="000000"/>
          <w:sz w:val="24"/>
        </w:rPr>
        <w:t>Statistical conclusion validity</w:t>
      </w:r>
    </w:p>
    <w:p w14:paraId="31991B2D" w14:textId="77777777" w:rsidR="005B7C5B" w:rsidRDefault="005B7C5B" w:rsidP="005B7C5B">
      <w:pPr>
        <w:keepLines/>
        <w:spacing w:after="112"/>
      </w:pPr>
      <w:r>
        <w:rPr>
          <w:rFonts w:ascii="Times New Roman" w:eastAsia="Times New Roman" w:hAnsi="Times New Roman"/>
          <w:color w:val="000000"/>
          <w:sz w:val="20"/>
        </w:rPr>
        <w:t>The number of reported cases is not yet a verified number of independent experimental units. Without case-level results, effect estimates and uncertainty cannot be calculated. Any performance percentage inferred from the inventory would be misleading.</w:t>
      </w:r>
    </w:p>
    <w:p w14:paraId="59B45E58" w14:textId="77777777" w:rsidR="005B7C5B" w:rsidRDefault="005B7C5B" w:rsidP="005B7C5B">
      <w:pPr>
        <w:pStyle w:val="Heading2"/>
      </w:pPr>
      <w:r>
        <w:rPr>
          <w:rFonts w:ascii="Arial" w:eastAsia="Times New Roman" w:hAnsi="Arial"/>
          <w:color w:val="000000"/>
          <w:sz w:val="24"/>
        </w:rPr>
        <w:t>External validity</w:t>
      </w:r>
    </w:p>
    <w:p w14:paraId="77943D5E" w14:textId="77777777" w:rsidR="005B7C5B" w:rsidRDefault="005B7C5B" w:rsidP="005B7C5B">
      <w:pPr>
        <w:keepLines/>
        <w:spacing w:after="112"/>
      </w:pPr>
      <w:r>
        <w:rPr>
          <w:rFonts w:ascii="Times New Roman" w:eastAsia="Times New Roman" w:hAnsi="Times New Roman"/>
          <w:color w:val="000000"/>
          <w:sz w:val="20"/>
        </w:rPr>
        <w:t>Controlled fixtures may not represent open-ended agent behavior, production incident distributions, different models, other languages, or institutional workflows. Support for several source families demonstrates architectural breadth, not empirical transport.</w:t>
      </w:r>
    </w:p>
    <w:p w14:paraId="0D033277" w14:textId="77777777" w:rsidR="005B7C5B" w:rsidRDefault="005B7C5B" w:rsidP="005B7C5B">
      <w:pPr>
        <w:pStyle w:val="Heading2"/>
      </w:pPr>
      <w:r>
        <w:rPr>
          <w:rFonts w:ascii="Arial" w:eastAsia="Times New Roman" w:hAnsi="Arial"/>
          <w:color w:val="000000"/>
          <w:sz w:val="24"/>
        </w:rPr>
        <w:t>Reproducibility validity</w:t>
      </w:r>
    </w:p>
    <w:p w14:paraId="4EB3C7B0" w14:textId="77777777" w:rsidR="005B7C5B" w:rsidRDefault="005B7C5B" w:rsidP="005B7C5B">
      <w:pPr>
        <w:keepLines/>
        <w:spacing w:after="112"/>
      </w:pPr>
      <w:r>
        <w:rPr>
          <w:rFonts w:ascii="Times New Roman" w:eastAsia="Times New Roman" w:hAnsi="Times New Roman"/>
          <w:color w:val="000000"/>
          <w:sz w:val="20"/>
        </w:rPr>
        <w:t>Same-implementation replay does not establish independent implementation equivalence. Browser, dependency, hardware, serialization, and floating-point differences should be tested under declared tolerances. Frozen release and artifact hashes remain necessary.</w:t>
      </w:r>
    </w:p>
    <w:p w14:paraId="62007736"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Claim Boundary</w:t>
      </w:r>
    </w:p>
    <w:p w14:paraId="46EA4F5F" w14:textId="77777777" w:rsidR="005B7C5B" w:rsidRDefault="005B7C5B" w:rsidP="005B7C5B">
      <w:pPr>
        <w:keepLines/>
        <w:spacing w:after="112"/>
      </w:pPr>
      <w:r>
        <w:rPr>
          <w:rFonts w:ascii="Times New Roman" w:eastAsia="Times New Roman" w:hAnsi="Times New Roman"/>
          <w:color w:val="000000"/>
          <w:sz w:val="20"/>
        </w:rPr>
        <w:t>This paper supports a narrow claim:</w:t>
      </w:r>
    </w:p>
    <w:p w14:paraId="25F3D9E9" w14:textId="77777777" w:rsidR="005B7C5B" w:rsidRDefault="005B7C5B" w:rsidP="005B7C5B">
      <w:pPr>
        <w:spacing w:before="140" w:after="180"/>
        <w:ind w:left="792" w:right="792"/>
        <w:jc w:val="center"/>
      </w:pPr>
      <w:r>
        <w:rPr>
          <w:rFonts w:ascii="Times New Roman" w:eastAsia="Times New Roman" w:hAnsi="Times New Roman"/>
          <w:b/>
          <w:i/>
          <w:color w:val="17324D"/>
          <w:sz w:val="22"/>
        </w:rPr>
        <w:t>Under the declared controlled conditions, selected LCD measurements provide reproducible and discriminative evidence of specified longitudinal runtime transitions.</w:t>
      </w:r>
    </w:p>
    <w:p w14:paraId="16FB96CA" w14:textId="77777777" w:rsidR="005B7C5B" w:rsidRDefault="005B7C5B" w:rsidP="005B7C5B">
      <w:pPr>
        <w:spacing w:after="112"/>
      </w:pPr>
      <w:r>
        <w:rPr>
          <w:rFonts w:ascii="Times New Roman" w:eastAsia="Times New Roman" w:hAnsi="Times New Roman"/>
          <w:color w:val="000000"/>
          <w:sz w:val="20"/>
        </w:rPr>
        <w:t>It does not establish:</w:t>
      </w:r>
    </w:p>
    <w:p w14:paraId="4CD48060" w14:textId="77777777" w:rsidR="005B7C5B" w:rsidRDefault="005B7C5B" w:rsidP="005B7C5B">
      <w:pPr>
        <w:pStyle w:val="ListBullet"/>
      </w:pPr>
      <w:r>
        <w:rPr>
          <w:rFonts w:eastAsia="Times New Roman"/>
          <w:sz w:val="20"/>
        </w:rPr>
        <w:t>universal validity of LCD constructs;</w:t>
      </w:r>
    </w:p>
    <w:p w14:paraId="0F4DB72C" w14:textId="77777777" w:rsidR="005B7C5B" w:rsidRDefault="005B7C5B" w:rsidP="005B7C5B">
      <w:pPr>
        <w:pStyle w:val="ListBullet"/>
      </w:pPr>
      <w:r>
        <w:rPr>
          <w:rFonts w:eastAsia="Times New Roman"/>
          <w:sz w:val="20"/>
        </w:rPr>
        <w:t>access to hidden model state or private reasoning;</w:t>
      </w:r>
    </w:p>
    <w:p w14:paraId="3378D3B9" w14:textId="77777777" w:rsidR="005B7C5B" w:rsidRDefault="005B7C5B" w:rsidP="005B7C5B">
      <w:pPr>
        <w:pStyle w:val="ListBullet"/>
      </w:pPr>
      <w:r>
        <w:rPr>
          <w:rFonts w:eastAsia="Times New Roman"/>
          <w:sz w:val="20"/>
        </w:rPr>
        <w:t>cognition, consciousness, intent, agency, or identity;</w:t>
      </w:r>
    </w:p>
    <w:p w14:paraId="3D5F37A6" w14:textId="77777777" w:rsidR="005B7C5B" w:rsidRDefault="005B7C5B" w:rsidP="005B7C5B">
      <w:pPr>
        <w:pStyle w:val="ListBullet"/>
      </w:pPr>
      <w:r>
        <w:rPr>
          <w:rFonts w:eastAsia="Times New Roman"/>
          <w:sz w:val="20"/>
        </w:rPr>
        <w:t>unique or universal causation;</w:t>
      </w:r>
    </w:p>
    <w:p w14:paraId="08E6B42C" w14:textId="77777777" w:rsidR="005B7C5B" w:rsidRDefault="005B7C5B" w:rsidP="005B7C5B">
      <w:pPr>
        <w:pStyle w:val="ListBullet"/>
      </w:pPr>
      <w:r>
        <w:rPr>
          <w:rFonts w:eastAsia="Times New Roman"/>
          <w:sz w:val="20"/>
        </w:rPr>
        <w:t>calibrated probability of operational failure;</w:t>
      </w:r>
    </w:p>
    <w:p w14:paraId="159ABFCC" w14:textId="77777777" w:rsidR="005B7C5B" w:rsidRDefault="005B7C5B" w:rsidP="005B7C5B">
      <w:pPr>
        <w:pStyle w:val="ListBullet"/>
      </w:pPr>
      <w:r>
        <w:rPr>
          <w:rFonts w:eastAsia="Times New Roman"/>
          <w:sz w:val="20"/>
        </w:rPr>
        <w:t>production-level prediction;</w:t>
      </w:r>
    </w:p>
    <w:p w14:paraId="6CBCB758" w14:textId="77777777" w:rsidR="005B7C5B" w:rsidRDefault="005B7C5B" w:rsidP="005B7C5B">
      <w:pPr>
        <w:pStyle w:val="ListBullet"/>
      </w:pPr>
      <w:r>
        <w:rPr>
          <w:rFonts w:eastAsia="Times New Roman"/>
          <w:sz w:val="20"/>
        </w:rPr>
        <w:t>generalization across models, domains, source families, or institutions;</w:t>
      </w:r>
    </w:p>
    <w:p w14:paraId="1ED29AB0" w14:textId="77777777" w:rsidR="005B7C5B" w:rsidRDefault="005B7C5B" w:rsidP="005B7C5B">
      <w:pPr>
        <w:pStyle w:val="ListBullet"/>
      </w:pPr>
      <w:r>
        <w:rPr>
          <w:rFonts w:eastAsia="Times New Roman"/>
          <w:sz w:val="20"/>
        </w:rPr>
        <w:t>safety, alignment, compliance, or deployment readiness;</w:t>
      </w:r>
    </w:p>
    <w:p w14:paraId="10852530" w14:textId="77777777" w:rsidR="005B7C5B" w:rsidRDefault="005B7C5B" w:rsidP="005B7C5B">
      <w:pPr>
        <w:pStyle w:val="ListBullet"/>
      </w:pPr>
      <w:r>
        <w:rPr>
          <w:rFonts w:eastAsia="Times New Roman"/>
          <w:sz w:val="20"/>
        </w:rPr>
        <w:t>completeness or truth of the supplied source;</w:t>
      </w:r>
    </w:p>
    <w:p w14:paraId="5EF04E58" w14:textId="77777777" w:rsidR="005B7C5B" w:rsidRDefault="005B7C5B" w:rsidP="005B7C5B">
      <w:pPr>
        <w:pStyle w:val="ListBullet"/>
      </w:pPr>
      <w:r>
        <w:rPr>
          <w:rFonts w:eastAsia="Times New Roman"/>
          <w:sz w:val="20"/>
        </w:rPr>
        <w:t>legal admissibility; or</w:t>
      </w:r>
    </w:p>
    <w:p w14:paraId="43FA70BE" w14:textId="77777777" w:rsidR="005B7C5B" w:rsidRDefault="005B7C5B" w:rsidP="005B7C5B">
      <w:pPr>
        <w:pStyle w:val="ListBullet"/>
      </w:pPr>
      <w:r>
        <w:rPr>
          <w:rFonts w:eastAsia="Times New Roman"/>
          <w:sz w:val="20"/>
        </w:rPr>
        <w:t>independent replication.</w:t>
      </w:r>
    </w:p>
    <w:p w14:paraId="79C3FCA4"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Conclusion</w:t>
      </w:r>
    </w:p>
    <w:p w14:paraId="6EC014B0" w14:textId="77777777" w:rsidR="005B7C5B" w:rsidRDefault="005B7C5B" w:rsidP="005B7C5B">
      <w:pPr>
        <w:keepLines/>
        <w:spacing w:after="112"/>
      </w:pPr>
      <w:r>
        <w:rPr>
          <w:rFonts w:ascii="Times New Roman" w:eastAsia="Times New Roman" w:hAnsi="Times New Roman"/>
          <w:color w:val="000000"/>
          <w:sz w:val="20"/>
        </w:rPr>
        <w:t>This paper reports the first two validated propositions of Longitudinal Computational Dynamics. Within the controlled SubstrateX Aperture program, fixed eligible inputs and governing versions reproduced the same core Runtime Evidence Record, and selected longitudinal measurements distinguished specified transition cases from stable and negative controls better than declared simple baselines.</w:t>
      </w:r>
    </w:p>
    <w:p w14:paraId="59E6A08B" w14:textId="77777777" w:rsidR="005B7C5B" w:rsidRDefault="005B7C5B" w:rsidP="005B7C5B">
      <w:pPr>
        <w:spacing w:after="112"/>
      </w:pPr>
      <w:r>
        <w:rPr>
          <w:rFonts w:ascii="Times New Roman" w:eastAsia="Times New Roman" w:hAnsi="Times New Roman"/>
          <w:color w:val="000000"/>
          <w:sz w:val="20"/>
        </w:rPr>
        <w:t>These results matter because they address the two minimum requirements for a new measurement program: the computation must be stable enough to inspect, and the measurement must differentiate the phenomenon it is intended to represent. Together they move LCD beyond a conceptual vocabulary and toward an empirical science of computational organization through time.</w:t>
      </w:r>
    </w:p>
    <w:p w14:paraId="7FA9D107" w14:textId="77777777" w:rsidR="005B7C5B" w:rsidRDefault="005B7C5B" w:rsidP="005B7C5B">
      <w:pPr>
        <w:spacing w:after="112"/>
      </w:pPr>
      <w:r>
        <w:rPr>
          <w:rFonts w:ascii="Times New Roman" w:eastAsia="Times New Roman" w:hAnsi="Times New Roman"/>
          <w:color w:val="000000"/>
          <w:sz w:val="20"/>
        </w:rPr>
        <w:t>The findings remain bounded. The reviewed public record does not yet contain the numerical result ledger, effect sizes, uncertainty intervals, error matrices, ablation outputs, complete case manifest, frozen release hashes, or independent replication package required for a fully auditable empirical publication. Evidence governance requires that those absences remain visible.</w:t>
      </w:r>
    </w:p>
    <w:p w14:paraId="30C50642" w14:textId="77777777" w:rsidR="005B7C5B" w:rsidRDefault="005B7C5B" w:rsidP="005B7C5B">
      <w:pPr>
        <w:spacing w:after="112"/>
      </w:pPr>
      <w:r>
        <w:rPr>
          <w:rFonts w:ascii="Times New Roman" w:eastAsia="Times New Roman" w:hAnsi="Times New Roman"/>
          <w:color w:val="000000"/>
          <w:sz w:val="20"/>
        </w:rPr>
        <w:t>The next scientific step is therefore concrete: bind the controlled results to a complete hashed release, publish the case-level comparison tables, test leakage and component dependence, evaluate held-out source families and independent operational outcomes, and invite unaffiliated replication.</w:t>
      </w:r>
    </w:p>
    <w:p w14:paraId="118DF09D" w14:textId="77777777" w:rsidR="005B7C5B" w:rsidRDefault="005B7C5B" w:rsidP="005B7C5B">
      <w:pPr>
        <w:spacing w:after="112"/>
      </w:pPr>
      <w:r>
        <w:rPr>
          <w:rFonts w:ascii="Times New Roman" w:eastAsia="Times New Roman" w:hAnsi="Times New Roman"/>
          <w:color w:val="000000"/>
          <w:sz w:val="20"/>
        </w:rPr>
        <w:t>LCD does not become credible because its terminology is comprehensive or its interface is compelling. It becomes credible when its propositions survive controlled comparison, transparent failure analysis, and independent challenge. This paper establishes the first bounded results and the exact evidentiary path required for what follows.</w:t>
      </w:r>
    </w:p>
    <w:p w14:paraId="0D547A53"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References</w:t>
      </w:r>
    </w:p>
    <w:p w14:paraId="7CE579F8"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 Asadi A. </w:t>
      </w:r>
      <w:r>
        <w:rPr>
          <w:rFonts w:ascii="Times New Roman" w:eastAsia="Times New Roman" w:hAnsi="Times New Roman"/>
          <w:i/>
          <w:color w:val="000000"/>
          <w:sz w:val="17"/>
        </w:rPr>
        <w:t>Longitudinal Computational Dynamics: Foundations for the Study of Computational Organization Across Extended Runtime</w:t>
      </w:r>
      <w:r>
        <w:rPr>
          <w:rFonts w:ascii="Times New Roman" w:eastAsia="Times New Roman" w:hAnsi="Times New Roman"/>
          <w:color w:val="000000"/>
          <w:sz w:val="17"/>
        </w:rPr>
        <w:t>. Version 1.0. SubstrateX; 2026.</w:t>
      </w:r>
    </w:p>
    <w:p w14:paraId="0A852BAA"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2. </w:t>
      </w:r>
      <w:proofErr w:type="spellStart"/>
      <w:r>
        <w:rPr>
          <w:rFonts w:ascii="Times New Roman" w:eastAsia="Times New Roman" w:hAnsi="Times New Roman"/>
          <w:color w:val="000000"/>
          <w:sz w:val="17"/>
        </w:rPr>
        <w:t>Strogatz</w:t>
      </w:r>
      <w:proofErr w:type="spellEnd"/>
      <w:r>
        <w:rPr>
          <w:rFonts w:ascii="Times New Roman" w:eastAsia="Times New Roman" w:hAnsi="Times New Roman"/>
          <w:color w:val="000000"/>
          <w:sz w:val="17"/>
        </w:rPr>
        <w:t xml:space="preserve"> SH. </w:t>
      </w:r>
      <w:r>
        <w:rPr>
          <w:rFonts w:ascii="Times New Roman" w:eastAsia="Times New Roman" w:hAnsi="Times New Roman"/>
          <w:i/>
          <w:color w:val="000000"/>
          <w:sz w:val="17"/>
        </w:rPr>
        <w:t>Nonlinear Dynamics and Chaos With Applications to Physics Biology Chemistry and Engineering</w:t>
      </w:r>
      <w:r>
        <w:rPr>
          <w:rFonts w:ascii="Times New Roman" w:eastAsia="Times New Roman" w:hAnsi="Times New Roman"/>
          <w:color w:val="000000"/>
          <w:sz w:val="17"/>
        </w:rPr>
        <w:t>. 2nd ed. Westview Press; 2015.</w:t>
      </w:r>
    </w:p>
    <w:p w14:paraId="31E8C2F2"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3. Scheffer M, </w:t>
      </w:r>
      <w:proofErr w:type="spellStart"/>
      <w:r>
        <w:rPr>
          <w:rFonts w:ascii="Times New Roman" w:eastAsia="Times New Roman" w:hAnsi="Times New Roman"/>
          <w:color w:val="000000"/>
          <w:sz w:val="17"/>
        </w:rPr>
        <w:t>Bascompte</w:t>
      </w:r>
      <w:proofErr w:type="spellEnd"/>
      <w:r>
        <w:rPr>
          <w:rFonts w:ascii="Times New Roman" w:eastAsia="Times New Roman" w:hAnsi="Times New Roman"/>
          <w:color w:val="000000"/>
          <w:sz w:val="17"/>
        </w:rPr>
        <w:t xml:space="preserve"> J, Brock WA, </w:t>
      </w:r>
      <w:proofErr w:type="spellStart"/>
      <w:r>
        <w:rPr>
          <w:rFonts w:ascii="Times New Roman" w:eastAsia="Times New Roman" w:hAnsi="Times New Roman"/>
          <w:color w:val="000000"/>
          <w:sz w:val="17"/>
        </w:rPr>
        <w:t>Brovkin</w:t>
      </w:r>
      <w:proofErr w:type="spellEnd"/>
      <w:r>
        <w:rPr>
          <w:rFonts w:ascii="Times New Roman" w:eastAsia="Times New Roman" w:hAnsi="Times New Roman"/>
          <w:color w:val="000000"/>
          <w:sz w:val="17"/>
        </w:rPr>
        <w:t xml:space="preserve"> V, Carpenter SR, Dakos V, et al. Early-warning signals for critical transitions. </w:t>
      </w:r>
      <w:r>
        <w:rPr>
          <w:rFonts w:ascii="Times New Roman" w:eastAsia="Times New Roman" w:hAnsi="Times New Roman"/>
          <w:i/>
          <w:color w:val="000000"/>
          <w:sz w:val="17"/>
        </w:rPr>
        <w:t>Nature</w:t>
      </w:r>
      <w:r>
        <w:rPr>
          <w:rFonts w:ascii="Times New Roman" w:eastAsia="Times New Roman" w:hAnsi="Times New Roman"/>
          <w:color w:val="000000"/>
          <w:sz w:val="17"/>
        </w:rPr>
        <w:t xml:space="preserve">. 2009;461:53-59. </w:t>
      </w:r>
      <w:hyperlink r:id="rId14">
        <w:r>
          <w:rPr>
            <w:rFonts w:ascii="Times New Roman" w:hAnsi="Times New Roman"/>
            <w:color w:val="2E5D83"/>
            <w:sz w:val="18"/>
            <w:u w:val="single"/>
          </w:rPr>
          <w:t>https://doi.org/10.1038/nature08227</w:t>
        </w:r>
      </w:hyperlink>
    </w:p>
    <w:p w14:paraId="498B7B81"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4. Truong C, </w:t>
      </w:r>
      <w:proofErr w:type="spellStart"/>
      <w:r>
        <w:rPr>
          <w:rFonts w:ascii="Times New Roman" w:eastAsia="Times New Roman" w:hAnsi="Times New Roman"/>
          <w:color w:val="000000"/>
          <w:sz w:val="17"/>
        </w:rPr>
        <w:t>Oudre</w:t>
      </w:r>
      <w:proofErr w:type="spellEnd"/>
      <w:r>
        <w:rPr>
          <w:rFonts w:ascii="Times New Roman" w:eastAsia="Times New Roman" w:hAnsi="Times New Roman"/>
          <w:color w:val="000000"/>
          <w:sz w:val="17"/>
        </w:rPr>
        <w:t xml:space="preserve"> L, </w:t>
      </w:r>
      <w:proofErr w:type="spellStart"/>
      <w:r>
        <w:rPr>
          <w:rFonts w:ascii="Times New Roman" w:eastAsia="Times New Roman" w:hAnsi="Times New Roman"/>
          <w:color w:val="000000"/>
          <w:sz w:val="17"/>
        </w:rPr>
        <w:t>Vayatis</w:t>
      </w:r>
      <w:proofErr w:type="spellEnd"/>
      <w:r>
        <w:rPr>
          <w:rFonts w:ascii="Times New Roman" w:eastAsia="Times New Roman" w:hAnsi="Times New Roman"/>
          <w:color w:val="000000"/>
          <w:sz w:val="17"/>
        </w:rPr>
        <w:t xml:space="preserve"> N. Selective review of offline change point detection methods. </w:t>
      </w:r>
      <w:r>
        <w:rPr>
          <w:rFonts w:ascii="Times New Roman" w:eastAsia="Times New Roman" w:hAnsi="Times New Roman"/>
          <w:i/>
          <w:color w:val="000000"/>
          <w:sz w:val="17"/>
        </w:rPr>
        <w:t>Signal Processing</w:t>
      </w:r>
      <w:r>
        <w:rPr>
          <w:rFonts w:ascii="Times New Roman" w:eastAsia="Times New Roman" w:hAnsi="Times New Roman"/>
          <w:color w:val="000000"/>
          <w:sz w:val="17"/>
        </w:rPr>
        <w:t xml:space="preserve">. 2020;167:107299. </w:t>
      </w:r>
      <w:hyperlink r:id="rId15">
        <w:r>
          <w:rPr>
            <w:rFonts w:ascii="Times New Roman" w:hAnsi="Times New Roman"/>
            <w:color w:val="2E5D83"/>
            <w:sz w:val="18"/>
            <w:u w:val="single"/>
          </w:rPr>
          <w:t>https://doi.org/10.1016/j.sigpro.2019.107299</w:t>
        </w:r>
      </w:hyperlink>
    </w:p>
    <w:p w14:paraId="070DE98B"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5. Dakos V, Carpenter SR, Brock WA, Ellison AM, </w:t>
      </w:r>
      <w:proofErr w:type="spellStart"/>
      <w:r>
        <w:rPr>
          <w:rFonts w:ascii="Times New Roman" w:eastAsia="Times New Roman" w:hAnsi="Times New Roman"/>
          <w:color w:val="000000"/>
          <w:sz w:val="17"/>
        </w:rPr>
        <w:t>Guttal</w:t>
      </w:r>
      <w:proofErr w:type="spellEnd"/>
      <w:r>
        <w:rPr>
          <w:rFonts w:ascii="Times New Roman" w:eastAsia="Times New Roman" w:hAnsi="Times New Roman"/>
          <w:color w:val="000000"/>
          <w:sz w:val="17"/>
        </w:rPr>
        <w:t xml:space="preserve"> V, Ives AR, et al. Methods for detecting early warnings of critical transitions in time series illustrated using simulated ecological data. </w:t>
      </w:r>
      <w:proofErr w:type="spellStart"/>
      <w:r>
        <w:rPr>
          <w:rFonts w:ascii="Times New Roman" w:eastAsia="Times New Roman" w:hAnsi="Times New Roman"/>
          <w:i/>
          <w:color w:val="000000"/>
          <w:sz w:val="17"/>
        </w:rPr>
        <w:t>PLoS</w:t>
      </w:r>
      <w:proofErr w:type="spellEnd"/>
      <w:r>
        <w:rPr>
          <w:rFonts w:ascii="Times New Roman" w:eastAsia="Times New Roman" w:hAnsi="Times New Roman"/>
          <w:i/>
          <w:color w:val="000000"/>
          <w:sz w:val="17"/>
        </w:rPr>
        <w:t xml:space="preserve"> ONE</w:t>
      </w:r>
      <w:r>
        <w:rPr>
          <w:rFonts w:ascii="Times New Roman" w:eastAsia="Times New Roman" w:hAnsi="Times New Roman"/>
          <w:color w:val="000000"/>
          <w:sz w:val="17"/>
        </w:rPr>
        <w:t xml:space="preserve">. 2012;7(7):e41010. </w:t>
      </w:r>
      <w:hyperlink r:id="rId16">
        <w:r>
          <w:rPr>
            <w:rFonts w:ascii="Times New Roman" w:hAnsi="Times New Roman"/>
            <w:color w:val="2E5D83"/>
            <w:sz w:val="18"/>
            <w:u w:val="single"/>
          </w:rPr>
          <w:t>https://doi.org/10.1371/journal.pone.0041010</w:t>
        </w:r>
      </w:hyperlink>
    </w:p>
    <w:p w14:paraId="3BC53FA1"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6. van der Aalst WMP. </w:t>
      </w:r>
      <w:r>
        <w:rPr>
          <w:rFonts w:ascii="Times New Roman" w:eastAsia="Times New Roman" w:hAnsi="Times New Roman"/>
          <w:i/>
          <w:color w:val="000000"/>
          <w:sz w:val="17"/>
        </w:rPr>
        <w:t>Process Mining Data Science in Action</w:t>
      </w:r>
      <w:r>
        <w:rPr>
          <w:rFonts w:ascii="Times New Roman" w:eastAsia="Times New Roman" w:hAnsi="Times New Roman"/>
          <w:color w:val="000000"/>
          <w:sz w:val="17"/>
        </w:rPr>
        <w:t xml:space="preserve">. 2nd ed. Springer; 2016. </w:t>
      </w:r>
      <w:hyperlink r:id="rId17">
        <w:r>
          <w:rPr>
            <w:rFonts w:ascii="Times New Roman" w:hAnsi="Times New Roman"/>
            <w:color w:val="2E5D83"/>
            <w:sz w:val="18"/>
            <w:u w:val="single"/>
          </w:rPr>
          <w:t>https://doi.org/10.1007/978-3-662-49851-4</w:t>
        </w:r>
      </w:hyperlink>
    </w:p>
    <w:p w14:paraId="1926DDEE"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7. Fournier F, </w:t>
      </w:r>
      <w:proofErr w:type="spellStart"/>
      <w:r>
        <w:rPr>
          <w:rFonts w:ascii="Times New Roman" w:eastAsia="Times New Roman" w:hAnsi="Times New Roman"/>
          <w:color w:val="000000"/>
          <w:sz w:val="17"/>
        </w:rPr>
        <w:t>Limonad</w:t>
      </w:r>
      <w:proofErr w:type="spellEnd"/>
      <w:r>
        <w:rPr>
          <w:rFonts w:ascii="Times New Roman" w:eastAsia="Times New Roman" w:hAnsi="Times New Roman"/>
          <w:color w:val="000000"/>
          <w:sz w:val="17"/>
        </w:rPr>
        <w:t xml:space="preserve"> L, David Y. Agentic AI process observability discovering behavioral variability. arXiv; 2025. </w:t>
      </w:r>
      <w:hyperlink r:id="rId18">
        <w:r>
          <w:rPr>
            <w:rFonts w:ascii="Times New Roman" w:hAnsi="Times New Roman"/>
            <w:color w:val="2E5D83"/>
            <w:sz w:val="18"/>
            <w:u w:val="single"/>
          </w:rPr>
          <w:t>https://doi.org/10.48550/arXiv.2505.20127</w:t>
        </w:r>
      </w:hyperlink>
    </w:p>
    <w:p w14:paraId="031CB028"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8. </w:t>
      </w:r>
      <w:proofErr w:type="spellStart"/>
      <w:r>
        <w:rPr>
          <w:rFonts w:ascii="Times New Roman" w:eastAsia="Times New Roman" w:hAnsi="Times New Roman"/>
          <w:color w:val="000000"/>
          <w:sz w:val="17"/>
        </w:rPr>
        <w:t>Majgaonkar</w:t>
      </w:r>
      <w:proofErr w:type="spellEnd"/>
      <w:r>
        <w:rPr>
          <w:rFonts w:ascii="Times New Roman" w:eastAsia="Times New Roman" w:hAnsi="Times New Roman"/>
          <w:color w:val="000000"/>
          <w:sz w:val="17"/>
        </w:rPr>
        <w:t xml:space="preserve"> O, Fei Z, Li X, Sarro F, Ye H. Understanding code agent </w:t>
      </w:r>
      <w:proofErr w:type="spellStart"/>
      <w:r>
        <w:rPr>
          <w:rFonts w:ascii="Times New Roman" w:eastAsia="Times New Roman" w:hAnsi="Times New Roman"/>
          <w:color w:val="000000"/>
          <w:sz w:val="17"/>
        </w:rPr>
        <w:t>behaviour</w:t>
      </w:r>
      <w:proofErr w:type="spellEnd"/>
      <w:r>
        <w:rPr>
          <w:rFonts w:ascii="Times New Roman" w:eastAsia="Times New Roman" w:hAnsi="Times New Roman"/>
          <w:color w:val="000000"/>
          <w:sz w:val="17"/>
        </w:rPr>
        <w:t xml:space="preserve"> an empirical study of success and failure trajectories. arXiv; 2025. </w:t>
      </w:r>
      <w:hyperlink r:id="rId19">
        <w:r>
          <w:rPr>
            <w:rFonts w:ascii="Times New Roman" w:hAnsi="Times New Roman"/>
            <w:color w:val="2E5D83"/>
            <w:sz w:val="18"/>
            <w:u w:val="single"/>
          </w:rPr>
          <w:t>https://doi.org/10.48550/arXiv.2511.00197</w:t>
        </w:r>
      </w:hyperlink>
    </w:p>
    <w:p w14:paraId="7E9EA6F3"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9. Zheng Y, Chang C, Mao Y, Wu T, Huang Y, Ma T, et al. </w:t>
      </w:r>
      <w:proofErr w:type="spellStart"/>
      <w:r>
        <w:rPr>
          <w:rFonts w:ascii="Times New Roman" w:eastAsia="Times New Roman" w:hAnsi="Times New Roman"/>
          <w:color w:val="000000"/>
          <w:sz w:val="17"/>
        </w:rPr>
        <w:t>AgentPProf</w:t>
      </w:r>
      <w:proofErr w:type="spellEnd"/>
      <w:r>
        <w:rPr>
          <w:rFonts w:ascii="Times New Roman" w:eastAsia="Times New Roman" w:hAnsi="Times New Roman"/>
          <w:color w:val="000000"/>
          <w:sz w:val="17"/>
        </w:rPr>
        <w:t xml:space="preserve"> semantic profiler for long horizon AI agents. arXiv; 2026. </w:t>
      </w:r>
      <w:hyperlink r:id="rId20">
        <w:r>
          <w:rPr>
            <w:rFonts w:ascii="Times New Roman" w:hAnsi="Times New Roman"/>
            <w:color w:val="2E5D83"/>
            <w:sz w:val="18"/>
            <w:u w:val="single"/>
          </w:rPr>
          <w:t>https://doi.org/10.48550/arXiv.2609.20301</w:t>
        </w:r>
      </w:hyperlink>
    </w:p>
    <w:p w14:paraId="2777AFDE"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10. Wang Z, Xu Y, Li C, Peng C, Adams B, Hassan AE, Chen TH. Turning interaction history into execution state a runtime layer for long-horizon coding agents. arXiv; 2026. </w:t>
      </w:r>
      <w:hyperlink r:id="rId21">
        <w:r>
          <w:rPr>
            <w:rFonts w:ascii="Times New Roman" w:hAnsi="Times New Roman"/>
            <w:color w:val="2E5D83"/>
            <w:sz w:val="18"/>
            <w:u w:val="single"/>
          </w:rPr>
          <w:t>https://doi.org/10.48550/arXiv.2608.00808</w:t>
        </w:r>
      </w:hyperlink>
    </w:p>
    <w:p w14:paraId="35A29E4F"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11. Souza R, </w:t>
      </w:r>
      <w:proofErr w:type="spellStart"/>
      <w:r>
        <w:rPr>
          <w:rFonts w:ascii="Times New Roman" w:eastAsia="Times New Roman" w:hAnsi="Times New Roman"/>
          <w:color w:val="000000"/>
          <w:sz w:val="17"/>
        </w:rPr>
        <w:t>Gueroudji</w:t>
      </w:r>
      <w:proofErr w:type="spellEnd"/>
      <w:r>
        <w:rPr>
          <w:rFonts w:ascii="Times New Roman" w:eastAsia="Times New Roman" w:hAnsi="Times New Roman"/>
          <w:color w:val="000000"/>
          <w:sz w:val="17"/>
        </w:rPr>
        <w:t xml:space="preserve"> A, DeWitt S, Rosendo D, Ghosal T, Ross R, et al. PROV-AGENT unified provenance for tracking AI agent interactions in agentic workflows. arXiv; 2025. </w:t>
      </w:r>
      <w:hyperlink r:id="rId22">
        <w:r>
          <w:rPr>
            <w:rFonts w:ascii="Times New Roman" w:hAnsi="Times New Roman"/>
            <w:color w:val="2E5D83"/>
            <w:sz w:val="18"/>
            <w:u w:val="single"/>
          </w:rPr>
          <w:t>https://doi.org/10.48550/arXiv.2508.02866</w:t>
        </w:r>
      </w:hyperlink>
    </w:p>
    <w:p w14:paraId="3A9FFB31"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12. Moreau L, </w:t>
      </w:r>
      <w:proofErr w:type="spellStart"/>
      <w:r>
        <w:rPr>
          <w:rFonts w:ascii="Times New Roman" w:eastAsia="Times New Roman" w:hAnsi="Times New Roman"/>
          <w:color w:val="000000"/>
          <w:sz w:val="17"/>
        </w:rPr>
        <w:t>Missier</w:t>
      </w:r>
      <w:proofErr w:type="spellEnd"/>
      <w:r>
        <w:rPr>
          <w:rFonts w:ascii="Times New Roman" w:eastAsia="Times New Roman" w:hAnsi="Times New Roman"/>
          <w:color w:val="000000"/>
          <w:sz w:val="17"/>
        </w:rPr>
        <w:t xml:space="preserve"> P, editors. PROV-DM the PROV data model. W3C Recommendation; 2013. </w:t>
      </w:r>
      <w:hyperlink r:id="rId23">
        <w:r>
          <w:rPr>
            <w:rFonts w:ascii="Times New Roman" w:hAnsi="Times New Roman"/>
            <w:color w:val="2E5D83"/>
            <w:sz w:val="18"/>
            <w:u w:val="single"/>
          </w:rPr>
          <w:t>https://www.w3.org/TR/prov-dm/</w:t>
        </w:r>
      </w:hyperlink>
    </w:p>
    <w:p w14:paraId="26744D03"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13. Pineau J, Vincent-Lamarre P, Sinha K, Larivière V, </w:t>
      </w:r>
      <w:proofErr w:type="spellStart"/>
      <w:r>
        <w:rPr>
          <w:rFonts w:ascii="Times New Roman" w:eastAsia="Times New Roman" w:hAnsi="Times New Roman"/>
          <w:color w:val="000000"/>
          <w:sz w:val="17"/>
        </w:rPr>
        <w:t>Beygelzimer</w:t>
      </w:r>
      <w:proofErr w:type="spellEnd"/>
      <w:r>
        <w:rPr>
          <w:rFonts w:ascii="Times New Roman" w:eastAsia="Times New Roman" w:hAnsi="Times New Roman"/>
          <w:color w:val="000000"/>
          <w:sz w:val="17"/>
        </w:rPr>
        <w:t xml:space="preserve"> A, </w:t>
      </w:r>
      <w:proofErr w:type="spellStart"/>
      <w:r>
        <w:rPr>
          <w:rFonts w:ascii="Times New Roman" w:eastAsia="Times New Roman" w:hAnsi="Times New Roman"/>
          <w:color w:val="000000"/>
          <w:sz w:val="17"/>
        </w:rPr>
        <w:t>d'Alché</w:t>
      </w:r>
      <w:proofErr w:type="spellEnd"/>
      <w:r>
        <w:rPr>
          <w:rFonts w:ascii="Times New Roman" w:eastAsia="Times New Roman" w:hAnsi="Times New Roman"/>
          <w:color w:val="000000"/>
          <w:sz w:val="17"/>
        </w:rPr>
        <w:t xml:space="preserve">-Buc F, et al. Improving reproducibility in machine learning research. </w:t>
      </w:r>
      <w:r>
        <w:rPr>
          <w:rFonts w:ascii="Times New Roman" w:eastAsia="Times New Roman" w:hAnsi="Times New Roman"/>
          <w:i/>
          <w:color w:val="000000"/>
          <w:sz w:val="17"/>
        </w:rPr>
        <w:t>Journal of Machine Learning Research</w:t>
      </w:r>
      <w:r>
        <w:rPr>
          <w:rFonts w:ascii="Times New Roman" w:eastAsia="Times New Roman" w:hAnsi="Times New Roman"/>
          <w:color w:val="000000"/>
          <w:sz w:val="17"/>
        </w:rPr>
        <w:t>. 2021;22(164):1-20.</w:t>
      </w:r>
    </w:p>
    <w:p w14:paraId="56BB2722"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14. Nosek BA, Ebersole CR, DeHaven AC, Mellor DT. The preregistration revolution. </w:t>
      </w:r>
      <w:r>
        <w:rPr>
          <w:rFonts w:ascii="Times New Roman" w:eastAsia="Times New Roman" w:hAnsi="Times New Roman"/>
          <w:i/>
          <w:color w:val="000000"/>
          <w:sz w:val="17"/>
        </w:rPr>
        <w:t>Proceedings of the National Academy of Sciences</w:t>
      </w:r>
      <w:r>
        <w:rPr>
          <w:rFonts w:ascii="Times New Roman" w:eastAsia="Times New Roman" w:hAnsi="Times New Roman"/>
          <w:color w:val="000000"/>
          <w:sz w:val="17"/>
        </w:rPr>
        <w:t xml:space="preserve">. 2018;115(11):2600-2606. </w:t>
      </w:r>
      <w:hyperlink r:id="rId24">
        <w:r>
          <w:rPr>
            <w:rFonts w:ascii="Times New Roman" w:hAnsi="Times New Roman"/>
            <w:color w:val="2E5D83"/>
            <w:sz w:val="18"/>
            <w:u w:val="single"/>
          </w:rPr>
          <w:t>https://doi.org/10.1073/pnas.1708274114</w:t>
        </w:r>
      </w:hyperlink>
    </w:p>
    <w:p w14:paraId="64D92249"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15. Demšar J. Statistical comparisons of classifiers over multiple data sets. </w:t>
      </w:r>
      <w:r>
        <w:rPr>
          <w:rFonts w:ascii="Times New Roman" w:eastAsia="Times New Roman" w:hAnsi="Times New Roman"/>
          <w:i/>
          <w:color w:val="000000"/>
          <w:sz w:val="17"/>
        </w:rPr>
        <w:t>Journal of Machine Learning Research</w:t>
      </w:r>
      <w:r>
        <w:rPr>
          <w:rFonts w:ascii="Times New Roman" w:eastAsia="Times New Roman" w:hAnsi="Times New Roman"/>
          <w:color w:val="000000"/>
          <w:sz w:val="17"/>
        </w:rPr>
        <w:t>. 2006;7:1-30.</w:t>
      </w:r>
    </w:p>
    <w:p w14:paraId="790529AD"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16. Raji ID, Smart A, White RN, Mitchell M, Gebru T, Hutchinson B, et al. Closing the AI accountability gap defining an end-to-end framework for internal algorithmic auditing. In </w:t>
      </w:r>
      <w:r>
        <w:rPr>
          <w:rFonts w:ascii="Times New Roman" w:eastAsia="Times New Roman" w:hAnsi="Times New Roman"/>
          <w:i/>
          <w:color w:val="000000"/>
          <w:sz w:val="17"/>
        </w:rPr>
        <w:t>Proceedings of the 2020 Conference on Fairness Accountability and Transparency</w:t>
      </w:r>
      <w:r>
        <w:rPr>
          <w:rFonts w:ascii="Times New Roman" w:eastAsia="Times New Roman" w:hAnsi="Times New Roman"/>
          <w:color w:val="000000"/>
          <w:sz w:val="17"/>
        </w:rPr>
        <w:t xml:space="preserve">. ACM; 2020:33-44. </w:t>
      </w:r>
      <w:hyperlink r:id="rId25">
        <w:r>
          <w:rPr>
            <w:rFonts w:ascii="Times New Roman" w:hAnsi="Times New Roman"/>
            <w:color w:val="2E5D83"/>
            <w:sz w:val="18"/>
            <w:u w:val="single"/>
          </w:rPr>
          <w:t>https://doi.org/10.1145/3351095.3372873</w:t>
        </w:r>
      </w:hyperlink>
    </w:p>
    <w:p w14:paraId="561CC5E9"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17. Gebru T, Morgenstern J, Vecchione B, Vaughan JW, Wallach H, Daume III H, Crawford K. Datasheets for datasets. </w:t>
      </w:r>
      <w:r>
        <w:rPr>
          <w:rFonts w:ascii="Times New Roman" w:eastAsia="Times New Roman" w:hAnsi="Times New Roman"/>
          <w:i/>
          <w:color w:val="000000"/>
          <w:sz w:val="17"/>
        </w:rPr>
        <w:t>Communications of the ACM</w:t>
      </w:r>
      <w:r>
        <w:rPr>
          <w:rFonts w:ascii="Times New Roman" w:eastAsia="Times New Roman" w:hAnsi="Times New Roman"/>
          <w:color w:val="000000"/>
          <w:sz w:val="17"/>
        </w:rPr>
        <w:t xml:space="preserve">. 2021;64(12):86-92. </w:t>
      </w:r>
      <w:hyperlink r:id="rId26">
        <w:r>
          <w:rPr>
            <w:rFonts w:ascii="Times New Roman" w:hAnsi="Times New Roman"/>
            <w:color w:val="2E5D83"/>
            <w:sz w:val="18"/>
            <w:u w:val="single"/>
          </w:rPr>
          <w:t>https://doi.org/10.1145/3458723</w:t>
        </w:r>
      </w:hyperlink>
    </w:p>
    <w:p w14:paraId="28E1636C"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18. Mitchell M, Wu S, Zaldivar A, Barnes P, Vasserman L, Hutchinson B, et al. Model cards for model reporting. In </w:t>
      </w:r>
      <w:r>
        <w:rPr>
          <w:rFonts w:ascii="Times New Roman" w:eastAsia="Times New Roman" w:hAnsi="Times New Roman"/>
          <w:i/>
          <w:color w:val="000000"/>
          <w:sz w:val="17"/>
        </w:rPr>
        <w:t>Proceedings of the Conference on Fairness Accountability and Transparency</w:t>
      </w:r>
      <w:r>
        <w:rPr>
          <w:rFonts w:ascii="Times New Roman" w:eastAsia="Times New Roman" w:hAnsi="Times New Roman"/>
          <w:color w:val="000000"/>
          <w:sz w:val="17"/>
        </w:rPr>
        <w:t xml:space="preserve">. ACM; 2019:220-229. </w:t>
      </w:r>
      <w:hyperlink r:id="rId27">
        <w:r>
          <w:rPr>
            <w:rFonts w:ascii="Times New Roman" w:hAnsi="Times New Roman"/>
            <w:color w:val="2E5D83"/>
            <w:sz w:val="18"/>
            <w:u w:val="single"/>
          </w:rPr>
          <w:t>https://doi.org/10.1145/3287560.3287596</w:t>
        </w:r>
      </w:hyperlink>
    </w:p>
    <w:p w14:paraId="69AFEFA9"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19. National Institute of Standards and Technology. </w:t>
      </w:r>
      <w:r>
        <w:rPr>
          <w:rFonts w:ascii="Times New Roman" w:eastAsia="Times New Roman" w:hAnsi="Times New Roman"/>
          <w:i/>
          <w:color w:val="000000"/>
          <w:sz w:val="17"/>
        </w:rPr>
        <w:t>Artificial Intelligence Risk Management Framework AI RMF 1.0</w:t>
      </w:r>
      <w:r>
        <w:rPr>
          <w:rFonts w:ascii="Times New Roman" w:eastAsia="Times New Roman" w:hAnsi="Times New Roman"/>
          <w:color w:val="000000"/>
          <w:sz w:val="17"/>
        </w:rPr>
        <w:t xml:space="preserve">. NIST AI 100-1; 2023. </w:t>
      </w:r>
      <w:hyperlink r:id="rId28">
        <w:r>
          <w:rPr>
            <w:rFonts w:ascii="Times New Roman" w:hAnsi="Times New Roman"/>
            <w:color w:val="2E5D83"/>
            <w:sz w:val="18"/>
            <w:u w:val="single"/>
          </w:rPr>
          <w:t>https://doi.org/10.6028/NIST.AI.100-1</w:t>
        </w:r>
      </w:hyperlink>
    </w:p>
    <w:p w14:paraId="1D8A26E6" w14:textId="77777777" w:rsidR="005B7C5B" w:rsidRDefault="005B7C5B" w:rsidP="005B7C5B">
      <w:pPr>
        <w:spacing w:after="64" w:line="240" w:lineRule="auto"/>
        <w:ind w:left="403" w:hanging="403"/>
      </w:pPr>
      <w:r>
        <w:rPr>
          <w:rFonts w:ascii="Times New Roman" w:eastAsia="Times New Roman" w:hAnsi="Times New Roman"/>
          <w:color w:val="000000"/>
          <w:sz w:val="17"/>
        </w:rPr>
        <w:t xml:space="preserve">20. Sculley D, Holt G, Golovin D, Davydov E, Phillips T, Ebner D, et al. Hidden technical debt in machine learning systems. In </w:t>
      </w:r>
      <w:r>
        <w:rPr>
          <w:rFonts w:ascii="Times New Roman" w:eastAsia="Times New Roman" w:hAnsi="Times New Roman"/>
          <w:i/>
          <w:color w:val="000000"/>
          <w:sz w:val="17"/>
        </w:rPr>
        <w:t>Advances in Neural Information Processing Systems 28</w:t>
      </w:r>
      <w:r>
        <w:rPr>
          <w:rFonts w:ascii="Times New Roman" w:eastAsia="Times New Roman" w:hAnsi="Times New Roman"/>
          <w:color w:val="000000"/>
          <w:sz w:val="17"/>
        </w:rPr>
        <w:t>. 2015.</w:t>
      </w:r>
    </w:p>
    <w:p w14:paraId="58030CBC"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Appendix A Minimum Numerical Result Table</w:t>
      </w:r>
    </w:p>
    <w:p w14:paraId="080C7792" w14:textId="77777777" w:rsidR="005B7C5B" w:rsidRDefault="005B7C5B" w:rsidP="005B7C5B">
      <w:pPr>
        <w:keepLines/>
        <w:spacing w:after="112"/>
      </w:pPr>
      <w:r>
        <w:rPr>
          <w:rFonts w:ascii="Times New Roman" w:eastAsia="Times New Roman" w:hAnsi="Times New Roman"/>
          <w:color w:val="000000"/>
          <w:sz w:val="20"/>
        </w:rPr>
        <w:t>The following table should accompany the next evidence-bound release. Empty fields must remain unavailable until populated from the preserved result record.</w:t>
      </w:r>
    </w:p>
    <w:p w14:paraId="6153C566" w14:textId="77777777" w:rsidR="005B7C5B" w:rsidRDefault="005B7C5B" w:rsidP="005B7C5B">
      <w:pPr>
        <w:keepNext/>
        <w:spacing w:before="140" w:after="80"/>
      </w:pPr>
      <w:r>
        <w:rPr>
          <w:rFonts w:ascii="Times New Roman" w:eastAsia="Times New Roman" w:hAnsi="Times New Roman"/>
          <w:i/>
          <w:color w:val="66717C"/>
          <w:sz w:val="18"/>
        </w:rPr>
        <w:t>Table 6. Minimum numerical result table for the next evidence-bound release.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951"/>
        <w:gridCol w:w="6768"/>
      </w:tblGrid>
      <w:tr w:rsidR="005B7C5B" w14:paraId="337D1DCE" w14:textId="77777777">
        <w:trPr>
          <w:cantSplit/>
          <w:tblHeader/>
          <w:jc w:val="center"/>
        </w:trPr>
        <w:tc>
          <w:tcPr>
            <w:tcW w:w="2951" w:type="dxa"/>
            <w:shd w:val="clear" w:color="auto" w:fill="17324D"/>
            <w:tcMar>
              <w:top w:w="70" w:type="dxa"/>
              <w:left w:w="100" w:type="dxa"/>
              <w:bottom w:w="70" w:type="dxa"/>
              <w:right w:w="100" w:type="dxa"/>
            </w:tcMar>
            <w:vAlign w:val="center"/>
          </w:tcPr>
          <w:p w14:paraId="65C8BE15" w14:textId="77777777" w:rsidR="005B7C5B" w:rsidRDefault="005B7C5B" w:rsidP="00F96983">
            <w:pPr>
              <w:spacing w:after="0" w:line="240" w:lineRule="auto"/>
            </w:pPr>
            <w:r>
              <w:rPr>
                <w:rFonts w:ascii="Arial" w:eastAsia="Times New Roman" w:hAnsi="Arial"/>
                <w:b/>
                <w:color w:val="FFFFFF"/>
                <w:sz w:val="17"/>
              </w:rPr>
              <w:t>Field</w:t>
            </w:r>
          </w:p>
        </w:tc>
        <w:tc>
          <w:tcPr>
            <w:tcW w:w="6768" w:type="dxa"/>
            <w:shd w:val="clear" w:color="auto" w:fill="17324D"/>
            <w:tcMar>
              <w:top w:w="70" w:type="dxa"/>
              <w:left w:w="100" w:type="dxa"/>
              <w:bottom w:w="70" w:type="dxa"/>
              <w:right w:w="100" w:type="dxa"/>
            </w:tcMar>
            <w:vAlign w:val="center"/>
          </w:tcPr>
          <w:p w14:paraId="61311846" w14:textId="77777777" w:rsidR="005B7C5B" w:rsidRDefault="005B7C5B" w:rsidP="00F96983">
            <w:pPr>
              <w:spacing w:after="0" w:line="240" w:lineRule="auto"/>
            </w:pPr>
            <w:r>
              <w:rPr>
                <w:rFonts w:ascii="Arial" w:eastAsia="Times New Roman" w:hAnsi="Arial"/>
                <w:b/>
                <w:color w:val="FFFFFF"/>
                <w:sz w:val="17"/>
              </w:rPr>
              <w:t>Required value</w:t>
            </w:r>
          </w:p>
        </w:tc>
      </w:tr>
      <w:tr w:rsidR="005B7C5B" w14:paraId="5D403748" w14:textId="77777777">
        <w:trPr>
          <w:cantSplit/>
          <w:jc w:val="center"/>
        </w:trPr>
        <w:tc>
          <w:tcPr>
            <w:tcW w:w="2951" w:type="dxa"/>
            <w:shd w:val="clear" w:color="auto" w:fill="FFFFFF"/>
            <w:tcMar>
              <w:top w:w="70" w:type="dxa"/>
              <w:left w:w="100" w:type="dxa"/>
              <w:bottom w:w="70" w:type="dxa"/>
              <w:right w:w="100" w:type="dxa"/>
            </w:tcMar>
            <w:vAlign w:val="center"/>
          </w:tcPr>
          <w:p w14:paraId="61ED42A6" w14:textId="77777777" w:rsidR="005B7C5B" w:rsidRDefault="005B7C5B" w:rsidP="00F96983">
            <w:pPr>
              <w:spacing w:after="0" w:line="240" w:lineRule="auto"/>
            </w:pPr>
            <w:r>
              <w:rPr>
                <w:rFonts w:ascii="Times New Roman" w:eastAsia="Times New Roman" w:hAnsi="Times New Roman"/>
                <w:color w:val="000000"/>
                <w:sz w:val="17"/>
              </w:rPr>
              <w:t>Independent transition cases</w:t>
            </w:r>
          </w:p>
        </w:tc>
        <w:tc>
          <w:tcPr>
            <w:tcW w:w="6768" w:type="dxa"/>
            <w:shd w:val="clear" w:color="auto" w:fill="FFFFFF"/>
            <w:tcMar>
              <w:top w:w="70" w:type="dxa"/>
              <w:left w:w="100" w:type="dxa"/>
              <w:bottom w:w="70" w:type="dxa"/>
              <w:right w:w="100" w:type="dxa"/>
            </w:tcMar>
            <w:vAlign w:val="center"/>
          </w:tcPr>
          <w:p w14:paraId="6622B9D6" w14:textId="77777777" w:rsidR="005B7C5B" w:rsidRDefault="005B7C5B" w:rsidP="00F96983">
            <w:pPr>
              <w:spacing w:after="0" w:line="240" w:lineRule="auto"/>
            </w:pPr>
            <w:r>
              <w:rPr>
                <w:rFonts w:ascii="Times New Roman" w:eastAsia="Times New Roman" w:hAnsi="Times New Roman"/>
                <w:color w:val="000000"/>
                <w:sz w:val="17"/>
              </w:rPr>
              <w:t>Count and case IDs</w:t>
            </w:r>
          </w:p>
        </w:tc>
      </w:tr>
      <w:tr w:rsidR="005B7C5B" w14:paraId="000433F4" w14:textId="77777777">
        <w:trPr>
          <w:cantSplit/>
          <w:jc w:val="center"/>
        </w:trPr>
        <w:tc>
          <w:tcPr>
            <w:tcW w:w="2951" w:type="dxa"/>
            <w:shd w:val="clear" w:color="auto" w:fill="F6F9FB"/>
            <w:tcMar>
              <w:top w:w="70" w:type="dxa"/>
              <w:left w:w="100" w:type="dxa"/>
              <w:bottom w:w="70" w:type="dxa"/>
              <w:right w:w="100" w:type="dxa"/>
            </w:tcMar>
            <w:vAlign w:val="center"/>
          </w:tcPr>
          <w:p w14:paraId="0395BE9E" w14:textId="77777777" w:rsidR="005B7C5B" w:rsidRDefault="005B7C5B" w:rsidP="00F96983">
            <w:pPr>
              <w:spacing w:after="0" w:line="240" w:lineRule="auto"/>
            </w:pPr>
            <w:r>
              <w:rPr>
                <w:rFonts w:ascii="Times New Roman" w:eastAsia="Times New Roman" w:hAnsi="Times New Roman"/>
                <w:color w:val="000000"/>
                <w:sz w:val="17"/>
              </w:rPr>
              <w:t>Independent stable controls</w:t>
            </w:r>
          </w:p>
        </w:tc>
        <w:tc>
          <w:tcPr>
            <w:tcW w:w="6768" w:type="dxa"/>
            <w:shd w:val="clear" w:color="auto" w:fill="F6F9FB"/>
            <w:tcMar>
              <w:top w:w="70" w:type="dxa"/>
              <w:left w:w="100" w:type="dxa"/>
              <w:bottom w:w="70" w:type="dxa"/>
              <w:right w:w="100" w:type="dxa"/>
            </w:tcMar>
            <w:vAlign w:val="center"/>
          </w:tcPr>
          <w:p w14:paraId="22BE77BC" w14:textId="77777777" w:rsidR="005B7C5B" w:rsidRDefault="005B7C5B" w:rsidP="00F96983">
            <w:pPr>
              <w:spacing w:after="0" w:line="240" w:lineRule="auto"/>
            </w:pPr>
            <w:r>
              <w:rPr>
                <w:rFonts w:ascii="Times New Roman" w:eastAsia="Times New Roman" w:hAnsi="Times New Roman"/>
                <w:color w:val="000000"/>
                <w:sz w:val="17"/>
              </w:rPr>
              <w:t>Count and case IDs</w:t>
            </w:r>
          </w:p>
        </w:tc>
      </w:tr>
      <w:tr w:rsidR="005B7C5B" w14:paraId="3887C376" w14:textId="77777777">
        <w:trPr>
          <w:cantSplit/>
          <w:jc w:val="center"/>
        </w:trPr>
        <w:tc>
          <w:tcPr>
            <w:tcW w:w="2951" w:type="dxa"/>
            <w:shd w:val="clear" w:color="auto" w:fill="FFFFFF"/>
            <w:tcMar>
              <w:top w:w="70" w:type="dxa"/>
              <w:left w:w="100" w:type="dxa"/>
              <w:bottom w:w="70" w:type="dxa"/>
              <w:right w:w="100" w:type="dxa"/>
            </w:tcMar>
            <w:vAlign w:val="center"/>
          </w:tcPr>
          <w:p w14:paraId="3C49C426" w14:textId="77777777" w:rsidR="005B7C5B" w:rsidRDefault="005B7C5B" w:rsidP="00F96983">
            <w:pPr>
              <w:spacing w:after="0" w:line="240" w:lineRule="auto"/>
            </w:pPr>
            <w:r>
              <w:rPr>
                <w:rFonts w:ascii="Times New Roman" w:eastAsia="Times New Roman" w:hAnsi="Times New Roman"/>
                <w:color w:val="000000"/>
                <w:sz w:val="17"/>
              </w:rPr>
              <w:t>Independent negative controls</w:t>
            </w:r>
          </w:p>
        </w:tc>
        <w:tc>
          <w:tcPr>
            <w:tcW w:w="6768" w:type="dxa"/>
            <w:shd w:val="clear" w:color="auto" w:fill="FFFFFF"/>
            <w:tcMar>
              <w:top w:w="70" w:type="dxa"/>
              <w:left w:w="100" w:type="dxa"/>
              <w:bottom w:w="70" w:type="dxa"/>
              <w:right w:w="100" w:type="dxa"/>
            </w:tcMar>
            <w:vAlign w:val="center"/>
          </w:tcPr>
          <w:p w14:paraId="74F6BB99" w14:textId="77777777" w:rsidR="005B7C5B" w:rsidRDefault="005B7C5B" w:rsidP="00F96983">
            <w:pPr>
              <w:spacing w:after="0" w:line="240" w:lineRule="auto"/>
            </w:pPr>
            <w:r>
              <w:rPr>
                <w:rFonts w:ascii="Times New Roman" w:eastAsia="Times New Roman" w:hAnsi="Times New Roman"/>
                <w:color w:val="000000"/>
                <w:sz w:val="17"/>
              </w:rPr>
              <w:t>Count and case IDs</w:t>
            </w:r>
          </w:p>
        </w:tc>
      </w:tr>
      <w:tr w:rsidR="005B7C5B" w14:paraId="0E8118E3" w14:textId="77777777">
        <w:trPr>
          <w:cantSplit/>
          <w:jc w:val="center"/>
        </w:trPr>
        <w:tc>
          <w:tcPr>
            <w:tcW w:w="2951" w:type="dxa"/>
            <w:shd w:val="clear" w:color="auto" w:fill="F6F9FB"/>
            <w:tcMar>
              <w:top w:w="70" w:type="dxa"/>
              <w:left w:w="100" w:type="dxa"/>
              <w:bottom w:w="70" w:type="dxa"/>
              <w:right w:w="100" w:type="dxa"/>
            </w:tcMar>
            <w:vAlign w:val="center"/>
          </w:tcPr>
          <w:p w14:paraId="4B62487A" w14:textId="77777777" w:rsidR="005B7C5B" w:rsidRDefault="005B7C5B" w:rsidP="00F96983">
            <w:pPr>
              <w:spacing w:after="0" w:line="240" w:lineRule="auto"/>
            </w:pPr>
            <w:r>
              <w:rPr>
                <w:rFonts w:ascii="Times New Roman" w:eastAsia="Times New Roman" w:hAnsi="Times New Roman"/>
                <w:color w:val="000000"/>
                <w:sz w:val="17"/>
              </w:rPr>
              <w:t>Ambiguous or unavailable cases</w:t>
            </w:r>
          </w:p>
        </w:tc>
        <w:tc>
          <w:tcPr>
            <w:tcW w:w="6768" w:type="dxa"/>
            <w:shd w:val="clear" w:color="auto" w:fill="F6F9FB"/>
            <w:tcMar>
              <w:top w:w="70" w:type="dxa"/>
              <w:left w:w="100" w:type="dxa"/>
              <w:bottom w:w="70" w:type="dxa"/>
              <w:right w:w="100" w:type="dxa"/>
            </w:tcMar>
            <w:vAlign w:val="center"/>
          </w:tcPr>
          <w:p w14:paraId="14835C85" w14:textId="77777777" w:rsidR="005B7C5B" w:rsidRDefault="005B7C5B" w:rsidP="00F96983">
            <w:pPr>
              <w:spacing w:after="0" w:line="240" w:lineRule="auto"/>
            </w:pPr>
            <w:r>
              <w:rPr>
                <w:rFonts w:ascii="Times New Roman" w:eastAsia="Times New Roman" w:hAnsi="Times New Roman"/>
                <w:color w:val="000000"/>
                <w:sz w:val="17"/>
              </w:rPr>
              <w:t>Count, IDs, and treatment rule</w:t>
            </w:r>
          </w:p>
        </w:tc>
      </w:tr>
      <w:tr w:rsidR="005B7C5B" w14:paraId="3BE87693" w14:textId="77777777">
        <w:trPr>
          <w:cantSplit/>
          <w:jc w:val="center"/>
        </w:trPr>
        <w:tc>
          <w:tcPr>
            <w:tcW w:w="2951" w:type="dxa"/>
            <w:shd w:val="clear" w:color="auto" w:fill="FFFFFF"/>
            <w:tcMar>
              <w:top w:w="70" w:type="dxa"/>
              <w:left w:w="100" w:type="dxa"/>
              <w:bottom w:w="70" w:type="dxa"/>
              <w:right w:w="100" w:type="dxa"/>
            </w:tcMar>
            <w:vAlign w:val="center"/>
          </w:tcPr>
          <w:p w14:paraId="09A46348" w14:textId="77777777" w:rsidR="005B7C5B" w:rsidRDefault="005B7C5B" w:rsidP="00F96983">
            <w:pPr>
              <w:spacing w:after="0" w:line="240" w:lineRule="auto"/>
            </w:pPr>
            <w:r>
              <w:rPr>
                <w:rFonts w:ascii="Times New Roman" w:eastAsia="Times New Roman" w:hAnsi="Times New Roman"/>
                <w:color w:val="000000"/>
                <w:sz w:val="17"/>
              </w:rPr>
              <w:t>Related variants</w:t>
            </w:r>
          </w:p>
        </w:tc>
        <w:tc>
          <w:tcPr>
            <w:tcW w:w="6768" w:type="dxa"/>
            <w:shd w:val="clear" w:color="auto" w:fill="FFFFFF"/>
            <w:tcMar>
              <w:top w:w="70" w:type="dxa"/>
              <w:left w:w="100" w:type="dxa"/>
              <w:bottom w:w="70" w:type="dxa"/>
              <w:right w:w="100" w:type="dxa"/>
            </w:tcMar>
            <w:vAlign w:val="center"/>
          </w:tcPr>
          <w:p w14:paraId="02817815" w14:textId="77777777" w:rsidR="005B7C5B" w:rsidRDefault="005B7C5B" w:rsidP="00F96983">
            <w:pPr>
              <w:spacing w:after="0" w:line="240" w:lineRule="auto"/>
            </w:pPr>
            <w:r>
              <w:rPr>
                <w:rFonts w:ascii="Times New Roman" w:eastAsia="Times New Roman" w:hAnsi="Times New Roman"/>
                <w:color w:val="000000"/>
                <w:sz w:val="17"/>
              </w:rPr>
              <w:t>Count and dependence groups</w:t>
            </w:r>
          </w:p>
        </w:tc>
      </w:tr>
      <w:tr w:rsidR="005B7C5B" w14:paraId="0B8AE03B" w14:textId="77777777">
        <w:trPr>
          <w:cantSplit/>
          <w:jc w:val="center"/>
        </w:trPr>
        <w:tc>
          <w:tcPr>
            <w:tcW w:w="2951" w:type="dxa"/>
            <w:shd w:val="clear" w:color="auto" w:fill="F6F9FB"/>
            <w:tcMar>
              <w:top w:w="70" w:type="dxa"/>
              <w:left w:w="100" w:type="dxa"/>
              <w:bottom w:w="70" w:type="dxa"/>
              <w:right w:w="100" w:type="dxa"/>
            </w:tcMar>
            <w:vAlign w:val="center"/>
          </w:tcPr>
          <w:p w14:paraId="6019C10A" w14:textId="77777777" w:rsidR="005B7C5B" w:rsidRDefault="005B7C5B" w:rsidP="00F96983">
            <w:pPr>
              <w:spacing w:after="0" w:line="240" w:lineRule="auto"/>
            </w:pPr>
            <w:r>
              <w:rPr>
                <w:rFonts w:ascii="Times New Roman" w:eastAsia="Times New Roman" w:hAnsi="Times New Roman"/>
                <w:color w:val="000000"/>
                <w:sz w:val="17"/>
              </w:rPr>
              <w:t>Replay repetitions</w:t>
            </w:r>
          </w:p>
        </w:tc>
        <w:tc>
          <w:tcPr>
            <w:tcW w:w="6768" w:type="dxa"/>
            <w:shd w:val="clear" w:color="auto" w:fill="F6F9FB"/>
            <w:tcMar>
              <w:top w:w="70" w:type="dxa"/>
              <w:left w:w="100" w:type="dxa"/>
              <w:bottom w:w="70" w:type="dxa"/>
              <w:right w:w="100" w:type="dxa"/>
            </w:tcMar>
            <w:vAlign w:val="center"/>
          </w:tcPr>
          <w:p w14:paraId="570F9318" w14:textId="77777777" w:rsidR="005B7C5B" w:rsidRDefault="005B7C5B" w:rsidP="00F96983">
            <w:pPr>
              <w:spacing w:after="0" w:line="240" w:lineRule="auto"/>
            </w:pPr>
            <w:r>
              <w:rPr>
                <w:rFonts w:ascii="Times New Roman" w:eastAsia="Times New Roman" w:hAnsi="Times New Roman"/>
                <w:color w:val="000000"/>
                <w:sz w:val="17"/>
              </w:rPr>
              <w:t>Per case and per environment</w:t>
            </w:r>
          </w:p>
        </w:tc>
      </w:tr>
      <w:tr w:rsidR="005B7C5B" w14:paraId="34401571" w14:textId="77777777">
        <w:trPr>
          <w:cantSplit/>
          <w:jc w:val="center"/>
        </w:trPr>
        <w:tc>
          <w:tcPr>
            <w:tcW w:w="2951" w:type="dxa"/>
            <w:shd w:val="clear" w:color="auto" w:fill="FFFFFF"/>
            <w:tcMar>
              <w:top w:w="70" w:type="dxa"/>
              <w:left w:w="100" w:type="dxa"/>
              <w:bottom w:w="70" w:type="dxa"/>
              <w:right w:w="100" w:type="dxa"/>
            </w:tcMar>
            <w:vAlign w:val="center"/>
          </w:tcPr>
          <w:p w14:paraId="69C8E91C" w14:textId="77777777" w:rsidR="005B7C5B" w:rsidRDefault="005B7C5B" w:rsidP="00F96983">
            <w:pPr>
              <w:spacing w:after="0" w:line="240" w:lineRule="auto"/>
            </w:pPr>
            <w:r>
              <w:rPr>
                <w:rFonts w:ascii="Times New Roman" w:eastAsia="Times New Roman" w:hAnsi="Times New Roman"/>
                <w:color w:val="000000"/>
                <w:sz w:val="17"/>
              </w:rPr>
              <w:t>Primary LCD method</w:t>
            </w:r>
          </w:p>
        </w:tc>
        <w:tc>
          <w:tcPr>
            <w:tcW w:w="6768" w:type="dxa"/>
            <w:shd w:val="clear" w:color="auto" w:fill="FFFFFF"/>
            <w:tcMar>
              <w:top w:w="70" w:type="dxa"/>
              <w:left w:w="100" w:type="dxa"/>
              <w:bottom w:w="70" w:type="dxa"/>
              <w:right w:w="100" w:type="dxa"/>
            </w:tcMar>
            <w:vAlign w:val="center"/>
          </w:tcPr>
          <w:p w14:paraId="5BA3C16B" w14:textId="77777777" w:rsidR="005B7C5B" w:rsidRDefault="005B7C5B" w:rsidP="00F96983">
            <w:pPr>
              <w:spacing w:after="0" w:line="240" w:lineRule="auto"/>
            </w:pPr>
            <w:r>
              <w:rPr>
                <w:rFonts w:ascii="Times New Roman" w:eastAsia="Times New Roman" w:hAnsi="Times New Roman"/>
                <w:color w:val="000000"/>
                <w:sz w:val="17"/>
              </w:rPr>
              <w:t>Registry IDs, versions, parameters, thresholds</w:t>
            </w:r>
          </w:p>
        </w:tc>
      </w:tr>
      <w:tr w:rsidR="005B7C5B" w14:paraId="62A844F5" w14:textId="77777777">
        <w:trPr>
          <w:cantSplit/>
          <w:jc w:val="center"/>
        </w:trPr>
        <w:tc>
          <w:tcPr>
            <w:tcW w:w="2951" w:type="dxa"/>
            <w:shd w:val="clear" w:color="auto" w:fill="F6F9FB"/>
            <w:tcMar>
              <w:top w:w="70" w:type="dxa"/>
              <w:left w:w="100" w:type="dxa"/>
              <w:bottom w:w="70" w:type="dxa"/>
              <w:right w:w="100" w:type="dxa"/>
            </w:tcMar>
            <w:vAlign w:val="center"/>
          </w:tcPr>
          <w:p w14:paraId="1983554A" w14:textId="77777777" w:rsidR="005B7C5B" w:rsidRDefault="005B7C5B" w:rsidP="00F96983">
            <w:pPr>
              <w:spacing w:after="0" w:line="240" w:lineRule="auto"/>
            </w:pPr>
            <w:r>
              <w:rPr>
                <w:rFonts w:ascii="Times New Roman" w:eastAsia="Times New Roman" w:hAnsi="Times New Roman"/>
                <w:color w:val="000000"/>
                <w:sz w:val="17"/>
              </w:rPr>
              <w:t>Baselines</w:t>
            </w:r>
          </w:p>
        </w:tc>
        <w:tc>
          <w:tcPr>
            <w:tcW w:w="6768" w:type="dxa"/>
            <w:shd w:val="clear" w:color="auto" w:fill="F6F9FB"/>
            <w:tcMar>
              <w:top w:w="70" w:type="dxa"/>
              <w:left w:w="100" w:type="dxa"/>
              <w:bottom w:w="70" w:type="dxa"/>
              <w:right w:w="100" w:type="dxa"/>
            </w:tcMar>
            <w:vAlign w:val="center"/>
          </w:tcPr>
          <w:p w14:paraId="5E6BA510" w14:textId="77777777" w:rsidR="005B7C5B" w:rsidRDefault="005B7C5B" w:rsidP="00F96983">
            <w:pPr>
              <w:spacing w:after="0" w:line="240" w:lineRule="auto"/>
            </w:pPr>
            <w:r>
              <w:rPr>
                <w:rFonts w:ascii="Times New Roman" w:eastAsia="Times New Roman" w:hAnsi="Times New Roman"/>
                <w:color w:val="000000"/>
                <w:sz w:val="17"/>
              </w:rPr>
              <w:t>Algorithm, version, parameters, selection rule</w:t>
            </w:r>
          </w:p>
        </w:tc>
      </w:tr>
      <w:tr w:rsidR="005B7C5B" w14:paraId="14E68DD1" w14:textId="77777777">
        <w:trPr>
          <w:cantSplit/>
          <w:jc w:val="center"/>
        </w:trPr>
        <w:tc>
          <w:tcPr>
            <w:tcW w:w="2951" w:type="dxa"/>
            <w:shd w:val="clear" w:color="auto" w:fill="FFFFFF"/>
            <w:tcMar>
              <w:top w:w="70" w:type="dxa"/>
              <w:left w:w="100" w:type="dxa"/>
              <w:bottom w:w="70" w:type="dxa"/>
              <w:right w:w="100" w:type="dxa"/>
            </w:tcMar>
            <w:vAlign w:val="center"/>
          </w:tcPr>
          <w:p w14:paraId="6C6A454A" w14:textId="77777777" w:rsidR="005B7C5B" w:rsidRDefault="005B7C5B" w:rsidP="00F96983">
            <w:pPr>
              <w:spacing w:after="0" w:line="240" w:lineRule="auto"/>
            </w:pPr>
            <w:r>
              <w:rPr>
                <w:rFonts w:ascii="Times New Roman" w:eastAsia="Times New Roman" w:hAnsi="Times New Roman"/>
                <w:color w:val="000000"/>
                <w:sz w:val="17"/>
              </w:rPr>
              <w:t>Primary discrimination statistic</w:t>
            </w:r>
          </w:p>
        </w:tc>
        <w:tc>
          <w:tcPr>
            <w:tcW w:w="6768" w:type="dxa"/>
            <w:shd w:val="clear" w:color="auto" w:fill="FFFFFF"/>
            <w:tcMar>
              <w:top w:w="70" w:type="dxa"/>
              <w:left w:w="100" w:type="dxa"/>
              <w:bottom w:w="70" w:type="dxa"/>
              <w:right w:w="100" w:type="dxa"/>
            </w:tcMar>
            <w:vAlign w:val="center"/>
          </w:tcPr>
          <w:p w14:paraId="43F1235D" w14:textId="77777777" w:rsidR="005B7C5B" w:rsidRDefault="005B7C5B" w:rsidP="00F96983">
            <w:pPr>
              <w:spacing w:after="0" w:line="240" w:lineRule="auto"/>
            </w:pPr>
            <w:r>
              <w:rPr>
                <w:rFonts w:ascii="Times New Roman" w:eastAsia="Times New Roman" w:hAnsi="Times New Roman"/>
                <w:color w:val="000000"/>
                <w:sz w:val="17"/>
              </w:rPr>
              <w:t>Estimate and direction</w:t>
            </w:r>
          </w:p>
        </w:tc>
      </w:tr>
      <w:tr w:rsidR="005B7C5B" w14:paraId="1B81E27D" w14:textId="77777777">
        <w:trPr>
          <w:cantSplit/>
          <w:jc w:val="center"/>
        </w:trPr>
        <w:tc>
          <w:tcPr>
            <w:tcW w:w="2951" w:type="dxa"/>
            <w:shd w:val="clear" w:color="auto" w:fill="F6F9FB"/>
            <w:tcMar>
              <w:top w:w="70" w:type="dxa"/>
              <w:left w:w="100" w:type="dxa"/>
              <w:bottom w:w="70" w:type="dxa"/>
              <w:right w:w="100" w:type="dxa"/>
            </w:tcMar>
            <w:vAlign w:val="center"/>
          </w:tcPr>
          <w:p w14:paraId="6BDB3508" w14:textId="77777777" w:rsidR="005B7C5B" w:rsidRDefault="005B7C5B" w:rsidP="00F96983">
            <w:pPr>
              <w:spacing w:after="0" w:line="240" w:lineRule="auto"/>
            </w:pPr>
            <w:r>
              <w:rPr>
                <w:rFonts w:ascii="Times New Roman" w:eastAsia="Times New Roman" w:hAnsi="Times New Roman"/>
                <w:color w:val="000000"/>
                <w:sz w:val="17"/>
              </w:rPr>
              <w:t>Effect size</w:t>
            </w:r>
          </w:p>
        </w:tc>
        <w:tc>
          <w:tcPr>
            <w:tcW w:w="6768" w:type="dxa"/>
            <w:shd w:val="clear" w:color="auto" w:fill="F6F9FB"/>
            <w:tcMar>
              <w:top w:w="70" w:type="dxa"/>
              <w:left w:w="100" w:type="dxa"/>
              <w:bottom w:w="70" w:type="dxa"/>
              <w:right w:w="100" w:type="dxa"/>
            </w:tcMar>
            <w:vAlign w:val="center"/>
          </w:tcPr>
          <w:p w14:paraId="538E7741" w14:textId="77777777" w:rsidR="005B7C5B" w:rsidRDefault="005B7C5B" w:rsidP="00F96983">
            <w:pPr>
              <w:spacing w:after="0" w:line="240" w:lineRule="auto"/>
            </w:pPr>
            <w:r>
              <w:rPr>
                <w:rFonts w:ascii="Times New Roman" w:eastAsia="Times New Roman" w:hAnsi="Times New Roman"/>
                <w:color w:val="000000"/>
                <w:sz w:val="17"/>
              </w:rPr>
              <w:t>Definition, estimate, and uncertainty interval</w:t>
            </w:r>
          </w:p>
        </w:tc>
      </w:tr>
      <w:tr w:rsidR="005B7C5B" w14:paraId="73880341" w14:textId="77777777">
        <w:trPr>
          <w:cantSplit/>
          <w:jc w:val="center"/>
        </w:trPr>
        <w:tc>
          <w:tcPr>
            <w:tcW w:w="2951" w:type="dxa"/>
            <w:shd w:val="clear" w:color="auto" w:fill="FFFFFF"/>
            <w:tcMar>
              <w:top w:w="70" w:type="dxa"/>
              <w:left w:w="100" w:type="dxa"/>
              <w:bottom w:w="70" w:type="dxa"/>
              <w:right w:w="100" w:type="dxa"/>
            </w:tcMar>
            <w:vAlign w:val="center"/>
          </w:tcPr>
          <w:p w14:paraId="60DAA223" w14:textId="77777777" w:rsidR="005B7C5B" w:rsidRDefault="005B7C5B" w:rsidP="00F96983">
            <w:pPr>
              <w:spacing w:after="0" w:line="240" w:lineRule="auto"/>
            </w:pPr>
            <w:r>
              <w:rPr>
                <w:rFonts w:ascii="Times New Roman" w:eastAsia="Times New Roman" w:hAnsi="Times New Roman"/>
                <w:color w:val="000000"/>
                <w:sz w:val="17"/>
              </w:rPr>
              <w:t>False-positive and false-negative behavior</w:t>
            </w:r>
          </w:p>
        </w:tc>
        <w:tc>
          <w:tcPr>
            <w:tcW w:w="6768" w:type="dxa"/>
            <w:shd w:val="clear" w:color="auto" w:fill="FFFFFF"/>
            <w:tcMar>
              <w:top w:w="70" w:type="dxa"/>
              <w:left w:w="100" w:type="dxa"/>
              <w:bottom w:w="70" w:type="dxa"/>
              <w:right w:w="100" w:type="dxa"/>
            </w:tcMar>
            <w:vAlign w:val="center"/>
          </w:tcPr>
          <w:p w14:paraId="3E8AF28E" w14:textId="77777777" w:rsidR="005B7C5B" w:rsidRDefault="005B7C5B" w:rsidP="00F96983">
            <w:pPr>
              <w:spacing w:after="0" w:line="240" w:lineRule="auto"/>
            </w:pPr>
            <w:r>
              <w:rPr>
                <w:rFonts w:ascii="Times New Roman" w:eastAsia="Times New Roman" w:hAnsi="Times New Roman"/>
                <w:color w:val="000000"/>
                <w:sz w:val="17"/>
              </w:rPr>
              <w:t>Counts, denominators, and rates</w:t>
            </w:r>
          </w:p>
        </w:tc>
      </w:tr>
      <w:tr w:rsidR="005B7C5B" w14:paraId="001E5681" w14:textId="77777777">
        <w:trPr>
          <w:cantSplit/>
          <w:jc w:val="center"/>
        </w:trPr>
        <w:tc>
          <w:tcPr>
            <w:tcW w:w="2951" w:type="dxa"/>
            <w:shd w:val="clear" w:color="auto" w:fill="F6F9FB"/>
            <w:tcMar>
              <w:top w:w="70" w:type="dxa"/>
              <w:left w:w="100" w:type="dxa"/>
              <w:bottom w:w="70" w:type="dxa"/>
              <w:right w:w="100" w:type="dxa"/>
            </w:tcMar>
            <w:vAlign w:val="center"/>
          </w:tcPr>
          <w:p w14:paraId="43F1D45E" w14:textId="77777777" w:rsidR="005B7C5B" w:rsidRDefault="005B7C5B" w:rsidP="00F96983">
            <w:pPr>
              <w:spacing w:after="0" w:line="240" w:lineRule="auto"/>
            </w:pPr>
            <w:r>
              <w:rPr>
                <w:rFonts w:ascii="Times New Roman" w:eastAsia="Times New Roman" w:hAnsi="Times New Roman"/>
                <w:color w:val="000000"/>
                <w:sz w:val="17"/>
              </w:rPr>
              <w:t>Exclusions</w:t>
            </w:r>
          </w:p>
        </w:tc>
        <w:tc>
          <w:tcPr>
            <w:tcW w:w="6768" w:type="dxa"/>
            <w:shd w:val="clear" w:color="auto" w:fill="F6F9FB"/>
            <w:tcMar>
              <w:top w:w="70" w:type="dxa"/>
              <w:left w:w="100" w:type="dxa"/>
              <w:bottom w:w="70" w:type="dxa"/>
              <w:right w:w="100" w:type="dxa"/>
            </w:tcMar>
            <w:vAlign w:val="center"/>
          </w:tcPr>
          <w:p w14:paraId="2F6CE873" w14:textId="77777777" w:rsidR="005B7C5B" w:rsidRDefault="005B7C5B" w:rsidP="00F96983">
            <w:pPr>
              <w:spacing w:after="0" w:line="240" w:lineRule="auto"/>
            </w:pPr>
            <w:r>
              <w:rPr>
                <w:rFonts w:ascii="Times New Roman" w:eastAsia="Times New Roman" w:hAnsi="Times New Roman"/>
                <w:color w:val="000000"/>
                <w:sz w:val="17"/>
              </w:rPr>
              <w:t>Case IDs and prespecified reasons</w:t>
            </w:r>
          </w:p>
        </w:tc>
      </w:tr>
      <w:tr w:rsidR="005B7C5B" w14:paraId="67D0CACF" w14:textId="77777777">
        <w:trPr>
          <w:cantSplit/>
          <w:jc w:val="center"/>
        </w:trPr>
        <w:tc>
          <w:tcPr>
            <w:tcW w:w="2951" w:type="dxa"/>
            <w:shd w:val="clear" w:color="auto" w:fill="FFFFFF"/>
            <w:tcMar>
              <w:top w:w="70" w:type="dxa"/>
              <w:left w:w="100" w:type="dxa"/>
              <w:bottom w:w="70" w:type="dxa"/>
              <w:right w:w="100" w:type="dxa"/>
            </w:tcMar>
            <w:vAlign w:val="center"/>
          </w:tcPr>
          <w:p w14:paraId="26E9345C" w14:textId="77777777" w:rsidR="005B7C5B" w:rsidRDefault="005B7C5B" w:rsidP="00F96983">
            <w:pPr>
              <w:spacing w:after="0" w:line="240" w:lineRule="auto"/>
            </w:pPr>
            <w:r>
              <w:rPr>
                <w:rFonts w:ascii="Times New Roman" w:eastAsia="Times New Roman" w:hAnsi="Times New Roman"/>
                <w:color w:val="000000"/>
                <w:sz w:val="17"/>
              </w:rPr>
              <w:t>Missingness</w:t>
            </w:r>
          </w:p>
        </w:tc>
        <w:tc>
          <w:tcPr>
            <w:tcW w:w="6768" w:type="dxa"/>
            <w:shd w:val="clear" w:color="auto" w:fill="FFFFFF"/>
            <w:tcMar>
              <w:top w:w="70" w:type="dxa"/>
              <w:left w:w="100" w:type="dxa"/>
              <w:bottom w:w="70" w:type="dxa"/>
              <w:right w:w="100" w:type="dxa"/>
            </w:tcMar>
            <w:vAlign w:val="center"/>
          </w:tcPr>
          <w:p w14:paraId="5B8A6851" w14:textId="77777777" w:rsidR="005B7C5B" w:rsidRDefault="005B7C5B" w:rsidP="00F96983">
            <w:pPr>
              <w:spacing w:after="0" w:line="240" w:lineRule="auto"/>
            </w:pPr>
            <w:r>
              <w:rPr>
                <w:rFonts w:ascii="Times New Roman" w:eastAsia="Times New Roman" w:hAnsi="Times New Roman"/>
                <w:color w:val="000000"/>
                <w:sz w:val="17"/>
              </w:rPr>
              <w:t>Dependency and marker availability by case</w:t>
            </w:r>
          </w:p>
        </w:tc>
      </w:tr>
      <w:tr w:rsidR="005B7C5B" w14:paraId="327964EF" w14:textId="77777777">
        <w:trPr>
          <w:cantSplit/>
          <w:jc w:val="center"/>
        </w:trPr>
        <w:tc>
          <w:tcPr>
            <w:tcW w:w="2951" w:type="dxa"/>
            <w:shd w:val="clear" w:color="auto" w:fill="F6F9FB"/>
            <w:tcMar>
              <w:top w:w="70" w:type="dxa"/>
              <w:left w:w="100" w:type="dxa"/>
              <w:bottom w:w="70" w:type="dxa"/>
              <w:right w:w="100" w:type="dxa"/>
            </w:tcMar>
            <w:vAlign w:val="center"/>
          </w:tcPr>
          <w:p w14:paraId="500149CE" w14:textId="77777777" w:rsidR="005B7C5B" w:rsidRDefault="005B7C5B" w:rsidP="00F96983">
            <w:pPr>
              <w:spacing w:after="0" w:line="240" w:lineRule="auto"/>
            </w:pPr>
            <w:r>
              <w:rPr>
                <w:rFonts w:ascii="Times New Roman" w:eastAsia="Times New Roman" w:hAnsi="Times New Roman"/>
                <w:color w:val="000000"/>
                <w:sz w:val="17"/>
              </w:rPr>
              <w:t>Partitioning</w:t>
            </w:r>
          </w:p>
        </w:tc>
        <w:tc>
          <w:tcPr>
            <w:tcW w:w="6768" w:type="dxa"/>
            <w:shd w:val="clear" w:color="auto" w:fill="F6F9FB"/>
            <w:tcMar>
              <w:top w:w="70" w:type="dxa"/>
              <w:left w:w="100" w:type="dxa"/>
              <w:bottom w:w="70" w:type="dxa"/>
              <w:right w:w="100" w:type="dxa"/>
            </w:tcMar>
            <w:vAlign w:val="center"/>
          </w:tcPr>
          <w:p w14:paraId="5C793F2C" w14:textId="77777777" w:rsidR="005B7C5B" w:rsidRDefault="005B7C5B" w:rsidP="00F96983">
            <w:pPr>
              <w:spacing w:after="0" w:line="240" w:lineRule="auto"/>
            </w:pPr>
            <w:r>
              <w:rPr>
                <w:rFonts w:ascii="Times New Roman" w:eastAsia="Times New Roman" w:hAnsi="Times New Roman"/>
                <w:color w:val="000000"/>
                <w:sz w:val="17"/>
              </w:rPr>
              <w:t>Development, calibration, and held-out assignments</w:t>
            </w:r>
          </w:p>
        </w:tc>
      </w:tr>
      <w:tr w:rsidR="005B7C5B" w14:paraId="2FD11751" w14:textId="77777777">
        <w:trPr>
          <w:cantSplit/>
          <w:jc w:val="center"/>
        </w:trPr>
        <w:tc>
          <w:tcPr>
            <w:tcW w:w="2951" w:type="dxa"/>
            <w:shd w:val="clear" w:color="auto" w:fill="FFFFFF"/>
            <w:tcMar>
              <w:top w:w="70" w:type="dxa"/>
              <w:left w:w="100" w:type="dxa"/>
              <w:bottom w:w="70" w:type="dxa"/>
              <w:right w:w="100" w:type="dxa"/>
            </w:tcMar>
            <w:vAlign w:val="center"/>
          </w:tcPr>
          <w:p w14:paraId="7621F884" w14:textId="77777777" w:rsidR="005B7C5B" w:rsidRDefault="005B7C5B" w:rsidP="00F96983">
            <w:pPr>
              <w:spacing w:after="0" w:line="240" w:lineRule="auto"/>
            </w:pPr>
            <w:r>
              <w:rPr>
                <w:rFonts w:ascii="Times New Roman" w:eastAsia="Times New Roman" w:hAnsi="Times New Roman"/>
                <w:color w:val="000000"/>
                <w:sz w:val="17"/>
              </w:rPr>
              <w:t>Hashes</w:t>
            </w:r>
          </w:p>
        </w:tc>
        <w:tc>
          <w:tcPr>
            <w:tcW w:w="6768" w:type="dxa"/>
            <w:shd w:val="clear" w:color="auto" w:fill="FFFFFF"/>
            <w:tcMar>
              <w:top w:w="70" w:type="dxa"/>
              <w:left w:w="100" w:type="dxa"/>
              <w:bottom w:w="70" w:type="dxa"/>
              <w:right w:w="100" w:type="dxa"/>
            </w:tcMar>
            <w:vAlign w:val="center"/>
          </w:tcPr>
          <w:p w14:paraId="1047DC0A" w14:textId="77777777" w:rsidR="005B7C5B" w:rsidRDefault="005B7C5B" w:rsidP="00F96983">
            <w:pPr>
              <w:spacing w:after="0" w:line="240" w:lineRule="auto"/>
            </w:pPr>
            <w:r>
              <w:rPr>
                <w:rFonts w:ascii="Times New Roman" w:eastAsia="Times New Roman" w:hAnsi="Times New Roman"/>
                <w:color w:val="000000"/>
                <w:sz w:val="17"/>
              </w:rPr>
              <w:t>Source, manifest, methods, build, results, and artifacts</w:t>
            </w:r>
          </w:p>
        </w:tc>
      </w:tr>
    </w:tbl>
    <w:p w14:paraId="0378544C" w14:textId="77777777" w:rsidR="005B7C5B" w:rsidRDefault="005B7C5B" w:rsidP="005B7C5B">
      <w:pPr>
        <w:spacing w:after="20"/>
      </w:pPr>
    </w:p>
    <w:p w14:paraId="3A46A13B"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Appendix B Discrepancy Taxonomy</w:t>
      </w:r>
    </w:p>
    <w:p w14:paraId="42A4220F" w14:textId="77777777" w:rsidR="005B7C5B" w:rsidRDefault="005B7C5B" w:rsidP="005B7C5B">
      <w:pPr>
        <w:keepLines/>
        <w:spacing w:after="112"/>
      </w:pPr>
      <w:r>
        <w:rPr>
          <w:rFonts w:ascii="Times New Roman" w:eastAsia="Times New Roman" w:hAnsi="Times New Roman"/>
          <w:b/>
          <w:color w:val="000000"/>
          <w:sz w:val="20"/>
        </w:rPr>
        <w:t>D0 — Exact match.</w:t>
      </w:r>
      <w:r>
        <w:rPr>
          <w:rFonts w:ascii="Times New Roman" w:eastAsia="Times New Roman" w:hAnsi="Times New Roman"/>
          <w:color w:val="000000"/>
          <w:sz w:val="20"/>
        </w:rPr>
        <w:t xml:space="preserve"> All governed deterministic fields match.</w:t>
      </w:r>
    </w:p>
    <w:p w14:paraId="2DBB7A2F" w14:textId="77777777" w:rsidR="005B7C5B" w:rsidRDefault="005B7C5B" w:rsidP="005B7C5B">
      <w:pPr>
        <w:spacing w:after="112"/>
      </w:pPr>
      <w:r>
        <w:rPr>
          <w:rFonts w:ascii="Times New Roman" w:eastAsia="Times New Roman" w:hAnsi="Times New Roman"/>
          <w:b/>
          <w:color w:val="000000"/>
          <w:sz w:val="20"/>
        </w:rPr>
        <w:t>D1 — Permitted envelope difference.</w:t>
      </w:r>
      <w:r>
        <w:rPr>
          <w:rFonts w:ascii="Times New Roman" w:eastAsia="Times New Roman" w:hAnsi="Times New Roman"/>
          <w:color w:val="000000"/>
          <w:sz w:val="20"/>
        </w:rPr>
        <w:t xml:space="preserve"> Only declared variable metadata differs.</w:t>
      </w:r>
    </w:p>
    <w:p w14:paraId="0C4B23A9" w14:textId="77777777" w:rsidR="005B7C5B" w:rsidRDefault="005B7C5B" w:rsidP="005B7C5B">
      <w:pPr>
        <w:spacing w:after="112"/>
      </w:pPr>
      <w:r>
        <w:rPr>
          <w:rFonts w:ascii="Times New Roman" w:eastAsia="Times New Roman" w:hAnsi="Times New Roman"/>
          <w:b/>
          <w:color w:val="000000"/>
          <w:sz w:val="20"/>
        </w:rPr>
        <w:t>D2 — Numerical tolerance difference.</w:t>
      </w:r>
      <w:r>
        <w:rPr>
          <w:rFonts w:ascii="Times New Roman" w:eastAsia="Times New Roman" w:hAnsi="Times New Roman"/>
          <w:color w:val="000000"/>
          <w:sz w:val="20"/>
        </w:rPr>
        <w:t xml:space="preserve"> A governed numerical field differs within its declared tolerance.</w:t>
      </w:r>
    </w:p>
    <w:p w14:paraId="39A3C1EB" w14:textId="77777777" w:rsidR="005B7C5B" w:rsidRDefault="005B7C5B" w:rsidP="005B7C5B">
      <w:pPr>
        <w:spacing w:after="112"/>
      </w:pPr>
      <w:r>
        <w:rPr>
          <w:rFonts w:ascii="Times New Roman" w:eastAsia="Times New Roman" w:hAnsi="Times New Roman"/>
          <w:b/>
          <w:color w:val="000000"/>
          <w:sz w:val="20"/>
        </w:rPr>
        <w:t>D3 — Environment-sensitive difference.</w:t>
      </w:r>
      <w:r>
        <w:rPr>
          <w:rFonts w:ascii="Times New Roman" w:eastAsia="Times New Roman" w:hAnsi="Times New Roman"/>
          <w:color w:val="000000"/>
          <w:sz w:val="20"/>
        </w:rPr>
        <w:t xml:space="preserve"> A difference is reproducibly associated with an environment and requires a contract decision.</w:t>
      </w:r>
    </w:p>
    <w:p w14:paraId="5A531EB3" w14:textId="77777777" w:rsidR="005B7C5B" w:rsidRDefault="005B7C5B" w:rsidP="005B7C5B">
      <w:pPr>
        <w:spacing w:after="112"/>
      </w:pPr>
      <w:r>
        <w:rPr>
          <w:rFonts w:ascii="Times New Roman" w:eastAsia="Times New Roman" w:hAnsi="Times New Roman"/>
          <w:b/>
          <w:color w:val="000000"/>
          <w:sz w:val="20"/>
        </w:rPr>
        <w:t>D4 — Deterministic-core mismatch.</w:t>
      </w:r>
      <w:r>
        <w:rPr>
          <w:rFonts w:ascii="Times New Roman" w:eastAsia="Times New Roman" w:hAnsi="Times New Roman"/>
          <w:color w:val="000000"/>
          <w:sz w:val="20"/>
        </w:rPr>
        <w:t xml:space="preserve"> A governed field differs outside its equality rule.</w:t>
      </w:r>
    </w:p>
    <w:p w14:paraId="41CD9A0F" w14:textId="77777777" w:rsidR="005B7C5B" w:rsidRDefault="005B7C5B" w:rsidP="005B7C5B">
      <w:pPr>
        <w:spacing w:after="112"/>
      </w:pPr>
      <w:r>
        <w:rPr>
          <w:rFonts w:ascii="Times New Roman" w:eastAsia="Times New Roman" w:hAnsi="Times New Roman"/>
          <w:b/>
          <w:color w:val="000000"/>
          <w:sz w:val="20"/>
        </w:rPr>
        <w:t>D5 — Authority mismatch.</w:t>
      </w:r>
      <w:r>
        <w:rPr>
          <w:rFonts w:ascii="Times New Roman" w:eastAsia="Times New Roman" w:hAnsi="Times New Roman"/>
          <w:color w:val="000000"/>
          <w:sz w:val="20"/>
        </w:rPr>
        <w:t xml:space="preserve"> Evidence identity, source binding, marker authority, claim boundary, Passport, or seal relationships disagree.</w:t>
      </w:r>
    </w:p>
    <w:p w14:paraId="079C13E9" w14:textId="77777777" w:rsidR="005B7C5B" w:rsidRDefault="005B7C5B" w:rsidP="005B7C5B">
      <w:pPr>
        <w:spacing w:after="112"/>
      </w:pPr>
      <w:r>
        <w:rPr>
          <w:rFonts w:ascii="Times New Roman" w:eastAsia="Times New Roman" w:hAnsi="Times New Roman"/>
          <w:b/>
          <w:color w:val="000000"/>
          <w:sz w:val="20"/>
        </w:rPr>
        <w:t>D6 — Comparison contamination.</w:t>
      </w:r>
      <w:r>
        <w:rPr>
          <w:rFonts w:ascii="Times New Roman" w:eastAsia="Times New Roman" w:hAnsi="Times New Roman"/>
          <w:color w:val="000000"/>
          <w:sz w:val="20"/>
        </w:rPr>
        <w:t xml:space="preserve"> Expected outcomes, sample identity, rubric state, or interface state entered evidence computation.</w:t>
      </w:r>
    </w:p>
    <w:p w14:paraId="09B478B0" w14:textId="77777777" w:rsidR="005B7C5B" w:rsidRDefault="005B7C5B" w:rsidP="005B7C5B">
      <w:pPr>
        <w:spacing w:after="112"/>
      </w:pPr>
      <w:r>
        <w:rPr>
          <w:rFonts w:ascii="Times New Roman" w:eastAsia="Times New Roman" w:hAnsi="Times New Roman"/>
          <w:b/>
          <w:color w:val="000000"/>
          <w:sz w:val="20"/>
        </w:rPr>
        <w:t>D7 — Replication blocker.</w:t>
      </w:r>
      <w:r>
        <w:rPr>
          <w:rFonts w:ascii="Times New Roman" w:eastAsia="Times New Roman" w:hAnsi="Times New Roman"/>
          <w:color w:val="000000"/>
          <w:sz w:val="20"/>
        </w:rPr>
        <w:t xml:space="preserve"> Required source, method, environment, or artifact material is unavailable.</w:t>
      </w:r>
    </w:p>
    <w:p w14:paraId="6B869D66" w14:textId="77777777" w:rsidR="005B7C5B" w:rsidRPr="005B7C5B" w:rsidRDefault="005B7C5B" w:rsidP="005B7C5B">
      <w:pPr>
        <w:pStyle w:val="Heading1"/>
        <w:rPr>
          <w:rFonts w:asciiTheme="minorHAnsi" w:hAnsiTheme="minorHAnsi" w:cstheme="minorHAnsi"/>
          <w:b/>
          <w:bCs/>
          <w:color w:val="4F46E5"/>
          <w:sz w:val="28"/>
          <w:szCs w:val="28"/>
        </w:rPr>
      </w:pPr>
      <w:r w:rsidRPr="005B7C5B">
        <w:rPr>
          <w:rFonts w:asciiTheme="minorHAnsi" w:eastAsia="Times New Roman" w:hAnsiTheme="minorHAnsi" w:cstheme="minorHAnsi"/>
          <w:b/>
          <w:bCs/>
          <w:color w:val="4F46E5"/>
          <w:sz w:val="28"/>
          <w:szCs w:val="28"/>
        </w:rPr>
        <w:t>Appendix C Validation Maturity Statement</w:t>
      </w:r>
    </w:p>
    <w:p w14:paraId="26514B5E" w14:textId="77777777" w:rsidR="005B7C5B" w:rsidRDefault="005B7C5B" w:rsidP="005B7C5B">
      <w:pPr>
        <w:keepLines/>
        <w:spacing w:after="112"/>
      </w:pPr>
      <w:r>
        <w:rPr>
          <w:rFonts w:ascii="Times New Roman" w:eastAsia="Times New Roman" w:hAnsi="Times New Roman"/>
          <w:color w:val="000000"/>
          <w:sz w:val="20"/>
        </w:rPr>
        <w:t>The result described in this paper has the following bounded maturity:</w:t>
      </w:r>
    </w:p>
    <w:p w14:paraId="17C50BA0" w14:textId="77777777" w:rsidR="005B7C5B" w:rsidRDefault="005B7C5B" w:rsidP="005B7C5B">
      <w:pPr>
        <w:pStyle w:val="ListBullet"/>
      </w:pPr>
      <w:r>
        <w:rPr>
          <w:rFonts w:eastAsia="Times New Roman"/>
          <w:b/>
          <w:sz w:val="20"/>
        </w:rPr>
        <w:t>Defined:</w:t>
      </w:r>
      <w:r>
        <w:rPr>
          <w:rFonts w:eastAsia="Times New Roman"/>
          <w:sz w:val="20"/>
        </w:rPr>
        <w:t xml:space="preserve"> yes, for the principal scientific and evidence contracts.</w:t>
      </w:r>
    </w:p>
    <w:p w14:paraId="7D5BAE9F" w14:textId="77777777" w:rsidR="005B7C5B" w:rsidRDefault="005B7C5B" w:rsidP="005B7C5B">
      <w:pPr>
        <w:pStyle w:val="ListBullet"/>
      </w:pPr>
      <w:r>
        <w:rPr>
          <w:rFonts w:eastAsia="Times New Roman"/>
          <w:b/>
          <w:sz w:val="20"/>
        </w:rPr>
        <w:t>Implemented:</w:t>
      </w:r>
      <w:r>
        <w:rPr>
          <w:rFonts w:eastAsia="Times New Roman"/>
          <w:sz w:val="20"/>
        </w:rPr>
        <w:t xml:space="preserve"> yes, in the reviewed Aperture reference implementation.</w:t>
      </w:r>
    </w:p>
    <w:p w14:paraId="4146FE20" w14:textId="77777777" w:rsidR="005B7C5B" w:rsidRDefault="005B7C5B" w:rsidP="005B7C5B">
      <w:pPr>
        <w:pStyle w:val="ListBullet"/>
      </w:pPr>
      <w:r>
        <w:rPr>
          <w:rFonts w:eastAsia="Times New Roman"/>
          <w:b/>
          <w:sz w:val="20"/>
        </w:rPr>
        <w:t>Deterministic:</w:t>
      </w:r>
      <w:r>
        <w:rPr>
          <w:rFonts w:eastAsia="Times New Roman"/>
          <w:sz w:val="20"/>
        </w:rPr>
        <w:t xml:space="preserve"> confirmed within the controlled validation program.</w:t>
      </w:r>
    </w:p>
    <w:p w14:paraId="5B8FEEE9" w14:textId="77777777" w:rsidR="005B7C5B" w:rsidRDefault="005B7C5B" w:rsidP="005B7C5B">
      <w:pPr>
        <w:pStyle w:val="ListBullet"/>
      </w:pPr>
      <w:r>
        <w:rPr>
          <w:rFonts w:eastAsia="Times New Roman"/>
          <w:b/>
          <w:sz w:val="20"/>
        </w:rPr>
        <w:t>Validated:</w:t>
      </w:r>
      <w:r>
        <w:rPr>
          <w:rFonts w:eastAsia="Times New Roman"/>
          <w:sz w:val="20"/>
        </w:rPr>
        <w:t xml:space="preserve"> confirmed for the two propositions and controlled conditions stated here.</w:t>
      </w:r>
    </w:p>
    <w:p w14:paraId="3BCD3FF4" w14:textId="77777777" w:rsidR="005B7C5B" w:rsidRDefault="005B7C5B" w:rsidP="005B7C5B">
      <w:pPr>
        <w:pStyle w:val="ListBullet"/>
      </w:pPr>
      <w:r>
        <w:rPr>
          <w:rFonts w:eastAsia="Times New Roman"/>
          <w:b/>
          <w:sz w:val="20"/>
        </w:rPr>
        <w:t>Externally generalized:</w:t>
      </w:r>
      <w:r>
        <w:rPr>
          <w:rFonts w:eastAsia="Times New Roman"/>
          <w:sz w:val="20"/>
        </w:rPr>
        <w:t xml:space="preserve"> not established.</w:t>
      </w:r>
    </w:p>
    <w:p w14:paraId="4C1B4F47" w14:textId="77777777" w:rsidR="005B7C5B" w:rsidRDefault="005B7C5B" w:rsidP="005B7C5B">
      <w:pPr>
        <w:pStyle w:val="ListBullet"/>
      </w:pPr>
      <w:r>
        <w:rPr>
          <w:rFonts w:eastAsia="Times New Roman"/>
          <w:b/>
          <w:sz w:val="20"/>
        </w:rPr>
        <w:t>Prospectively calibrated:</w:t>
      </w:r>
      <w:r>
        <w:rPr>
          <w:rFonts w:eastAsia="Times New Roman"/>
          <w:sz w:val="20"/>
        </w:rPr>
        <w:t xml:space="preserve"> not established.</w:t>
      </w:r>
    </w:p>
    <w:p w14:paraId="4EBD3640" w14:textId="77777777" w:rsidR="005B7C5B" w:rsidRDefault="005B7C5B" w:rsidP="005B7C5B">
      <w:pPr>
        <w:pStyle w:val="ListBullet"/>
      </w:pPr>
      <w:r>
        <w:rPr>
          <w:rFonts w:eastAsia="Times New Roman"/>
          <w:b/>
          <w:sz w:val="20"/>
        </w:rPr>
        <w:t>Independently replicated:</w:t>
      </w:r>
      <w:r>
        <w:rPr>
          <w:rFonts w:eastAsia="Times New Roman"/>
          <w:sz w:val="20"/>
        </w:rPr>
        <w:t xml:space="preserve"> not established.</w:t>
      </w:r>
    </w:p>
    <w:p w14:paraId="46A6EC31" w14:textId="52E2F915" w:rsidR="00F90630" w:rsidRPr="00715E52" w:rsidRDefault="00F90630" w:rsidP="005B7C5B">
      <w:r w:rsidRPr="00715E52">
        <w:rPr>
          <w:rFonts w:ascii="Segoe UI Emoji" w:hAnsi="Segoe UI Emoji" w:cs="Segoe UI Emoji"/>
        </w:rPr>
        <w:t>🔒</w:t>
      </w:r>
      <w:r w:rsidRPr="00715E52">
        <w:t xml:space="preserve"> Original Research &amp; Provenance Declaration</w:t>
      </w:r>
      <w:bookmarkEnd w:id="2"/>
      <w:bookmarkEnd w:id="3"/>
      <w:bookmarkEnd w:id="4"/>
      <w:bookmarkEnd w:id="5"/>
    </w:p>
    <w:p w14:paraId="502A9756" w14:textId="77777777" w:rsidR="00112E22" w:rsidRPr="00715E52" w:rsidRDefault="00112E22" w:rsidP="00112E22">
      <w:pPr>
        <w:rPr>
          <w:rFonts w:cstheme="minorHAnsi"/>
        </w:rPr>
      </w:pPr>
      <w:r w:rsidRPr="00715E52">
        <w:rPr>
          <w:rFonts w:cstheme="minorHAnsi"/>
        </w:rPr>
        <w:t xml:space="preserve">This work forms part of the scientific and engineering program originated and developed by </w:t>
      </w:r>
      <w:r w:rsidRPr="00715E52">
        <w:rPr>
          <w:rFonts w:cstheme="minorHAnsi"/>
          <w:b/>
          <w:bCs/>
        </w:rPr>
        <w:t>Arjay Asadi</w:t>
      </w:r>
      <w:r w:rsidRPr="00715E52">
        <w:rPr>
          <w:rFonts w:cstheme="minorHAnsi"/>
        </w:rPr>
        <w:t xml:space="preserve">, Founding Architect of </w:t>
      </w:r>
      <w:r w:rsidRPr="00715E52">
        <w:rPr>
          <w:rFonts w:cstheme="minorHAnsi"/>
          <w:b/>
          <w:bCs/>
        </w:rPr>
        <w:t>SubstrateX®</w:t>
      </w:r>
      <w:r w:rsidRPr="00715E52">
        <w:rPr>
          <w:rFonts w:cstheme="minorHAnsi"/>
        </w:rPr>
        <w:t xml:space="preserve"> and creator of </w:t>
      </w:r>
      <w:r w:rsidRPr="00715E52">
        <w:rPr>
          <w:rFonts w:cstheme="minorHAnsi"/>
          <w:b/>
          <w:bCs/>
        </w:rPr>
        <w:t>SubstrateX Aperture™</w:t>
      </w:r>
      <w:r w:rsidRPr="00715E52">
        <w:rPr>
          <w:rFonts w:cstheme="minorHAnsi"/>
        </w:rPr>
        <w:t>.</w:t>
      </w:r>
    </w:p>
    <w:p w14:paraId="0CFC9F81" w14:textId="77777777" w:rsidR="00112E22" w:rsidRPr="00715E52" w:rsidRDefault="00112E22" w:rsidP="00112E22">
      <w:pPr>
        <w:rPr>
          <w:rFonts w:cstheme="minorHAnsi"/>
        </w:rPr>
      </w:pPr>
      <w:r w:rsidRPr="00715E52">
        <w:rPr>
          <w:rFonts w:cstheme="minorHAnsi"/>
        </w:rPr>
        <w:t xml:space="preserve">The research investigates </w:t>
      </w:r>
      <w:r w:rsidRPr="00715E52">
        <w:rPr>
          <w:rFonts w:cstheme="minorHAnsi"/>
          <w:b/>
          <w:bCs/>
        </w:rPr>
        <w:t>Intelligence in Motion™</w:t>
      </w:r>
      <w:r w:rsidRPr="00715E52">
        <w:rPr>
          <w:rFonts w:cstheme="minorHAnsi"/>
        </w:rPr>
        <w:t>: the observable development of computational behavior across extended runtime.</w:t>
      </w:r>
    </w:p>
    <w:p w14:paraId="527FC27F" w14:textId="77777777" w:rsidR="00112E22" w:rsidRPr="00715E52" w:rsidRDefault="00112E22" w:rsidP="00112E22">
      <w:pPr>
        <w:rPr>
          <w:rFonts w:cstheme="minorHAnsi"/>
        </w:rPr>
      </w:pPr>
      <w:r w:rsidRPr="00715E52">
        <w:rPr>
          <w:rFonts w:cstheme="minorHAnsi"/>
        </w:rPr>
        <w:t xml:space="preserve">Its current scientific framework is </w:t>
      </w:r>
      <w:r w:rsidRPr="00715E52">
        <w:rPr>
          <w:rFonts w:cstheme="minorHAnsi"/>
          <w:b/>
          <w:bCs/>
        </w:rPr>
        <w:t>Longitudinal Computational Dynamics® (LCD)</w:t>
      </w:r>
      <w:r w:rsidRPr="00715E52">
        <w:rPr>
          <w:rFonts w:cstheme="minorHAnsi"/>
        </w:rPr>
        <w:t xml:space="preserve">, which treats </w:t>
      </w:r>
      <w:r w:rsidRPr="00715E52">
        <w:rPr>
          <w:rFonts w:cstheme="minorHAnsi"/>
          <w:b/>
          <w:bCs/>
        </w:rPr>
        <w:t>Longitudinal Computational Behavior</w:t>
      </w:r>
      <w:r w:rsidRPr="00715E52">
        <w:rPr>
          <w:rFonts w:cstheme="minorHAnsi"/>
        </w:rPr>
        <w:t xml:space="preserve"> as an empirical object of study: the measurable development of computational activity across ordered execution, including persistence, drift, recurrence, coordination, temporal organization, regime formation, transition, failure, and recovery.</w:t>
      </w:r>
    </w:p>
    <w:p w14:paraId="0A55698B" w14:textId="77777777" w:rsidR="00112E22" w:rsidRPr="00715E52" w:rsidRDefault="00112E22" w:rsidP="00112E22">
      <w:pPr>
        <w:rPr>
          <w:rFonts w:cstheme="minorHAnsi"/>
        </w:rPr>
      </w:pPr>
      <w:r w:rsidRPr="00715E52">
        <w:rPr>
          <w:rFonts w:cstheme="minorHAnsi"/>
        </w:rPr>
        <w:t xml:space="preserve">The present body of work emerged from a continuous research program developed between </w:t>
      </w:r>
      <w:r w:rsidRPr="00715E52">
        <w:rPr>
          <w:rFonts w:cstheme="minorHAnsi"/>
          <w:b/>
          <w:bCs/>
        </w:rPr>
        <w:t>2024 and 2026</w:t>
      </w:r>
      <w:r w:rsidRPr="00715E52">
        <w:rPr>
          <w:rFonts w:cstheme="minorHAnsi"/>
        </w:rPr>
        <w:t>, beginning with investigations into inference-phase dynamics, runtime intelligence, recursive behavioral formation, coherence, identity-like persistence, drift, collapse, recovery, and temporal structure.</w:t>
      </w:r>
    </w:p>
    <w:p w14:paraId="09BEA016" w14:textId="77777777" w:rsidR="00112E22" w:rsidRPr="00715E52" w:rsidRDefault="00112E22" w:rsidP="00112E22">
      <w:pPr>
        <w:rPr>
          <w:rFonts w:cstheme="minorHAnsi"/>
        </w:rPr>
      </w:pPr>
      <w:r w:rsidRPr="00715E52">
        <w:rPr>
          <w:rFonts w:cstheme="minorHAnsi"/>
        </w:rPr>
        <w:t xml:space="preserve">Earlier publications were developed under the </w:t>
      </w:r>
      <w:r w:rsidRPr="00715E52">
        <w:rPr>
          <w:rFonts w:cstheme="minorHAnsi"/>
          <w:b/>
          <w:bCs/>
        </w:rPr>
        <w:t>Recursive Science®</w:t>
      </w:r>
      <w:r w:rsidRPr="00715E52">
        <w:rPr>
          <w:rFonts w:cstheme="minorHAnsi"/>
        </w:rPr>
        <w:t xml:space="preserve"> research program. That work remains part of the documented scientific lineage and foundational provenance of the present framework. Its central runtime-dynamics investigations have since been consolidated, refined, and operationalized within </w:t>
      </w:r>
      <w:r w:rsidRPr="00715E52">
        <w:rPr>
          <w:rFonts w:cstheme="minorHAnsi"/>
          <w:b/>
          <w:bCs/>
        </w:rPr>
        <w:t>Longitudinal Computational Dynamics®</w:t>
      </w:r>
      <w:r w:rsidRPr="00715E52">
        <w:rPr>
          <w:rFonts w:cstheme="minorHAnsi"/>
        </w:rPr>
        <w:t>.</w:t>
      </w:r>
    </w:p>
    <w:p w14:paraId="7110345F" w14:textId="77777777" w:rsidR="00112E22" w:rsidRPr="00715E52" w:rsidRDefault="00112E22" w:rsidP="00112E22">
      <w:pPr>
        <w:rPr>
          <w:rFonts w:cstheme="minorHAnsi"/>
        </w:rPr>
      </w:pPr>
      <w:r w:rsidRPr="00715E52">
        <w:rPr>
          <w:rFonts w:cstheme="minorHAnsi"/>
        </w:rPr>
        <w:t>The decisive advance of the current program is not simply terminological.</w:t>
      </w:r>
    </w:p>
    <w:p w14:paraId="15B60C30" w14:textId="77777777" w:rsidR="00112E22" w:rsidRPr="00715E52" w:rsidRDefault="00112E22" w:rsidP="00112E22">
      <w:pPr>
        <w:rPr>
          <w:rFonts w:cstheme="minorHAnsi"/>
        </w:rPr>
      </w:pPr>
      <w:r w:rsidRPr="00715E52">
        <w:rPr>
          <w:rFonts w:cstheme="minorHAnsi"/>
        </w:rPr>
        <w:t>It is the transition from conceptual runtime theory to an integrated scientific and computational architecture in which extended computational behavior can be:</w:t>
      </w:r>
    </w:p>
    <w:p w14:paraId="03FE41AB" w14:textId="77777777" w:rsidR="00112E22" w:rsidRPr="00715E52" w:rsidRDefault="00112E22" w:rsidP="00112E22">
      <w:pPr>
        <w:rPr>
          <w:rFonts w:cstheme="minorHAnsi"/>
        </w:rPr>
      </w:pPr>
      <w:r w:rsidRPr="00715E52">
        <w:rPr>
          <w:rFonts w:cstheme="minorHAnsi"/>
          <w:b/>
          <w:bCs/>
        </w:rPr>
        <w:t>reconstructed, measured, instrumented, investigated, governed by evidence, reproduced, and preserved.</w:t>
      </w:r>
    </w:p>
    <w:p w14:paraId="4C29E163" w14:textId="77777777" w:rsidR="00112E22" w:rsidRPr="00715E52" w:rsidRDefault="00112E22" w:rsidP="00112E22">
      <w:pPr>
        <w:rPr>
          <w:rFonts w:cstheme="minorHAnsi"/>
          <w:b/>
          <w:bCs/>
        </w:rPr>
      </w:pPr>
      <w:r w:rsidRPr="00715E52">
        <w:rPr>
          <w:rFonts w:cstheme="minorHAnsi"/>
          <w:b/>
          <w:bCs/>
        </w:rPr>
        <w:t>Scientific and Architectural Hierarchy</w:t>
      </w:r>
    </w:p>
    <w:p w14:paraId="7DB86981" w14:textId="77777777" w:rsidR="00112E22" w:rsidRPr="00715E52" w:rsidRDefault="00112E22" w:rsidP="00112E22">
      <w:pPr>
        <w:rPr>
          <w:rFonts w:cstheme="minorHAnsi"/>
        </w:rPr>
      </w:pPr>
      <w:r w:rsidRPr="00715E52">
        <w:rPr>
          <w:rFonts w:cstheme="minorHAnsi"/>
        </w:rPr>
        <w:t>The canonical hierarchy of the current work is:</w:t>
      </w:r>
    </w:p>
    <w:p w14:paraId="26B47233" w14:textId="77777777" w:rsidR="00112E22" w:rsidRPr="00715E52" w:rsidRDefault="00112E22" w:rsidP="00112E22">
      <w:pPr>
        <w:rPr>
          <w:rFonts w:cstheme="minorHAnsi"/>
        </w:rPr>
      </w:pPr>
      <w:r w:rsidRPr="00715E52">
        <w:rPr>
          <w:rFonts w:cstheme="minorHAnsi"/>
          <w:b/>
          <w:bCs/>
        </w:rPr>
        <w:t>Intelligence in Motion™</w:t>
      </w:r>
      <w:r w:rsidRPr="00715E52">
        <w:rPr>
          <w:rFonts w:cstheme="minorHAnsi"/>
        </w:rPr>
        <w:br/>
        <w:t>Governing scientific proposition</w:t>
      </w:r>
    </w:p>
    <w:p w14:paraId="738DDD93" w14:textId="77777777" w:rsidR="00112E22" w:rsidRPr="00715E52" w:rsidRDefault="00112E22" w:rsidP="00112E22">
      <w:pPr>
        <w:rPr>
          <w:rFonts w:cstheme="minorHAnsi"/>
        </w:rPr>
      </w:pPr>
      <w:r w:rsidRPr="00715E52">
        <w:rPr>
          <w:rFonts w:cstheme="minorHAnsi"/>
          <w:b/>
          <w:bCs/>
        </w:rPr>
        <w:t>Longitudinal Computational Dynamics®</w:t>
      </w:r>
      <w:r w:rsidRPr="00715E52">
        <w:rPr>
          <w:rFonts w:cstheme="minorHAnsi"/>
        </w:rPr>
        <w:br/>
        <w:t>Scientific framework</w:t>
      </w:r>
    </w:p>
    <w:p w14:paraId="247A4272" w14:textId="77777777" w:rsidR="00112E22" w:rsidRPr="00715E52" w:rsidRDefault="00112E22" w:rsidP="00112E22">
      <w:pPr>
        <w:rPr>
          <w:rFonts w:cstheme="minorHAnsi"/>
        </w:rPr>
      </w:pPr>
      <w:r w:rsidRPr="00715E52">
        <w:rPr>
          <w:rFonts w:cstheme="minorHAnsi"/>
          <w:b/>
          <w:bCs/>
        </w:rPr>
        <w:t>Longitudinal Computational Behavior</w:t>
      </w:r>
      <w:r w:rsidRPr="00715E52">
        <w:rPr>
          <w:rFonts w:cstheme="minorHAnsi"/>
        </w:rPr>
        <w:br/>
        <w:t>Primary empirical object</w:t>
      </w:r>
    </w:p>
    <w:p w14:paraId="0153D494" w14:textId="77777777" w:rsidR="00112E22" w:rsidRPr="00715E52" w:rsidRDefault="00112E22" w:rsidP="00112E22">
      <w:pPr>
        <w:rPr>
          <w:rFonts w:cstheme="minorHAnsi"/>
        </w:rPr>
      </w:pPr>
      <w:r w:rsidRPr="00715E52">
        <w:rPr>
          <w:rFonts w:cstheme="minorHAnsi"/>
          <w:b/>
          <w:bCs/>
        </w:rPr>
        <w:t>Runtime Evidence</w:t>
      </w:r>
      <w:r w:rsidRPr="00715E52">
        <w:rPr>
          <w:rFonts w:cstheme="minorHAnsi"/>
        </w:rPr>
        <w:br/>
        <w:t>Observable evidentiary substrate through which longitudinal computational behavior is reconstructed and examined</w:t>
      </w:r>
    </w:p>
    <w:p w14:paraId="080ED7FC" w14:textId="77777777" w:rsidR="00112E22" w:rsidRPr="00715E52" w:rsidRDefault="00112E22" w:rsidP="00112E22">
      <w:pPr>
        <w:rPr>
          <w:rFonts w:cstheme="minorHAnsi"/>
        </w:rPr>
      </w:pPr>
      <w:r w:rsidRPr="00715E52">
        <w:rPr>
          <w:rFonts w:cstheme="minorHAnsi"/>
          <w:b/>
          <w:bCs/>
        </w:rPr>
        <w:t>Evidence-Governed Computation™</w:t>
      </w:r>
      <w:r w:rsidRPr="00715E52">
        <w:rPr>
          <w:rFonts w:cstheme="minorHAnsi"/>
        </w:rPr>
        <w:br/>
        <w:t>Architectural discipline governing what computational systems may legitimately claim from available evidence</w:t>
      </w:r>
    </w:p>
    <w:p w14:paraId="3C808416" w14:textId="77777777" w:rsidR="00112E22" w:rsidRPr="00715E52" w:rsidRDefault="00112E22" w:rsidP="00112E22">
      <w:pPr>
        <w:rPr>
          <w:rFonts w:cstheme="minorHAnsi"/>
        </w:rPr>
      </w:pPr>
      <w:r w:rsidRPr="00715E52">
        <w:rPr>
          <w:rFonts w:cstheme="minorHAnsi"/>
          <w:b/>
          <w:bCs/>
        </w:rPr>
        <w:t>Runtime Evidence Infrastructure</w:t>
      </w:r>
      <w:r w:rsidRPr="00715E52">
        <w:rPr>
          <w:rFonts w:cstheme="minorHAnsi"/>
        </w:rPr>
        <w:br/>
        <w:t>Integrated computational architecture for reconstruction, telemetry, evidence authority, investigation, reproducibility, and preservation</w:t>
      </w:r>
    </w:p>
    <w:p w14:paraId="29582569" w14:textId="77777777" w:rsidR="00112E22" w:rsidRPr="00715E52" w:rsidRDefault="00112E22" w:rsidP="00112E22">
      <w:pPr>
        <w:rPr>
          <w:rFonts w:cstheme="minorHAnsi"/>
        </w:rPr>
      </w:pPr>
      <w:r w:rsidRPr="00715E52">
        <w:rPr>
          <w:rFonts w:cstheme="minorHAnsi"/>
          <w:b/>
          <w:bCs/>
        </w:rPr>
        <w:t>SubstrateX Aperture™</w:t>
      </w:r>
      <w:r w:rsidRPr="00715E52">
        <w:rPr>
          <w:rFonts w:cstheme="minorHAnsi"/>
        </w:rPr>
        <w:br/>
        <w:t>Runtime Evidence Observatory and principal reference implementation of the architecture</w:t>
      </w:r>
    </w:p>
    <w:p w14:paraId="359FEE09" w14:textId="77777777" w:rsidR="00112E22" w:rsidRPr="00715E52" w:rsidRDefault="00112E22" w:rsidP="00112E22">
      <w:pPr>
        <w:rPr>
          <w:rFonts w:cstheme="minorHAnsi"/>
        </w:rPr>
      </w:pPr>
      <w:r w:rsidRPr="00715E52">
        <w:rPr>
          <w:rFonts w:cstheme="minorHAnsi"/>
          <w:b/>
          <w:bCs/>
        </w:rPr>
        <w:t>Evidence Commons™</w:t>
      </w:r>
      <w:r w:rsidRPr="00715E52">
        <w:rPr>
          <w:rFonts w:cstheme="minorHAnsi"/>
        </w:rPr>
        <w:br/>
        <w:t>Preservation initiative for portable, inspectable, and challengeable Runtime Evidence artifacts</w:t>
      </w:r>
    </w:p>
    <w:p w14:paraId="537B8E49" w14:textId="77777777" w:rsidR="00112E22" w:rsidRPr="00715E52" w:rsidRDefault="00112E22" w:rsidP="00112E22">
      <w:pPr>
        <w:rPr>
          <w:rFonts w:cstheme="minorHAnsi"/>
        </w:rPr>
      </w:pPr>
      <w:r w:rsidRPr="00715E52">
        <w:rPr>
          <w:rFonts w:cstheme="minorHAnsi"/>
        </w:rPr>
        <w:pict w14:anchorId="4D546800">
          <v:rect id="_x0000_i1063" style="width:0;height:1.5pt" o:hralign="center" o:hrstd="t" o:hr="t" fillcolor="#a0a0a0" stroked="f"/>
        </w:pict>
      </w:r>
    </w:p>
    <w:p w14:paraId="460E5724" w14:textId="77777777" w:rsidR="00112E22" w:rsidRPr="00715E52" w:rsidRDefault="00112E22" w:rsidP="00112E22">
      <w:pPr>
        <w:rPr>
          <w:rFonts w:cstheme="minorHAnsi"/>
          <w:b/>
          <w:bCs/>
        </w:rPr>
      </w:pPr>
      <w:r w:rsidRPr="00715E52">
        <w:rPr>
          <w:rFonts w:cstheme="minorHAnsi"/>
          <w:b/>
          <w:bCs/>
        </w:rPr>
        <w:t>Provenance and Original Contribution</w:t>
      </w:r>
    </w:p>
    <w:p w14:paraId="2F31EB01" w14:textId="77777777" w:rsidR="00112E22" w:rsidRPr="00715E52" w:rsidRDefault="00112E22" w:rsidP="00112E22">
      <w:pPr>
        <w:rPr>
          <w:rFonts w:cstheme="minorHAnsi"/>
        </w:rPr>
      </w:pPr>
      <w:r w:rsidRPr="00715E52">
        <w:rPr>
          <w:rFonts w:cstheme="minorHAnsi"/>
        </w:rPr>
        <w:t>The contribution of this research program lies not in claiming invention of logging, provenance, observability, dynamical systems, evidence theory, audit trails, or mathematical concepts individually.</w:t>
      </w:r>
    </w:p>
    <w:p w14:paraId="2911408F" w14:textId="77777777" w:rsidR="00112E22" w:rsidRPr="00715E52" w:rsidRDefault="00112E22" w:rsidP="00112E22">
      <w:pPr>
        <w:rPr>
          <w:rFonts w:cstheme="minorHAnsi"/>
        </w:rPr>
      </w:pPr>
      <w:r w:rsidRPr="00715E52">
        <w:rPr>
          <w:rFonts w:cstheme="minorHAnsi"/>
        </w:rPr>
        <w:t>Its contribution is the integration and operationalization of these and related disciplines around a specific scientific object:</w:t>
      </w:r>
    </w:p>
    <w:p w14:paraId="15E67476" w14:textId="77777777" w:rsidR="00112E22" w:rsidRPr="00715E52" w:rsidRDefault="00112E22" w:rsidP="00112E22">
      <w:pPr>
        <w:rPr>
          <w:rFonts w:cstheme="minorHAnsi"/>
        </w:rPr>
      </w:pPr>
      <w:r w:rsidRPr="00715E52">
        <w:rPr>
          <w:rFonts w:cstheme="minorHAnsi"/>
          <w:b/>
          <w:bCs/>
        </w:rPr>
        <w:t>the longitudinal computational trajectory itself as a measurable, evidence-bearing object.</w:t>
      </w:r>
    </w:p>
    <w:p w14:paraId="450E836C" w14:textId="77777777" w:rsidR="00112E22" w:rsidRPr="00715E52" w:rsidRDefault="00112E22" w:rsidP="00112E22">
      <w:pPr>
        <w:rPr>
          <w:rFonts w:cstheme="minorHAnsi"/>
        </w:rPr>
      </w:pPr>
      <w:r w:rsidRPr="00715E52">
        <w:rPr>
          <w:rFonts w:cstheme="minorHAnsi"/>
        </w:rPr>
        <w:t>This includes the development and integration of concepts, methods, architectures, and instruments concerned with:</w:t>
      </w:r>
    </w:p>
    <w:p w14:paraId="58D494AF" w14:textId="77777777" w:rsidR="00112E22" w:rsidRPr="00715E52" w:rsidRDefault="00112E22">
      <w:pPr>
        <w:numPr>
          <w:ilvl w:val="0"/>
          <w:numId w:val="1"/>
        </w:numPr>
        <w:rPr>
          <w:rFonts w:cstheme="minorHAnsi"/>
        </w:rPr>
      </w:pPr>
      <w:r w:rsidRPr="00715E52">
        <w:rPr>
          <w:rFonts w:cstheme="minorHAnsi"/>
        </w:rPr>
        <w:t>Canonical Runtime formation</w:t>
      </w:r>
    </w:p>
    <w:p w14:paraId="6E58DE3B" w14:textId="77777777" w:rsidR="00112E22" w:rsidRPr="00715E52" w:rsidRDefault="00112E22">
      <w:pPr>
        <w:numPr>
          <w:ilvl w:val="0"/>
          <w:numId w:val="1"/>
        </w:numPr>
        <w:rPr>
          <w:rFonts w:cstheme="minorHAnsi"/>
        </w:rPr>
      </w:pPr>
      <w:r w:rsidRPr="00715E52">
        <w:rPr>
          <w:rFonts w:cstheme="minorHAnsi"/>
        </w:rPr>
        <w:t>longitudinal computational trajectories and Worldlines</w:t>
      </w:r>
    </w:p>
    <w:p w14:paraId="62526369" w14:textId="77777777" w:rsidR="00112E22" w:rsidRPr="00715E52" w:rsidRDefault="00112E22">
      <w:pPr>
        <w:numPr>
          <w:ilvl w:val="0"/>
          <w:numId w:val="1"/>
        </w:numPr>
        <w:rPr>
          <w:rFonts w:cstheme="minorHAnsi"/>
        </w:rPr>
      </w:pPr>
      <w:r w:rsidRPr="00715E52">
        <w:rPr>
          <w:rFonts w:cstheme="minorHAnsi"/>
        </w:rPr>
        <w:t>Chronodynamics and symbolic runtime time</w:t>
      </w:r>
    </w:p>
    <w:p w14:paraId="0DBC953B" w14:textId="77777777" w:rsidR="00112E22" w:rsidRPr="00715E52" w:rsidRDefault="00112E22">
      <w:pPr>
        <w:numPr>
          <w:ilvl w:val="0"/>
          <w:numId w:val="1"/>
        </w:numPr>
        <w:rPr>
          <w:rFonts w:cstheme="minorHAnsi"/>
        </w:rPr>
      </w:pPr>
      <w:r w:rsidRPr="00715E52">
        <w:rPr>
          <w:rFonts w:cstheme="minorHAnsi"/>
        </w:rPr>
        <w:t>behavioral telemetry</w:t>
      </w:r>
    </w:p>
    <w:p w14:paraId="16B5A2FF" w14:textId="77777777" w:rsidR="00112E22" w:rsidRPr="00715E52" w:rsidRDefault="00112E22">
      <w:pPr>
        <w:numPr>
          <w:ilvl w:val="0"/>
          <w:numId w:val="1"/>
        </w:numPr>
        <w:rPr>
          <w:rFonts w:cstheme="minorHAnsi"/>
        </w:rPr>
      </w:pPr>
      <w:r w:rsidRPr="00715E52">
        <w:rPr>
          <w:rFonts w:cstheme="minorHAnsi"/>
        </w:rPr>
        <w:t>stability, drift, pressure, recurrence, and boundary formation</w:t>
      </w:r>
    </w:p>
    <w:p w14:paraId="513ACAB5" w14:textId="77777777" w:rsidR="00112E22" w:rsidRPr="00715E52" w:rsidRDefault="00112E22">
      <w:pPr>
        <w:numPr>
          <w:ilvl w:val="0"/>
          <w:numId w:val="1"/>
        </w:numPr>
        <w:rPr>
          <w:rFonts w:cstheme="minorHAnsi"/>
        </w:rPr>
      </w:pPr>
      <w:r w:rsidRPr="00715E52">
        <w:rPr>
          <w:rFonts w:cstheme="minorHAnsi"/>
        </w:rPr>
        <w:t>governed temporal markers</w:t>
      </w:r>
    </w:p>
    <w:p w14:paraId="577F52D3" w14:textId="77777777" w:rsidR="00112E22" w:rsidRPr="00715E52" w:rsidRDefault="00112E22">
      <w:pPr>
        <w:numPr>
          <w:ilvl w:val="0"/>
          <w:numId w:val="1"/>
        </w:numPr>
        <w:rPr>
          <w:rFonts w:cstheme="minorHAnsi"/>
        </w:rPr>
      </w:pPr>
      <w:r w:rsidRPr="00715E52">
        <w:rPr>
          <w:rFonts w:cstheme="minorHAnsi"/>
        </w:rPr>
        <w:t>Steering Windows and evidence-qualified lead-time</w:t>
      </w:r>
    </w:p>
    <w:p w14:paraId="4A995705" w14:textId="77777777" w:rsidR="00112E22" w:rsidRPr="00715E52" w:rsidRDefault="00112E22">
      <w:pPr>
        <w:numPr>
          <w:ilvl w:val="0"/>
          <w:numId w:val="1"/>
        </w:numPr>
        <w:rPr>
          <w:rFonts w:cstheme="minorHAnsi"/>
        </w:rPr>
      </w:pPr>
      <w:r w:rsidRPr="00715E52">
        <w:rPr>
          <w:rFonts w:cstheme="minorHAnsi"/>
        </w:rPr>
        <w:t>instrument contracts and bounded scientific projections</w:t>
      </w:r>
    </w:p>
    <w:p w14:paraId="77AC4A02" w14:textId="77777777" w:rsidR="00112E22" w:rsidRPr="00715E52" w:rsidRDefault="00112E22">
      <w:pPr>
        <w:numPr>
          <w:ilvl w:val="0"/>
          <w:numId w:val="1"/>
        </w:numPr>
        <w:rPr>
          <w:rFonts w:cstheme="minorHAnsi"/>
        </w:rPr>
      </w:pPr>
      <w:r w:rsidRPr="00715E52">
        <w:rPr>
          <w:rFonts w:cstheme="minorHAnsi"/>
        </w:rPr>
        <w:t>Current Evidence Run identity</w:t>
      </w:r>
    </w:p>
    <w:p w14:paraId="27A01DD9" w14:textId="77777777" w:rsidR="00112E22" w:rsidRPr="00715E52" w:rsidRDefault="00112E22">
      <w:pPr>
        <w:numPr>
          <w:ilvl w:val="0"/>
          <w:numId w:val="1"/>
        </w:numPr>
        <w:rPr>
          <w:rFonts w:cstheme="minorHAnsi"/>
        </w:rPr>
      </w:pPr>
      <w:r w:rsidRPr="00715E52">
        <w:rPr>
          <w:rFonts w:cstheme="minorHAnsi"/>
        </w:rPr>
        <w:t>Runtime Evidence Authority</w:t>
      </w:r>
    </w:p>
    <w:p w14:paraId="44A5CFB2" w14:textId="77777777" w:rsidR="00112E22" w:rsidRPr="00715E52" w:rsidRDefault="00112E22">
      <w:pPr>
        <w:numPr>
          <w:ilvl w:val="0"/>
          <w:numId w:val="1"/>
        </w:numPr>
        <w:rPr>
          <w:rFonts w:cstheme="minorHAnsi"/>
        </w:rPr>
      </w:pPr>
      <w:r w:rsidRPr="00715E52">
        <w:rPr>
          <w:rFonts w:cstheme="minorHAnsi"/>
        </w:rPr>
        <w:t>Runtime Evidence Passport</w:t>
      </w:r>
    </w:p>
    <w:p w14:paraId="281DAC8B" w14:textId="77777777" w:rsidR="00112E22" w:rsidRPr="00715E52" w:rsidRDefault="00112E22">
      <w:pPr>
        <w:numPr>
          <w:ilvl w:val="0"/>
          <w:numId w:val="1"/>
        </w:numPr>
        <w:rPr>
          <w:rFonts w:cstheme="minorHAnsi"/>
        </w:rPr>
      </w:pPr>
      <w:r w:rsidRPr="00715E52">
        <w:rPr>
          <w:rFonts w:cstheme="minorHAnsi"/>
        </w:rPr>
        <w:t>reversible evidence lineage</w:t>
      </w:r>
    </w:p>
    <w:p w14:paraId="157111E9" w14:textId="77777777" w:rsidR="00112E22" w:rsidRPr="00715E52" w:rsidRDefault="00112E22">
      <w:pPr>
        <w:numPr>
          <w:ilvl w:val="0"/>
          <w:numId w:val="1"/>
        </w:numPr>
        <w:rPr>
          <w:rFonts w:cstheme="minorHAnsi"/>
        </w:rPr>
      </w:pPr>
      <w:r w:rsidRPr="00715E52">
        <w:rPr>
          <w:rFonts w:cstheme="minorHAnsi"/>
        </w:rPr>
        <w:t>Guided Investigation</w:t>
      </w:r>
    </w:p>
    <w:p w14:paraId="2DC8E113" w14:textId="77777777" w:rsidR="00112E22" w:rsidRPr="00715E52" w:rsidRDefault="00112E22">
      <w:pPr>
        <w:numPr>
          <w:ilvl w:val="0"/>
          <w:numId w:val="1"/>
        </w:numPr>
        <w:rPr>
          <w:rFonts w:cstheme="minorHAnsi"/>
        </w:rPr>
      </w:pPr>
      <w:r w:rsidRPr="00715E52">
        <w:rPr>
          <w:rFonts w:cstheme="minorHAnsi"/>
        </w:rPr>
        <w:t>Operational World Mapping</w:t>
      </w:r>
    </w:p>
    <w:p w14:paraId="0E6F700B" w14:textId="77777777" w:rsidR="00112E22" w:rsidRPr="00715E52" w:rsidRDefault="00112E22">
      <w:pPr>
        <w:numPr>
          <w:ilvl w:val="0"/>
          <w:numId w:val="1"/>
        </w:numPr>
        <w:rPr>
          <w:rFonts w:cstheme="minorHAnsi"/>
        </w:rPr>
      </w:pPr>
      <w:r w:rsidRPr="00715E52">
        <w:rPr>
          <w:rFonts w:cstheme="minorHAnsi"/>
        </w:rPr>
        <w:t>evidence preservation and portable Runtime Evidence</w:t>
      </w:r>
    </w:p>
    <w:p w14:paraId="642A1D2D" w14:textId="77777777" w:rsidR="00112E22" w:rsidRPr="00715E52" w:rsidRDefault="00112E22">
      <w:pPr>
        <w:numPr>
          <w:ilvl w:val="0"/>
          <w:numId w:val="1"/>
        </w:numPr>
        <w:rPr>
          <w:rFonts w:cstheme="minorHAnsi"/>
        </w:rPr>
      </w:pPr>
      <w:r w:rsidRPr="00715E52">
        <w:rPr>
          <w:rFonts w:cstheme="minorHAnsi"/>
        </w:rPr>
        <w:t>Evidence-Governed Computation</w:t>
      </w:r>
    </w:p>
    <w:p w14:paraId="3EAE369E" w14:textId="77777777" w:rsidR="00112E22" w:rsidRPr="00715E52" w:rsidRDefault="00112E22" w:rsidP="00112E22">
      <w:pPr>
        <w:rPr>
          <w:rFonts w:cstheme="minorHAnsi"/>
        </w:rPr>
      </w:pPr>
      <w:r w:rsidRPr="00715E52">
        <w:rPr>
          <w:rFonts w:cstheme="minorHAnsi"/>
        </w:rPr>
        <w:t xml:space="preserve">The scientific framework, terminology, architectural relationships, implementation lineage, specifications, manuscripts, validation artifacts, and reference systems associated with this program form part of the documented provenance of the work of </w:t>
      </w:r>
      <w:r w:rsidRPr="00715E52">
        <w:rPr>
          <w:rFonts w:cstheme="minorHAnsi"/>
          <w:b/>
          <w:bCs/>
        </w:rPr>
        <w:t>Arjay Asadi and SubstrateX®</w:t>
      </w:r>
      <w:r w:rsidRPr="00715E52">
        <w:rPr>
          <w:rFonts w:cstheme="minorHAnsi"/>
        </w:rPr>
        <w:t>.</w:t>
      </w:r>
    </w:p>
    <w:p w14:paraId="3C721B1F" w14:textId="77777777" w:rsidR="00112E22" w:rsidRPr="00715E52" w:rsidRDefault="00112E22" w:rsidP="00112E22">
      <w:pPr>
        <w:rPr>
          <w:rFonts w:cstheme="minorHAnsi"/>
        </w:rPr>
      </w:pPr>
      <w:r w:rsidRPr="00715E52">
        <w:rPr>
          <w:rFonts w:cstheme="minorHAnsi"/>
        </w:rPr>
        <w:pict w14:anchorId="3A26A2E4">
          <v:rect id="_x0000_i1064" style="width:0;height:1.5pt" o:hralign="center" o:hrstd="t" o:hr="t" fillcolor="#a0a0a0" stroked="f"/>
        </w:pict>
      </w:r>
    </w:p>
    <w:p w14:paraId="0087584C" w14:textId="77777777" w:rsidR="00112E22" w:rsidRPr="00715E52" w:rsidRDefault="00112E22" w:rsidP="00112E22">
      <w:pPr>
        <w:rPr>
          <w:rFonts w:cstheme="minorHAnsi"/>
          <w:b/>
          <w:bCs/>
        </w:rPr>
      </w:pPr>
      <w:r w:rsidRPr="00715E52">
        <w:rPr>
          <w:rFonts w:cstheme="minorHAnsi"/>
          <w:b/>
          <w:bCs/>
        </w:rPr>
        <w:t>Reference Implementation</w:t>
      </w:r>
    </w:p>
    <w:p w14:paraId="6352FB87" w14:textId="77777777" w:rsidR="00112E22" w:rsidRPr="00715E52" w:rsidRDefault="00112E22" w:rsidP="00112E22">
      <w:pPr>
        <w:rPr>
          <w:rFonts w:cstheme="minorHAnsi"/>
        </w:rPr>
      </w:pPr>
      <w:r w:rsidRPr="00715E52">
        <w:rPr>
          <w:rFonts w:cstheme="minorHAnsi"/>
          <w:b/>
          <w:bCs/>
        </w:rPr>
        <w:t>SubstrateX Aperture™</w:t>
      </w:r>
      <w:r w:rsidRPr="00715E52">
        <w:rPr>
          <w:rFonts w:cstheme="minorHAnsi"/>
        </w:rPr>
        <w:t xml:space="preserve"> is the principal operational reference implementation of this research program.</w:t>
      </w:r>
    </w:p>
    <w:p w14:paraId="0188526C" w14:textId="77777777" w:rsidR="00112E22" w:rsidRPr="00715E52" w:rsidRDefault="00112E22" w:rsidP="00112E22">
      <w:pPr>
        <w:rPr>
          <w:rFonts w:cstheme="minorHAnsi"/>
        </w:rPr>
      </w:pPr>
      <w:r w:rsidRPr="00715E52">
        <w:rPr>
          <w:rFonts w:cstheme="minorHAnsi"/>
        </w:rPr>
        <w:t>Aperture demonstrates how heterogeneous operational records can be qualified, canonicalized, reconstructed into longitudinal computational trajectories, measured through governed instrumentation, bound to a common evidence identity, subjected to explicit claim boundaries, investigated through reversible source relationships, and preserved as portable Runtime Evidence.</w:t>
      </w:r>
    </w:p>
    <w:p w14:paraId="65CEB925" w14:textId="77777777" w:rsidR="00112E22" w:rsidRPr="00715E52" w:rsidRDefault="00112E22" w:rsidP="00112E22">
      <w:pPr>
        <w:rPr>
          <w:rFonts w:cstheme="minorHAnsi"/>
        </w:rPr>
      </w:pPr>
      <w:r w:rsidRPr="00715E52">
        <w:rPr>
          <w:rFonts w:cstheme="minorHAnsi"/>
        </w:rPr>
        <w:t>Aperture does not establish the scientific validity of every proposed measurement merely by implementing it.</w:t>
      </w:r>
    </w:p>
    <w:p w14:paraId="46A1BE52" w14:textId="77777777" w:rsidR="00112E22" w:rsidRPr="00715E52" w:rsidRDefault="00112E22" w:rsidP="00112E22">
      <w:pPr>
        <w:rPr>
          <w:rFonts w:cstheme="minorHAnsi"/>
        </w:rPr>
      </w:pPr>
      <w:r w:rsidRPr="00715E52">
        <w:rPr>
          <w:rFonts w:cstheme="minorHAnsi"/>
        </w:rPr>
        <w:t xml:space="preserve">Implementation establishes that the architecture is </w:t>
      </w:r>
      <w:r w:rsidRPr="00715E52">
        <w:rPr>
          <w:rFonts w:cstheme="minorHAnsi"/>
          <w:b/>
          <w:bCs/>
        </w:rPr>
        <w:t>computable and operationalizable</w:t>
      </w:r>
      <w:r w:rsidRPr="00715E52">
        <w:rPr>
          <w:rFonts w:cstheme="minorHAnsi"/>
        </w:rPr>
        <w:t>.</w:t>
      </w:r>
    </w:p>
    <w:p w14:paraId="460F3B16" w14:textId="77777777" w:rsidR="00112E22" w:rsidRPr="00715E52" w:rsidRDefault="00112E22" w:rsidP="00112E22">
      <w:pPr>
        <w:rPr>
          <w:rFonts w:cstheme="minorHAnsi"/>
        </w:rPr>
      </w:pPr>
      <w:r w:rsidRPr="00715E52">
        <w:rPr>
          <w:rFonts w:cstheme="minorHAnsi"/>
        </w:rPr>
        <w:t>Scientific validity remains subject to calibration, falsification, comparative evaluation, replication, and independent scrutiny.</w:t>
      </w:r>
    </w:p>
    <w:p w14:paraId="515A9907" w14:textId="77777777" w:rsidR="00112E22" w:rsidRPr="00715E52" w:rsidRDefault="00112E22" w:rsidP="00112E22">
      <w:pPr>
        <w:rPr>
          <w:rFonts w:cstheme="minorHAnsi"/>
        </w:rPr>
      </w:pPr>
      <w:r w:rsidRPr="00715E52">
        <w:rPr>
          <w:rFonts w:cstheme="minorHAnsi"/>
        </w:rPr>
        <w:pict w14:anchorId="7743C4F7">
          <v:rect id="_x0000_i1065" style="width:0;height:1.5pt" o:hralign="center" o:hrstd="t" o:hr="t" fillcolor="#a0a0a0" stroked="f"/>
        </w:pict>
      </w:r>
    </w:p>
    <w:p w14:paraId="1BAD79D0" w14:textId="77777777" w:rsidR="00112E22" w:rsidRPr="00715E52" w:rsidRDefault="00112E22" w:rsidP="00112E22">
      <w:pPr>
        <w:rPr>
          <w:rFonts w:cstheme="minorHAnsi"/>
          <w:b/>
          <w:bCs/>
        </w:rPr>
      </w:pPr>
      <w:r w:rsidRPr="00715E52">
        <w:rPr>
          <w:rFonts w:cstheme="minorHAnsi"/>
          <w:b/>
          <w:bCs/>
        </w:rPr>
        <w:t>Recommended Citation</w:t>
      </w:r>
    </w:p>
    <w:p w14:paraId="6926D2FD" w14:textId="77777777" w:rsidR="00112E22" w:rsidRPr="00715E52" w:rsidRDefault="00112E22" w:rsidP="00112E22">
      <w:pPr>
        <w:rPr>
          <w:rFonts w:cstheme="minorHAnsi"/>
        </w:rPr>
      </w:pPr>
      <w:r w:rsidRPr="00715E52">
        <w:rPr>
          <w:rFonts w:cstheme="minorHAnsi"/>
        </w:rPr>
        <w:t>For papers within the Longitudinal Computational Dynamics series:</w:t>
      </w:r>
    </w:p>
    <w:p w14:paraId="1179171E" w14:textId="77777777" w:rsidR="00112E22" w:rsidRPr="00715E52" w:rsidRDefault="00112E22" w:rsidP="00112E22">
      <w:pPr>
        <w:rPr>
          <w:rFonts w:cstheme="minorHAnsi"/>
        </w:rPr>
      </w:pPr>
      <w:r w:rsidRPr="00715E52">
        <w:rPr>
          <w:rFonts w:cstheme="minorHAnsi"/>
          <w:b/>
          <w:bCs/>
        </w:rPr>
        <w:t xml:space="preserve">Asadi, A. (2026). </w:t>
      </w:r>
      <w:r w:rsidRPr="00715E52">
        <w:rPr>
          <w:rFonts w:cstheme="minorHAnsi"/>
          <w:b/>
          <w:bCs/>
          <w:i/>
          <w:iCs/>
        </w:rPr>
        <w:t>[Paper Title]</w:t>
      </w:r>
      <w:r w:rsidRPr="00715E52">
        <w:rPr>
          <w:rFonts w:cstheme="minorHAnsi"/>
          <w:b/>
          <w:bCs/>
        </w:rPr>
        <w:t>. Longitudinal Computational Dynamics Series. SubstrateX®.</w:t>
      </w:r>
    </w:p>
    <w:p w14:paraId="6D78A041" w14:textId="77777777" w:rsidR="00112E22" w:rsidRPr="00715E52" w:rsidRDefault="00112E22" w:rsidP="00112E22">
      <w:pPr>
        <w:rPr>
          <w:rFonts w:cstheme="minorHAnsi"/>
        </w:rPr>
      </w:pPr>
      <w:r w:rsidRPr="00715E52">
        <w:rPr>
          <w:rFonts w:cstheme="minorHAnsi"/>
        </w:rPr>
        <w:t>Where the paper concerns Aperture directly:</w:t>
      </w:r>
    </w:p>
    <w:p w14:paraId="47A8CCF5" w14:textId="77777777" w:rsidR="00112E22" w:rsidRPr="00715E52" w:rsidRDefault="00112E22" w:rsidP="00112E22">
      <w:pPr>
        <w:rPr>
          <w:rFonts w:cstheme="minorHAnsi"/>
        </w:rPr>
      </w:pPr>
      <w:r w:rsidRPr="00715E52">
        <w:rPr>
          <w:rFonts w:cstheme="minorHAnsi"/>
          <w:b/>
          <w:bCs/>
        </w:rPr>
        <w:t xml:space="preserve">Asadi, A. (2026). </w:t>
      </w:r>
      <w:r w:rsidRPr="00715E52">
        <w:rPr>
          <w:rFonts w:cstheme="minorHAnsi"/>
          <w:b/>
          <w:bCs/>
          <w:i/>
          <w:iCs/>
        </w:rPr>
        <w:t>[Paper Title]</w:t>
      </w:r>
      <w:r w:rsidRPr="00715E52">
        <w:rPr>
          <w:rFonts w:cstheme="minorHAnsi"/>
          <w:b/>
          <w:bCs/>
        </w:rPr>
        <w:t>. SubstrateX Aperture™ Technical and Scientific Series. SubstrateX®.</w:t>
      </w:r>
    </w:p>
    <w:p w14:paraId="31CBA9D9" w14:textId="77777777" w:rsidR="00112E22" w:rsidRPr="00715E52" w:rsidRDefault="00112E22" w:rsidP="00112E22">
      <w:pPr>
        <w:rPr>
          <w:rFonts w:cstheme="minorHAnsi"/>
        </w:rPr>
      </w:pPr>
      <w:r w:rsidRPr="00715E52">
        <w:rPr>
          <w:rFonts w:cstheme="minorHAnsi"/>
        </w:rPr>
        <w:t>Foundational works published previously under Recursive Science® should retain their original citation and publication identity as part of the historical research record.</w:t>
      </w:r>
    </w:p>
    <w:p w14:paraId="6D3FB150" w14:textId="77777777" w:rsidR="00112E22" w:rsidRPr="00715E52" w:rsidRDefault="00112E22" w:rsidP="00112E22">
      <w:pPr>
        <w:rPr>
          <w:rFonts w:cstheme="minorHAnsi"/>
        </w:rPr>
      </w:pPr>
      <w:r w:rsidRPr="00715E52">
        <w:rPr>
          <w:rFonts w:cstheme="minorHAnsi"/>
        </w:rPr>
        <w:pict w14:anchorId="7DE82426">
          <v:rect id="_x0000_i1066" style="width:0;height:1.5pt" o:hralign="center" o:hrstd="t" o:hr="t" fillcolor="#a0a0a0" stroked="f"/>
        </w:pict>
      </w:r>
    </w:p>
    <w:p w14:paraId="3F822ED7" w14:textId="77777777" w:rsidR="00112E22" w:rsidRPr="00715E52" w:rsidRDefault="00112E22" w:rsidP="00112E22">
      <w:pPr>
        <w:rPr>
          <w:rFonts w:cstheme="minorHAnsi"/>
          <w:b/>
          <w:bCs/>
        </w:rPr>
      </w:pPr>
      <w:r w:rsidRPr="00715E52">
        <w:rPr>
          <w:rFonts w:cstheme="minorHAnsi"/>
          <w:b/>
          <w:bCs/>
        </w:rPr>
        <w:t>Scope Clarification</w:t>
      </w:r>
    </w:p>
    <w:p w14:paraId="004BD3CA" w14:textId="77777777" w:rsidR="00112E22" w:rsidRPr="00715E52" w:rsidRDefault="00112E22" w:rsidP="00112E22">
      <w:pPr>
        <w:rPr>
          <w:rFonts w:cstheme="minorHAnsi"/>
        </w:rPr>
      </w:pPr>
      <w:r w:rsidRPr="00715E52">
        <w:rPr>
          <w:rFonts w:cstheme="minorHAnsi"/>
          <w:b/>
          <w:bCs/>
        </w:rPr>
        <w:t>Longitudinal Computational Dynamics®</w:t>
      </w:r>
      <w:r w:rsidRPr="00715E52">
        <w:rPr>
          <w:rFonts w:cstheme="minorHAnsi"/>
        </w:rPr>
        <w:t xml:space="preserve"> is not a theory of hidden machine thought, consciousness, intent, or inaccessible internal mental state.</w:t>
      </w:r>
    </w:p>
    <w:p w14:paraId="78088C26" w14:textId="77777777" w:rsidR="00112E22" w:rsidRPr="00715E52" w:rsidRDefault="00112E22" w:rsidP="00112E22">
      <w:pPr>
        <w:rPr>
          <w:rFonts w:cstheme="minorHAnsi"/>
        </w:rPr>
      </w:pPr>
      <w:r w:rsidRPr="00715E52">
        <w:rPr>
          <w:rFonts w:cstheme="minorHAnsi"/>
        </w:rPr>
        <w:t xml:space="preserve">It concerns the </w:t>
      </w:r>
      <w:r w:rsidRPr="00715E52">
        <w:rPr>
          <w:rFonts w:cstheme="minorHAnsi"/>
          <w:b/>
          <w:bCs/>
        </w:rPr>
        <w:t>observable and computationally reconstructed development of behavior through runtime</w:t>
      </w:r>
      <w:r w:rsidRPr="00715E52">
        <w:rPr>
          <w:rFonts w:cstheme="minorHAnsi"/>
        </w:rPr>
        <w:t>.</w:t>
      </w:r>
    </w:p>
    <w:p w14:paraId="7AF58E9B" w14:textId="77777777" w:rsidR="00112E22" w:rsidRPr="00715E52" w:rsidRDefault="00112E22" w:rsidP="00112E22">
      <w:pPr>
        <w:rPr>
          <w:rFonts w:cstheme="minorHAnsi"/>
        </w:rPr>
      </w:pPr>
      <w:r w:rsidRPr="00715E52">
        <w:rPr>
          <w:rFonts w:cstheme="minorHAnsi"/>
        </w:rPr>
        <w:t xml:space="preserve">Geometric, kinetic, dynamical, temporal, energetic, basin, field, pressure, curvature, and related terminology used within this research refers to </w:t>
      </w:r>
      <w:r w:rsidRPr="00715E52">
        <w:rPr>
          <w:rFonts w:cstheme="minorHAnsi"/>
          <w:b/>
          <w:bCs/>
        </w:rPr>
        <w:t>declared computational representations and measurement frameworks</w:t>
      </w:r>
      <w:r w:rsidRPr="00715E52">
        <w:rPr>
          <w:rFonts w:cstheme="minorHAnsi"/>
        </w:rPr>
        <w:t xml:space="preserve"> unless an external physical measurement is explicitly supplied.</w:t>
      </w:r>
    </w:p>
    <w:p w14:paraId="396CC1D3" w14:textId="77777777" w:rsidR="00112E22" w:rsidRPr="00715E52" w:rsidRDefault="00112E22" w:rsidP="00112E22">
      <w:pPr>
        <w:rPr>
          <w:rFonts w:cstheme="minorHAnsi"/>
        </w:rPr>
      </w:pPr>
      <w:r w:rsidRPr="00715E52">
        <w:rPr>
          <w:rFonts w:cstheme="minorHAnsi"/>
        </w:rPr>
        <w:t xml:space="preserve">Similarly, </w:t>
      </w:r>
      <w:r w:rsidRPr="00715E52">
        <w:rPr>
          <w:rFonts w:cstheme="minorHAnsi"/>
          <w:b/>
          <w:bCs/>
        </w:rPr>
        <w:t>Evidence-Governed Computation™</w:t>
      </w:r>
      <w:r w:rsidRPr="00715E52">
        <w:rPr>
          <w:rFonts w:cstheme="minorHAnsi"/>
        </w:rPr>
        <w:t xml:space="preserve"> does not certify objective truth.</w:t>
      </w:r>
    </w:p>
    <w:p w14:paraId="1C549CB0" w14:textId="77777777" w:rsidR="00112E22" w:rsidRPr="00715E52" w:rsidRDefault="00112E22" w:rsidP="00112E22">
      <w:pPr>
        <w:rPr>
          <w:rFonts w:cstheme="minorHAnsi"/>
        </w:rPr>
      </w:pPr>
      <w:r w:rsidRPr="00715E52">
        <w:rPr>
          <w:rFonts w:cstheme="minorHAnsi"/>
        </w:rPr>
        <w:t>It governs the relationship between:</w:t>
      </w:r>
    </w:p>
    <w:p w14:paraId="750BC807" w14:textId="77777777" w:rsidR="00112E22" w:rsidRPr="00715E52" w:rsidRDefault="00112E22" w:rsidP="00112E22">
      <w:pPr>
        <w:rPr>
          <w:rFonts w:cstheme="minorHAnsi"/>
        </w:rPr>
      </w:pPr>
      <w:r w:rsidRPr="00715E52">
        <w:rPr>
          <w:rFonts w:cstheme="minorHAnsi"/>
          <w:b/>
          <w:bCs/>
        </w:rPr>
        <w:t>evidence → method → admissible claim → presentation → preservation</w:t>
      </w:r>
    </w:p>
    <w:p w14:paraId="6005A84E" w14:textId="77777777" w:rsidR="00112E22" w:rsidRPr="00715E52" w:rsidRDefault="00112E22" w:rsidP="00112E22">
      <w:pPr>
        <w:rPr>
          <w:rFonts w:cstheme="minorHAnsi"/>
        </w:rPr>
      </w:pPr>
      <w:r w:rsidRPr="00715E52">
        <w:rPr>
          <w:rFonts w:cstheme="minorHAnsi"/>
        </w:rPr>
        <w:t>under declared computational rules and evidentiary boundaries.</w:t>
      </w:r>
    </w:p>
    <w:p w14:paraId="5416AA9A" w14:textId="77777777" w:rsidR="00112E22" w:rsidRPr="00715E52" w:rsidRDefault="00112E22" w:rsidP="00112E22">
      <w:pPr>
        <w:rPr>
          <w:rFonts w:cstheme="minorHAnsi"/>
        </w:rPr>
      </w:pPr>
      <w:r w:rsidRPr="00715E52">
        <w:rPr>
          <w:rFonts w:cstheme="minorHAnsi"/>
        </w:rPr>
        <w:pict w14:anchorId="4DBFBFB6">
          <v:rect id="_x0000_i1067" style="width:0;height:1.5pt" o:hralign="center" o:hrstd="t" o:hr="t" fillcolor="#a0a0a0" stroked="f"/>
        </w:pict>
      </w:r>
    </w:p>
    <w:p w14:paraId="049BAFDD" w14:textId="77777777" w:rsidR="00112E22" w:rsidRPr="00715E52" w:rsidRDefault="00112E22" w:rsidP="00112E22">
      <w:pPr>
        <w:rPr>
          <w:rFonts w:cstheme="minorHAnsi"/>
          <w:b/>
          <w:bCs/>
        </w:rPr>
      </w:pPr>
      <w:r w:rsidRPr="00715E52">
        <w:rPr>
          <w:rFonts w:cstheme="minorHAnsi"/>
          <w:b/>
          <w:bCs/>
        </w:rPr>
        <w:t>Copyright, Research Use &amp; Licensing</w:t>
      </w:r>
    </w:p>
    <w:p w14:paraId="63B6638F" w14:textId="77777777" w:rsidR="00112E22" w:rsidRPr="00715E52" w:rsidRDefault="00112E22" w:rsidP="00112E22">
      <w:pPr>
        <w:rPr>
          <w:rFonts w:cstheme="minorHAnsi"/>
        </w:rPr>
      </w:pPr>
      <w:r w:rsidRPr="00715E52">
        <w:rPr>
          <w:rFonts w:cstheme="minorHAnsi"/>
          <w:b/>
          <w:bCs/>
        </w:rPr>
        <w:t>© 2024–2026 Arjay Asadi. All Rights Reserved.</w:t>
      </w:r>
    </w:p>
    <w:p w14:paraId="67166094" w14:textId="77777777" w:rsidR="00112E22" w:rsidRPr="00715E52" w:rsidRDefault="00112E22" w:rsidP="00112E22">
      <w:pPr>
        <w:rPr>
          <w:rFonts w:cstheme="minorHAnsi"/>
        </w:rPr>
      </w:pPr>
      <w:r w:rsidRPr="00715E52">
        <w:rPr>
          <w:rFonts w:cstheme="minorHAnsi"/>
        </w:rPr>
        <w:t xml:space="preserve">This work is shared for </w:t>
      </w:r>
      <w:r w:rsidRPr="00715E52">
        <w:rPr>
          <w:rFonts w:cstheme="minorHAnsi"/>
          <w:b/>
          <w:bCs/>
        </w:rPr>
        <w:t>non-commercial research, education, scholarly discussion, scientific evaluation, and intellectual exchange</w:t>
      </w:r>
      <w:r w:rsidRPr="00715E52">
        <w:rPr>
          <w:rFonts w:cstheme="minorHAnsi"/>
        </w:rPr>
        <w:t>.</w:t>
      </w:r>
    </w:p>
    <w:p w14:paraId="608402BA" w14:textId="77777777" w:rsidR="00112E22" w:rsidRPr="00715E52" w:rsidRDefault="00112E22" w:rsidP="00112E22">
      <w:pPr>
        <w:rPr>
          <w:rFonts w:cstheme="minorHAnsi"/>
        </w:rPr>
      </w:pPr>
      <w:r w:rsidRPr="00715E52">
        <w:rPr>
          <w:rFonts w:cstheme="minorHAnsi"/>
        </w:rPr>
        <w:t>No commercial rights are granted.</w:t>
      </w:r>
    </w:p>
    <w:p w14:paraId="4369882A" w14:textId="77777777" w:rsidR="00112E22" w:rsidRPr="00715E52" w:rsidRDefault="00112E22" w:rsidP="00112E22">
      <w:pPr>
        <w:rPr>
          <w:rFonts w:cstheme="minorHAnsi"/>
        </w:rPr>
      </w:pPr>
      <w:r w:rsidRPr="00715E52">
        <w:rPr>
          <w:rFonts w:cstheme="minorHAnsi"/>
        </w:rPr>
        <w:t>Except where a separate written license explicitly provides otherwise, no permission is granted to commercially reproduce, implement, sublicense, redistribute, incorporate into a competing product or service, or commercially exploit the associated:</w:t>
      </w:r>
    </w:p>
    <w:p w14:paraId="429990FE" w14:textId="77777777" w:rsidR="00112E22" w:rsidRPr="00715E52" w:rsidRDefault="00112E22" w:rsidP="00112E22">
      <w:pPr>
        <w:rPr>
          <w:rFonts w:cstheme="minorHAnsi"/>
        </w:rPr>
      </w:pPr>
      <w:r w:rsidRPr="00715E52">
        <w:rPr>
          <w:rFonts w:cstheme="minorHAnsi"/>
          <w:b/>
          <w:bCs/>
        </w:rPr>
        <w:t>SubstrateX® architectures, SubstrateX Aperture™ implementations, Longitudinal Computational Dynamics® methods, Evidence-Governed Computation™ specifications, instrumentation systems, software, diagrams, validation materials, or proprietary technical artifacts.</w:t>
      </w:r>
    </w:p>
    <w:p w14:paraId="185C4308" w14:textId="77777777" w:rsidR="00112E22" w:rsidRPr="00715E52" w:rsidRDefault="00112E22" w:rsidP="00112E22">
      <w:pPr>
        <w:rPr>
          <w:rFonts w:cstheme="minorHAnsi"/>
        </w:rPr>
      </w:pPr>
      <w:r w:rsidRPr="00715E52">
        <w:rPr>
          <w:rFonts w:cstheme="minorHAnsi"/>
        </w:rPr>
        <w:t>Research citation, critique, scientific evaluation, and non-commercial scholarly discussion are permitted subject to applicable copyright law and attribution requirements.</w:t>
      </w:r>
    </w:p>
    <w:p w14:paraId="26844CD2" w14:textId="77777777" w:rsidR="00112E22" w:rsidRPr="00715E52" w:rsidRDefault="00112E22" w:rsidP="00112E22">
      <w:pPr>
        <w:rPr>
          <w:rFonts w:cstheme="minorHAnsi"/>
        </w:rPr>
      </w:pPr>
      <w:r w:rsidRPr="00715E52">
        <w:rPr>
          <w:rFonts w:cstheme="minorHAnsi"/>
        </w:rPr>
        <w:t xml:space="preserve">Commercial implementation, licensing, partnership, or derivative commercial use requires prior written authorization from </w:t>
      </w:r>
      <w:r w:rsidRPr="00715E52">
        <w:rPr>
          <w:rFonts w:cstheme="minorHAnsi"/>
          <w:b/>
          <w:bCs/>
        </w:rPr>
        <w:t>Arjay Asadi / SubstrateX®</w:t>
      </w:r>
      <w:r w:rsidRPr="00715E52">
        <w:rPr>
          <w:rFonts w:cstheme="minorHAnsi"/>
        </w:rPr>
        <w:t>.</w:t>
      </w:r>
    </w:p>
    <w:p w14:paraId="3C83CFA2" w14:textId="77777777" w:rsidR="00112E22" w:rsidRPr="00715E52" w:rsidRDefault="00112E22" w:rsidP="00112E22">
      <w:pPr>
        <w:rPr>
          <w:rFonts w:cstheme="minorHAnsi"/>
        </w:rPr>
      </w:pPr>
      <w:r w:rsidRPr="00715E52">
        <w:rPr>
          <w:rFonts w:cstheme="minorHAnsi"/>
          <w:b/>
          <w:bCs/>
        </w:rPr>
        <w:t>SubstrateX®, SubstrateX Aperture™, Intelligence in Motion™, Longitudinal Computational Dynamics®, Evidence-Governed Computation™, Evidence Commons™, and associated names, marks, systems, and published materials remain subject to their respective intellectual-property rights.</w:t>
      </w:r>
    </w:p>
    <w:sectPr w:rsidR="00112E22" w:rsidRPr="00715E52">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CA02" w14:textId="77777777" w:rsidR="00375FCE" w:rsidRDefault="00375FCE" w:rsidP="00710D05">
      <w:pPr>
        <w:spacing w:after="0" w:line="240" w:lineRule="auto"/>
      </w:pPr>
      <w:r>
        <w:separator/>
      </w:r>
    </w:p>
  </w:endnote>
  <w:endnote w:type="continuationSeparator" w:id="0">
    <w:p w14:paraId="6F699636" w14:textId="77777777" w:rsidR="00375FCE" w:rsidRDefault="00375FCE" w:rsidP="00710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825993"/>
      <w:docPartObj>
        <w:docPartGallery w:val="Page Numbers (Bottom of Page)"/>
        <w:docPartUnique/>
      </w:docPartObj>
    </w:sdtPr>
    <w:sdtEndPr>
      <w:rPr>
        <w:noProof/>
      </w:rPr>
    </w:sdtEndPr>
    <w:sdtContent>
      <w:p w14:paraId="3D6C56A5" w14:textId="5AC250DA" w:rsidR="00710D05" w:rsidRPr="00352E37" w:rsidRDefault="00710D05" w:rsidP="00352E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CC0A3" w14:textId="77777777" w:rsidR="00375FCE" w:rsidRDefault="00375FCE" w:rsidP="00710D05">
      <w:pPr>
        <w:spacing w:after="0" w:line="240" w:lineRule="auto"/>
      </w:pPr>
      <w:r>
        <w:separator/>
      </w:r>
    </w:p>
  </w:footnote>
  <w:footnote w:type="continuationSeparator" w:id="0">
    <w:p w14:paraId="5FD178DC" w14:textId="77777777" w:rsidR="00375FCE" w:rsidRDefault="00375FCE" w:rsidP="00710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1755" w14:textId="2DD7A38C" w:rsidR="00352E37" w:rsidRDefault="0027484E" w:rsidP="0027484E">
    <w:pPr>
      <w:pStyle w:val="Header"/>
    </w:pPr>
    <w:r>
      <w:rPr>
        <w:rFonts w:ascii="Segoe UI Emoji" w:hAnsi="Segoe UI Emoji" w:cs="Segoe UI Emoji"/>
        <w:b/>
        <w:bCs/>
        <w:noProof/>
        <w:color w:val="F0B83B"/>
      </w:rPr>
      <w:drawing>
        <wp:anchor distT="0" distB="0" distL="114300" distR="114300" simplePos="0" relativeHeight="251659264" behindDoc="0" locked="0" layoutInCell="1" allowOverlap="1" wp14:anchorId="6D3A4B99" wp14:editId="6AFC01F4">
          <wp:simplePos x="0" y="0"/>
          <wp:positionH relativeFrom="column">
            <wp:posOffset>2814320</wp:posOffset>
          </wp:positionH>
          <wp:positionV relativeFrom="paragraph">
            <wp:posOffset>7620</wp:posOffset>
          </wp:positionV>
          <wp:extent cx="260985" cy="257175"/>
          <wp:effectExtent l="0" t="0" r="5715" b="9525"/>
          <wp:wrapSquare wrapText="bothSides"/>
          <wp:docPr id="6001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5272" name="Picture 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0985" cy="257175"/>
                  </a:xfrm>
                  <a:prstGeom prst="rect">
                    <a:avLst/>
                  </a:prstGeom>
                </pic:spPr>
              </pic:pic>
            </a:graphicData>
          </a:graphic>
          <wp14:sizeRelH relativeFrom="margin">
            <wp14:pctWidth>0</wp14:pctWidth>
          </wp14:sizeRelH>
          <wp14:sizeRelV relativeFrom="margin">
            <wp14:pctHeight>0</wp14:pctHeight>
          </wp14:sizeRelV>
        </wp:anchor>
      </w:drawing>
    </w:r>
  </w:p>
  <w:p w14:paraId="10CE9FA3" w14:textId="77777777" w:rsidR="0027484E" w:rsidRDefault="0027484E" w:rsidP="00274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627C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7F7627BB"/>
    <w:multiLevelType w:val="multilevel"/>
    <w:tmpl w:val="D3A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917042">
    <w:abstractNumId w:val="1"/>
  </w:num>
  <w:num w:numId="2" w16cid:durableId="19905161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F4"/>
    <w:rsid w:val="0000103F"/>
    <w:rsid w:val="00011A5A"/>
    <w:rsid w:val="00013C7B"/>
    <w:rsid w:val="00013EB3"/>
    <w:rsid w:val="00016561"/>
    <w:rsid w:val="00016C74"/>
    <w:rsid w:val="000243B8"/>
    <w:rsid w:val="00037ED4"/>
    <w:rsid w:val="000428F3"/>
    <w:rsid w:val="00055E0C"/>
    <w:rsid w:val="00067A63"/>
    <w:rsid w:val="0007233C"/>
    <w:rsid w:val="000729DC"/>
    <w:rsid w:val="00091A71"/>
    <w:rsid w:val="000D61C7"/>
    <w:rsid w:val="000D7428"/>
    <w:rsid w:val="000E30FF"/>
    <w:rsid w:val="000E448D"/>
    <w:rsid w:val="000F5386"/>
    <w:rsid w:val="00112E22"/>
    <w:rsid w:val="00113CCF"/>
    <w:rsid w:val="00127AFE"/>
    <w:rsid w:val="00140694"/>
    <w:rsid w:val="0015293C"/>
    <w:rsid w:val="00154476"/>
    <w:rsid w:val="00166406"/>
    <w:rsid w:val="001843B4"/>
    <w:rsid w:val="00186399"/>
    <w:rsid w:val="001911CF"/>
    <w:rsid w:val="00197639"/>
    <w:rsid w:val="001A4EF0"/>
    <w:rsid w:val="001A5DD6"/>
    <w:rsid w:val="001D0C0F"/>
    <w:rsid w:val="001D74A6"/>
    <w:rsid w:val="001E7589"/>
    <w:rsid w:val="001F157F"/>
    <w:rsid w:val="0020543F"/>
    <w:rsid w:val="00205D84"/>
    <w:rsid w:val="002077FC"/>
    <w:rsid w:val="00211932"/>
    <w:rsid w:val="00220D48"/>
    <w:rsid w:val="00220EF4"/>
    <w:rsid w:val="00235864"/>
    <w:rsid w:val="00242299"/>
    <w:rsid w:val="0024502A"/>
    <w:rsid w:val="00247223"/>
    <w:rsid w:val="0025500C"/>
    <w:rsid w:val="002558A0"/>
    <w:rsid w:val="00263267"/>
    <w:rsid w:val="00273B76"/>
    <w:rsid w:val="0027484E"/>
    <w:rsid w:val="0027780E"/>
    <w:rsid w:val="00282142"/>
    <w:rsid w:val="002947DA"/>
    <w:rsid w:val="002A5935"/>
    <w:rsid w:val="002A7AA3"/>
    <w:rsid w:val="002C47B4"/>
    <w:rsid w:val="002C769B"/>
    <w:rsid w:val="002D1676"/>
    <w:rsid w:val="002D55FC"/>
    <w:rsid w:val="002D5A58"/>
    <w:rsid w:val="002D5E91"/>
    <w:rsid w:val="002E2F5D"/>
    <w:rsid w:val="002F1008"/>
    <w:rsid w:val="002F6BCC"/>
    <w:rsid w:val="003011E8"/>
    <w:rsid w:val="00303F10"/>
    <w:rsid w:val="00304C4F"/>
    <w:rsid w:val="00306BFD"/>
    <w:rsid w:val="00312278"/>
    <w:rsid w:val="00321165"/>
    <w:rsid w:val="00326425"/>
    <w:rsid w:val="00330277"/>
    <w:rsid w:val="00335593"/>
    <w:rsid w:val="00336FB7"/>
    <w:rsid w:val="00345616"/>
    <w:rsid w:val="00351EAF"/>
    <w:rsid w:val="00352E37"/>
    <w:rsid w:val="003554E1"/>
    <w:rsid w:val="003724D7"/>
    <w:rsid w:val="00375FCE"/>
    <w:rsid w:val="00382C2D"/>
    <w:rsid w:val="00395870"/>
    <w:rsid w:val="00397D51"/>
    <w:rsid w:val="003A1159"/>
    <w:rsid w:val="003A29B5"/>
    <w:rsid w:val="003B088A"/>
    <w:rsid w:val="003B3D2E"/>
    <w:rsid w:val="003B7293"/>
    <w:rsid w:val="003C2824"/>
    <w:rsid w:val="003C5261"/>
    <w:rsid w:val="003D3E7F"/>
    <w:rsid w:val="003D7529"/>
    <w:rsid w:val="003E1F95"/>
    <w:rsid w:val="003F6AEE"/>
    <w:rsid w:val="00406135"/>
    <w:rsid w:val="0041250B"/>
    <w:rsid w:val="00424419"/>
    <w:rsid w:val="004244D8"/>
    <w:rsid w:val="00425911"/>
    <w:rsid w:val="00432835"/>
    <w:rsid w:val="004517EA"/>
    <w:rsid w:val="00470F1C"/>
    <w:rsid w:val="004907DD"/>
    <w:rsid w:val="00497FDA"/>
    <w:rsid w:val="004A144A"/>
    <w:rsid w:val="004A3CF3"/>
    <w:rsid w:val="004A4746"/>
    <w:rsid w:val="004A4BF6"/>
    <w:rsid w:val="004B57AF"/>
    <w:rsid w:val="004C4593"/>
    <w:rsid w:val="004C774F"/>
    <w:rsid w:val="004D5CBC"/>
    <w:rsid w:val="004D7564"/>
    <w:rsid w:val="004F0B69"/>
    <w:rsid w:val="004F5238"/>
    <w:rsid w:val="0051007A"/>
    <w:rsid w:val="0051213E"/>
    <w:rsid w:val="00515377"/>
    <w:rsid w:val="00515722"/>
    <w:rsid w:val="00524116"/>
    <w:rsid w:val="00525A00"/>
    <w:rsid w:val="0052616B"/>
    <w:rsid w:val="00531640"/>
    <w:rsid w:val="0053509F"/>
    <w:rsid w:val="00535FFC"/>
    <w:rsid w:val="005432A1"/>
    <w:rsid w:val="005505EA"/>
    <w:rsid w:val="00551658"/>
    <w:rsid w:val="00553B9C"/>
    <w:rsid w:val="005571FA"/>
    <w:rsid w:val="00557A7B"/>
    <w:rsid w:val="005669C2"/>
    <w:rsid w:val="00573388"/>
    <w:rsid w:val="00585E75"/>
    <w:rsid w:val="00586CC9"/>
    <w:rsid w:val="0059351E"/>
    <w:rsid w:val="005A0D17"/>
    <w:rsid w:val="005A38C9"/>
    <w:rsid w:val="005A458C"/>
    <w:rsid w:val="005A7316"/>
    <w:rsid w:val="005B138B"/>
    <w:rsid w:val="005B50E6"/>
    <w:rsid w:val="005B71DB"/>
    <w:rsid w:val="005B7C5B"/>
    <w:rsid w:val="005C5FBA"/>
    <w:rsid w:val="005C7182"/>
    <w:rsid w:val="005F50B0"/>
    <w:rsid w:val="006011CA"/>
    <w:rsid w:val="00606E76"/>
    <w:rsid w:val="00614042"/>
    <w:rsid w:val="00622F87"/>
    <w:rsid w:val="00641F1F"/>
    <w:rsid w:val="00647C51"/>
    <w:rsid w:val="00650164"/>
    <w:rsid w:val="006612E9"/>
    <w:rsid w:val="00675BBE"/>
    <w:rsid w:val="0068779F"/>
    <w:rsid w:val="00691EF2"/>
    <w:rsid w:val="006A0EAF"/>
    <w:rsid w:val="006A24ED"/>
    <w:rsid w:val="006A62AC"/>
    <w:rsid w:val="006B28CA"/>
    <w:rsid w:val="006B392F"/>
    <w:rsid w:val="006C523D"/>
    <w:rsid w:val="006C743A"/>
    <w:rsid w:val="006D176C"/>
    <w:rsid w:val="006F2BF1"/>
    <w:rsid w:val="006F6B82"/>
    <w:rsid w:val="00710D05"/>
    <w:rsid w:val="0071505A"/>
    <w:rsid w:val="00715E52"/>
    <w:rsid w:val="00740CE9"/>
    <w:rsid w:val="00743F2E"/>
    <w:rsid w:val="00754F38"/>
    <w:rsid w:val="0075742E"/>
    <w:rsid w:val="007638A4"/>
    <w:rsid w:val="00777D7B"/>
    <w:rsid w:val="00780B0B"/>
    <w:rsid w:val="007814B7"/>
    <w:rsid w:val="0078499D"/>
    <w:rsid w:val="00785793"/>
    <w:rsid w:val="00796290"/>
    <w:rsid w:val="007A1234"/>
    <w:rsid w:val="007D1D26"/>
    <w:rsid w:val="007D2171"/>
    <w:rsid w:val="007E4893"/>
    <w:rsid w:val="007E4BAF"/>
    <w:rsid w:val="007F7004"/>
    <w:rsid w:val="00807456"/>
    <w:rsid w:val="0081426B"/>
    <w:rsid w:val="00824666"/>
    <w:rsid w:val="00824CBA"/>
    <w:rsid w:val="00832293"/>
    <w:rsid w:val="00833C50"/>
    <w:rsid w:val="008357FC"/>
    <w:rsid w:val="0084320A"/>
    <w:rsid w:val="0087319B"/>
    <w:rsid w:val="0088279C"/>
    <w:rsid w:val="00883ED6"/>
    <w:rsid w:val="008B4C55"/>
    <w:rsid w:val="008B5ECA"/>
    <w:rsid w:val="008C1530"/>
    <w:rsid w:val="008D4ED9"/>
    <w:rsid w:val="008D7244"/>
    <w:rsid w:val="008F000C"/>
    <w:rsid w:val="008F6D2C"/>
    <w:rsid w:val="00901888"/>
    <w:rsid w:val="009043D7"/>
    <w:rsid w:val="00915172"/>
    <w:rsid w:val="00922F35"/>
    <w:rsid w:val="00922F4C"/>
    <w:rsid w:val="00931EF6"/>
    <w:rsid w:val="00937307"/>
    <w:rsid w:val="0093778E"/>
    <w:rsid w:val="00962006"/>
    <w:rsid w:val="00967E16"/>
    <w:rsid w:val="00977961"/>
    <w:rsid w:val="00977B78"/>
    <w:rsid w:val="009A6DEF"/>
    <w:rsid w:val="009A7410"/>
    <w:rsid w:val="009B1F00"/>
    <w:rsid w:val="009B44B7"/>
    <w:rsid w:val="009B597B"/>
    <w:rsid w:val="009C1C7B"/>
    <w:rsid w:val="009D3BE5"/>
    <w:rsid w:val="009F06A6"/>
    <w:rsid w:val="009F10EF"/>
    <w:rsid w:val="009F63A7"/>
    <w:rsid w:val="00A03234"/>
    <w:rsid w:val="00A051A0"/>
    <w:rsid w:val="00A10898"/>
    <w:rsid w:val="00A2221C"/>
    <w:rsid w:val="00A2313E"/>
    <w:rsid w:val="00A25088"/>
    <w:rsid w:val="00A25551"/>
    <w:rsid w:val="00A27158"/>
    <w:rsid w:val="00A27D79"/>
    <w:rsid w:val="00A317EA"/>
    <w:rsid w:val="00A36008"/>
    <w:rsid w:val="00A42D0E"/>
    <w:rsid w:val="00A4560D"/>
    <w:rsid w:val="00A55996"/>
    <w:rsid w:val="00A604F7"/>
    <w:rsid w:val="00A6553F"/>
    <w:rsid w:val="00A7156C"/>
    <w:rsid w:val="00A71BF0"/>
    <w:rsid w:val="00A73942"/>
    <w:rsid w:val="00A97D8C"/>
    <w:rsid w:val="00AA03C9"/>
    <w:rsid w:val="00AA2E54"/>
    <w:rsid w:val="00AC0E45"/>
    <w:rsid w:val="00AD01EE"/>
    <w:rsid w:val="00AD2B64"/>
    <w:rsid w:val="00AE1019"/>
    <w:rsid w:val="00AE1F2E"/>
    <w:rsid w:val="00AE5B90"/>
    <w:rsid w:val="00AF30CE"/>
    <w:rsid w:val="00AF6610"/>
    <w:rsid w:val="00AF6B9C"/>
    <w:rsid w:val="00AF7F3C"/>
    <w:rsid w:val="00B0156E"/>
    <w:rsid w:val="00B07C8B"/>
    <w:rsid w:val="00B07F50"/>
    <w:rsid w:val="00B131D2"/>
    <w:rsid w:val="00B17C7E"/>
    <w:rsid w:val="00B21539"/>
    <w:rsid w:val="00B51323"/>
    <w:rsid w:val="00B54F11"/>
    <w:rsid w:val="00B639DE"/>
    <w:rsid w:val="00B80E66"/>
    <w:rsid w:val="00B838EC"/>
    <w:rsid w:val="00B864F0"/>
    <w:rsid w:val="00BA5FD6"/>
    <w:rsid w:val="00BA7191"/>
    <w:rsid w:val="00BB14B0"/>
    <w:rsid w:val="00BF0770"/>
    <w:rsid w:val="00BF0786"/>
    <w:rsid w:val="00BF2FE8"/>
    <w:rsid w:val="00BF3041"/>
    <w:rsid w:val="00C0175C"/>
    <w:rsid w:val="00C02427"/>
    <w:rsid w:val="00C11370"/>
    <w:rsid w:val="00C207B1"/>
    <w:rsid w:val="00C25848"/>
    <w:rsid w:val="00C31BEF"/>
    <w:rsid w:val="00C363CF"/>
    <w:rsid w:val="00C454E8"/>
    <w:rsid w:val="00C508A3"/>
    <w:rsid w:val="00C5184E"/>
    <w:rsid w:val="00C62506"/>
    <w:rsid w:val="00C90B3E"/>
    <w:rsid w:val="00C92A8A"/>
    <w:rsid w:val="00CB1203"/>
    <w:rsid w:val="00CB2A92"/>
    <w:rsid w:val="00CB71A6"/>
    <w:rsid w:val="00CC08AC"/>
    <w:rsid w:val="00CC09AF"/>
    <w:rsid w:val="00CD05AC"/>
    <w:rsid w:val="00CD1DCA"/>
    <w:rsid w:val="00CD20D2"/>
    <w:rsid w:val="00CD6246"/>
    <w:rsid w:val="00CF0305"/>
    <w:rsid w:val="00CF196F"/>
    <w:rsid w:val="00CF4CCB"/>
    <w:rsid w:val="00CF57A1"/>
    <w:rsid w:val="00D047E8"/>
    <w:rsid w:val="00D10DB3"/>
    <w:rsid w:val="00D12014"/>
    <w:rsid w:val="00D3052B"/>
    <w:rsid w:val="00D41477"/>
    <w:rsid w:val="00D437DB"/>
    <w:rsid w:val="00D476DD"/>
    <w:rsid w:val="00D50459"/>
    <w:rsid w:val="00D52BD7"/>
    <w:rsid w:val="00D607B6"/>
    <w:rsid w:val="00D614D8"/>
    <w:rsid w:val="00D6432B"/>
    <w:rsid w:val="00D67233"/>
    <w:rsid w:val="00D709E7"/>
    <w:rsid w:val="00D73940"/>
    <w:rsid w:val="00D73DC9"/>
    <w:rsid w:val="00D81457"/>
    <w:rsid w:val="00D87A76"/>
    <w:rsid w:val="00D94F2A"/>
    <w:rsid w:val="00DA5364"/>
    <w:rsid w:val="00DB0A7C"/>
    <w:rsid w:val="00DB71F5"/>
    <w:rsid w:val="00DC2A6A"/>
    <w:rsid w:val="00DC70D4"/>
    <w:rsid w:val="00DE2E9A"/>
    <w:rsid w:val="00DE4A03"/>
    <w:rsid w:val="00DF0F06"/>
    <w:rsid w:val="00DF201F"/>
    <w:rsid w:val="00E0136F"/>
    <w:rsid w:val="00E03AA3"/>
    <w:rsid w:val="00E047B7"/>
    <w:rsid w:val="00E311FF"/>
    <w:rsid w:val="00E33B8E"/>
    <w:rsid w:val="00E376F3"/>
    <w:rsid w:val="00E531AD"/>
    <w:rsid w:val="00E5374C"/>
    <w:rsid w:val="00E540EC"/>
    <w:rsid w:val="00E6301D"/>
    <w:rsid w:val="00E70EFC"/>
    <w:rsid w:val="00E820F5"/>
    <w:rsid w:val="00E864B4"/>
    <w:rsid w:val="00E86F15"/>
    <w:rsid w:val="00E879EB"/>
    <w:rsid w:val="00EB5B5B"/>
    <w:rsid w:val="00EC09A3"/>
    <w:rsid w:val="00EC2650"/>
    <w:rsid w:val="00ED5054"/>
    <w:rsid w:val="00EE06F8"/>
    <w:rsid w:val="00EE3B8A"/>
    <w:rsid w:val="00EE618B"/>
    <w:rsid w:val="00F04946"/>
    <w:rsid w:val="00F13305"/>
    <w:rsid w:val="00F16250"/>
    <w:rsid w:val="00F21A1B"/>
    <w:rsid w:val="00F30603"/>
    <w:rsid w:val="00F3622F"/>
    <w:rsid w:val="00F458CC"/>
    <w:rsid w:val="00F551C4"/>
    <w:rsid w:val="00F83462"/>
    <w:rsid w:val="00F90630"/>
    <w:rsid w:val="00F97D46"/>
    <w:rsid w:val="00FB11E0"/>
    <w:rsid w:val="00FB2F71"/>
    <w:rsid w:val="00FB3AB8"/>
    <w:rsid w:val="00FC39AB"/>
    <w:rsid w:val="00FD0B8B"/>
    <w:rsid w:val="00FD4ED5"/>
    <w:rsid w:val="00FD7785"/>
    <w:rsid w:val="00FE3BC3"/>
    <w:rsid w:val="00FF3B22"/>
    <w:rsid w:val="00FF4076"/>
    <w:rsid w:val="00FF67C3"/>
    <w:rsid w:val="00FF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38C9"/>
  <w15:chartTrackingRefBased/>
  <w15:docId w15:val="{6B40AD08-EA7E-41F1-8009-F892A83D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20E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0E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0E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0E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20E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20E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0E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0E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F4"/>
    <w:rPr>
      <w:rFonts w:eastAsiaTheme="majorEastAsia" w:cstheme="majorBidi"/>
      <w:color w:val="272727" w:themeColor="text1" w:themeTint="D8"/>
    </w:rPr>
  </w:style>
  <w:style w:type="paragraph" w:styleId="Title">
    <w:name w:val="Title"/>
    <w:basedOn w:val="Normal"/>
    <w:next w:val="Normal"/>
    <w:link w:val="TitleChar"/>
    <w:uiPriority w:val="10"/>
    <w:qFormat/>
    <w:rsid w:val="0022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F4"/>
    <w:pPr>
      <w:spacing w:before="160"/>
      <w:jc w:val="center"/>
    </w:pPr>
    <w:rPr>
      <w:i/>
      <w:iCs/>
      <w:color w:val="404040" w:themeColor="text1" w:themeTint="BF"/>
    </w:rPr>
  </w:style>
  <w:style w:type="character" w:customStyle="1" w:styleId="QuoteChar">
    <w:name w:val="Quote Char"/>
    <w:basedOn w:val="DefaultParagraphFont"/>
    <w:link w:val="Quote"/>
    <w:uiPriority w:val="29"/>
    <w:rsid w:val="00220EF4"/>
    <w:rPr>
      <w:i/>
      <w:iCs/>
      <w:color w:val="404040" w:themeColor="text1" w:themeTint="BF"/>
    </w:rPr>
  </w:style>
  <w:style w:type="paragraph" w:styleId="ListParagraph">
    <w:name w:val="List Paragraph"/>
    <w:basedOn w:val="Normal"/>
    <w:uiPriority w:val="34"/>
    <w:qFormat/>
    <w:rsid w:val="00220EF4"/>
    <w:pPr>
      <w:ind w:left="720"/>
      <w:contextualSpacing/>
    </w:pPr>
  </w:style>
  <w:style w:type="character" w:styleId="IntenseEmphasis">
    <w:name w:val="Intense Emphasis"/>
    <w:basedOn w:val="DefaultParagraphFont"/>
    <w:uiPriority w:val="21"/>
    <w:qFormat/>
    <w:rsid w:val="00220EF4"/>
    <w:rPr>
      <w:i/>
      <w:iCs/>
      <w:color w:val="365F91" w:themeColor="accent1" w:themeShade="BF"/>
    </w:rPr>
  </w:style>
  <w:style w:type="paragraph" w:styleId="IntenseQuote">
    <w:name w:val="Intense Quote"/>
    <w:basedOn w:val="Normal"/>
    <w:next w:val="Normal"/>
    <w:link w:val="IntenseQuoteChar"/>
    <w:uiPriority w:val="30"/>
    <w:qFormat/>
    <w:rsid w:val="00220E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0EF4"/>
    <w:rPr>
      <w:i/>
      <w:iCs/>
      <w:color w:val="365F91" w:themeColor="accent1" w:themeShade="BF"/>
    </w:rPr>
  </w:style>
  <w:style w:type="character" w:styleId="IntenseReference">
    <w:name w:val="Intense Reference"/>
    <w:basedOn w:val="DefaultParagraphFont"/>
    <w:uiPriority w:val="32"/>
    <w:qFormat/>
    <w:rsid w:val="00220EF4"/>
    <w:rPr>
      <w:b/>
      <w:bCs/>
      <w:smallCaps/>
      <w:color w:val="365F91" w:themeColor="accent1" w:themeShade="BF"/>
      <w:spacing w:val="5"/>
    </w:rPr>
  </w:style>
  <w:style w:type="character" w:styleId="Hyperlink">
    <w:name w:val="Hyperlink"/>
    <w:basedOn w:val="DefaultParagraphFont"/>
    <w:uiPriority w:val="99"/>
    <w:unhideWhenUsed/>
    <w:rsid w:val="00432835"/>
    <w:rPr>
      <w:color w:val="0000FF" w:themeColor="hyperlink"/>
      <w:u w:val="single"/>
    </w:rPr>
  </w:style>
  <w:style w:type="character" w:styleId="UnresolvedMention">
    <w:name w:val="Unresolved Mention"/>
    <w:basedOn w:val="DefaultParagraphFont"/>
    <w:uiPriority w:val="99"/>
    <w:semiHidden/>
    <w:unhideWhenUsed/>
    <w:rsid w:val="00432835"/>
    <w:rPr>
      <w:color w:val="605E5C"/>
      <w:shd w:val="clear" w:color="auto" w:fill="E1DFDD"/>
    </w:rPr>
  </w:style>
  <w:style w:type="table" w:styleId="PlainTable3">
    <w:name w:val="Plain Table 3"/>
    <w:basedOn w:val="TableNormal"/>
    <w:uiPriority w:val="43"/>
    <w:rsid w:val="00E33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33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10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D05"/>
  </w:style>
  <w:style w:type="paragraph" w:styleId="Footer">
    <w:name w:val="footer"/>
    <w:basedOn w:val="Normal"/>
    <w:link w:val="FooterChar"/>
    <w:uiPriority w:val="99"/>
    <w:unhideWhenUsed/>
    <w:rsid w:val="00710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D05"/>
  </w:style>
  <w:style w:type="paragraph" w:styleId="TOCHeading">
    <w:name w:val="TOC Heading"/>
    <w:basedOn w:val="Heading1"/>
    <w:next w:val="Normal"/>
    <w:uiPriority w:val="39"/>
    <w:unhideWhenUsed/>
    <w:qFormat/>
    <w:rsid w:val="00DA53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5364"/>
    <w:pPr>
      <w:spacing w:after="100"/>
    </w:pPr>
  </w:style>
  <w:style w:type="paragraph" w:styleId="TOC2">
    <w:name w:val="toc 2"/>
    <w:basedOn w:val="Normal"/>
    <w:next w:val="Normal"/>
    <w:autoRedefine/>
    <w:uiPriority w:val="39"/>
    <w:unhideWhenUsed/>
    <w:rsid w:val="008B5ECA"/>
    <w:pPr>
      <w:spacing w:after="100"/>
      <w:ind w:left="240"/>
    </w:pPr>
  </w:style>
  <w:style w:type="paragraph" w:styleId="NormalWeb">
    <w:name w:val="Normal (Web)"/>
    <w:basedOn w:val="Normal"/>
    <w:uiPriority w:val="99"/>
    <w:semiHidden/>
    <w:unhideWhenUsed/>
    <w:rsid w:val="00F16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F16250"/>
  </w:style>
  <w:style w:type="character" w:customStyle="1" w:styleId="mord">
    <w:name w:val="mord"/>
    <w:basedOn w:val="DefaultParagraphFont"/>
    <w:rsid w:val="00F16250"/>
  </w:style>
  <w:style w:type="character" w:customStyle="1" w:styleId="mopen">
    <w:name w:val="mopen"/>
    <w:basedOn w:val="DefaultParagraphFont"/>
    <w:rsid w:val="00F16250"/>
  </w:style>
  <w:style w:type="character" w:customStyle="1" w:styleId="mclose">
    <w:name w:val="mclose"/>
    <w:basedOn w:val="DefaultParagraphFont"/>
    <w:rsid w:val="00F16250"/>
  </w:style>
  <w:style w:type="character" w:customStyle="1" w:styleId="mrel">
    <w:name w:val="mrel"/>
    <w:basedOn w:val="DefaultParagraphFont"/>
    <w:rsid w:val="00F16250"/>
  </w:style>
  <w:style w:type="character" w:styleId="Strong">
    <w:name w:val="Strong"/>
    <w:basedOn w:val="DefaultParagraphFont"/>
    <w:uiPriority w:val="22"/>
    <w:qFormat/>
    <w:rsid w:val="00F16250"/>
    <w:rPr>
      <w:b/>
      <w:bCs/>
    </w:rPr>
  </w:style>
  <w:style w:type="character" w:customStyle="1" w:styleId="vlist-s">
    <w:name w:val="vlist-s"/>
    <w:basedOn w:val="DefaultParagraphFont"/>
    <w:rsid w:val="00F16250"/>
  </w:style>
  <w:style w:type="character" w:styleId="Emphasis">
    <w:name w:val="Emphasis"/>
    <w:basedOn w:val="DefaultParagraphFont"/>
    <w:uiPriority w:val="20"/>
    <w:qFormat/>
    <w:rsid w:val="000E448D"/>
    <w:rPr>
      <w:i/>
      <w:iCs/>
    </w:rPr>
  </w:style>
  <w:style w:type="paragraph" w:styleId="TOC3">
    <w:name w:val="toc 3"/>
    <w:basedOn w:val="Normal"/>
    <w:next w:val="Normal"/>
    <w:autoRedefine/>
    <w:uiPriority w:val="39"/>
    <w:unhideWhenUsed/>
    <w:rsid w:val="004517EA"/>
    <w:pPr>
      <w:spacing w:after="100"/>
      <w:ind w:left="480"/>
    </w:pPr>
    <w:rPr>
      <w:rFonts w:eastAsiaTheme="minorEastAsia"/>
    </w:rPr>
  </w:style>
  <w:style w:type="paragraph" w:styleId="TOC4">
    <w:name w:val="toc 4"/>
    <w:basedOn w:val="Normal"/>
    <w:next w:val="Normal"/>
    <w:autoRedefine/>
    <w:uiPriority w:val="39"/>
    <w:unhideWhenUsed/>
    <w:rsid w:val="004517EA"/>
    <w:pPr>
      <w:spacing w:after="100"/>
      <w:ind w:left="720"/>
    </w:pPr>
    <w:rPr>
      <w:rFonts w:eastAsiaTheme="minorEastAsia"/>
    </w:rPr>
  </w:style>
  <w:style w:type="paragraph" w:styleId="TOC5">
    <w:name w:val="toc 5"/>
    <w:basedOn w:val="Normal"/>
    <w:next w:val="Normal"/>
    <w:autoRedefine/>
    <w:uiPriority w:val="39"/>
    <w:unhideWhenUsed/>
    <w:rsid w:val="004517EA"/>
    <w:pPr>
      <w:spacing w:after="100"/>
      <w:ind w:left="960"/>
    </w:pPr>
    <w:rPr>
      <w:rFonts w:eastAsiaTheme="minorEastAsia"/>
    </w:rPr>
  </w:style>
  <w:style w:type="paragraph" w:styleId="TOC6">
    <w:name w:val="toc 6"/>
    <w:basedOn w:val="Normal"/>
    <w:next w:val="Normal"/>
    <w:autoRedefine/>
    <w:uiPriority w:val="39"/>
    <w:unhideWhenUsed/>
    <w:rsid w:val="004517EA"/>
    <w:pPr>
      <w:spacing w:after="100"/>
      <w:ind w:left="1200"/>
    </w:pPr>
    <w:rPr>
      <w:rFonts w:eastAsiaTheme="minorEastAsia"/>
    </w:rPr>
  </w:style>
  <w:style w:type="paragraph" w:styleId="TOC7">
    <w:name w:val="toc 7"/>
    <w:basedOn w:val="Normal"/>
    <w:next w:val="Normal"/>
    <w:autoRedefine/>
    <w:uiPriority w:val="39"/>
    <w:unhideWhenUsed/>
    <w:rsid w:val="004517EA"/>
    <w:pPr>
      <w:spacing w:after="100"/>
      <w:ind w:left="1440"/>
    </w:pPr>
    <w:rPr>
      <w:rFonts w:eastAsiaTheme="minorEastAsia"/>
    </w:rPr>
  </w:style>
  <w:style w:type="paragraph" w:styleId="TOC8">
    <w:name w:val="toc 8"/>
    <w:basedOn w:val="Normal"/>
    <w:next w:val="Normal"/>
    <w:autoRedefine/>
    <w:uiPriority w:val="39"/>
    <w:unhideWhenUsed/>
    <w:rsid w:val="004517EA"/>
    <w:pPr>
      <w:spacing w:after="100"/>
      <w:ind w:left="1680"/>
    </w:pPr>
    <w:rPr>
      <w:rFonts w:eastAsiaTheme="minorEastAsia"/>
    </w:rPr>
  </w:style>
  <w:style w:type="paragraph" w:styleId="TOC9">
    <w:name w:val="toc 9"/>
    <w:basedOn w:val="Normal"/>
    <w:next w:val="Normal"/>
    <w:autoRedefine/>
    <w:uiPriority w:val="39"/>
    <w:unhideWhenUsed/>
    <w:rsid w:val="004517EA"/>
    <w:pPr>
      <w:spacing w:after="100"/>
      <w:ind w:left="1920"/>
    </w:pPr>
    <w:rPr>
      <w:rFonts w:eastAsiaTheme="minorEastAsia"/>
    </w:rPr>
  </w:style>
  <w:style w:type="table" w:styleId="GridTable2-Accent5">
    <w:name w:val="Grid Table 2 Accent 5"/>
    <w:basedOn w:val="TableNormal"/>
    <w:uiPriority w:val="47"/>
    <w:rsid w:val="0032116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2077F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715E52"/>
    <w:pPr>
      <w:numPr>
        <w:numId w:val="2"/>
      </w:numPr>
      <w:tabs>
        <w:tab w:val="clear" w:pos="360"/>
      </w:tabs>
      <w:spacing w:after="60" w:line="252" w:lineRule="auto"/>
      <w:ind w:left="0" w:firstLine="0"/>
      <w:contextualSpacing/>
    </w:pPr>
    <w:rPr>
      <w:rFonts w:ascii="Times New Roman" w:eastAsiaTheme="minorEastAsia" w:hAnsi="Times New Roman"/>
      <w:color w:val="000000"/>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972">
      <w:bodyDiv w:val="1"/>
      <w:marLeft w:val="0"/>
      <w:marRight w:val="0"/>
      <w:marTop w:val="0"/>
      <w:marBottom w:val="0"/>
      <w:divBdr>
        <w:top w:val="none" w:sz="0" w:space="0" w:color="auto"/>
        <w:left w:val="none" w:sz="0" w:space="0" w:color="auto"/>
        <w:bottom w:val="none" w:sz="0" w:space="0" w:color="auto"/>
        <w:right w:val="none" w:sz="0" w:space="0" w:color="auto"/>
      </w:divBdr>
      <w:divsChild>
        <w:div w:id="25783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89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934">
          <w:marLeft w:val="0"/>
          <w:marRight w:val="0"/>
          <w:marTop w:val="0"/>
          <w:marBottom w:val="0"/>
          <w:divBdr>
            <w:top w:val="none" w:sz="0" w:space="0" w:color="auto"/>
            <w:left w:val="none" w:sz="0" w:space="0" w:color="auto"/>
            <w:bottom w:val="none" w:sz="0" w:space="0" w:color="auto"/>
            <w:right w:val="none" w:sz="0" w:space="0" w:color="auto"/>
          </w:divBdr>
          <w:divsChild>
            <w:div w:id="488793645">
              <w:marLeft w:val="0"/>
              <w:marRight w:val="0"/>
              <w:marTop w:val="0"/>
              <w:marBottom w:val="0"/>
              <w:divBdr>
                <w:top w:val="none" w:sz="0" w:space="0" w:color="auto"/>
                <w:left w:val="none" w:sz="0" w:space="0" w:color="auto"/>
                <w:bottom w:val="none" w:sz="0" w:space="0" w:color="auto"/>
                <w:right w:val="none" w:sz="0" w:space="0" w:color="auto"/>
              </w:divBdr>
            </w:div>
          </w:divsChild>
        </w:div>
        <w:div w:id="33857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425">
      <w:bodyDiv w:val="1"/>
      <w:marLeft w:val="0"/>
      <w:marRight w:val="0"/>
      <w:marTop w:val="0"/>
      <w:marBottom w:val="0"/>
      <w:divBdr>
        <w:top w:val="none" w:sz="0" w:space="0" w:color="auto"/>
        <w:left w:val="none" w:sz="0" w:space="0" w:color="auto"/>
        <w:bottom w:val="none" w:sz="0" w:space="0" w:color="auto"/>
        <w:right w:val="none" w:sz="0" w:space="0" w:color="auto"/>
      </w:divBdr>
      <w:divsChild>
        <w:div w:id="7274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2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3722">
      <w:bodyDiv w:val="1"/>
      <w:marLeft w:val="0"/>
      <w:marRight w:val="0"/>
      <w:marTop w:val="0"/>
      <w:marBottom w:val="0"/>
      <w:divBdr>
        <w:top w:val="none" w:sz="0" w:space="0" w:color="auto"/>
        <w:left w:val="none" w:sz="0" w:space="0" w:color="auto"/>
        <w:bottom w:val="none" w:sz="0" w:space="0" w:color="auto"/>
        <w:right w:val="none" w:sz="0" w:space="0" w:color="auto"/>
      </w:divBdr>
    </w:div>
    <w:div w:id="207962533">
      <w:bodyDiv w:val="1"/>
      <w:marLeft w:val="0"/>
      <w:marRight w:val="0"/>
      <w:marTop w:val="0"/>
      <w:marBottom w:val="0"/>
      <w:divBdr>
        <w:top w:val="none" w:sz="0" w:space="0" w:color="auto"/>
        <w:left w:val="none" w:sz="0" w:space="0" w:color="auto"/>
        <w:bottom w:val="none" w:sz="0" w:space="0" w:color="auto"/>
        <w:right w:val="none" w:sz="0" w:space="0" w:color="auto"/>
      </w:divBdr>
      <w:divsChild>
        <w:div w:id="839278521">
          <w:marLeft w:val="0"/>
          <w:marRight w:val="0"/>
          <w:marTop w:val="0"/>
          <w:marBottom w:val="0"/>
          <w:divBdr>
            <w:top w:val="none" w:sz="0" w:space="0" w:color="auto"/>
            <w:left w:val="none" w:sz="0" w:space="0" w:color="auto"/>
            <w:bottom w:val="none" w:sz="0" w:space="0" w:color="auto"/>
            <w:right w:val="none" w:sz="0" w:space="0" w:color="auto"/>
          </w:divBdr>
          <w:divsChild>
            <w:div w:id="93407225">
              <w:marLeft w:val="0"/>
              <w:marRight w:val="0"/>
              <w:marTop w:val="0"/>
              <w:marBottom w:val="0"/>
              <w:divBdr>
                <w:top w:val="none" w:sz="0" w:space="0" w:color="auto"/>
                <w:left w:val="none" w:sz="0" w:space="0" w:color="auto"/>
                <w:bottom w:val="none" w:sz="0" w:space="0" w:color="auto"/>
                <w:right w:val="none" w:sz="0" w:space="0" w:color="auto"/>
              </w:divBdr>
            </w:div>
          </w:divsChild>
        </w:div>
        <w:div w:id="1628462603">
          <w:marLeft w:val="0"/>
          <w:marRight w:val="0"/>
          <w:marTop w:val="0"/>
          <w:marBottom w:val="0"/>
          <w:divBdr>
            <w:top w:val="none" w:sz="0" w:space="0" w:color="auto"/>
            <w:left w:val="none" w:sz="0" w:space="0" w:color="auto"/>
            <w:bottom w:val="none" w:sz="0" w:space="0" w:color="auto"/>
            <w:right w:val="none" w:sz="0" w:space="0" w:color="auto"/>
          </w:divBdr>
          <w:divsChild>
            <w:div w:id="2032950107">
              <w:marLeft w:val="0"/>
              <w:marRight w:val="0"/>
              <w:marTop w:val="0"/>
              <w:marBottom w:val="0"/>
              <w:divBdr>
                <w:top w:val="none" w:sz="0" w:space="0" w:color="auto"/>
                <w:left w:val="none" w:sz="0" w:space="0" w:color="auto"/>
                <w:bottom w:val="none" w:sz="0" w:space="0" w:color="auto"/>
                <w:right w:val="none" w:sz="0" w:space="0" w:color="auto"/>
              </w:divBdr>
            </w:div>
          </w:divsChild>
        </w:div>
        <w:div w:id="207049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702881">
      <w:bodyDiv w:val="1"/>
      <w:marLeft w:val="0"/>
      <w:marRight w:val="0"/>
      <w:marTop w:val="0"/>
      <w:marBottom w:val="0"/>
      <w:divBdr>
        <w:top w:val="none" w:sz="0" w:space="0" w:color="auto"/>
        <w:left w:val="none" w:sz="0" w:space="0" w:color="auto"/>
        <w:bottom w:val="none" w:sz="0" w:space="0" w:color="auto"/>
        <w:right w:val="none" w:sz="0" w:space="0" w:color="auto"/>
      </w:divBdr>
      <w:divsChild>
        <w:div w:id="47800580">
          <w:marLeft w:val="0"/>
          <w:marRight w:val="0"/>
          <w:marTop w:val="0"/>
          <w:marBottom w:val="0"/>
          <w:divBdr>
            <w:top w:val="none" w:sz="0" w:space="0" w:color="auto"/>
            <w:left w:val="none" w:sz="0" w:space="0" w:color="auto"/>
            <w:bottom w:val="none" w:sz="0" w:space="0" w:color="auto"/>
            <w:right w:val="none" w:sz="0" w:space="0" w:color="auto"/>
          </w:divBdr>
          <w:divsChild>
            <w:div w:id="538860871">
              <w:marLeft w:val="0"/>
              <w:marRight w:val="0"/>
              <w:marTop w:val="0"/>
              <w:marBottom w:val="0"/>
              <w:divBdr>
                <w:top w:val="none" w:sz="0" w:space="0" w:color="auto"/>
                <w:left w:val="none" w:sz="0" w:space="0" w:color="auto"/>
                <w:bottom w:val="none" w:sz="0" w:space="0" w:color="auto"/>
                <w:right w:val="none" w:sz="0" w:space="0" w:color="auto"/>
              </w:divBdr>
            </w:div>
          </w:divsChild>
        </w:div>
        <w:div w:id="1801536385">
          <w:marLeft w:val="0"/>
          <w:marRight w:val="0"/>
          <w:marTop w:val="0"/>
          <w:marBottom w:val="0"/>
          <w:divBdr>
            <w:top w:val="none" w:sz="0" w:space="0" w:color="auto"/>
            <w:left w:val="none" w:sz="0" w:space="0" w:color="auto"/>
            <w:bottom w:val="none" w:sz="0" w:space="0" w:color="auto"/>
            <w:right w:val="none" w:sz="0" w:space="0" w:color="auto"/>
          </w:divBdr>
          <w:divsChild>
            <w:div w:id="143813068">
              <w:marLeft w:val="0"/>
              <w:marRight w:val="0"/>
              <w:marTop w:val="0"/>
              <w:marBottom w:val="0"/>
              <w:divBdr>
                <w:top w:val="none" w:sz="0" w:space="0" w:color="auto"/>
                <w:left w:val="none" w:sz="0" w:space="0" w:color="auto"/>
                <w:bottom w:val="none" w:sz="0" w:space="0" w:color="auto"/>
                <w:right w:val="none" w:sz="0" w:space="0" w:color="auto"/>
              </w:divBdr>
            </w:div>
          </w:divsChild>
        </w:div>
        <w:div w:id="99538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0403">
      <w:bodyDiv w:val="1"/>
      <w:marLeft w:val="0"/>
      <w:marRight w:val="0"/>
      <w:marTop w:val="0"/>
      <w:marBottom w:val="0"/>
      <w:divBdr>
        <w:top w:val="none" w:sz="0" w:space="0" w:color="auto"/>
        <w:left w:val="none" w:sz="0" w:space="0" w:color="auto"/>
        <w:bottom w:val="none" w:sz="0" w:space="0" w:color="auto"/>
        <w:right w:val="none" w:sz="0" w:space="0" w:color="auto"/>
      </w:divBdr>
      <w:divsChild>
        <w:div w:id="1162039623">
          <w:marLeft w:val="0"/>
          <w:marRight w:val="0"/>
          <w:marTop w:val="0"/>
          <w:marBottom w:val="0"/>
          <w:divBdr>
            <w:top w:val="none" w:sz="0" w:space="0" w:color="auto"/>
            <w:left w:val="none" w:sz="0" w:space="0" w:color="auto"/>
            <w:bottom w:val="none" w:sz="0" w:space="0" w:color="auto"/>
            <w:right w:val="none" w:sz="0" w:space="0" w:color="auto"/>
          </w:divBdr>
          <w:divsChild>
            <w:div w:id="2007509273">
              <w:marLeft w:val="0"/>
              <w:marRight w:val="0"/>
              <w:marTop w:val="0"/>
              <w:marBottom w:val="0"/>
              <w:divBdr>
                <w:top w:val="none" w:sz="0" w:space="0" w:color="auto"/>
                <w:left w:val="none" w:sz="0" w:space="0" w:color="auto"/>
                <w:bottom w:val="none" w:sz="0" w:space="0" w:color="auto"/>
                <w:right w:val="none" w:sz="0" w:space="0" w:color="auto"/>
              </w:divBdr>
            </w:div>
          </w:divsChild>
        </w:div>
        <w:div w:id="2102027105">
          <w:marLeft w:val="0"/>
          <w:marRight w:val="0"/>
          <w:marTop w:val="0"/>
          <w:marBottom w:val="0"/>
          <w:divBdr>
            <w:top w:val="none" w:sz="0" w:space="0" w:color="auto"/>
            <w:left w:val="none" w:sz="0" w:space="0" w:color="auto"/>
            <w:bottom w:val="none" w:sz="0" w:space="0" w:color="auto"/>
            <w:right w:val="none" w:sz="0" w:space="0" w:color="auto"/>
          </w:divBdr>
          <w:divsChild>
            <w:div w:id="1947957923">
              <w:marLeft w:val="0"/>
              <w:marRight w:val="0"/>
              <w:marTop w:val="0"/>
              <w:marBottom w:val="0"/>
              <w:divBdr>
                <w:top w:val="none" w:sz="0" w:space="0" w:color="auto"/>
                <w:left w:val="none" w:sz="0" w:space="0" w:color="auto"/>
                <w:bottom w:val="none" w:sz="0" w:space="0" w:color="auto"/>
                <w:right w:val="none" w:sz="0" w:space="0" w:color="auto"/>
              </w:divBdr>
            </w:div>
          </w:divsChild>
        </w:div>
        <w:div w:id="50917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5760">
      <w:bodyDiv w:val="1"/>
      <w:marLeft w:val="0"/>
      <w:marRight w:val="0"/>
      <w:marTop w:val="0"/>
      <w:marBottom w:val="0"/>
      <w:divBdr>
        <w:top w:val="none" w:sz="0" w:space="0" w:color="auto"/>
        <w:left w:val="none" w:sz="0" w:space="0" w:color="auto"/>
        <w:bottom w:val="none" w:sz="0" w:space="0" w:color="auto"/>
        <w:right w:val="none" w:sz="0" w:space="0" w:color="auto"/>
      </w:divBdr>
      <w:divsChild>
        <w:div w:id="1475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5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5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0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418837">
          <w:marLeft w:val="0"/>
          <w:marRight w:val="0"/>
          <w:marTop w:val="0"/>
          <w:marBottom w:val="0"/>
          <w:divBdr>
            <w:top w:val="none" w:sz="0" w:space="0" w:color="auto"/>
            <w:left w:val="none" w:sz="0" w:space="0" w:color="auto"/>
            <w:bottom w:val="none" w:sz="0" w:space="0" w:color="auto"/>
            <w:right w:val="none" w:sz="0" w:space="0" w:color="auto"/>
          </w:divBdr>
          <w:divsChild>
            <w:div w:id="1990549653">
              <w:marLeft w:val="0"/>
              <w:marRight w:val="0"/>
              <w:marTop w:val="0"/>
              <w:marBottom w:val="0"/>
              <w:divBdr>
                <w:top w:val="none" w:sz="0" w:space="0" w:color="auto"/>
                <w:left w:val="none" w:sz="0" w:space="0" w:color="auto"/>
                <w:bottom w:val="none" w:sz="0" w:space="0" w:color="auto"/>
                <w:right w:val="none" w:sz="0" w:space="0" w:color="auto"/>
              </w:divBdr>
            </w:div>
          </w:divsChild>
        </w:div>
        <w:div w:id="69940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976947">
      <w:bodyDiv w:val="1"/>
      <w:marLeft w:val="0"/>
      <w:marRight w:val="0"/>
      <w:marTop w:val="0"/>
      <w:marBottom w:val="0"/>
      <w:divBdr>
        <w:top w:val="none" w:sz="0" w:space="0" w:color="auto"/>
        <w:left w:val="none" w:sz="0" w:space="0" w:color="auto"/>
        <w:bottom w:val="none" w:sz="0" w:space="0" w:color="auto"/>
        <w:right w:val="none" w:sz="0" w:space="0" w:color="auto"/>
      </w:divBdr>
    </w:div>
    <w:div w:id="362753489">
      <w:bodyDiv w:val="1"/>
      <w:marLeft w:val="0"/>
      <w:marRight w:val="0"/>
      <w:marTop w:val="0"/>
      <w:marBottom w:val="0"/>
      <w:divBdr>
        <w:top w:val="none" w:sz="0" w:space="0" w:color="auto"/>
        <w:left w:val="none" w:sz="0" w:space="0" w:color="auto"/>
        <w:bottom w:val="none" w:sz="0" w:space="0" w:color="auto"/>
        <w:right w:val="none" w:sz="0" w:space="0" w:color="auto"/>
      </w:divBdr>
      <w:divsChild>
        <w:div w:id="205974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83030">
      <w:bodyDiv w:val="1"/>
      <w:marLeft w:val="0"/>
      <w:marRight w:val="0"/>
      <w:marTop w:val="0"/>
      <w:marBottom w:val="0"/>
      <w:divBdr>
        <w:top w:val="none" w:sz="0" w:space="0" w:color="auto"/>
        <w:left w:val="none" w:sz="0" w:space="0" w:color="auto"/>
        <w:bottom w:val="none" w:sz="0" w:space="0" w:color="auto"/>
        <w:right w:val="none" w:sz="0" w:space="0" w:color="auto"/>
      </w:divBdr>
      <w:divsChild>
        <w:div w:id="134211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03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31486">
      <w:bodyDiv w:val="1"/>
      <w:marLeft w:val="0"/>
      <w:marRight w:val="0"/>
      <w:marTop w:val="0"/>
      <w:marBottom w:val="0"/>
      <w:divBdr>
        <w:top w:val="none" w:sz="0" w:space="0" w:color="auto"/>
        <w:left w:val="none" w:sz="0" w:space="0" w:color="auto"/>
        <w:bottom w:val="none" w:sz="0" w:space="0" w:color="auto"/>
        <w:right w:val="none" w:sz="0" w:space="0" w:color="auto"/>
      </w:divBdr>
      <w:divsChild>
        <w:div w:id="63441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963120">
      <w:bodyDiv w:val="1"/>
      <w:marLeft w:val="0"/>
      <w:marRight w:val="0"/>
      <w:marTop w:val="0"/>
      <w:marBottom w:val="0"/>
      <w:divBdr>
        <w:top w:val="none" w:sz="0" w:space="0" w:color="auto"/>
        <w:left w:val="none" w:sz="0" w:space="0" w:color="auto"/>
        <w:bottom w:val="none" w:sz="0" w:space="0" w:color="auto"/>
        <w:right w:val="none" w:sz="0" w:space="0" w:color="auto"/>
      </w:divBdr>
      <w:divsChild>
        <w:div w:id="142672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5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45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50937">
      <w:bodyDiv w:val="1"/>
      <w:marLeft w:val="0"/>
      <w:marRight w:val="0"/>
      <w:marTop w:val="0"/>
      <w:marBottom w:val="0"/>
      <w:divBdr>
        <w:top w:val="none" w:sz="0" w:space="0" w:color="auto"/>
        <w:left w:val="none" w:sz="0" w:space="0" w:color="auto"/>
        <w:bottom w:val="none" w:sz="0" w:space="0" w:color="auto"/>
        <w:right w:val="none" w:sz="0" w:space="0" w:color="auto"/>
      </w:divBdr>
      <w:divsChild>
        <w:div w:id="129410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152829">
      <w:bodyDiv w:val="1"/>
      <w:marLeft w:val="0"/>
      <w:marRight w:val="0"/>
      <w:marTop w:val="0"/>
      <w:marBottom w:val="0"/>
      <w:divBdr>
        <w:top w:val="none" w:sz="0" w:space="0" w:color="auto"/>
        <w:left w:val="none" w:sz="0" w:space="0" w:color="auto"/>
        <w:bottom w:val="none" w:sz="0" w:space="0" w:color="auto"/>
        <w:right w:val="none" w:sz="0" w:space="0" w:color="auto"/>
      </w:divBdr>
      <w:divsChild>
        <w:div w:id="157424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7695">
      <w:bodyDiv w:val="1"/>
      <w:marLeft w:val="0"/>
      <w:marRight w:val="0"/>
      <w:marTop w:val="0"/>
      <w:marBottom w:val="0"/>
      <w:divBdr>
        <w:top w:val="none" w:sz="0" w:space="0" w:color="auto"/>
        <w:left w:val="none" w:sz="0" w:space="0" w:color="auto"/>
        <w:bottom w:val="none" w:sz="0" w:space="0" w:color="auto"/>
        <w:right w:val="none" w:sz="0" w:space="0" w:color="auto"/>
      </w:divBdr>
      <w:divsChild>
        <w:div w:id="159057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71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97174">
      <w:bodyDiv w:val="1"/>
      <w:marLeft w:val="0"/>
      <w:marRight w:val="0"/>
      <w:marTop w:val="0"/>
      <w:marBottom w:val="0"/>
      <w:divBdr>
        <w:top w:val="none" w:sz="0" w:space="0" w:color="auto"/>
        <w:left w:val="none" w:sz="0" w:space="0" w:color="auto"/>
        <w:bottom w:val="none" w:sz="0" w:space="0" w:color="auto"/>
        <w:right w:val="none" w:sz="0" w:space="0" w:color="auto"/>
      </w:divBdr>
      <w:divsChild>
        <w:div w:id="7800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72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9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6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4616">
          <w:marLeft w:val="0"/>
          <w:marRight w:val="0"/>
          <w:marTop w:val="0"/>
          <w:marBottom w:val="0"/>
          <w:divBdr>
            <w:top w:val="none" w:sz="0" w:space="0" w:color="auto"/>
            <w:left w:val="none" w:sz="0" w:space="0" w:color="auto"/>
            <w:bottom w:val="none" w:sz="0" w:space="0" w:color="auto"/>
            <w:right w:val="none" w:sz="0" w:space="0" w:color="auto"/>
          </w:divBdr>
          <w:divsChild>
            <w:div w:id="405541208">
              <w:marLeft w:val="0"/>
              <w:marRight w:val="0"/>
              <w:marTop w:val="0"/>
              <w:marBottom w:val="0"/>
              <w:divBdr>
                <w:top w:val="none" w:sz="0" w:space="0" w:color="auto"/>
                <w:left w:val="none" w:sz="0" w:space="0" w:color="auto"/>
                <w:bottom w:val="none" w:sz="0" w:space="0" w:color="auto"/>
                <w:right w:val="none" w:sz="0" w:space="0" w:color="auto"/>
              </w:divBdr>
            </w:div>
          </w:divsChild>
        </w:div>
        <w:div w:id="14655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031917">
      <w:bodyDiv w:val="1"/>
      <w:marLeft w:val="0"/>
      <w:marRight w:val="0"/>
      <w:marTop w:val="0"/>
      <w:marBottom w:val="0"/>
      <w:divBdr>
        <w:top w:val="none" w:sz="0" w:space="0" w:color="auto"/>
        <w:left w:val="none" w:sz="0" w:space="0" w:color="auto"/>
        <w:bottom w:val="none" w:sz="0" w:space="0" w:color="auto"/>
        <w:right w:val="none" w:sz="0" w:space="0" w:color="auto"/>
      </w:divBdr>
      <w:divsChild>
        <w:div w:id="1019698748">
          <w:marLeft w:val="0"/>
          <w:marRight w:val="0"/>
          <w:marTop w:val="0"/>
          <w:marBottom w:val="0"/>
          <w:divBdr>
            <w:top w:val="none" w:sz="0" w:space="0" w:color="auto"/>
            <w:left w:val="none" w:sz="0" w:space="0" w:color="auto"/>
            <w:bottom w:val="none" w:sz="0" w:space="0" w:color="auto"/>
            <w:right w:val="none" w:sz="0" w:space="0" w:color="auto"/>
          </w:divBdr>
          <w:divsChild>
            <w:div w:id="1096171079">
              <w:marLeft w:val="0"/>
              <w:marRight w:val="0"/>
              <w:marTop w:val="0"/>
              <w:marBottom w:val="0"/>
              <w:divBdr>
                <w:top w:val="none" w:sz="0" w:space="0" w:color="auto"/>
                <w:left w:val="none" w:sz="0" w:space="0" w:color="auto"/>
                <w:bottom w:val="none" w:sz="0" w:space="0" w:color="auto"/>
                <w:right w:val="none" w:sz="0" w:space="0" w:color="auto"/>
              </w:divBdr>
            </w:div>
          </w:divsChild>
        </w:div>
        <w:div w:id="1786727012">
          <w:marLeft w:val="0"/>
          <w:marRight w:val="0"/>
          <w:marTop w:val="0"/>
          <w:marBottom w:val="0"/>
          <w:divBdr>
            <w:top w:val="none" w:sz="0" w:space="0" w:color="auto"/>
            <w:left w:val="none" w:sz="0" w:space="0" w:color="auto"/>
            <w:bottom w:val="none" w:sz="0" w:space="0" w:color="auto"/>
            <w:right w:val="none" w:sz="0" w:space="0" w:color="auto"/>
          </w:divBdr>
          <w:divsChild>
            <w:div w:id="58871636">
              <w:marLeft w:val="0"/>
              <w:marRight w:val="0"/>
              <w:marTop w:val="0"/>
              <w:marBottom w:val="0"/>
              <w:divBdr>
                <w:top w:val="none" w:sz="0" w:space="0" w:color="auto"/>
                <w:left w:val="none" w:sz="0" w:space="0" w:color="auto"/>
                <w:bottom w:val="none" w:sz="0" w:space="0" w:color="auto"/>
                <w:right w:val="none" w:sz="0" w:space="0" w:color="auto"/>
              </w:divBdr>
            </w:div>
          </w:divsChild>
        </w:div>
        <w:div w:id="211879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229814">
      <w:bodyDiv w:val="1"/>
      <w:marLeft w:val="0"/>
      <w:marRight w:val="0"/>
      <w:marTop w:val="0"/>
      <w:marBottom w:val="0"/>
      <w:divBdr>
        <w:top w:val="none" w:sz="0" w:space="0" w:color="auto"/>
        <w:left w:val="none" w:sz="0" w:space="0" w:color="auto"/>
        <w:bottom w:val="none" w:sz="0" w:space="0" w:color="auto"/>
        <w:right w:val="none" w:sz="0" w:space="0" w:color="auto"/>
      </w:divBdr>
      <w:divsChild>
        <w:div w:id="140236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8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870375">
      <w:bodyDiv w:val="1"/>
      <w:marLeft w:val="0"/>
      <w:marRight w:val="0"/>
      <w:marTop w:val="0"/>
      <w:marBottom w:val="0"/>
      <w:divBdr>
        <w:top w:val="none" w:sz="0" w:space="0" w:color="auto"/>
        <w:left w:val="none" w:sz="0" w:space="0" w:color="auto"/>
        <w:bottom w:val="none" w:sz="0" w:space="0" w:color="auto"/>
        <w:right w:val="none" w:sz="0" w:space="0" w:color="auto"/>
      </w:divBdr>
      <w:divsChild>
        <w:div w:id="1206063848">
          <w:marLeft w:val="0"/>
          <w:marRight w:val="0"/>
          <w:marTop w:val="0"/>
          <w:marBottom w:val="0"/>
          <w:divBdr>
            <w:top w:val="none" w:sz="0" w:space="0" w:color="auto"/>
            <w:left w:val="none" w:sz="0" w:space="0" w:color="auto"/>
            <w:bottom w:val="none" w:sz="0" w:space="0" w:color="auto"/>
            <w:right w:val="none" w:sz="0" w:space="0" w:color="auto"/>
          </w:divBdr>
          <w:divsChild>
            <w:div w:id="1451242094">
              <w:marLeft w:val="0"/>
              <w:marRight w:val="0"/>
              <w:marTop w:val="0"/>
              <w:marBottom w:val="0"/>
              <w:divBdr>
                <w:top w:val="none" w:sz="0" w:space="0" w:color="auto"/>
                <w:left w:val="none" w:sz="0" w:space="0" w:color="auto"/>
                <w:bottom w:val="none" w:sz="0" w:space="0" w:color="auto"/>
                <w:right w:val="none" w:sz="0" w:space="0" w:color="auto"/>
              </w:divBdr>
            </w:div>
          </w:divsChild>
        </w:div>
        <w:div w:id="228032371">
          <w:marLeft w:val="0"/>
          <w:marRight w:val="0"/>
          <w:marTop w:val="0"/>
          <w:marBottom w:val="0"/>
          <w:divBdr>
            <w:top w:val="none" w:sz="0" w:space="0" w:color="auto"/>
            <w:left w:val="none" w:sz="0" w:space="0" w:color="auto"/>
            <w:bottom w:val="none" w:sz="0" w:space="0" w:color="auto"/>
            <w:right w:val="none" w:sz="0" w:space="0" w:color="auto"/>
          </w:divBdr>
          <w:divsChild>
            <w:div w:id="1362634124">
              <w:marLeft w:val="0"/>
              <w:marRight w:val="0"/>
              <w:marTop w:val="0"/>
              <w:marBottom w:val="0"/>
              <w:divBdr>
                <w:top w:val="none" w:sz="0" w:space="0" w:color="auto"/>
                <w:left w:val="none" w:sz="0" w:space="0" w:color="auto"/>
                <w:bottom w:val="none" w:sz="0" w:space="0" w:color="auto"/>
                <w:right w:val="none" w:sz="0" w:space="0" w:color="auto"/>
              </w:divBdr>
            </w:div>
          </w:divsChild>
        </w:div>
        <w:div w:id="9694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4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73916">
      <w:bodyDiv w:val="1"/>
      <w:marLeft w:val="0"/>
      <w:marRight w:val="0"/>
      <w:marTop w:val="0"/>
      <w:marBottom w:val="0"/>
      <w:divBdr>
        <w:top w:val="none" w:sz="0" w:space="0" w:color="auto"/>
        <w:left w:val="none" w:sz="0" w:space="0" w:color="auto"/>
        <w:bottom w:val="none" w:sz="0" w:space="0" w:color="auto"/>
        <w:right w:val="none" w:sz="0" w:space="0" w:color="auto"/>
      </w:divBdr>
      <w:divsChild>
        <w:div w:id="82007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11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06419">
      <w:bodyDiv w:val="1"/>
      <w:marLeft w:val="0"/>
      <w:marRight w:val="0"/>
      <w:marTop w:val="0"/>
      <w:marBottom w:val="0"/>
      <w:divBdr>
        <w:top w:val="none" w:sz="0" w:space="0" w:color="auto"/>
        <w:left w:val="none" w:sz="0" w:space="0" w:color="auto"/>
        <w:bottom w:val="none" w:sz="0" w:space="0" w:color="auto"/>
        <w:right w:val="none" w:sz="0" w:space="0" w:color="auto"/>
      </w:divBdr>
      <w:divsChild>
        <w:div w:id="193373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088563">
      <w:bodyDiv w:val="1"/>
      <w:marLeft w:val="0"/>
      <w:marRight w:val="0"/>
      <w:marTop w:val="0"/>
      <w:marBottom w:val="0"/>
      <w:divBdr>
        <w:top w:val="none" w:sz="0" w:space="0" w:color="auto"/>
        <w:left w:val="none" w:sz="0" w:space="0" w:color="auto"/>
        <w:bottom w:val="none" w:sz="0" w:space="0" w:color="auto"/>
        <w:right w:val="none" w:sz="0" w:space="0" w:color="auto"/>
      </w:divBdr>
    </w:div>
    <w:div w:id="1246955057">
      <w:bodyDiv w:val="1"/>
      <w:marLeft w:val="0"/>
      <w:marRight w:val="0"/>
      <w:marTop w:val="0"/>
      <w:marBottom w:val="0"/>
      <w:divBdr>
        <w:top w:val="none" w:sz="0" w:space="0" w:color="auto"/>
        <w:left w:val="none" w:sz="0" w:space="0" w:color="auto"/>
        <w:bottom w:val="none" w:sz="0" w:space="0" w:color="auto"/>
        <w:right w:val="none" w:sz="0" w:space="0" w:color="auto"/>
      </w:divBdr>
      <w:divsChild>
        <w:div w:id="13945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4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42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179050">
          <w:marLeft w:val="0"/>
          <w:marRight w:val="0"/>
          <w:marTop w:val="0"/>
          <w:marBottom w:val="0"/>
          <w:divBdr>
            <w:top w:val="none" w:sz="0" w:space="0" w:color="auto"/>
            <w:left w:val="none" w:sz="0" w:space="0" w:color="auto"/>
            <w:bottom w:val="none" w:sz="0" w:space="0" w:color="auto"/>
            <w:right w:val="none" w:sz="0" w:space="0" w:color="auto"/>
          </w:divBdr>
          <w:divsChild>
            <w:div w:id="1139151652">
              <w:marLeft w:val="0"/>
              <w:marRight w:val="0"/>
              <w:marTop w:val="0"/>
              <w:marBottom w:val="0"/>
              <w:divBdr>
                <w:top w:val="none" w:sz="0" w:space="0" w:color="auto"/>
                <w:left w:val="none" w:sz="0" w:space="0" w:color="auto"/>
                <w:bottom w:val="none" w:sz="0" w:space="0" w:color="auto"/>
                <w:right w:val="none" w:sz="0" w:space="0" w:color="auto"/>
              </w:divBdr>
            </w:div>
          </w:divsChild>
        </w:div>
        <w:div w:id="64149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057504">
      <w:bodyDiv w:val="1"/>
      <w:marLeft w:val="0"/>
      <w:marRight w:val="0"/>
      <w:marTop w:val="0"/>
      <w:marBottom w:val="0"/>
      <w:divBdr>
        <w:top w:val="none" w:sz="0" w:space="0" w:color="auto"/>
        <w:left w:val="none" w:sz="0" w:space="0" w:color="auto"/>
        <w:bottom w:val="none" w:sz="0" w:space="0" w:color="auto"/>
        <w:right w:val="none" w:sz="0" w:space="0" w:color="auto"/>
      </w:divBdr>
      <w:divsChild>
        <w:div w:id="1238906011">
          <w:marLeft w:val="0"/>
          <w:marRight w:val="0"/>
          <w:marTop w:val="0"/>
          <w:marBottom w:val="0"/>
          <w:divBdr>
            <w:top w:val="none" w:sz="0" w:space="0" w:color="auto"/>
            <w:left w:val="none" w:sz="0" w:space="0" w:color="auto"/>
            <w:bottom w:val="none" w:sz="0" w:space="0" w:color="auto"/>
            <w:right w:val="none" w:sz="0" w:space="0" w:color="auto"/>
          </w:divBdr>
          <w:divsChild>
            <w:div w:id="1318463623">
              <w:marLeft w:val="0"/>
              <w:marRight w:val="0"/>
              <w:marTop w:val="0"/>
              <w:marBottom w:val="0"/>
              <w:divBdr>
                <w:top w:val="none" w:sz="0" w:space="0" w:color="auto"/>
                <w:left w:val="none" w:sz="0" w:space="0" w:color="auto"/>
                <w:bottom w:val="none" w:sz="0" w:space="0" w:color="auto"/>
                <w:right w:val="none" w:sz="0" w:space="0" w:color="auto"/>
              </w:divBdr>
            </w:div>
          </w:divsChild>
        </w:div>
        <w:div w:id="742723003">
          <w:marLeft w:val="0"/>
          <w:marRight w:val="0"/>
          <w:marTop w:val="0"/>
          <w:marBottom w:val="0"/>
          <w:divBdr>
            <w:top w:val="none" w:sz="0" w:space="0" w:color="auto"/>
            <w:left w:val="none" w:sz="0" w:space="0" w:color="auto"/>
            <w:bottom w:val="none" w:sz="0" w:space="0" w:color="auto"/>
            <w:right w:val="none" w:sz="0" w:space="0" w:color="auto"/>
          </w:divBdr>
          <w:divsChild>
            <w:div w:id="1620792173">
              <w:marLeft w:val="0"/>
              <w:marRight w:val="0"/>
              <w:marTop w:val="0"/>
              <w:marBottom w:val="0"/>
              <w:divBdr>
                <w:top w:val="none" w:sz="0" w:space="0" w:color="auto"/>
                <w:left w:val="none" w:sz="0" w:space="0" w:color="auto"/>
                <w:bottom w:val="none" w:sz="0" w:space="0" w:color="auto"/>
                <w:right w:val="none" w:sz="0" w:space="0" w:color="auto"/>
              </w:divBdr>
            </w:div>
          </w:divsChild>
        </w:div>
        <w:div w:id="145255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3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771590">
      <w:bodyDiv w:val="1"/>
      <w:marLeft w:val="0"/>
      <w:marRight w:val="0"/>
      <w:marTop w:val="0"/>
      <w:marBottom w:val="0"/>
      <w:divBdr>
        <w:top w:val="none" w:sz="0" w:space="0" w:color="auto"/>
        <w:left w:val="none" w:sz="0" w:space="0" w:color="auto"/>
        <w:bottom w:val="none" w:sz="0" w:space="0" w:color="auto"/>
        <w:right w:val="none" w:sz="0" w:space="0" w:color="auto"/>
      </w:divBdr>
      <w:divsChild>
        <w:div w:id="65734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7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259970">
      <w:bodyDiv w:val="1"/>
      <w:marLeft w:val="0"/>
      <w:marRight w:val="0"/>
      <w:marTop w:val="0"/>
      <w:marBottom w:val="0"/>
      <w:divBdr>
        <w:top w:val="none" w:sz="0" w:space="0" w:color="auto"/>
        <w:left w:val="none" w:sz="0" w:space="0" w:color="auto"/>
        <w:bottom w:val="none" w:sz="0" w:space="0" w:color="auto"/>
        <w:right w:val="none" w:sz="0" w:space="0" w:color="auto"/>
      </w:divBdr>
      <w:divsChild>
        <w:div w:id="3901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41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9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14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32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73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635259">
      <w:bodyDiv w:val="1"/>
      <w:marLeft w:val="0"/>
      <w:marRight w:val="0"/>
      <w:marTop w:val="0"/>
      <w:marBottom w:val="0"/>
      <w:divBdr>
        <w:top w:val="none" w:sz="0" w:space="0" w:color="auto"/>
        <w:left w:val="none" w:sz="0" w:space="0" w:color="auto"/>
        <w:bottom w:val="none" w:sz="0" w:space="0" w:color="auto"/>
        <w:right w:val="none" w:sz="0" w:space="0" w:color="auto"/>
      </w:divBdr>
    </w:div>
    <w:div w:id="1813597102">
      <w:bodyDiv w:val="1"/>
      <w:marLeft w:val="0"/>
      <w:marRight w:val="0"/>
      <w:marTop w:val="0"/>
      <w:marBottom w:val="0"/>
      <w:divBdr>
        <w:top w:val="none" w:sz="0" w:space="0" w:color="auto"/>
        <w:left w:val="none" w:sz="0" w:space="0" w:color="auto"/>
        <w:bottom w:val="none" w:sz="0" w:space="0" w:color="auto"/>
        <w:right w:val="none" w:sz="0" w:space="0" w:color="auto"/>
      </w:divBdr>
      <w:divsChild>
        <w:div w:id="20985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10341">
      <w:bodyDiv w:val="1"/>
      <w:marLeft w:val="0"/>
      <w:marRight w:val="0"/>
      <w:marTop w:val="0"/>
      <w:marBottom w:val="0"/>
      <w:divBdr>
        <w:top w:val="none" w:sz="0" w:space="0" w:color="auto"/>
        <w:left w:val="none" w:sz="0" w:space="0" w:color="auto"/>
        <w:bottom w:val="none" w:sz="0" w:space="0" w:color="auto"/>
        <w:right w:val="none" w:sz="0" w:space="0" w:color="auto"/>
      </w:divBdr>
      <w:divsChild>
        <w:div w:id="32329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846992">
      <w:bodyDiv w:val="1"/>
      <w:marLeft w:val="0"/>
      <w:marRight w:val="0"/>
      <w:marTop w:val="0"/>
      <w:marBottom w:val="0"/>
      <w:divBdr>
        <w:top w:val="none" w:sz="0" w:space="0" w:color="auto"/>
        <w:left w:val="none" w:sz="0" w:space="0" w:color="auto"/>
        <w:bottom w:val="none" w:sz="0" w:space="0" w:color="auto"/>
        <w:right w:val="none" w:sz="0" w:space="0" w:color="auto"/>
      </w:divBdr>
      <w:divsChild>
        <w:div w:id="157970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960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0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439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9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194844">
      <w:bodyDiv w:val="1"/>
      <w:marLeft w:val="0"/>
      <w:marRight w:val="0"/>
      <w:marTop w:val="0"/>
      <w:marBottom w:val="0"/>
      <w:divBdr>
        <w:top w:val="none" w:sz="0" w:space="0" w:color="auto"/>
        <w:left w:val="none" w:sz="0" w:space="0" w:color="auto"/>
        <w:bottom w:val="none" w:sz="0" w:space="0" w:color="auto"/>
        <w:right w:val="none" w:sz="0" w:space="0" w:color="auto"/>
      </w:divBdr>
    </w:div>
    <w:div w:id="212835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doi.org/10.48550/arXiv.2505.20127" TargetMode="External"/><Relationship Id="rId26" Type="http://schemas.openxmlformats.org/officeDocument/2006/relationships/hyperlink" Target="https://doi.org/10.1145/3458723" TargetMode="External"/><Relationship Id="rId3" Type="http://schemas.openxmlformats.org/officeDocument/2006/relationships/styles" Target="styles.xml"/><Relationship Id="rId21" Type="http://schemas.openxmlformats.org/officeDocument/2006/relationships/hyperlink" Target="https://doi.org/10.48550/arXiv.2608.0080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07/978-3-662-49851-4" TargetMode="External"/><Relationship Id="rId25" Type="http://schemas.openxmlformats.org/officeDocument/2006/relationships/hyperlink" Target="https://doi.org/10.1145/3351095.3372873" TargetMode="External"/><Relationship Id="rId2" Type="http://schemas.openxmlformats.org/officeDocument/2006/relationships/numbering" Target="numbering.xml"/><Relationship Id="rId16" Type="http://schemas.openxmlformats.org/officeDocument/2006/relationships/hyperlink" Target="https://doi.org/10.1371/journal.pone.0041010" TargetMode="External"/><Relationship Id="rId20" Type="http://schemas.openxmlformats.org/officeDocument/2006/relationships/hyperlink" Target="https://doi.org/10.48550/arXiv.2609.2030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73/pnas.170827411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sigpro.2019.107299" TargetMode="External"/><Relationship Id="rId23" Type="http://schemas.openxmlformats.org/officeDocument/2006/relationships/hyperlink" Target="https://www.w3.org/TR/prov-dm/" TargetMode="External"/><Relationship Id="rId28" Type="http://schemas.openxmlformats.org/officeDocument/2006/relationships/hyperlink" Target="https://doi.org/10.6028/NIST.AI.100-1" TargetMode="External"/><Relationship Id="rId10" Type="http://schemas.openxmlformats.org/officeDocument/2006/relationships/hyperlink" Target="http://www.arjayasadi.com" TargetMode="External"/><Relationship Id="rId19" Type="http://schemas.openxmlformats.org/officeDocument/2006/relationships/hyperlink" Target="https://doi.org/10.48550/arXiv.2511.0019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rjay.asadi@substratex.ai" TargetMode="External"/><Relationship Id="rId14" Type="http://schemas.openxmlformats.org/officeDocument/2006/relationships/hyperlink" Target="https://doi.org/10.1038/nature08227" TargetMode="External"/><Relationship Id="rId22" Type="http://schemas.openxmlformats.org/officeDocument/2006/relationships/hyperlink" Target="https://doi.org/10.48550/arXiv.2508.02866" TargetMode="External"/><Relationship Id="rId27" Type="http://schemas.openxmlformats.org/officeDocument/2006/relationships/hyperlink" Target="https://doi.org/10.1145/3287560.3287596"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0B5B8-D055-495E-8D98-72F1F0C7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8968</Words>
  <Characters>51119</Characters>
  <Application>Microsoft Office Word</Application>
  <DocSecurity>0</DocSecurity>
  <Lines>425</Lines>
  <Paragraphs>119</Paragraphs>
  <ScaleCrop>false</ScaleCrop>
  <HeadingPairs>
    <vt:vector size="4" baseType="variant">
      <vt:variant>
        <vt:lpstr>Title</vt:lpstr>
      </vt:variant>
      <vt:variant>
        <vt:i4>1</vt:i4>
      </vt:variant>
      <vt:variant>
        <vt:lpstr>Headings</vt:lpstr>
      </vt:variant>
      <vt:variant>
        <vt:i4>66</vt:i4>
      </vt:variant>
    </vt:vector>
  </HeadingPairs>
  <TitlesOfParts>
    <vt:vector size="67" baseType="lpstr">
      <vt:lpstr>Constructive Inference Computing</vt:lpstr>
      <vt:lpstr>Table of Content</vt:lpstr>
      <vt:lpstr>0. Front Matter</vt:lpstr>
      <vt:lpstr>    Abstract</vt:lpstr>
      <vt:lpstr>02. The Missing Scientific Object</vt:lpstr>
      <vt:lpstr>Scope and Foundational Definitions</vt:lpstr>
      <vt:lpstr>    Runtime</vt:lpstr>
      <vt:lpstr>    Computational organization</vt:lpstr>
      <vt:lpstr>    Longitudinal Computational Behavior</vt:lpstr>
      <vt:lpstr>    Longitudinal Computational Dynamics</vt:lpstr>
      <vt:lpstr>Runtime Evidence Model</vt:lpstr>
      <vt:lpstr>    Source qualification and canonicalization</vt:lpstr>
      <vt:lpstr>    Temporal coordinates</vt:lpstr>
      <vt:lpstr>    Evidence horizons</vt:lpstr>
      <vt:lpstr>    Observable runtime state</vt:lpstr>
      <vt:lpstr>    Evidence classes</vt:lpstr>
      <vt:lpstr>Formation and Continuity</vt:lpstr>
      <vt:lpstr>Motion and Drift</vt:lpstr>
      <vt:lpstr>    Runtime motion</vt:lpstr>
      <vt:lpstr>    Drift</vt:lpstr>
      <vt:lpstr>    Curvature and path dependence</vt:lpstr>
      <vt:lpstr>Stability and Regimes</vt:lpstr>
      <vt:lpstr>    Runtime stability</vt:lpstr>
      <vt:lpstr>    Regime definition</vt:lpstr>
      <vt:lpstr>    Persistence and hysteresis</vt:lpstr>
      <vt:lpstr>Boundary Formation and Basin Exit</vt:lpstr>
      <vt:lpstr>    Declared boundaries</vt:lpstr>
      <vt:lpstr>    Candidate and confirmed crossings</vt:lpstr>
      <vt:lpstr>    Boundary formation as a process</vt:lpstr>
      <vt:lpstr>    Failure and lead time</vt:lpstr>
      <vt:lpstr>Collapse Recovery and Reentry</vt:lpstr>
      <vt:lpstr>    Collapse</vt:lpstr>
      <vt:lpstr>    Correction and recovery</vt:lpstr>
      <vt:lpstr>    Reentry and transformation</vt:lpstr>
      <vt:lpstr>Evidence Governed Computation</vt:lpstr>
      <vt:lpstr>    Missingness</vt:lpstr>
      <vt:lpstr>    Claim boundary</vt:lpstr>
      <vt:lpstr>Reference Implementation in SubstrateX Aperture</vt:lpstr>
      <vt:lpstr>Current Validation Status</vt:lpstr>
      <vt:lpstr>    Deterministic evidence reproduction</vt:lpstr>
      <vt:lpstr>    Discrimination of transition cases</vt:lpstr>
      <vt:lpstr>    Validation ladder</vt:lpstr>
      <vt:lpstr>Relationship to Adjacent Fields</vt:lpstr>
      <vt:lpstr>Falsifiable Scientific Propositions</vt:lpstr>
      <vt:lpstr>    Longitudinal sufficiency</vt:lpstr>
      <vt:lpstr>    Persistence advantage</vt:lpstr>
      <vt:lpstr>    Cross-signal coherence</vt:lpstr>
      <vt:lpstr>    Boundary and failure separation</vt:lpstr>
      <vt:lpstr>    Recovery persistence</vt:lpstr>
      <vt:lpstr>    Role topology contribution</vt:lpstr>
      <vt:lpstr>    Source-family transport</vt:lpstr>
      <vt:lpstr>    Governance effectiveness</vt:lpstr>
      <vt:lpstr>Experimental Program</vt:lpstr>
      <vt:lpstr>    Case structure</vt:lpstr>
      <vt:lpstr>    Baselines</vt:lpstr>
      <vt:lpstr>    Prospective evaluation</vt:lpstr>
      <vt:lpstr>    Ablation and perturbation</vt:lpstr>
      <vt:lpstr>    Replication</vt:lpstr>
      <vt:lpstr>Minimum Reporting Standard</vt:lpstr>
      <vt:lpstr>Limitations</vt:lpstr>
      <vt:lpstr>Ethical and Operational Boundaries</vt:lpstr>
      <vt:lpstr>Research Agenda</vt:lpstr>
      <vt:lpstr>Conclusion</vt:lpstr>
      <vt:lpstr>References</vt:lpstr>
      <vt:lpstr>Appendix A Canonical Terms</vt:lpstr>
      <vt:lpstr>Appendix B Scientific Hierarchy</vt:lpstr>
      <vt:lpstr>🔒 Original Research &amp; Provenance Declaration</vt:lpstr>
    </vt:vector>
  </TitlesOfParts>
  <Company>Recursive Science Foundation</Company>
  <LinksUpToDate>false</LinksUpToDate>
  <CharactersWithSpaces>59968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Constructive Inference Computing</dc:title>
  <dc:subject/>
  <dc:creator>Arjay Asadi</dc:creator>
  <cp:keywords/>
  <dc:description/>
  <cp:lastModifiedBy>Arjay Asadi</cp:lastModifiedBy>
  <cp:revision>3</cp:revision>
  <dcterms:created xsi:type="dcterms:W3CDTF">2026-10-10T22:34:00Z</dcterms:created>
  <dcterms:modified xsi:type="dcterms:W3CDTF">2026-10-10T22:36:00Z</dcterms:modified>
  <cp:category/>
</cp:coreProperties>
</file>