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1CE9A" w14:textId="38304F67" w:rsidR="00F21A1B" w:rsidRPr="00715E52" w:rsidRDefault="00220D48" w:rsidP="000B6C24">
      <w:pPr>
        <w:spacing w:after="100"/>
        <w:rPr>
          <w:rFonts w:cstheme="minorHAnsi"/>
          <w:b/>
          <w:bCs/>
          <w:color w:val="000000" w:themeColor="text1"/>
          <w:sz w:val="28"/>
          <w:szCs w:val="28"/>
        </w:rPr>
      </w:pPr>
      <w:bookmarkStart w:id="0" w:name="_Hlk218262451"/>
      <w:r w:rsidRPr="00715E52">
        <w:rPr>
          <w:rFonts w:cstheme="minorHAnsi"/>
          <w:b/>
          <w:bCs/>
          <w:noProof/>
          <w:color w:val="F0B83B"/>
        </w:rPr>
        <w:drawing>
          <wp:anchor distT="0" distB="0" distL="114300" distR="114300" simplePos="0" relativeHeight="251658240" behindDoc="0" locked="0" layoutInCell="1" allowOverlap="1" wp14:anchorId="4FC6E8BE" wp14:editId="6E0091B2">
            <wp:simplePos x="0" y="0"/>
            <wp:positionH relativeFrom="margin">
              <wp:align>left</wp:align>
            </wp:positionH>
            <wp:positionV relativeFrom="paragraph">
              <wp:posOffset>0</wp:posOffset>
            </wp:positionV>
            <wp:extent cx="1219200" cy="1202055"/>
            <wp:effectExtent l="0" t="0" r="0" b="0"/>
            <wp:wrapSquare wrapText="bothSides"/>
            <wp:docPr id="81034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45041" name="Picture 1"/>
                    <pic:cNvPicPr/>
                  </pic:nvPicPr>
                  <pic:blipFill>
                    <a:blip r:embed="rId8" cstate="print">
                      <a:biLevel thresh="75000"/>
                      <a:extLst>
                        <a:ext uri="{28A0092B-C50C-407E-A947-70E740481C1C}">
                          <a14:useLocalDpi xmlns:a14="http://schemas.microsoft.com/office/drawing/2010/main" val="0"/>
                        </a:ext>
                      </a:extLst>
                    </a:blip>
                    <a:stretch>
                      <a:fillRect/>
                    </a:stretch>
                  </pic:blipFill>
                  <pic:spPr>
                    <a:xfrm>
                      <a:off x="0" y="0"/>
                      <a:ext cx="1219200" cy="1202055"/>
                    </a:xfrm>
                    <a:prstGeom prst="rect">
                      <a:avLst/>
                    </a:prstGeom>
                  </pic:spPr>
                </pic:pic>
              </a:graphicData>
            </a:graphic>
            <wp14:sizeRelH relativeFrom="margin">
              <wp14:pctWidth>0</wp14:pctWidth>
            </wp14:sizeRelH>
            <wp14:sizeRelV relativeFrom="margin">
              <wp14:pctHeight>0</wp14:pctHeight>
            </wp14:sizeRelV>
          </wp:anchor>
        </w:drawing>
      </w:r>
    </w:p>
    <w:bookmarkEnd w:id="0"/>
    <w:p w14:paraId="6D78C192" w14:textId="7A94C401" w:rsidR="00C31BEF" w:rsidRPr="00715E52" w:rsidRDefault="008B4C55" w:rsidP="000B6C24">
      <w:pPr>
        <w:spacing w:after="100"/>
        <w:ind w:left="720"/>
        <w:rPr>
          <w:rFonts w:cstheme="minorHAnsi"/>
          <w:b/>
          <w:bCs/>
          <w:color w:val="F0B83B"/>
        </w:rPr>
      </w:pPr>
      <w:r w:rsidRPr="00715E52">
        <w:rPr>
          <w:rFonts w:cstheme="minorHAnsi"/>
          <w:b/>
          <w:bCs/>
          <w:color w:val="F0B83B"/>
        </w:rPr>
        <w:br/>
      </w:r>
      <w:bookmarkStart w:id="1" w:name="_Hlk214123080"/>
    </w:p>
    <w:p w14:paraId="24C1AE66" w14:textId="77777777" w:rsidR="008B4C55" w:rsidRPr="00715E52" w:rsidRDefault="008B4C55" w:rsidP="000B6C24">
      <w:pPr>
        <w:spacing w:after="100"/>
        <w:ind w:left="720"/>
        <w:rPr>
          <w:rFonts w:cstheme="minorHAnsi"/>
          <w:b/>
          <w:bCs/>
          <w:color w:val="F0B83B"/>
        </w:rPr>
      </w:pPr>
    </w:p>
    <w:p w14:paraId="2027FB5B" w14:textId="77777777" w:rsidR="00A2313E" w:rsidRPr="00715E52" w:rsidRDefault="00A2313E" w:rsidP="000B6C24">
      <w:pPr>
        <w:spacing w:after="100"/>
        <w:rPr>
          <w:rFonts w:cstheme="minorHAnsi"/>
          <w:b/>
          <w:bCs/>
          <w:sz w:val="45"/>
          <w:szCs w:val="45"/>
        </w:rPr>
      </w:pPr>
    </w:p>
    <w:p w14:paraId="7350CF94" w14:textId="3E781770" w:rsidR="00A2313E" w:rsidRPr="00715E52" w:rsidRDefault="008B4C55" w:rsidP="000B6C24">
      <w:pPr>
        <w:spacing w:after="100"/>
        <w:rPr>
          <w:rFonts w:cstheme="minorHAnsi"/>
          <w:b/>
          <w:bCs/>
          <w:color w:val="D9D9D9" w:themeColor="background1" w:themeShade="D9"/>
          <w:sz w:val="45"/>
          <w:szCs w:val="45"/>
        </w:rPr>
      </w:pPr>
      <w:r w:rsidRPr="00715E52">
        <w:rPr>
          <w:rFonts w:cstheme="minorHAnsi"/>
          <w:b/>
          <w:bCs/>
          <w:sz w:val="45"/>
          <w:szCs w:val="45"/>
        </w:rPr>
        <w:t>Substrate</w:t>
      </w:r>
      <w:r w:rsidRPr="00715E52">
        <w:rPr>
          <w:rFonts w:cstheme="minorHAnsi"/>
          <w:b/>
          <w:bCs/>
          <w:color w:val="4F46E5"/>
          <w:sz w:val="45"/>
          <w:szCs w:val="45"/>
        </w:rPr>
        <w:t>X</w:t>
      </w:r>
      <w:r w:rsidR="00922F4C" w:rsidRPr="00715E52">
        <w:rPr>
          <w:rFonts w:cstheme="minorHAnsi"/>
          <w:b/>
          <w:bCs/>
          <w:color w:val="D9D9D9" w:themeColor="background1" w:themeShade="D9"/>
          <w:sz w:val="45"/>
          <w:szCs w:val="45"/>
        </w:rPr>
        <w:t>®</w:t>
      </w:r>
      <w:r w:rsidR="00A2313E" w:rsidRPr="00715E52">
        <w:rPr>
          <w:rFonts w:cstheme="minorHAnsi"/>
          <w:b/>
          <w:bCs/>
          <w:color w:val="D9D9D9" w:themeColor="background1" w:themeShade="D9"/>
          <w:sz w:val="45"/>
          <w:szCs w:val="45"/>
        </w:rPr>
        <w:t xml:space="preserve"> </w:t>
      </w:r>
      <w:r w:rsidR="00922F4C" w:rsidRPr="00715E52">
        <w:rPr>
          <w:rFonts w:cstheme="minorHAnsi"/>
          <w:b/>
          <w:bCs/>
          <w:color w:val="000000" w:themeColor="text1"/>
          <w:sz w:val="45"/>
          <w:szCs w:val="45"/>
        </w:rPr>
        <w:t xml:space="preserve">Longitudinal </w:t>
      </w:r>
      <w:r w:rsidR="00922F4C" w:rsidRPr="00715E52">
        <w:rPr>
          <w:rFonts w:cstheme="minorHAnsi"/>
          <w:color w:val="000000" w:themeColor="text1"/>
          <w:sz w:val="45"/>
          <w:szCs w:val="45"/>
        </w:rPr>
        <w:t>Labs</w:t>
      </w:r>
      <w:r w:rsidR="00922F4C" w:rsidRPr="00715E52">
        <w:rPr>
          <w:rFonts w:cstheme="minorHAnsi"/>
          <w:color w:val="D9D9D9" w:themeColor="background1" w:themeShade="D9"/>
          <w:sz w:val="45"/>
          <w:szCs w:val="45"/>
        </w:rPr>
        <w:t xml:space="preserve"> </w:t>
      </w:r>
    </w:p>
    <w:p w14:paraId="2D8ECCA0" w14:textId="77777777" w:rsidR="00220D48" w:rsidRPr="00715E52" w:rsidRDefault="00A2313E" w:rsidP="000B6C24">
      <w:pPr>
        <w:spacing w:after="100"/>
        <w:rPr>
          <w:rFonts w:cstheme="minorHAnsi"/>
          <w:i/>
          <w:iCs/>
          <w:color w:val="D9D9D9" w:themeColor="background1" w:themeShade="D9"/>
        </w:rPr>
      </w:pPr>
      <w:r w:rsidRPr="00715E52">
        <w:rPr>
          <w:rFonts w:cstheme="minorHAnsi"/>
          <w:i/>
          <w:iCs/>
          <w:color w:val="808080" w:themeColor="background1" w:themeShade="80"/>
        </w:rPr>
        <w:t>Instrumenting Intelligence in Motion</w:t>
      </w:r>
      <w:r w:rsidRPr="00715E52">
        <w:rPr>
          <w:rFonts w:cstheme="minorHAnsi"/>
          <w:i/>
          <w:iCs/>
          <w:color w:val="D9D9D9" w:themeColor="background1" w:themeShade="D9"/>
        </w:rPr>
        <w:t>™</w:t>
      </w:r>
    </w:p>
    <w:p w14:paraId="503ABAF8" w14:textId="77777777" w:rsidR="00220D48" w:rsidRPr="00715E52" w:rsidRDefault="00220D48" w:rsidP="000B6C24">
      <w:pPr>
        <w:spacing w:after="100"/>
        <w:rPr>
          <w:rFonts w:cstheme="minorHAnsi"/>
          <w:i/>
          <w:iCs/>
          <w:color w:val="D9D9D9" w:themeColor="background1" w:themeShade="D9"/>
        </w:rPr>
      </w:pPr>
    </w:p>
    <w:p w14:paraId="06A27710" w14:textId="5A4CD2AA" w:rsidR="00220D48" w:rsidRPr="00715E52" w:rsidRDefault="00220D48" w:rsidP="000B6C24">
      <w:pPr>
        <w:spacing w:after="100"/>
        <w:rPr>
          <w:rFonts w:cstheme="minorHAnsi"/>
          <w:i/>
          <w:iCs/>
          <w:color w:val="D9D9D9" w:themeColor="background1" w:themeShade="D9"/>
        </w:rPr>
      </w:pPr>
      <w:r w:rsidRPr="00715E52">
        <w:rPr>
          <w:rFonts w:cstheme="minorHAnsi"/>
        </w:rPr>
        <w:pict w14:anchorId="1F781C62">
          <v:rect id="_x0000_i1083" style="width:468pt;height:1.5pt;mso-position-horizontal:absolute;mso-position-horizontal-relative:text;mso-position-vertical:absolute;mso-position-vertical-relative:text" o:hralign="right" o:hrstd="t" o:hrnoshade="t" o:hr="t" fillcolor="#d8d8d8 [2732]" stroked="f"/>
        </w:pict>
      </w:r>
    </w:p>
    <w:p w14:paraId="1FA8960E" w14:textId="77777777" w:rsidR="00220D48" w:rsidRPr="00715E52" w:rsidRDefault="00220D48" w:rsidP="000B6C24">
      <w:pPr>
        <w:spacing w:after="100"/>
        <w:rPr>
          <w:rFonts w:cstheme="minorHAnsi"/>
          <w:i/>
          <w:iCs/>
          <w:color w:val="D9D9D9" w:themeColor="background1" w:themeShade="D9"/>
        </w:rPr>
      </w:pPr>
    </w:p>
    <w:bookmarkEnd w:id="1"/>
    <w:p w14:paraId="770E0BEB" w14:textId="77777777" w:rsidR="00002650" w:rsidRDefault="00002650" w:rsidP="00002650">
      <w:pPr>
        <w:pStyle w:val="Title"/>
        <w:keepNext/>
        <w:spacing w:after="0"/>
        <w:rPr>
          <w:rFonts w:ascii="Arial" w:eastAsia="Arial" w:hAnsi="Arial"/>
          <w:color w:val="000000"/>
          <w:sz w:val="44"/>
          <w:szCs w:val="44"/>
        </w:rPr>
      </w:pPr>
      <w:r w:rsidRPr="00002650">
        <w:rPr>
          <w:rFonts w:ascii="Arial" w:eastAsia="Arial" w:hAnsi="Arial"/>
          <w:b/>
          <w:color w:val="000000"/>
          <w:sz w:val="44"/>
          <w:szCs w:val="44"/>
        </w:rPr>
        <w:t>Computational Behavior Architecture</w:t>
      </w:r>
      <w:r w:rsidR="00220D48" w:rsidRPr="00002650">
        <w:rPr>
          <w:rFonts w:asciiTheme="minorHAnsi" w:eastAsia="Arial" w:hAnsiTheme="minorHAnsi" w:cstheme="minorHAnsi"/>
          <w:color w:val="000000" w:themeColor="text1"/>
          <w:sz w:val="44"/>
          <w:szCs w:val="44"/>
        </w:rPr>
        <w:t xml:space="preserve">: </w:t>
      </w:r>
      <w:r w:rsidRPr="00002650">
        <w:rPr>
          <w:rFonts w:ascii="Arial" w:eastAsia="Arial" w:hAnsi="Arial"/>
          <w:color w:val="000000"/>
          <w:sz w:val="44"/>
          <w:szCs w:val="44"/>
        </w:rPr>
        <w:t>Canonical Representation Temporal Structure and Evidence Bound Reconstruction of Longitudinal Computational Behavior</w:t>
      </w:r>
    </w:p>
    <w:p w14:paraId="2FB7656E" w14:textId="77777777" w:rsidR="00002650" w:rsidRDefault="00002650" w:rsidP="00002650">
      <w:pPr>
        <w:pStyle w:val="Title"/>
        <w:keepNext/>
        <w:spacing w:after="0"/>
        <w:rPr>
          <w:rFonts w:ascii="Arial" w:eastAsia="Arial" w:hAnsi="Arial"/>
          <w:color w:val="000000"/>
          <w:sz w:val="44"/>
          <w:szCs w:val="44"/>
        </w:rPr>
      </w:pPr>
    </w:p>
    <w:p w14:paraId="663D1478" w14:textId="77777777" w:rsidR="00002650" w:rsidRDefault="002A5935" w:rsidP="00002650">
      <w:pPr>
        <w:spacing w:after="0"/>
        <w:rPr>
          <w:rFonts w:cstheme="majorBidi"/>
          <w:sz w:val="44"/>
          <w:szCs w:val="44"/>
        </w:rPr>
      </w:pPr>
      <w:r w:rsidRPr="00715E52">
        <w:t>SubstrateX</w:t>
      </w:r>
      <w:r w:rsidRPr="00715E52">
        <w:rPr>
          <w:color w:val="D9D9D9" w:themeColor="background1" w:themeShade="D9"/>
        </w:rPr>
        <w:t>®</w:t>
      </w:r>
      <w:r w:rsidRPr="00715E52">
        <w:t xml:space="preserve"> Longitudinal Computational Dynamics Series · </w:t>
      </w:r>
      <w:r w:rsidRPr="00715E52">
        <w:br/>
      </w:r>
      <w:r w:rsidRPr="00715E52">
        <w:t>Paper</w:t>
      </w:r>
      <w:r w:rsidR="00002650">
        <w:t xml:space="preserve"> 4</w:t>
      </w:r>
      <w:r w:rsidRPr="00715E52">
        <w:t xml:space="preserve"> · Version 1.0 · October 2026</w:t>
      </w:r>
    </w:p>
    <w:p w14:paraId="56679DCD" w14:textId="77777777" w:rsidR="00002650" w:rsidRDefault="00002650" w:rsidP="00002650">
      <w:pPr>
        <w:spacing w:after="0"/>
        <w:rPr>
          <w:rFonts w:cstheme="majorBidi"/>
          <w:sz w:val="44"/>
          <w:szCs w:val="44"/>
        </w:rPr>
      </w:pPr>
    </w:p>
    <w:p w14:paraId="64023446" w14:textId="50473275" w:rsidR="00016C74" w:rsidRPr="00002650" w:rsidRDefault="00016C74" w:rsidP="00002650">
      <w:pPr>
        <w:spacing w:after="0"/>
        <w:rPr>
          <w:rFonts w:cstheme="majorBidi"/>
          <w:sz w:val="44"/>
          <w:szCs w:val="44"/>
        </w:rPr>
      </w:pPr>
      <w:r w:rsidRPr="00715E52">
        <w:rPr>
          <w:rFonts w:cstheme="minorHAnsi"/>
          <w:b/>
          <w:bCs/>
        </w:rPr>
        <w:t>Author: Arjay Asadi</w:t>
      </w:r>
      <w:r w:rsidRPr="00715E52">
        <w:rPr>
          <w:rFonts w:cstheme="minorHAnsi"/>
          <w:b/>
          <w:bCs/>
        </w:rPr>
        <w:br/>
        <w:t xml:space="preserve">Position: </w:t>
      </w:r>
      <w:r w:rsidRPr="00715E52">
        <w:rPr>
          <w:rFonts w:cstheme="minorHAnsi"/>
        </w:rPr>
        <w:t>Founding Architect, SubstrateX</w:t>
      </w:r>
      <w:r w:rsidRPr="00715E52">
        <w:rPr>
          <w:rFonts w:cstheme="minorHAnsi"/>
          <w:color w:val="D9D9D9" w:themeColor="background1" w:themeShade="D9"/>
        </w:rPr>
        <w:t>®</w:t>
      </w:r>
      <w:r w:rsidRPr="00715E52">
        <w:rPr>
          <w:rFonts w:cstheme="minorHAnsi"/>
          <w:b/>
          <w:bCs/>
        </w:rPr>
        <w:br/>
        <w:t xml:space="preserve">Affiliation: </w:t>
      </w:r>
      <w:r w:rsidRPr="00715E52">
        <w:rPr>
          <w:rFonts w:cstheme="minorHAnsi"/>
        </w:rPr>
        <w:t>SubstrateX</w:t>
      </w:r>
      <w:r w:rsidRPr="00715E52">
        <w:rPr>
          <w:rFonts w:cstheme="minorHAnsi"/>
          <w:color w:val="D9D9D9" w:themeColor="background1" w:themeShade="D9"/>
        </w:rPr>
        <w:t>®</w:t>
      </w:r>
      <w:r w:rsidRPr="00715E52">
        <w:rPr>
          <w:rFonts w:cstheme="minorHAnsi"/>
        </w:rPr>
        <w:t xml:space="preserve"> Longitudinal Labs</w:t>
      </w:r>
      <w:r w:rsidRPr="00715E52">
        <w:rPr>
          <w:rFonts w:cstheme="minorHAnsi"/>
          <w:b/>
          <w:bCs/>
        </w:rPr>
        <w:br/>
        <w:t xml:space="preserve">Research: </w:t>
      </w:r>
      <w:r w:rsidRPr="00715E52">
        <w:rPr>
          <w:rFonts w:cstheme="minorHAnsi"/>
        </w:rPr>
        <w:t>Longitudinal Computational Dynamics · Longitudinal Computational Behavior · Evidence-Governed Computation · Runtime Evidence Infrastructure</w:t>
      </w:r>
      <w:r w:rsidRPr="00715E52">
        <w:rPr>
          <w:rFonts w:cstheme="minorHAnsi"/>
          <w:b/>
          <w:bCs/>
        </w:rPr>
        <w:br/>
        <w:t>Correspondence:</w:t>
      </w:r>
      <w:r w:rsidRPr="00715E52">
        <w:rPr>
          <w:rFonts w:cstheme="minorHAnsi"/>
          <w:color w:val="000000" w:themeColor="text1"/>
        </w:rPr>
        <w:t xml:space="preserve"> </w:t>
      </w:r>
      <w:hyperlink r:id="rId9" w:history="1">
        <w:r w:rsidRPr="00715E52">
          <w:rPr>
            <w:rStyle w:val="Hyperlink"/>
            <w:rFonts w:cstheme="minorHAnsi"/>
            <w:color w:val="000000" w:themeColor="text1"/>
          </w:rPr>
          <w:t>arjay.asadi@substratex.ai</w:t>
        </w:r>
      </w:hyperlink>
      <w:r w:rsidRPr="00715E52">
        <w:rPr>
          <w:rFonts w:cstheme="minorHAnsi"/>
          <w:b/>
          <w:bCs/>
          <w:color w:val="000000" w:themeColor="text1"/>
        </w:rPr>
        <w:br/>
        <w:t xml:space="preserve">Web: </w:t>
      </w:r>
      <w:hyperlink r:id="rId10" w:history="1">
        <w:r w:rsidRPr="00715E52">
          <w:rPr>
            <w:rStyle w:val="Hyperlink"/>
            <w:rFonts w:cstheme="minorHAnsi"/>
            <w:color w:val="000000" w:themeColor="text1"/>
          </w:rPr>
          <w:t>www.arjayasadi.com</w:t>
        </w:r>
      </w:hyperlink>
    </w:p>
    <w:p w14:paraId="3266C154" w14:textId="77777777" w:rsidR="00220D48" w:rsidRDefault="00220D48" w:rsidP="00002650">
      <w:pPr>
        <w:spacing w:after="0"/>
        <w:rPr>
          <w:rFonts w:cstheme="minorHAnsi"/>
          <w:i/>
          <w:iCs/>
          <w:color w:val="D9D9D9" w:themeColor="background1" w:themeShade="D9"/>
        </w:rPr>
      </w:pPr>
    </w:p>
    <w:p w14:paraId="6B7D167D" w14:textId="77777777" w:rsidR="00002650" w:rsidRPr="00715E52" w:rsidRDefault="00002650" w:rsidP="00002650">
      <w:pPr>
        <w:spacing w:after="0"/>
        <w:rPr>
          <w:rFonts w:cstheme="minorHAnsi"/>
          <w:i/>
          <w:iCs/>
          <w:color w:val="D9D9D9" w:themeColor="background1" w:themeShade="D9"/>
        </w:rPr>
      </w:pPr>
    </w:p>
    <w:p w14:paraId="10118919" w14:textId="3FBDDD0B" w:rsidR="00FF3B22" w:rsidRPr="00715E52" w:rsidRDefault="00220D48" w:rsidP="00002650">
      <w:pPr>
        <w:spacing w:after="0"/>
        <w:rPr>
          <w:rFonts w:cstheme="minorHAnsi"/>
          <w:color w:val="000000" w:themeColor="text1"/>
        </w:rPr>
      </w:pPr>
      <w:r w:rsidRPr="00715E52">
        <w:rPr>
          <w:rFonts w:cstheme="minorHAnsi"/>
        </w:rPr>
        <w:pict w14:anchorId="4982F355">
          <v:rect id="_x0000_i1085" style="width:468pt;height:1.5pt;mso-position-horizontal:absolute;mso-position-horizontal-relative:text;mso-position-vertical:absolute;mso-position-vertical-relative:text" o:hralign="right" o:hrstd="t" o:hrnoshade="t" o:hr="t" fillcolor="#d8d8d8 [2732]" stroked="f"/>
        </w:pict>
      </w:r>
    </w:p>
    <w:p w14:paraId="3AC38DFC" w14:textId="65E3EBF8" w:rsidR="00080427" w:rsidRDefault="002A5935" w:rsidP="00002650">
      <w:pPr>
        <w:spacing w:after="0"/>
        <w:rPr>
          <w:rFonts w:eastAsiaTheme="majorEastAsia" w:cstheme="minorHAnsi"/>
          <w:b/>
          <w:bCs/>
          <w:color w:val="4F46E5"/>
          <w:sz w:val="28"/>
          <w:szCs w:val="28"/>
        </w:rPr>
      </w:pPr>
      <w:r w:rsidRPr="00715E52">
        <w:rPr>
          <w:rFonts w:cstheme="minorHAnsi"/>
        </w:rPr>
        <w:t>© 2026 Arjay Asadi. All Rights Reserved.</w:t>
      </w:r>
      <w:r w:rsidRPr="00715E52">
        <w:rPr>
          <w:rFonts w:cstheme="minorHAnsi"/>
        </w:rPr>
        <w:br/>
        <w:t>Research Access: Non-Commercial Research &amp; Intellectual Exchange Only.</w:t>
      </w:r>
      <w:r w:rsidR="00080427">
        <w:rPr>
          <w:rFonts w:cstheme="minorHAnsi"/>
          <w:b/>
          <w:bCs/>
          <w:color w:val="4F46E5"/>
          <w:sz w:val="28"/>
          <w:szCs w:val="28"/>
        </w:rPr>
        <w:br w:type="page"/>
      </w:r>
    </w:p>
    <w:p w14:paraId="687A8B8B" w14:textId="6C4F56D8" w:rsidR="005B7C5B" w:rsidRPr="00002650" w:rsidRDefault="00CD05AC" w:rsidP="000B6C24">
      <w:pPr>
        <w:pStyle w:val="Heading1"/>
        <w:spacing w:after="100"/>
        <w:rPr>
          <w:rFonts w:asciiTheme="minorHAnsi" w:hAnsiTheme="minorHAnsi" w:cstheme="minorHAnsi"/>
          <w:b/>
          <w:bCs/>
          <w:color w:val="4F46E5"/>
          <w:sz w:val="28"/>
          <w:szCs w:val="28"/>
        </w:rPr>
      </w:pPr>
      <w:r w:rsidRPr="00002650">
        <w:rPr>
          <w:rFonts w:asciiTheme="minorHAnsi" w:hAnsiTheme="minorHAnsi" w:cstheme="minorHAnsi"/>
          <w:b/>
          <w:bCs/>
          <w:color w:val="4F46E5"/>
          <w:sz w:val="28"/>
          <w:szCs w:val="28"/>
        </w:rPr>
        <w:lastRenderedPageBreak/>
        <w:t>Table of Content</w:t>
      </w:r>
      <w:bookmarkStart w:id="2" w:name="_Toc215992921"/>
      <w:bookmarkStart w:id="3" w:name="_Toc216168537"/>
      <w:bookmarkStart w:id="4" w:name="_Toc217392331"/>
      <w:bookmarkStart w:id="5" w:name="_Toc220585161"/>
    </w:p>
    <w:p w14:paraId="7270AD8C" w14:textId="77777777" w:rsidR="00002650" w:rsidRPr="00002650" w:rsidRDefault="00002650" w:rsidP="00002650">
      <w:pPr>
        <w:pStyle w:val="Heading2"/>
        <w:rPr>
          <w:b/>
          <w:bCs/>
          <w:color w:val="4F46E5"/>
        </w:rPr>
      </w:pPr>
      <w:r w:rsidRPr="00002650">
        <w:rPr>
          <w:rFonts w:ascii="Arial" w:eastAsia="Times New Roman" w:hAnsi="Arial"/>
          <w:b/>
          <w:bCs/>
          <w:color w:val="4F46E5"/>
          <w:sz w:val="23"/>
        </w:rPr>
        <w:t>Abstract</w:t>
      </w:r>
    </w:p>
    <w:p w14:paraId="67BED21D" w14:textId="77777777" w:rsidR="00002650" w:rsidRDefault="00002650" w:rsidP="00002650">
      <w:pPr>
        <w:keepLines/>
        <w:spacing w:after="94"/>
      </w:pPr>
      <w:r>
        <w:rPr>
          <w:rFonts w:ascii="Times New Roman" w:eastAsia="Times New Roman" w:hAnsi="Times New Roman"/>
          <w:color w:val="000000"/>
          <w:sz w:val="20"/>
        </w:rPr>
        <w:t>Computational systems increasingly operate through extended, history-bearing runtimes composed of model responses, tool calls, retrieved material, human interventions, workflow changes, external events, and interactions among multiple roles. Logs and traces can preserve fragments of this activity, but they do not by themselves provide a coherent representation of how observable computational organization developed through time. A defensible longitudinal account requires explicit source binding, canonical event identity, plural temporal coordinates, role and interaction provenance, measurement contracts, regime and marker semantics, reversible evidence paths, and preservation rules.</w:t>
      </w:r>
    </w:p>
    <w:p w14:paraId="1E8F7EED" w14:textId="77777777" w:rsidR="00002650" w:rsidRDefault="00002650" w:rsidP="00002650">
      <w:pPr>
        <w:spacing w:after="94"/>
      </w:pPr>
      <w:r>
        <w:rPr>
          <w:rFonts w:ascii="Times New Roman" w:eastAsia="Times New Roman" w:hAnsi="Times New Roman"/>
          <w:color w:val="000000"/>
          <w:sz w:val="20"/>
        </w:rPr>
        <w:t xml:space="preserve">This paper defines </w:t>
      </w:r>
      <w:r>
        <w:rPr>
          <w:rFonts w:ascii="Times New Roman" w:eastAsia="Times New Roman" w:hAnsi="Times New Roman"/>
          <w:b/>
          <w:color w:val="000000"/>
          <w:sz w:val="20"/>
        </w:rPr>
        <w:t>Computational Behavior Architecture</w:t>
      </w:r>
      <w:r>
        <w:rPr>
          <w:rFonts w:ascii="Times New Roman" w:eastAsia="Times New Roman" w:hAnsi="Times New Roman"/>
          <w:color w:val="000000"/>
          <w:sz w:val="20"/>
        </w:rPr>
        <w:t xml:space="preserve"> as the implementation-independent representational architecture through which observable operational activity becomes a canonical, time-indexed, role-bearing, source-linked runtime that can be measured, investigated, replayed, and preserved. The architecture is positioned within Longitudinal Computational Dynamics as a structural discipline rather than a separate scientific field, evidence authority, or claim-governance framework. Runtime Evidence supplies the source-bound evidentiary object. Evidence-Governed Computation supplies the rules that constrain what may be claimed from that object. Computational Behavior Architecture specifies the objects and relationships needed to represent the developing runtime between them.</w:t>
      </w:r>
    </w:p>
    <w:p w14:paraId="0204FC27" w14:textId="77777777" w:rsidR="00002650" w:rsidRDefault="00002650" w:rsidP="00002650">
      <w:pPr>
        <w:spacing w:after="94"/>
      </w:pPr>
      <w:r>
        <w:rPr>
          <w:rFonts w:ascii="Times New Roman" w:eastAsia="Times New Roman" w:hAnsi="Times New Roman"/>
          <w:color w:val="000000"/>
          <w:sz w:val="20"/>
        </w:rPr>
        <w:t>The paper introduces a formal object model for qualified sources, canonical event ledgers, ordering relations, runtime spines, playback frames, behavioral worldlines, role and interaction topologies, measurements, markers, regimes, findings, investigation paths, and preservation mappings. It defines architectural invariants concerning source recoverability, transformation provenance, canonical singularity, temporal plurality, role provenance, measurement binding, projection non-mutation, marker discipline, missingness, reversible investigation, identity alignment, and preservation fidelity. SubstrateX Aperture™ is presented as the reference implementation, not as the definition of the architecture. Current validation establishes bounded deterministic replay and controlled discrimination for specified conditions; it does not establish universal validity, causality, production prediction, cross-domain generalization, or independent replication.</w:t>
      </w:r>
    </w:p>
    <w:p w14:paraId="144A2489" w14:textId="77777777" w:rsidR="00002650" w:rsidRDefault="00002650" w:rsidP="00002650">
      <w:pPr>
        <w:spacing w:after="94"/>
      </w:pPr>
      <w:r>
        <w:rPr>
          <w:rFonts w:ascii="Times New Roman" w:eastAsia="Times New Roman" w:hAnsi="Times New Roman"/>
          <w:b/>
          <w:color w:val="000000"/>
          <w:sz w:val="20"/>
        </w:rPr>
        <w:t>Keywords:</w:t>
      </w:r>
      <w:r>
        <w:rPr>
          <w:rFonts w:ascii="Times New Roman" w:eastAsia="Times New Roman" w:hAnsi="Times New Roman"/>
          <w:color w:val="000000"/>
          <w:sz w:val="20"/>
        </w:rPr>
        <w:t xml:space="preserve"> </w:t>
      </w:r>
      <w:r>
        <w:rPr>
          <w:rFonts w:ascii="Times New Roman" w:eastAsia="Times New Roman" w:hAnsi="Times New Roman"/>
          <w:i/>
          <w:color w:val="000000"/>
          <w:sz w:val="20"/>
        </w:rPr>
        <w:t>Computational Behavior Architecture; Longitudinal Computational Dynamics; Longitudinal Computational Behavior; runtime reconstruction; canonical runtime; temporal authority; behavioral worldline; role topology; Runtime Evidence; Evidence-Governed Computation; SubstrateX Aperture</w:t>
      </w:r>
    </w:p>
    <w:p w14:paraId="7B68505E" w14:textId="77777777" w:rsidR="00002650" w:rsidRPr="00002650" w:rsidRDefault="00002650" w:rsidP="00002650">
      <w:pPr>
        <w:pStyle w:val="Heading2"/>
        <w:rPr>
          <w:b/>
          <w:bCs/>
          <w:color w:val="4F46E5"/>
        </w:rPr>
      </w:pPr>
      <w:r w:rsidRPr="00002650">
        <w:rPr>
          <w:rFonts w:ascii="Arial" w:eastAsia="Times New Roman" w:hAnsi="Arial"/>
          <w:b/>
          <w:bCs/>
          <w:color w:val="4F46E5"/>
          <w:sz w:val="23"/>
        </w:rPr>
        <w:t>Research Status and Scope</w:t>
      </w:r>
    </w:p>
    <w:p w14:paraId="6BE02A9F" w14:textId="77777777" w:rsidR="00002650" w:rsidRDefault="00002650" w:rsidP="00002650">
      <w:pPr>
        <w:keepLines/>
        <w:spacing w:after="94"/>
      </w:pPr>
      <w:r>
        <w:rPr>
          <w:rFonts w:ascii="Times New Roman" w:eastAsia="Times New Roman" w:hAnsi="Times New Roman"/>
          <w:color w:val="000000"/>
          <w:sz w:val="20"/>
        </w:rPr>
        <w:t>This manuscript is Paper V in the Longitudinal Computational Dynamics publication series and the current formal statement of Computational Behavior Architecture. It is a foundational architecture paper. It defines a system-independent representation for observable computational behavior across extended runtime and identifies the minimum relationships required to keep that representation source-bound, temporally coherent, measurable, inspectable, and preservable.</w:t>
      </w:r>
    </w:p>
    <w:p w14:paraId="11CFF500" w14:textId="77777777" w:rsidR="00002650" w:rsidRDefault="00002650" w:rsidP="00002650">
      <w:pPr>
        <w:spacing w:after="94"/>
      </w:pPr>
      <w:r>
        <w:rPr>
          <w:rFonts w:ascii="Times New Roman" w:eastAsia="Times New Roman" w:hAnsi="Times New Roman"/>
          <w:color w:val="000000"/>
          <w:sz w:val="20"/>
        </w:rPr>
        <w:t>The paper does not propose a new model architecture, training method, theory of cognition, or method for recovering private reasoning. It does not claim that a canonical runtime is the only possible representation of a source, that every registered measurement is scientifically valid, or that event order establishes cause. Its object is narrower: the representational structure needed to reconstruct and investigate observable behavioral development without allowing a local instrument, interface, or narrative to create a different runtime.</w:t>
      </w:r>
    </w:p>
    <w:p w14:paraId="71F6AF61" w14:textId="77777777" w:rsidR="00002650" w:rsidRDefault="00002650" w:rsidP="00002650">
      <w:pPr>
        <w:spacing w:after="94"/>
      </w:pPr>
      <w:r>
        <w:rPr>
          <w:rFonts w:ascii="Times New Roman" w:eastAsia="Times New Roman" w:hAnsi="Times New Roman"/>
          <w:color w:val="000000"/>
          <w:sz w:val="20"/>
        </w:rPr>
        <w:t>The current scientific hierarchy remains:</w:t>
      </w:r>
    </w:p>
    <w:p w14:paraId="1FB306CA" w14:textId="77777777" w:rsidR="00002650" w:rsidRDefault="00002650" w:rsidP="00002650">
      <w:pPr>
        <w:spacing w:before="120"/>
        <w:ind w:left="720" w:right="720"/>
        <w:jc w:val="center"/>
      </w:pPr>
      <w:r>
        <w:rPr>
          <w:rFonts w:ascii="Times New Roman" w:eastAsia="Times New Roman" w:hAnsi="Times New Roman"/>
          <w:b/>
          <w:i/>
          <w:color w:val="17324D"/>
          <w:sz w:val="20"/>
        </w:rPr>
        <w:t>Intelligence in Motion™</w:t>
      </w:r>
      <w:r>
        <w:rPr>
          <w:rFonts w:ascii="Times New Roman" w:eastAsia="Times New Roman" w:hAnsi="Times New Roman"/>
          <w:i/>
          <w:color w:val="17324D"/>
          <w:sz w:val="20"/>
        </w:rPr>
        <w:t xml:space="preserve"> is the governing scientific idea.</w:t>
      </w:r>
    </w:p>
    <w:p w14:paraId="32183240" w14:textId="77777777" w:rsidR="00002650" w:rsidRDefault="00002650" w:rsidP="00002650">
      <w:pPr>
        <w:spacing w:before="120"/>
        <w:ind w:left="720" w:right="720"/>
        <w:jc w:val="center"/>
      </w:pPr>
      <w:r>
        <w:rPr>
          <w:rFonts w:ascii="Times New Roman" w:eastAsia="Times New Roman" w:hAnsi="Times New Roman"/>
          <w:b/>
          <w:i/>
          <w:color w:val="17324D"/>
          <w:sz w:val="20"/>
        </w:rPr>
        <w:t>Longitudinal Computational Dynamics</w:t>
      </w:r>
      <w:r>
        <w:rPr>
          <w:rFonts w:ascii="Times New Roman" w:eastAsia="Times New Roman" w:hAnsi="Times New Roman"/>
          <w:i/>
          <w:color w:val="17324D"/>
          <w:sz w:val="20"/>
        </w:rPr>
        <w:t xml:space="preserve"> is the scientific field.</w:t>
      </w:r>
    </w:p>
    <w:p w14:paraId="654C83EF" w14:textId="77777777" w:rsidR="00002650" w:rsidRDefault="00002650" w:rsidP="00002650">
      <w:pPr>
        <w:spacing w:before="120"/>
        <w:ind w:left="720" w:right="720"/>
        <w:jc w:val="center"/>
      </w:pPr>
      <w:r>
        <w:rPr>
          <w:rFonts w:ascii="Times New Roman" w:eastAsia="Times New Roman" w:hAnsi="Times New Roman"/>
          <w:b/>
          <w:i/>
          <w:color w:val="17324D"/>
          <w:sz w:val="20"/>
        </w:rPr>
        <w:t>Longitudinal Computational Behavior</w:t>
      </w:r>
      <w:r>
        <w:rPr>
          <w:rFonts w:ascii="Times New Roman" w:eastAsia="Times New Roman" w:hAnsi="Times New Roman"/>
          <w:i/>
          <w:color w:val="17324D"/>
          <w:sz w:val="20"/>
        </w:rPr>
        <w:t xml:space="preserve"> is the empirical object.</w:t>
      </w:r>
    </w:p>
    <w:p w14:paraId="436E5AFD" w14:textId="77777777" w:rsidR="00002650" w:rsidRDefault="00002650" w:rsidP="00002650">
      <w:pPr>
        <w:spacing w:before="120"/>
        <w:ind w:left="720" w:right="720"/>
        <w:jc w:val="center"/>
      </w:pPr>
      <w:r>
        <w:rPr>
          <w:rFonts w:ascii="Times New Roman" w:eastAsia="Times New Roman" w:hAnsi="Times New Roman"/>
          <w:b/>
          <w:i/>
          <w:color w:val="17324D"/>
          <w:sz w:val="20"/>
        </w:rPr>
        <w:t>Runtime Evidence</w:t>
      </w:r>
      <w:r>
        <w:rPr>
          <w:rFonts w:ascii="Times New Roman" w:eastAsia="Times New Roman" w:hAnsi="Times New Roman"/>
          <w:i/>
          <w:color w:val="17324D"/>
          <w:sz w:val="20"/>
        </w:rPr>
        <w:t xml:space="preserve"> is the source-bound evidentiary object.</w:t>
      </w:r>
    </w:p>
    <w:p w14:paraId="7BA57CB7" w14:textId="77777777" w:rsidR="00002650" w:rsidRDefault="00002650" w:rsidP="00002650">
      <w:pPr>
        <w:spacing w:before="120"/>
        <w:ind w:left="720" w:right="720"/>
        <w:jc w:val="center"/>
      </w:pPr>
      <w:r>
        <w:rPr>
          <w:rFonts w:ascii="Times New Roman" w:eastAsia="Times New Roman" w:hAnsi="Times New Roman"/>
          <w:b/>
          <w:i/>
          <w:color w:val="17324D"/>
          <w:sz w:val="20"/>
        </w:rPr>
        <w:t>Evidence-Governed Computation™</w:t>
      </w:r>
      <w:r>
        <w:rPr>
          <w:rFonts w:ascii="Times New Roman" w:eastAsia="Times New Roman" w:hAnsi="Times New Roman"/>
          <w:i/>
          <w:color w:val="17324D"/>
          <w:sz w:val="20"/>
        </w:rPr>
        <w:t xml:space="preserve"> is the architectural discipline governing computational claims.</w:t>
      </w:r>
    </w:p>
    <w:p w14:paraId="16AE6C66" w14:textId="77777777" w:rsidR="00002650" w:rsidRDefault="00002650" w:rsidP="00002650">
      <w:pPr>
        <w:spacing w:before="120"/>
        <w:ind w:left="720" w:right="720"/>
        <w:jc w:val="center"/>
      </w:pPr>
      <w:r>
        <w:rPr>
          <w:rFonts w:ascii="Times New Roman" w:eastAsia="Times New Roman" w:hAnsi="Times New Roman"/>
          <w:b/>
          <w:i/>
          <w:color w:val="17324D"/>
          <w:sz w:val="20"/>
        </w:rPr>
        <w:t>SubstrateX Aperture™</w:t>
      </w:r>
      <w:r>
        <w:rPr>
          <w:rFonts w:ascii="Times New Roman" w:eastAsia="Times New Roman" w:hAnsi="Times New Roman"/>
          <w:i/>
          <w:color w:val="17324D"/>
          <w:sz w:val="20"/>
        </w:rPr>
        <w:t xml:space="preserve"> is the implemented observatory and reference architecture.</w:t>
      </w:r>
    </w:p>
    <w:p w14:paraId="3C813888" w14:textId="77777777" w:rsidR="00002650" w:rsidRDefault="00002650" w:rsidP="00002650">
      <w:pPr>
        <w:spacing w:after="94"/>
      </w:pPr>
      <w:r>
        <w:rPr>
          <w:rFonts w:ascii="Times New Roman" w:eastAsia="Times New Roman" w:hAnsi="Times New Roman"/>
          <w:color w:val="000000"/>
          <w:sz w:val="20"/>
        </w:rPr>
        <w:t>Computational Behavior Architecture operates within that hierarchy. It is the representational architecture through which Longitudinal Computational Behavior becomes reconstructable and investigable. It does not add another scientific field or authority layer.</w:t>
      </w:r>
    </w:p>
    <w:p w14:paraId="44628B14" w14:textId="77777777" w:rsidR="00002650" w:rsidRPr="00002650" w:rsidRDefault="00002650" w:rsidP="00002650">
      <w:pPr>
        <w:pStyle w:val="Heading2"/>
        <w:rPr>
          <w:b/>
          <w:bCs/>
          <w:color w:val="4F46E5"/>
        </w:rPr>
      </w:pPr>
      <w:r w:rsidRPr="00002650">
        <w:rPr>
          <w:rFonts w:ascii="Arial" w:eastAsia="Times New Roman" w:hAnsi="Arial"/>
          <w:b/>
          <w:bCs/>
          <w:color w:val="4F46E5"/>
          <w:sz w:val="23"/>
        </w:rPr>
        <w:t>Version 2.0 Release Note</w:t>
      </w:r>
    </w:p>
    <w:p w14:paraId="137E57A8" w14:textId="77777777" w:rsidR="00002650" w:rsidRDefault="00002650" w:rsidP="00002650">
      <w:pPr>
        <w:keepLines/>
        <w:spacing w:after="94"/>
      </w:pPr>
      <w:r>
        <w:rPr>
          <w:rFonts w:ascii="Times New Roman" w:eastAsia="Times New Roman" w:hAnsi="Times New Roman"/>
          <w:color w:val="000000"/>
          <w:sz w:val="20"/>
        </w:rPr>
        <w:t>Version 2.0 supersedes the September 2026 source edition while preserving that edition as a historical publication. The revision replaces the former Recursive Science and Fieldglass positioning with the current Longitudinal Computational Dynamics series and SubstrateX Aperture reference implementation. It separates representation from evidence authority and claim governance; distinguishes the Current Evidence Run, Runtime Evidence Record, Certified Runtime Evidence Record, Runtime Evidence Passport, Evidence Seal, and preservation artifact; replaces the undifferentiated 28-signal implementation statement with the documented 25-entry active Runtime Signal Authority and separate 28-contract research-facing architecture; incorporates the bounded validation status reported in Paper II; and adds a formal object model, architectural invariants, conformance requirements, threat analysis, and normative appendices.</w:t>
      </w:r>
    </w:p>
    <w:p w14:paraId="70F59641" w14:textId="77777777" w:rsidR="00002650" w:rsidRPr="00002650" w:rsidRDefault="00002650" w:rsidP="00002650">
      <w:pPr>
        <w:pStyle w:val="Heading2"/>
        <w:rPr>
          <w:b/>
          <w:bCs/>
          <w:color w:val="4F46E5"/>
        </w:rPr>
      </w:pPr>
      <w:r w:rsidRPr="00002650">
        <w:rPr>
          <w:rFonts w:ascii="Arial" w:eastAsia="Times New Roman" w:hAnsi="Arial"/>
          <w:b/>
          <w:bCs/>
          <w:color w:val="4F46E5"/>
          <w:sz w:val="23"/>
        </w:rPr>
        <w:t>Contributions</w:t>
      </w:r>
    </w:p>
    <w:p w14:paraId="18922DBB" w14:textId="77777777" w:rsidR="00002650" w:rsidRDefault="00002650" w:rsidP="00002650">
      <w:pPr>
        <w:keepLines/>
        <w:spacing w:after="94"/>
      </w:pPr>
      <w:r>
        <w:rPr>
          <w:rFonts w:ascii="Times New Roman" w:eastAsia="Times New Roman" w:hAnsi="Times New Roman"/>
          <w:color w:val="000000"/>
          <w:sz w:val="20"/>
        </w:rPr>
        <w:t>This paper makes eight principal contributions:</w:t>
      </w:r>
    </w:p>
    <w:p w14:paraId="3AF12AFD" w14:textId="77777777" w:rsidR="00002650" w:rsidRDefault="00002650" w:rsidP="00002650">
      <w:pPr>
        <w:spacing w:after="60" w:line="240" w:lineRule="auto"/>
        <w:ind w:left="403" w:hanging="403"/>
      </w:pPr>
      <w:r>
        <w:rPr>
          <w:rFonts w:ascii="Times New Roman" w:eastAsia="Times New Roman" w:hAnsi="Times New Roman"/>
          <w:color w:val="000000"/>
          <w:sz w:val="19"/>
        </w:rPr>
        <w:t>1. It defines Computational Behavior Architecture as a representational architecture rather than a scientific field, evidence object, governance discipline, or product.</w:t>
      </w:r>
    </w:p>
    <w:p w14:paraId="510AED66" w14:textId="77777777" w:rsidR="00002650" w:rsidRDefault="00002650" w:rsidP="00002650">
      <w:pPr>
        <w:spacing w:after="60" w:line="240" w:lineRule="auto"/>
        <w:ind w:left="403" w:hanging="403"/>
      </w:pPr>
      <w:r>
        <w:rPr>
          <w:rFonts w:ascii="Times New Roman" w:eastAsia="Times New Roman" w:hAnsi="Times New Roman"/>
          <w:color w:val="000000"/>
          <w:sz w:val="19"/>
        </w:rPr>
        <w:t xml:space="preserve">2. It establishes the </w:t>
      </w:r>
      <w:r>
        <w:rPr>
          <w:rFonts w:ascii="Times New Roman" w:eastAsia="Times New Roman" w:hAnsi="Times New Roman"/>
          <w:b/>
          <w:color w:val="000000"/>
          <w:sz w:val="19"/>
        </w:rPr>
        <w:t>run</w:t>
      </w:r>
      <w:r>
        <w:rPr>
          <w:rFonts w:ascii="Times New Roman" w:eastAsia="Times New Roman" w:hAnsi="Times New Roman"/>
          <w:color w:val="000000"/>
          <w:sz w:val="19"/>
        </w:rPr>
        <w:t xml:space="preserve"> as the primary architectural unit for representing Longitudinal Computational Behavior while retaining event-level inspection.</w:t>
      </w:r>
    </w:p>
    <w:p w14:paraId="2B423274" w14:textId="77777777" w:rsidR="00002650" w:rsidRDefault="00002650" w:rsidP="00002650">
      <w:pPr>
        <w:spacing w:after="60" w:line="240" w:lineRule="auto"/>
        <w:ind w:left="403" w:hanging="403"/>
      </w:pPr>
      <w:r>
        <w:rPr>
          <w:rFonts w:ascii="Times New Roman" w:eastAsia="Times New Roman" w:hAnsi="Times New Roman"/>
          <w:color w:val="000000"/>
          <w:sz w:val="19"/>
        </w:rPr>
        <w:t>3. It specifies a canonical object model connecting qualified sources, event ledgers, plural ordering relations, runtime spines, playback frames, worldlines, roles, measurements, markers, regimes, findings, investigation paths, and preservation mappings.</w:t>
      </w:r>
    </w:p>
    <w:p w14:paraId="25966229" w14:textId="77777777" w:rsidR="00002650" w:rsidRDefault="00002650" w:rsidP="00002650">
      <w:pPr>
        <w:spacing w:after="60" w:line="240" w:lineRule="auto"/>
        <w:ind w:left="403" w:hanging="403"/>
      </w:pPr>
      <w:r>
        <w:rPr>
          <w:rFonts w:ascii="Times New Roman" w:eastAsia="Times New Roman" w:hAnsi="Times New Roman"/>
          <w:color w:val="000000"/>
          <w:sz w:val="19"/>
        </w:rPr>
        <w:t>4. It defines a typed relation graph through which every material behavioral representation can resolve toward its source basis and governing transformation.</w:t>
      </w:r>
    </w:p>
    <w:p w14:paraId="15408674" w14:textId="77777777" w:rsidR="00002650" w:rsidRDefault="00002650" w:rsidP="00002650">
      <w:pPr>
        <w:spacing w:after="60" w:line="240" w:lineRule="auto"/>
        <w:ind w:left="403" w:hanging="403"/>
      </w:pPr>
      <w:r>
        <w:rPr>
          <w:rFonts w:ascii="Times New Roman" w:eastAsia="Times New Roman" w:hAnsi="Times New Roman"/>
          <w:color w:val="000000"/>
          <w:sz w:val="19"/>
        </w:rPr>
        <w:t>5. It separates representation, evidence authority, interpretation, presentation, and claim governance while preserving their declared relationships.</w:t>
      </w:r>
    </w:p>
    <w:p w14:paraId="6772D586" w14:textId="77777777" w:rsidR="00002650" w:rsidRDefault="00002650" w:rsidP="00002650">
      <w:pPr>
        <w:spacing w:after="60" w:line="240" w:lineRule="auto"/>
        <w:ind w:left="403" w:hanging="403"/>
      </w:pPr>
      <w:r>
        <w:rPr>
          <w:rFonts w:ascii="Times New Roman" w:eastAsia="Times New Roman" w:hAnsi="Times New Roman"/>
          <w:color w:val="000000"/>
          <w:sz w:val="19"/>
        </w:rPr>
        <w:t>6. It introduces twelve architectural invariants that can be tested independently of any particular interface or instrument suite.</w:t>
      </w:r>
    </w:p>
    <w:p w14:paraId="3B765729" w14:textId="77777777" w:rsidR="00002650" w:rsidRDefault="00002650" w:rsidP="00002650">
      <w:pPr>
        <w:spacing w:after="60" w:line="240" w:lineRule="auto"/>
        <w:ind w:left="403" w:hanging="403"/>
      </w:pPr>
      <w:r>
        <w:rPr>
          <w:rFonts w:ascii="Times New Roman" w:eastAsia="Times New Roman" w:hAnsi="Times New Roman"/>
          <w:color w:val="000000"/>
          <w:sz w:val="19"/>
        </w:rPr>
        <w:t>7. It maps the architecture to SubstrateX Aperture without treating the reference implementation as the definition or validation of the architecture.</w:t>
      </w:r>
    </w:p>
    <w:p w14:paraId="45FAA5CC" w14:textId="77777777" w:rsidR="00002650" w:rsidRDefault="00002650" w:rsidP="00002650">
      <w:pPr>
        <w:spacing w:after="60" w:line="240" w:lineRule="auto"/>
        <w:ind w:left="403" w:hanging="403"/>
      </w:pPr>
      <w:r>
        <w:rPr>
          <w:rFonts w:ascii="Times New Roman" w:eastAsia="Times New Roman" w:hAnsi="Times New Roman"/>
          <w:color w:val="000000"/>
          <w:sz w:val="19"/>
        </w:rPr>
        <w:t>8. It states the current conformance, validation, portability, and claim boundaries required for scientific and institutional use.</w:t>
      </w:r>
    </w:p>
    <w:p w14:paraId="3BB75E26" w14:textId="77777777" w:rsidR="00002650" w:rsidRPr="00002650" w:rsidRDefault="00002650" w:rsidP="00002650">
      <w:pPr>
        <w:pStyle w:val="Heading1"/>
        <w:rPr>
          <w:b/>
          <w:bCs/>
          <w:color w:val="4F46E5"/>
        </w:rPr>
      </w:pPr>
      <w:r w:rsidRPr="00002650">
        <w:rPr>
          <w:rFonts w:ascii="Arial" w:eastAsia="Times New Roman" w:hAnsi="Arial"/>
          <w:b/>
          <w:bCs/>
          <w:color w:val="4F46E5"/>
          <w:sz w:val="29"/>
        </w:rPr>
        <w:t>Introduction</w:t>
      </w:r>
    </w:p>
    <w:p w14:paraId="04A3A5E2" w14:textId="77777777" w:rsidR="00002650" w:rsidRDefault="00002650" w:rsidP="00002650">
      <w:pPr>
        <w:keepLines/>
        <w:spacing w:after="94"/>
      </w:pPr>
      <w:r>
        <w:rPr>
          <w:rFonts w:ascii="Times New Roman" w:eastAsia="Times New Roman" w:hAnsi="Times New Roman"/>
          <w:color w:val="000000"/>
          <w:sz w:val="20"/>
        </w:rPr>
        <w:t>Computational systems no longer operate only as isolated functions that receive one input and return one output. Models participate in conversations. Agents pursue objectives, call tools, interpret results, revise plans, and coordinate with other agents or people. Retrieval systems reintroduce earlier material. Workflow state changes outside the model. Security events, deployments, approvals, handoffs, and failures alter the conditions under which later computation occurs.</w:t>
      </w:r>
    </w:p>
    <w:p w14:paraId="151F8CEC" w14:textId="77777777" w:rsidR="00002650" w:rsidRDefault="00002650" w:rsidP="00002650">
      <w:pPr>
        <w:spacing w:after="94"/>
      </w:pPr>
      <w:r>
        <w:rPr>
          <w:rFonts w:ascii="Times New Roman" w:eastAsia="Times New Roman" w:hAnsi="Times New Roman"/>
          <w:color w:val="000000"/>
          <w:sz w:val="20"/>
        </w:rPr>
        <w:t>These systems produce records, but records are not yet a representation of behavioral development. A transcript may preserve turns while omitting tool state. A trace may expose execution order without representing role continuity. A monitoring stream may contain timestamps while lacking causal or dependency relations. A dashboard may combine values that were computed under different evidence horizons. A post-incident summary may describe a transition without preserving which frames, events, measurements, and source spans support it.</w:t>
      </w:r>
    </w:p>
    <w:p w14:paraId="766DE796" w14:textId="77777777" w:rsidR="00002650" w:rsidRDefault="00002650" w:rsidP="00002650">
      <w:pPr>
        <w:spacing w:after="94"/>
      </w:pPr>
      <w:r>
        <w:rPr>
          <w:rFonts w:ascii="Times New Roman" w:eastAsia="Times New Roman" w:hAnsi="Times New Roman"/>
          <w:color w:val="000000"/>
          <w:sz w:val="20"/>
        </w:rPr>
        <w:t xml:space="preserve">Longitudinal Computational Dynamics addresses the scientific question: </w:t>
      </w:r>
      <w:r>
        <w:rPr>
          <w:rFonts w:ascii="Times New Roman" w:eastAsia="Times New Roman" w:hAnsi="Times New Roman"/>
          <w:b/>
          <w:color w:val="000000"/>
          <w:sz w:val="20"/>
        </w:rPr>
        <w:t>what kind of computational organization developed through time?</w:t>
      </w:r>
      <w:r>
        <w:rPr>
          <w:rFonts w:ascii="Times New Roman" w:eastAsia="Times New Roman" w:hAnsi="Times New Roman"/>
          <w:color w:val="000000"/>
          <w:sz w:val="20"/>
        </w:rPr>
        <w:t xml:space="preserve"> [1] Computational Behavior Architecture addresses the corresponding structural question:</w:t>
      </w:r>
    </w:p>
    <w:p w14:paraId="715A6BFC" w14:textId="77777777" w:rsidR="00002650" w:rsidRDefault="00002650" w:rsidP="00002650">
      <w:pPr>
        <w:spacing w:before="120"/>
        <w:ind w:left="720" w:right="720"/>
        <w:jc w:val="center"/>
      </w:pPr>
      <w:r>
        <w:rPr>
          <w:rFonts w:ascii="Times New Roman" w:eastAsia="Times New Roman" w:hAnsi="Times New Roman"/>
          <w:b/>
          <w:i/>
          <w:color w:val="17324D"/>
          <w:sz w:val="20"/>
        </w:rPr>
        <w:t>How must observable computational activity be represented so that its formation, motion, regimes, boundaries, collapse, recovery, and re-entry can be investigated without severing those findings from their source, coordinates, methods, and limits?</w:t>
      </w:r>
    </w:p>
    <w:p w14:paraId="34EDA48C" w14:textId="77777777" w:rsidR="00002650" w:rsidRDefault="00002650" w:rsidP="00002650">
      <w:pPr>
        <w:spacing w:after="94"/>
      </w:pPr>
      <w:r>
        <w:rPr>
          <w:rFonts w:ascii="Times New Roman" w:eastAsia="Times New Roman" w:hAnsi="Times New Roman"/>
          <w:color w:val="000000"/>
          <w:sz w:val="20"/>
        </w:rPr>
        <w:t>The answer cannot be a single metric or visualization. Longitudinal behavior is distributed across events, roles, coordinates, state changes, interactions, measurements, and absences. The architecture must preserve those distinctions while joining them into one inspectable runtime. It must permit multiple instruments to examine different properties without constructing multiple histories. It must allow an operator to move from a summary to a finding, from a finding to a measurement, from a measurement to a frame or event, and from that event to the source. It must remain portable after the interface that first displayed it is gone.</w:t>
      </w:r>
    </w:p>
    <w:p w14:paraId="1BCE6E65" w14:textId="77777777" w:rsidR="00002650" w:rsidRDefault="00002650" w:rsidP="00002650">
      <w:pPr>
        <w:spacing w:after="94"/>
      </w:pPr>
      <w:r>
        <w:rPr>
          <w:rFonts w:ascii="Times New Roman" w:eastAsia="Times New Roman" w:hAnsi="Times New Roman"/>
          <w:color w:val="000000"/>
          <w:sz w:val="20"/>
        </w:rPr>
        <w:t>The central architectural proposition is therefore:</w:t>
      </w:r>
    </w:p>
    <w:p w14:paraId="596DE2DF" w14:textId="77777777" w:rsidR="00002650" w:rsidRDefault="00002650" w:rsidP="00002650">
      <w:pPr>
        <w:spacing w:before="120"/>
        <w:ind w:left="720" w:right="720"/>
        <w:jc w:val="center"/>
      </w:pPr>
      <w:r>
        <w:rPr>
          <w:rFonts w:ascii="Times New Roman" w:eastAsia="Times New Roman" w:hAnsi="Times New Roman"/>
          <w:b/>
          <w:i/>
          <w:color w:val="17324D"/>
          <w:sz w:val="20"/>
        </w:rPr>
        <w:t>A computational runtime becomes scientifically and operationally investigable when its source material, canonical representation, temporal relations, behavioral structures, measurement bindings, evidence authority, and preservation lineage remain connected as distinct but traversable objects.</w:t>
      </w:r>
    </w:p>
    <w:p w14:paraId="67A5581B" w14:textId="77777777" w:rsidR="00002650" w:rsidRDefault="00002650" w:rsidP="00002650">
      <w:pPr>
        <w:spacing w:after="94"/>
      </w:pPr>
      <w:r>
        <w:rPr>
          <w:rFonts w:ascii="Times New Roman" w:eastAsia="Times New Roman" w:hAnsi="Times New Roman"/>
          <w:color w:val="000000"/>
          <w:sz w:val="20"/>
        </w:rPr>
        <w:t>This proposition is testable. An implementation either preserves source references or it does not. It either distinguishes source order from dependency order or silently collapses them. It either records whether a role was source-supplied, adapter-assigned, or operator-declared or presents them as equivalent. It either allows a finding to resolve to its measurement and source basis or asks the reader to trust a display. It either preserves the same runtime identity across instruments and exports or permits authority to fragment.</w:t>
      </w:r>
    </w:p>
    <w:p w14:paraId="4D31EE82" w14:textId="77777777" w:rsidR="00002650" w:rsidRDefault="00002650" w:rsidP="00002650">
      <w:pPr>
        <w:spacing w:after="94"/>
      </w:pPr>
      <w:r>
        <w:rPr>
          <w:rFonts w:ascii="Times New Roman" w:eastAsia="Times New Roman" w:hAnsi="Times New Roman"/>
          <w:color w:val="000000"/>
          <w:sz w:val="20"/>
        </w:rPr>
        <w:t>The paper develops those requirements as a formal architecture. Paper I supplies the scientific field and empirical vocabulary [1]. Paper II reports the present bounded validation status [2]. Paper III documents how SubstrateX Aperture implements the architecture [3]. Paper IV defines Runtime Evidence and its authority lifecycle [4]. Paper VI defines Evidence-Governed Computation and the admissibility rules governing computational claims [5]. This paper specifies the representational structure connecting the developing runtime to those evidence and governance systems.</w:t>
      </w:r>
    </w:p>
    <w:p w14:paraId="0F97BDE2" w14:textId="77777777" w:rsidR="00002650" w:rsidRPr="00002650" w:rsidRDefault="00002650" w:rsidP="00002650">
      <w:pPr>
        <w:pStyle w:val="Heading1"/>
        <w:rPr>
          <w:b/>
          <w:bCs/>
          <w:color w:val="4F46E5"/>
        </w:rPr>
      </w:pPr>
      <w:r w:rsidRPr="00002650">
        <w:rPr>
          <w:rFonts w:ascii="Arial" w:eastAsia="Times New Roman" w:hAnsi="Arial"/>
          <w:b/>
          <w:bCs/>
          <w:color w:val="4F46E5"/>
          <w:sz w:val="29"/>
        </w:rPr>
        <w:t>The Architectural Problem</w:t>
      </w:r>
    </w:p>
    <w:p w14:paraId="4B5C339C" w14:textId="77777777" w:rsidR="00002650" w:rsidRDefault="00002650" w:rsidP="00002650">
      <w:pPr>
        <w:pStyle w:val="Heading2"/>
      </w:pPr>
      <w:r>
        <w:rPr>
          <w:rFonts w:ascii="Arial" w:eastAsia="Times New Roman" w:hAnsi="Arial"/>
          <w:color w:val="000000"/>
          <w:sz w:val="23"/>
        </w:rPr>
        <w:t>Records Preserve Activity but Not Behavioral Structure</w:t>
      </w:r>
    </w:p>
    <w:p w14:paraId="2B34BD77" w14:textId="77777777" w:rsidR="00002650" w:rsidRDefault="00002650" w:rsidP="00002650">
      <w:pPr>
        <w:keepLines/>
        <w:spacing w:after="94"/>
      </w:pPr>
      <w:r>
        <w:rPr>
          <w:rFonts w:ascii="Times New Roman" w:eastAsia="Times New Roman" w:hAnsi="Times New Roman"/>
          <w:color w:val="000000"/>
          <w:sz w:val="20"/>
        </w:rPr>
        <w:t>Operational systems already produce logs, spans, messages, alerts, tickets, events, tool records, and audit trails. These records answer important questions about what a system emitted, received, invoked, or recorded. They do not automatically establish a stable behavioral representation.</w:t>
      </w:r>
    </w:p>
    <w:p w14:paraId="2155573F" w14:textId="77777777" w:rsidR="00002650" w:rsidRDefault="00002650" w:rsidP="00002650">
      <w:pPr>
        <w:spacing w:after="94"/>
      </w:pPr>
      <w:r>
        <w:rPr>
          <w:rFonts w:ascii="Times New Roman" w:eastAsia="Times New Roman" w:hAnsi="Times New Roman"/>
          <w:color w:val="000000"/>
          <w:sz w:val="20"/>
        </w:rPr>
        <w:t>The difference is relational. A list of events does not state which order relation is authoritative when clocks disagree. A message label does not establish whether a role was observed or assigned. A repeated phrase does not determine whether recurrence is meaningful, incidental, or produced by duplicated source material. A corrected response does not establish recovery. A source-supplied failure label does not prove that a preceding metric was an admissible warning. A visualization of a trajectory does not establish what source spans produced each point.</w:t>
      </w:r>
    </w:p>
    <w:p w14:paraId="6200DDA2" w14:textId="77777777" w:rsidR="00002650" w:rsidRDefault="00002650" w:rsidP="00002650">
      <w:pPr>
        <w:spacing w:after="94"/>
      </w:pPr>
      <w:r>
        <w:rPr>
          <w:rFonts w:ascii="Times New Roman" w:eastAsia="Times New Roman" w:hAnsi="Times New Roman"/>
          <w:color w:val="000000"/>
          <w:sz w:val="20"/>
        </w:rPr>
        <w:t>Computational Behavior Architecture addresses these relations. It defines how an operational record is transformed into a canonical runtime and how later measurements, findings, and projections remain attached to that representation. Its concern is not merely storage. It is the preservation of the structural conditions under which longitudinal statements can be inspected.</w:t>
      </w:r>
    </w:p>
    <w:p w14:paraId="56437035" w14:textId="77777777" w:rsidR="00002650" w:rsidRDefault="00002650" w:rsidP="00002650">
      <w:pPr>
        <w:pStyle w:val="Heading2"/>
      </w:pPr>
      <w:r>
        <w:rPr>
          <w:rFonts w:ascii="Arial" w:eastAsia="Times New Roman" w:hAnsi="Arial"/>
          <w:color w:val="000000"/>
          <w:sz w:val="23"/>
        </w:rPr>
        <w:t>The Run as the Unit of Representation</w:t>
      </w:r>
    </w:p>
    <w:p w14:paraId="743491B8" w14:textId="77777777" w:rsidR="00002650" w:rsidRDefault="00002650" w:rsidP="00002650">
      <w:pPr>
        <w:keepLines/>
        <w:spacing w:after="94"/>
      </w:pPr>
      <w:r>
        <w:rPr>
          <w:rFonts w:ascii="Times New Roman" w:eastAsia="Times New Roman" w:hAnsi="Times New Roman"/>
          <w:color w:val="000000"/>
          <w:sz w:val="20"/>
        </w:rPr>
        <w:t xml:space="preserve">An isolated response is an event. Longitudinal Computational Behavior is an ordered development across events. The primary architectural unit must therefore be the </w:t>
      </w:r>
      <w:r>
        <w:rPr>
          <w:rFonts w:ascii="Times New Roman" w:eastAsia="Times New Roman" w:hAnsi="Times New Roman"/>
          <w:b/>
          <w:color w:val="000000"/>
          <w:sz w:val="20"/>
        </w:rPr>
        <w:t>run</w:t>
      </w:r>
      <w:r>
        <w:rPr>
          <w:rFonts w:ascii="Times New Roman" w:eastAsia="Times New Roman" w:hAnsi="Times New Roman"/>
          <w:color w:val="000000"/>
          <w:sz w:val="20"/>
        </w:rPr>
        <w:t>: the bounded sequence and relationship structure within which prior activity can condition what follows.</w:t>
      </w:r>
    </w:p>
    <w:p w14:paraId="1FC73256" w14:textId="77777777" w:rsidR="00002650" w:rsidRDefault="00002650" w:rsidP="00002650">
      <w:pPr>
        <w:spacing w:after="94"/>
      </w:pPr>
      <w:r>
        <w:rPr>
          <w:rFonts w:ascii="Times New Roman" w:eastAsia="Times New Roman" w:hAnsi="Times New Roman"/>
          <w:color w:val="000000"/>
          <w:sz w:val="20"/>
        </w:rPr>
        <w:t>Changing the unit of representation does not make individual events less important. It gives them context. An event can be examined as a source-bearing unit while also participating in a role transition, temporal recurrence, regime interval, boundary sequence, or recovery process. The run allows the system to ask whether a condition persisted, whether a correction held, whether displacement accumulated, and whether an apparent transition preceded or followed a qualified external outcome.</w:t>
      </w:r>
    </w:p>
    <w:p w14:paraId="37E2D5B3" w14:textId="77777777" w:rsidR="00002650" w:rsidRDefault="00002650" w:rsidP="00002650">
      <w:pPr>
        <w:spacing w:after="94"/>
      </w:pPr>
      <w:r>
        <w:rPr>
          <w:rFonts w:ascii="Times New Roman" w:eastAsia="Times New Roman" w:hAnsi="Times New Roman"/>
          <w:color w:val="000000"/>
          <w:sz w:val="20"/>
        </w:rPr>
        <w:t>The run boundary must be declared. It may be defined by a supplied transcript, incident interval, workflow instance, agent session, trace bundle, case package, or another eligible source horizon. It is not necessarily identical to a model context window, process lifetime, user session, or institutional case. When several boundaries are plausible, the architecture must preserve the selected boundary and its alternatives or limitations.</w:t>
      </w:r>
    </w:p>
    <w:p w14:paraId="142D004F" w14:textId="77777777" w:rsidR="00002650" w:rsidRDefault="00002650" w:rsidP="00002650">
      <w:pPr>
        <w:pStyle w:val="Heading2"/>
      </w:pPr>
      <w:r>
        <w:rPr>
          <w:rFonts w:ascii="Arial" w:eastAsia="Times New Roman" w:hAnsi="Arial"/>
          <w:color w:val="000000"/>
          <w:sz w:val="23"/>
        </w:rPr>
        <w:t>Representation Is Not Explanation</w:t>
      </w:r>
    </w:p>
    <w:p w14:paraId="1D7186BB" w14:textId="77777777" w:rsidR="00002650" w:rsidRDefault="00002650" w:rsidP="00002650">
      <w:pPr>
        <w:keepLines/>
        <w:spacing w:after="94"/>
      </w:pPr>
      <w:r>
        <w:rPr>
          <w:rFonts w:ascii="Times New Roman" w:eastAsia="Times New Roman" w:hAnsi="Times New Roman"/>
          <w:color w:val="000000"/>
          <w:sz w:val="20"/>
        </w:rPr>
        <w:t>A canonical representation is a disciplined account of what the qualified record and declared transformations support. It is not a claim to recover the complete computation or the unique mechanism that produced it. Several internal states or external conditions may produce similar observable trajectories. Missing events may alter the apparent sequence. Source labels may be wrong. Timestamps may be incomplete or skewed.</w:t>
      </w:r>
    </w:p>
    <w:p w14:paraId="274A77F8" w14:textId="77777777" w:rsidR="00002650" w:rsidRDefault="00002650" w:rsidP="00002650">
      <w:pPr>
        <w:spacing w:after="94"/>
      </w:pPr>
      <w:r>
        <w:rPr>
          <w:rFonts w:ascii="Times New Roman" w:eastAsia="Times New Roman" w:hAnsi="Times New Roman"/>
          <w:color w:val="000000"/>
          <w:sz w:val="20"/>
        </w:rPr>
        <w:t>The architecture must therefore distinguish structural confidence from explanatory confidence. It may establish that event A precedes event B under source order, that a role mapping was assigned by an adapter, or that a regime rule classified a specified interval. It may not infer hidden intent, private reasoning, consciousness, unique cause, or objective truth merely because the representation is coherent.</w:t>
      </w:r>
    </w:p>
    <w:p w14:paraId="6EE93C3C" w14:textId="77777777" w:rsidR="00002650" w:rsidRDefault="00002650" w:rsidP="00002650">
      <w:pPr>
        <w:pStyle w:val="Heading2"/>
      </w:pPr>
      <w:r>
        <w:rPr>
          <w:rFonts w:ascii="Arial" w:eastAsia="Times New Roman" w:hAnsi="Arial"/>
          <w:color w:val="000000"/>
          <w:sz w:val="23"/>
        </w:rPr>
        <w:t>Boundaries With Adjacent Responsibilities</w:t>
      </w:r>
    </w:p>
    <w:p w14:paraId="04B8AD28" w14:textId="77777777" w:rsidR="00002650" w:rsidRDefault="00002650" w:rsidP="00002650">
      <w:pPr>
        <w:keepLines/>
        <w:spacing w:after="94"/>
      </w:pPr>
      <w:r>
        <w:rPr>
          <w:rFonts w:ascii="Times New Roman" w:eastAsia="Times New Roman" w:hAnsi="Times New Roman"/>
          <w:color w:val="000000"/>
          <w:sz w:val="20"/>
        </w:rPr>
        <w:t>Computational Behavior Architecture occupies a precise position among the other papers in this series.</w:t>
      </w:r>
    </w:p>
    <w:p w14:paraId="3BD7859D" w14:textId="77777777" w:rsidR="00002650" w:rsidRDefault="00002650" w:rsidP="00002650">
      <w:pPr>
        <w:keepNext/>
        <w:spacing w:before="140" w:after="80"/>
      </w:pPr>
      <w:r>
        <w:rPr>
          <w:rFonts w:ascii="Times New Roman" w:eastAsia="Times New Roman" w:hAnsi="Times New Roman"/>
          <w:i/>
          <w:color w:val="66717C"/>
          <w:sz w:val="18"/>
        </w:rPr>
        <w:t>Table 1. Responsibilities and boundaries across the Longitudinal Computational Dynamics series.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87"/>
        <w:gridCol w:w="2951"/>
        <w:gridCol w:w="4780"/>
      </w:tblGrid>
      <w:tr w:rsidR="00002650" w14:paraId="683E06C3" w14:textId="77777777">
        <w:trPr>
          <w:cantSplit/>
          <w:tblHeader/>
          <w:jc w:val="center"/>
        </w:trPr>
        <w:tc>
          <w:tcPr>
            <w:tcW w:w="1987" w:type="dxa"/>
            <w:shd w:val="clear" w:color="auto" w:fill="17324D"/>
            <w:tcMar>
              <w:top w:w="70" w:type="dxa"/>
              <w:left w:w="100" w:type="dxa"/>
              <w:bottom w:w="70" w:type="dxa"/>
              <w:right w:w="100" w:type="dxa"/>
            </w:tcMar>
            <w:vAlign w:val="center"/>
          </w:tcPr>
          <w:p w14:paraId="562DA6B5" w14:textId="77777777" w:rsidR="00002650" w:rsidRDefault="00002650" w:rsidP="00F96983">
            <w:pPr>
              <w:spacing w:after="0" w:line="240" w:lineRule="auto"/>
            </w:pPr>
            <w:r>
              <w:rPr>
                <w:rFonts w:ascii="Arial" w:eastAsia="Times New Roman" w:hAnsi="Arial"/>
                <w:b/>
                <w:color w:val="FFFFFF"/>
                <w:sz w:val="17"/>
              </w:rPr>
              <w:t>Responsibility</w:t>
            </w:r>
          </w:p>
        </w:tc>
        <w:tc>
          <w:tcPr>
            <w:tcW w:w="2951" w:type="dxa"/>
            <w:shd w:val="clear" w:color="auto" w:fill="17324D"/>
            <w:tcMar>
              <w:top w:w="70" w:type="dxa"/>
              <w:left w:w="100" w:type="dxa"/>
              <w:bottom w:w="70" w:type="dxa"/>
              <w:right w:w="100" w:type="dxa"/>
            </w:tcMar>
            <w:vAlign w:val="center"/>
          </w:tcPr>
          <w:p w14:paraId="30616351" w14:textId="77777777" w:rsidR="00002650" w:rsidRDefault="00002650" w:rsidP="00F96983">
            <w:pPr>
              <w:spacing w:after="0" w:line="240" w:lineRule="auto"/>
            </w:pPr>
            <w:r>
              <w:rPr>
                <w:rFonts w:ascii="Arial" w:eastAsia="Times New Roman" w:hAnsi="Arial"/>
                <w:b/>
                <w:color w:val="FFFFFF"/>
                <w:sz w:val="17"/>
              </w:rPr>
              <w:t>Governing work</w:t>
            </w:r>
          </w:p>
        </w:tc>
        <w:tc>
          <w:tcPr>
            <w:tcW w:w="4780" w:type="dxa"/>
            <w:shd w:val="clear" w:color="auto" w:fill="17324D"/>
            <w:tcMar>
              <w:top w:w="70" w:type="dxa"/>
              <w:left w:w="100" w:type="dxa"/>
              <w:bottom w:w="70" w:type="dxa"/>
              <w:right w:w="100" w:type="dxa"/>
            </w:tcMar>
            <w:vAlign w:val="center"/>
          </w:tcPr>
          <w:p w14:paraId="232BF40B" w14:textId="77777777" w:rsidR="00002650" w:rsidRDefault="00002650" w:rsidP="00F96983">
            <w:pPr>
              <w:spacing w:after="0" w:line="240" w:lineRule="auto"/>
            </w:pPr>
            <w:r>
              <w:rPr>
                <w:rFonts w:ascii="Arial" w:eastAsia="Times New Roman" w:hAnsi="Arial"/>
                <w:b/>
                <w:color w:val="FFFFFF"/>
                <w:sz w:val="17"/>
              </w:rPr>
              <w:t>Boundary</w:t>
            </w:r>
          </w:p>
        </w:tc>
      </w:tr>
      <w:tr w:rsidR="00002650" w14:paraId="25743F3E" w14:textId="77777777">
        <w:trPr>
          <w:cantSplit/>
          <w:jc w:val="center"/>
        </w:trPr>
        <w:tc>
          <w:tcPr>
            <w:tcW w:w="1987" w:type="dxa"/>
            <w:shd w:val="clear" w:color="auto" w:fill="FFFFFF"/>
            <w:tcMar>
              <w:top w:w="70" w:type="dxa"/>
              <w:left w:w="100" w:type="dxa"/>
              <w:bottom w:w="70" w:type="dxa"/>
              <w:right w:w="100" w:type="dxa"/>
            </w:tcMar>
            <w:vAlign w:val="center"/>
          </w:tcPr>
          <w:p w14:paraId="2E964C98" w14:textId="77777777" w:rsidR="00002650" w:rsidRDefault="00002650" w:rsidP="00F96983">
            <w:pPr>
              <w:spacing w:after="0" w:line="240" w:lineRule="auto"/>
            </w:pPr>
            <w:r>
              <w:rPr>
                <w:rFonts w:ascii="Times New Roman" w:eastAsia="Times New Roman" w:hAnsi="Times New Roman"/>
                <w:color w:val="000000"/>
                <w:sz w:val="17"/>
              </w:rPr>
              <w:t>Scientific field and empirical constructs</w:t>
            </w:r>
          </w:p>
        </w:tc>
        <w:tc>
          <w:tcPr>
            <w:tcW w:w="2951" w:type="dxa"/>
            <w:shd w:val="clear" w:color="auto" w:fill="FFFFFF"/>
            <w:tcMar>
              <w:top w:w="70" w:type="dxa"/>
              <w:left w:w="100" w:type="dxa"/>
              <w:bottom w:w="70" w:type="dxa"/>
              <w:right w:w="100" w:type="dxa"/>
            </w:tcMar>
            <w:vAlign w:val="center"/>
          </w:tcPr>
          <w:p w14:paraId="57053052" w14:textId="77777777" w:rsidR="00002650" w:rsidRDefault="00002650" w:rsidP="00F96983">
            <w:pPr>
              <w:spacing w:after="0" w:line="240" w:lineRule="auto"/>
            </w:pPr>
            <w:r>
              <w:rPr>
                <w:rFonts w:ascii="Times New Roman" w:eastAsia="Times New Roman" w:hAnsi="Times New Roman"/>
                <w:color w:val="000000"/>
                <w:sz w:val="17"/>
              </w:rPr>
              <w:t>Paper I Longitudinal Computational Dynamics</w:t>
            </w:r>
          </w:p>
        </w:tc>
        <w:tc>
          <w:tcPr>
            <w:tcW w:w="4780" w:type="dxa"/>
            <w:shd w:val="clear" w:color="auto" w:fill="FFFFFF"/>
            <w:tcMar>
              <w:top w:w="70" w:type="dxa"/>
              <w:left w:w="100" w:type="dxa"/>
              <w:bottom w:w="70" w:type="dxa"/>
              <w:right w:w="100" w:type="dxa"/>
            </w:tcMar>
            <w:vAlign w:val="center"/>
          </w:tcPr>
          <w:p w14:paraId="7D1B901A" w14:textId="77777777" w:rsidR="00002650" w:rsidRDefault="00002650" w:rsidP="00F96983">
            <w:pPr>
              <w:spacing w:after="0" w:line="240" w:lineRule="auto"/>
            </w:pPr>
            <w:r>
              <w:rPr>
                <w:rFonts w:ascii="Times New Roman" w:eastAsia="Times New Roman" w:hAnsi="Times New Roman"/>
                <w:color w:val="000000"/>
                <w:sz w:val="17"/>
              </w:rPr>
              <w:t>Defines what formation, motion, regime, boundary, collapse, recovery, and re-entry mean as observable scientific objects</w:t>
            </w:r>
          </w:p>
        </w:tc>
      </w:tr>
      <w:tr w:rsidR="00002650" w14:paraId="6147A478" w14:textId="77777777">
        <w:trPr>
          <w:cantSplit/>
          <w:jc w:val="center"/>
        </w:trPr>
        <w:tc>
          <w:tcPr>
            <w:tcW w:w="1987" w:type="dxa"/>
            <w:shd w:val="clear" w:color="auto" w:fill="F6F9FB"/>
            <w:tcMar>
              <w:top w:w="70" w:type="dxa"/>
              <w:left w:w="100" w:type="dxa"/>
              <w:bottom w:w="70" w:type="dxa"/>
              <w:right w:w="100" w:type="dxa"/>
            </w:tcMar>
            <w:vAlign w:val="center"/>
          </w:tcPr>
          <w:p w14:paraId="77AAE27F" w14:textId="77777777" w:rsidR="00002650" w:rsidRDefault="00002650" w:rsidP="00F96983">
            <w:pPr>
              <w:spacing w:after="0" w:line="240" w:lineRule="auto"/>
            </w:pPr>
            <w:r>
              <w:rPr>
                <w:rFonts w:ascii="Times New Roman" w:eastAsia="Times New Roman" w:hAnsi="Times New Roman"/>
                <w:color w:val="000000"/>
                <w:sz w:val="17"/>
              </w:rPr>
              <w:t>Controlled validation</w:t>
            </w:r>
          </w:p>
        </w:tc>
        <w:tc>
          <w:tcPr>
            <w:tcW w:w="2951" w:type="dxa"/>
            <w:shd w:val="clear" w:color="auto" w:fill="F6F9FB"/>
            <w:tcMar>
              <w:top w:w="70" w:type="dxa"/>
              <w:left w:w="100" w:type="dxa"/>
              <w:bottom w:w="70" w:type="dxa"/>
              <w:right w:w="100" w:type="dxa"/>
            </w:tcMar>
            <w:vAlign w:val="center"/>
          </w:tcPr>
          <w:p w14:paraId="71C00C15" w14:textId="77777777" w:rsidR="00002650" w:rsidRDefault="00002650" w:rsidP="00F96983">
            <w:pPr>
              <w:spacing w:after="0" w:line="240" w:lineRule="auto"/>
            </w:pPr>
            <w:r>
              <w:rPr>
                <w:rFonts w:ascii="Times New Roman" w:eastAsia="Times New Roman" w:hAnsi="Times New Roman"/>
                <w:color w:val="000000"/>
                <w:sz w:val="17"/>
              </w:rPr>
              <w:t>Paper II Validating Longitudinal Computational Dynamics</w:t>
            </w:r>
          </w:p>
        </w:tc>
        <w:tc>
          <w:tcPr>
            <w:tcW w:w="4780" w:type="dxa"/>
            <w:shd w:val="clear" w:color="auto" w:fill="F6F9FB"/>
            <w:tcMar>
              <w:top w:w="70" w:type="dxa"/>
              <w:left w:w="100" w:type="dxa"/>
              <w:bottom w:w="70" w:type="dxa"/>
              <w:right w:w="100" w:type="dxa"/>
            </w:tcMar>
            <w:vAlign w:val="center"/>
          </w:tcPr>
          <w:p w14:paraId="6F9C7BD6" w14:textId="77777777" w:rsidR="00002650" w:rsidRDefault="00002650" w:rsidP="00F96983">
            <w:pPr>
              <w:spacing w:after="0" w:line="240" w:lineRule="auto"/>
            </w:pPr>
            <w:r>
              <w:rPr>
                <w:rFonts w:ascii="Times New Roman" w:eastAsia="Times New Roman" w:hAnsi="Times New Roman"/>
                <w:color w:val="000000"/>
                <w:sz w:val="17"/>
              </w:rPr>
              <w:t>Tests declared computational and scientific propositions under specified conditions</w:t>
            </w:r>
          </w:p>
        </w:tc>
      </w:tr>
      <w:tr w:rsidR="00002650" w14:paraId="5E56D240" w14:textId="77777777">
        <w:trPr>
          <w:cantSplit/>
          <w:jc w:val="center"/>
        </w:trPr>
        <w:tc>
          <w:tcPr>
            <w:tcW w:w="1987" w:type="dxa"/>
            <w:shd w:val="clear" w:color="auto" w:fill="FFFFFF"/>
            <w:tcMar>
              <w:top w:w="70" w:type="dxa"/>
              <w:left w:w="100" w:type="dxa"/>
              <w:bottom w:w="70" w:type="dxa"/>
              <w:right w:w="100" w:type="dxa"/>
            </w:tcMar>
            <w:vAlign w:val="center"/>
          </w:tcPr>
          <w:p w14:paraId="147D86CF" w14:textId="77777777" w:rsidR="00002650" w:rsidRDefault="00002650" w:rsidP="00F96983">
            <w:pPr>
              <w:spacing w:after="0" w:line="240" w:lineRule="auto"/>
            </w:pPr>
            <w:r>
              <w:rPr>
                <w:rFonts w:ascii="Times New Roman" w:eastAsia="Times New Roman" w:hAnsi="Times New Roman"/>
                <w:color w:val="000000"/>
                <w:sz w:val="17"/>
              </w:rPr>
              <w:t>Reference implementation methods</w:t>
            </w:r>
          </w:p>
        </w:tc>
        <w:tc>
          <w:tcPr>
            <w:tcW w:w="2951" w:type="dxa"/>
            <w:shd w:val="clear" w:color="auto" w:fill="FFFFFF"/>
            <w:tcMar>
              <w:top w:w="70" w:type="dxa"/>
              <w:left w:w="100" w:type="dxa"/>
              <w:bottom w:w="70" w:type="dxa"/>
              <w:right w:w="100" w:type="dxa"/>
            </w:tcMar>
            <w:vAlign w:val="center"/>
          </w:tcPr>
          <w:p w14:paraId="2EA9664D" w14:textId="77777777" w:rsidR="00002650" w:rsidRDefault="00002650" w:rsidP="00F96983">
            <w:pPr>
              <w:spacing w:after="0" w:line="240" w:lineRule="auto"/>
            </w:pPr>
            <w:r>
              <w:rPr>
                <w:rFonts w:ascii="Times New Roman" w:eastAsia="Times New Roman" w:hAnsi="Times New Roman"/>
                <w:color w:val="000000"/>
                <w:sz w:val="17"/>
              </w:rPr>
              <w:t>Paper III Aperture Methods</w:t>
            </w:r>
          </w:p>
        </w:tc>
        <w:tc>
          <w:tcPr>
            <w:tcW w:w="4780" w:type="dxa"/>
            <w:shd w:val="clear" w:color="auto" w:fill="FFFFFF"/>
            <w:tcMar>
              <w:top w:w="70" w:type="dxa"/>
              <w:left w:w="100" w:type="dxa"/>
              <w:bottom w:w="70" w:type="dxa"/>
              <w:right w:w="100" w:type="dxa"/>
            </w:tcMar>
            <w:vAlign w:val="center"/>
          </w:tcPr>
          <w:p w14:paraId="33C66D2B" w14:textId="77777777" w:rsidR="00002650" w:rsidRDefault="00002650" w:rsidP="00F96983">
            <w:pPr>
              <w:spacing w:after="0" w:line="240" w:lineRule="auto"/>
            </w:pPr>
            <w:r>
              <w:rPr>
                <w:rFonts w:ascii="Times New Roman" w:eastAsia="Times New Roman" w:hAnsi="Times New Roman"/>
                <w:color w:val="000000"/>
                <w:sz w:val="17"/>
              </w:rPr>
              <w:t>Documents the implemented pipeline, schemas, instruments, conformance system, and preservation process</w:t>
            </w:r>
          </w:p>
        </w:tc>
      </w:tr>
      <w:tr w:rsidR="00002650" w14:paraId="2A43DE5F" w14:textId="77777777">
        <w:trPr>
          <w:cantSplit/>
          <w:jc w:val="center"/>
        </w:trPr>
        <w:tc>
          <w:tcPr>
            <w:tcW w:w="1987" w:type="dxa"/>
            <w:shd w:val="clear" w:color="auto" w:fill="F6F9FB"/>
            <w:tcMar>
              <w:top w:w="70" w:type="dxa"/>
              <w:left w:w="100" w:type="dxa"/>
              <w:bottom w:w="70" w:type="dxa"/>
              <w:right w:w="100" w:type="dxa"/>
            </w:tcMar>
            <w:vAlign w:val="center"/>
          </w:tcPr>
          <w:p w14:paraId="43CCD3F7" w14:textId="77777777" w:rsidR="00002650" w:rsidRDefault="00002650" w:rsidP="00F96983">
            <w:pPr>
              <w:spacing w:after="0" w:line="240" w:lineRule="auto"/>
            </w:pPr>
            <w:r>
              <w:rPr>
                <w:rFonts w:ascii="Times New Roman" w:eastAsia="Times New Roman" w:hAnsi="Times New Roman"/>
                <w:color w:val="000000"/>
                <w:sz w:val="17"/>
              </w:rPr>
              <w:t>Source-bound evidence object</w:t>
            </w:r>
          </w:p>
        </w:tc>
        <w:tc>
          <w:tcPr>
            <w:tcW w:w="2951" w:type="dxa"/>
            <w:shd w:val="clear" w:color="auto" w:fill="F6F9FB"/>
            <w:tcMar>
              <w:top w:w="70" w:type="dxa"/>
              <w:left w:w="100" w:type="dxa"/>
              <w:bottom w:w="70" w:type="dxa"/>
              <w:right w:w="100" w:type="dxa"/>
            </w:tcMar>
            <w:vAlign w:val="center"/>
          </w:tcPr>
          <w:p w14:paraId="23EC8818" w14:textId="77777777" w:rsidR="00002650" w:rsidRDefault="00002650" w:rsidP="00F96983">
            <w:pPr>
              <w:spacing w:after="0" w:line="240" w:lineRule="auto"/>
            </w:pPr>
            <w:r>
              <w:rPr>
                <w:rFonts w:ascii="Times New Roman" w:eastAsia="Times New Roman" w:hAnsi="Times New Roman"/>
                <w:color w:val="000000"/>
                <w:sz w:val="17"/>
              </w:rPr>
              <w:t>Paper IV Foundations of Runtime Evidence</w:t>
            </w:r>
          </w:p>
        </w:tc>
        <w:tc>
          <w:tcPr>
            <w:tcW w:w="4780" w:type="dxa"/>
            <w:shd w:val="clear" w:color="auto" w:fill="F6F9FB"/>
            <w:tcMar>
              <w:top w:w="70" w:type="dxa"/>
              <w:left w:w="100" w:type="dxa"/>
              <w:bottom w:w="70" w:type="dxa"/>
              <w:right w:w="100" w:type="dxa"/>
            </w:tcMar>
            <w:vAlign w:val="center"/>
          </w:tcPr>
          <w:p w14:paraId="442DC0A2" w14:textId="77777777" w:rsidR="00002650" w:rsidRDefault="00002650" w:rsidP="00F96983">
            <w:pPr>
              <w:spacing w:after="0" w:line="240" w:lineRule="auto"/>
            </w:pPr>
            <w:r>
              <w:rPr>
                <w:rFonts w:ascii="Times New Roman" w:eastAsia="Times New Roman" w:hAnsi="Times New Roman"/>
                <w:color w:val="000000"/>
                <w:sz w:val="17"/>
              </w:rPr>
              <w:t>Defines the evidentiary object, identity, authority lifecycle, certification, Passport, seal, and preservation state</w:t>
            </w:r>
          </w:p>
        </w:tc>
      </w:tr>
      <w:tr w:rsidR="00002650" w14:paraId="2A4BE1C4" w14:textId="77777777">
        <w:trPr>
          <w:cantSplit/>
          <w:jc w:val="center"/>
        </w:trPr>
        <w:tc>
          <w:tcPr>
            <w:tcW w:w="1987" w:type="dxa"/>
            <w:shd w:val="clear" w:color="auto" w:fill="FFFFFF"/>
            <w:tcMar>
              <w:top w:w="70" w:type="dxa"/>
              <w:left w:w="100" w:type="dxa"/>
              <w:bottom w:w="70" w:type="dxa"/>
              <w:right w:w="100" w:type="dxa"/>
            </w:tcMar>
            <w:vAlign w:val="center"/>
          </w:tcPr>
          <w:p w14:paraId="08B69BFC" w14:textId="77777777" w:rsidR="00002650" w:rsidRDefault="00002650" w:rsidP="00F96983">
            <w:pPr>
              <w:spacing w:after="0" w:line="240" w:lineRule="auto"/>
            </w:pPr>
            <w:r>
              <w:rPr>
                <w:rFonts w:ascii="Times New Roman" w:eastAsia="Times New Roman" w:hAnsi="Times New Roman"/>
                <w:color w:val="000000"/>
                <w:sz w:val="17"/>
              </w:rPr>
              <w:t>Runtime representation</w:t>
            </w:r>
          </w:p>
        </w:tc>
        <w:tc>
          <w:tcPr>
            <w:tcW w:w="2951" w:type="dxa"/>
            <w:shd w:val="clear" w:color="auto" w:fill="FFFFFF"/>
            <w:tcMar>
              <w:top w:w="70" w:type="dxa"/>
              <w:left w:w="100" w:type="dxa"/>
              <w:bottom w:w="70" w:type="dxa"/>
              <w:right w:w="100" w:type="dxa"/>
            </w:tcMar>
            <w:vAlign w:val="center"/>
          </w:tcPr>
          <w:p w14:paraId="608AD23C" w14:textId="77777777" w:rsidR="00002650" w:rsidRDefault="00002650" w:rsidP="00F96983">
            <w:pPr>
              <w:spacing w:after="0" w:line="240" w:lineRule="auto"/>
            </w:pPr>
            <w:r>
              <w:rPr>
                <w:rFonts w:ascii="Times New Roman" w:eastAsia="Times New Roman" w:hAnsi="Times New Roman"/>
                <w:color w:val="000000"/>
                <w:sz w:val="17"/>
              </w:rPr>
              <w:t>Paper V Computational Behavior Architecture</w:t>
            </w:r>
          </w:p>
        </w:tc>
        <w:tc>
          <w:tcPr>
            <w:tcW w:w="4780" w:type="dxa"/>
            <w:shd w:val="clear" w:color="auto" w:fill="FFFFFF"/>
            <w:tcMar>
              <w:top w:w="70" w:type="dxa"/>
              <w:left w:w="100" w:type="dxa"/>
              <w:bottom w:w="70" w:type="dxa"/>
              <w:right w:w="100" w:type="dxa"/>
            </w:tcMar>
            <w:vAlign w:val="center"/>
          </w:tcPr>
          <w:p w14:paraId="48B030C5" w14:textId="77777777" w:rsidR="00002650" w:rsidRDefault="00002650" w:rsidP="00F96983">
            <w:pPr>
              <w:spacing w:after="0" w:line="240" w:lineRule="auto"/>
            </w:pPr>
            <w:r>
              <w:rPr>
                <w:rFonts w:ascii="Times New Roman" w:eastAsia="Times New Roman" w:hAnsi="Times New Roman"/>
                <w:color w:val="000000"/>
                <w:sz w:val="17"/>
              </w:rPr>
              <w:t>Defines how source events, coordinates, roles, frames, trajectories, measurements, and findings are structurally connected</w:t>
            </w:r>
          </w:p>
        </w:tc>
      </w:tr>
      <w:tr w:rsidR="00002650" w14:paraId="61999802" w14:textId="77777777">
        <w:trPr>
          <w:cantSplit/>
          <w:jc w:val="center"/>
        </w:trPr>
        <w:tc>
          <w:tcPr>
            <w:tcW w:w="1987" w:type="dxa"/>
            <w:shd w:val="clear" w:color="auto" w:fill="F6F9FB"/>
            <w:tcMar>
              <w:top w:w="70" w:type="dxa"/>
              <w:left w:w="100" w:type="dxa"/>
              <w:bottom w:w="70" w:type="dxa"/>
              <w:right w:w="100" w:type="dxa"/>
            </w:tcMar>
            <w:vAlign w:val="center"/>
          </w:tcPr>
          <w:p w14:paraId="3C20DAC5" w14:textId="77777777" w:rsidR="00002650" w:rsidRDefault="00002650" w:rsidP="00F96983">
            <w:pPr>
              <w:spacing w:after="0" w:line="240" w:lineRule="auto"/>
            </w:pPr>
            <w:r>
              <w:rPr>
                <w:rFonts w:ascii="Times New Roman" w:eastAsia="Times New Roman" w:hAnsi="Times New Roman"/>
                <w:color w:val="000000"/>
                <w:sz w:val="17"/>
              </w:rPr>
              <w:t>Claim governance</w:t>
            </w:r>
          </w:p>
        </w:tc>
        <w:tc>
          <w:tcPr>
            <w:tcW w:w="2951" w:type="dxa"/>
            <w:shd w:val="clear" w:color="auto" w:fill="F6F9FB"/>
            <w:tcMar>
              <w:top w:w="70" w:type="dxa"/>
              <w:left w:w="100" w:type="dxa"/>
              <w:bottom w:w="70" w:type="dxa"/>
              <w:right w:w="100" w:type="dxa"/>
            </w:tcMar>
            <w:vAlign w:val="center"/>
          </w:tcPr>
          <w:p w14:paraId="537584BE" w14:textId="77777777" w:rsidR="00002650" w:rsidRDefault="00002650" w:rsidP="00F96983">
            <w:pPr>
              <w:spacing w:after="0" w:line="240" w:lineRule="auto"/>
            </w:pPr>
            <w:r>
              <w:rPr>
                <w:rFonts w:ascii="Times New Roman" w:eastAsia="Times New Roman" w:hAnsi="Times New Roman"/>
                <w:color w:val="000000"/>
                <w:sz w:val="17"/>
              </w:rPr>
              <w:t>Paper VI Foundations of Evidence-Governed Computation</w:t>
            </w:r>
          </w:p>
        </w:tc>
        <w:tc>
          <w:tcPr>
            <w:tcW w:w="4780" w:type="dxa"/>
            <w:shd w:val="clear" w:color="auto" w:fill="F6F9FB"/>
            <w:tcMar>
              <w:top w:w="70" w:type="dxa"/>
              <w:left w:w="100" w:type="dxa"/>
              <w:bottom w:w="70" w:type="dxa"/>
              <w:right w:w="100" w:type="dxa"/>
            </w:tcMar>
            <w:vAlign w:val="center"/>
          </w:tcPr>
          <w:p w14:paraId="5E724A4F" w14:textId="77777777" w:rsidR="00002650" w:rsidRDefault="00002650" w:rsidP="00F96983">
            <w:pPr>
              <w:spacing w:after="0" w:line="240" w:lineRule="auto"/>
            </w:pPr>
            <w:r>
              <w:rPr>
                <w:rFonts w:ascii="Times New Roman" w:eastAsia="Times New Roman" w:hAnsi="Times New Roman"/>
                <w:color w:val="000000"/>
                <w:sz w:val="17"/>
              </w:rPr>
              <w:t>Defines claim admissibility, bounded projection, surface binding, challenge, and egress control</w:t>
            </w:r>
          </w:p>
        </w:tc>
      </w:tr>
    </w:tbl>
    <w:p w14:paraId="5C69605D" w14:textId="77777777" w:rsidR="00002650" w:rsidRDefault="00002650" w:rsidP="00002650">
      <w:pPr>
        <w:spacing w:after="20"/>
      </w:pPr>
    </w:p>
    <w:p w14:paraId="51A2AF3E" w14:textId="77777777" w:rsidR="00002650" w:rsidRDefault="00002650" w:rsidP="00002650">
      <w:pPr>
        <w:spacing w:after="94"/>
      </w:pPr>
      <w:r>
        <w:rPr>
          <w:rFonts w:ascii="Times New Roman" w:eastAsia="Times New Roman" w:hAnsi="Times New Roman"/>
          <w:color w:val="000000"/>
          <w:sz w:val="20"/>
        </w:rPr>
        <w:t>These responsibilities overlap operationally but cannot be collapsed. A representation can be structurally valid while containing measurements that remain scientifically experimental. An evidence record can preserve a source faithfully while the source itself is incomplete or false. A claim may be inadmissible even when its underlying measurement is reproducible. A user interface may display a valid finding while failing to preserve the path by which the finding was formed.</w:t>
      </w:r>
    </w:p>
    <w:p w14:paraId="6929C718" w14:textId="77777777" w:rsidR="00002650" w:rsidRPr="00002650" w:rsidRDefault="00002650" w:rsidP="00002650">
      <w:pPr>
        <w:pStyle w:val="Heading1"/>
        <w:rPr>
          <w:b/>
          <w:bCs/>
          <w:color w:val="4F46E5"/>
        </w:rPr>
      </w:pPr>
      <w:r w:rsidRPr="00002650">
        <w:rPr>
          <w:rFonts w:ascii="Arial" w:eastAsia="Times New Roman" w:hAnsi="Arial"/>
          <w:b/>
          <w:bCs/>
          <w:color w:val="4F46E5"/>
          <w:sz w:val="29"/>
        </w:rPr>
        <w:t>Scientific and Architectural Position</w:t>
      </w:r>
    </w:p>
    <w:p w14:paraId="02C7E14D" w14:textId="77777777" w:rsidR="00002650" w:rsidRDefault="00002650" w:rsidP="00002650">
      <w:pPr>
        <w:pStyle w:val="Heading2"/>
      </w:pPr>
      <w:r>
        <w:rPr>
          <w:rFonts w:ascii="Arial" w:eastAsia="Times New Roman" w:hAnsi="Arial"/>
          <w:color w:val="000000"/>
          <w:sz w:val="23"/>
        </w:rPr>
        <w:t>From Longitudinal Behavior to Representational Architecture</w:t>
      </w:r>
    </w:p>
    <w:p w14:paraId="491B0AEF" w14:textId="77777777" w:rsidR="00002650" w:rsidRDefault="00002650" w:rsidP="00002650">
      <w:pPr>
        <w:keepLines/>
        <w:spacing w:after="94"/>
      </w:pPr>
      <w:r>
        <w:rPr>
          <w:rFonts w:ascii="Times New Roman" w:eastAsia="Times New Roman" w:hAnsi="Times New Roman"/>
          <w:color w:val="000000"/>
          <w:sz w:val="20"/>
        </w:rPr>
        <w:t>Longitudinal Computational Behavior is the observable trajectory through which computational organization forms and changes across extended runtime [1]. It includes persistence, recurrence, drift, role relationships, regime movement, boundary formation, collapse, recovery, and re-entry when those structures are supported by the record and declared methods.</w:t>
      </w:r>
    </w:p>
    <w:p w14:paraId="2D7F4300" w14:textId="77777777" w:rsidR="00002650" w:rsidRDefault="00002650" w:rsidP="00002650">
      <w:pPr>
        <w:spacing w:after="94"/>
      </w:pPr>
      <w:r>
        <w:rPr>
          <w:rFonts w:ascii="Times New Roman" w:eastAsia="Times New Roman" w:hAnsi="Times New Roman"/>
          <w:color w:val="000000"/>
          <w:sz w:val="20"/>
        </w:rPr>
        <w:t>Computational Behavior Architecture does not add new empirical phenomena. It specifies the representational machinery required to examine them. That machinery includes:</w:t>
      </w:r>
    </w:p>
    <w:p w14:paraId="063A2F1F" w14:textId="77777777" w:rsidR="00002650" w:rsidRDefault="00002650" w:rsidP="00002650">
      <w:pPr>
        <w:pStyle w:val="ListBullet"/>
        <w:tabs>
          <w:tab w:val="num" w:pos="360"/>
        </w:tabs>
      </w:pPr>
      <w:r>
        <w:rPr>
          <w:rFonts w:eastAsia="Times New Roman"/>
          <w:sz w:val="19"/>
        </w:rPr>
        <w:t>identifiable source packages and source spans;</w:t>
      </w:r>
    </w:p>
    <w:p w14:paraId="012E5CC2" w14:textId="77777777" w:rsidR="00002650" w:rsidRDefault="00002650" w:rsidP="00002650">
      <w:pPr>
        <w:pStyle w:val="ListBullet"/>
        <w:tabs>
          <w:tab w:val="num" w:pos="360"/>
        </w:tabs>
      </w:pPr>
      <w:r>
        <w:rPr>
          <w:rFonts w:eastAsia="Times New Roman"/>
          <w:sz w:val="19"/>
        </w:rPr>
        <w:t>qualification and transformation records;</w:t>
      </w:r>
    </w:p>
    <w:p w14:paraId="6AA91D32" w14:textId="77777777" w:rsidR="00002650" w:rsidRDefault="00002650" w:rsidP="00002650">
      <w:pPr>
        <w:pStyle w:val="ListBullet"/>
        <w:tabs>
          <w:tab w:val="num" w:pos="360"/>
        </w:tabs>
      </w:pPr>
      <w:r>
        <w:rPr>
          <w:rFonts w:eastAsia="Times New Roman"/>
          <w:sz w:val="19"/>
        </w:rPr>
        <w:t>canonical events and stable event identity;</w:t>
      </w:r>
    </w:p>
    <w:p w14:paraId="74D1F322" w14:textId="77777777" w:rsidR="00002650" w:rsidRDefault="00002650" w:rsidP="00002650">
      <w:pPr>
        <w:pStyle w:val="ListBullet"/>
        <w:tabs>
          <w:tab w:val="num" w:pos="360"/>
        </w:tabs>
      </w:pPr>
      <w:r>
        <w:rPr>
          <w:rFonts w:eastAsia="Times New Roman"/>
          <w:sz w:val="19"/>
        </w:rPr>
        <w:t>plural temporal and dependency relations;</w:t>
      </w:r>
    </w:p>
    <w:p w14:paraId="35696134" w14:textId="77777777" w:rsidR="00002650" w:rsidRDefault="00002650" w:rsidP="00002650">
      <w:pPr>
        <w:pStyle w:val="ListBullet"/>
        <w:tabs>
          <w:tab w:val="num" w:pos="360"/>
        </w:tabs>
      </w:pPr>
      <w:r>
        <w:rPr>
          <w:rFonts w:eastAsia="Times New Roman"/>
          <w:sz w:val="19"/>
        </w:rPr>
        <w:t>role, actor, tool, objective, and interaction structures;</w:t>
      </w:r>
    </w:p>
    <w:p w14:paraId="26C2D97D" w14:textId="77777777" w:rsidR="00002650" w:rsidRDefault="00002650" w:rsidP="00002650">
      <w:pPr>
        <w:pStyle w:val="ListBullet"/>
        <w:tabs>
          <w:tab w:val="num" w:pos="360"/>
        </w:tabs>
      </w:pPr>
      <w:r>
        <w:rPr>
          <w:rFonts w:eastAsia="Times New Roman"/>
          <w:sz w:val="19"/>
        </w:rPr>
        <w:t>runtime spines, playback frames, and worldlines;</w:t>
      </w:r>
    </w:p>
    <w:p w14:paraId="1C1E62D5" w14:textId="77777777" w:rsidR="00002650" w:rsidRDefault="00002650" w:rsidP="00002650">
      <w:pPr>
        <w:pStyle w:val="ListBullet"/>
        <w:tabs>
          <w:tab w:val="num" w:pos="360"/>
        </w:tabs>
      </w:pPr>
      <w:r>
        <w:rPr>
          <w:rFonts w:eastAsia="Times New Roman"/>
          <w:sz w:val="19"/>
        </w:rPr>
        <w:t>measurement, marker, regime, and finding references;</w:t>
      </w:r>
    </w:p>
    <w:p w14:paraId="54C257B9" w14:textId="77777777" w:rsidR="00002650" w:rsidRDefault="00002650" w:rsidP="00002650">
      <w:pPr>
        <w:pStyle w:val="ListBullet"/>
        <w:tabs>
          <w:tab w:val="num" w:pos="360"/>
        </w:tabs>
      </w:pPr>
      <w:r>
        <w:rPr>
          <w:rFonts w:eastAsia="Times New Roman"/>
          <w:sz w:val="19"/>
        </w:rPr>
        <w:t>investigation routes and reversible evidence trails;</w:t>
      </w:r>
    </w:p>
    <w:p w14:paraId="3EAC45F3" w14:textId="77777777" w:rsidR="00002650" w:rsidRDefault="00002650" w:rsidP="00002650">
      <w:pPr>
        <w:pStyle w:val="ListBullet"/>
        <w:tabs>
          <w:tab w:val="num" w:pos="360"/>
        </w:tabs>
      </w:pPr>
      <w:r>
        <w:rPr>
          <w:rFonts w:eastAsia="Times New Roman"/>
          <w:sz w:val="19"/>
        </w:rPr>
        <w:t>evidence-authority references; and</w:t>
      </w:r>
    </w:p>
    <w:p w14:paraId="72044AC6" w14:textId="77777777" w:rsidR="00002650" w:rsidRDefault="00002650" w:rsidP="00002650">
      <w:pPr>
        <w:pStyle w:val="ListBullet"/>
        <w:tabs>
          <w:tab w:val="num" w:pos="360"/>
        </w:tabs>
      </w:pPr>
      <w:r>
        <w:rPr>
          <w:rFonts w:eastAsia="Times New Roman"/>
          <w:sz w:val="19"/>
        </w:rPr>
        <w:t>preservation and replay mappings.</w:t>
      </w:r>
    </w:p>
    <w:p w14:paraId="29B5836B" w14:textId="77777777" w:rsidR="00002650" w:rsidRDefault="00002650" w:rsidP="00002650">
      <w:pPr>
        <w:spacing w:after="94"/>
      </w:pPr>
      <w:r>
        <w:rPr>
          <w:rFonts w:ascii="Times New Roman" w:eastAsia="Times New Roman" w:hAnsi="Times New Roman"/>
          <w:color w:val="000000"/>
          <w:sz w:val="20"/>
        </w:rPr>
        <w:t>The architecture is method-neutral within declared constraints. Different canonicalization procedures, segmentation rules, coordinate systems, measurement methods, or storage technologies may conform if they preserve the required relationships and disclose their differences. Conformance does not require reproduction of the Aperture interface, instrument names, or internal namespaces.</w:t>
      </w:r>
    </w:p>
    <w:p w14:paraId="337F7285" w14:textId="77777777" w:rsidR="00002650" w:rsidRDefault="00002650" w:rsidP="00002650">
      <w:pPr>
        <w:pStyle w:val="Heading2"/>
      </w:pPr>
      <w:r>
        <w:rPr>
          <w:rFonts w:ascii="Arial" w:eastAsia="Times New Roman" w:hAnsi="Arial"/>
          <w:color w:val="000000"/>
          <w:sz w:val="23"/>
        </w:rPr>
        <w:t>Established Technical Lineages</w:t>
      </w:r>
    </w:p>
    <w:p w14:paraId="3B591934" w14:textId="77777777" w:rsidR="00002650" w:rsidRDefault="00002650" w:rsidP="00002650">
      <w:pPr>
        <w:keepLines/>
        <w:spacing w:after="94"/>
      </w:pPr>
      <w:r>
        <w:rPr>
          <w:rFonts w:ascii="Times New Roman" w:eastAsia="Times New Roman" w:hAnsi="Times New Roman"/>
          <w:color w:val="000000"/>
          <w:sz w:val="20"/>
        </w:rPr>
        <w:t>The architecture builds upon established work rather than replacing it. Distributed-systems research demonstrates that event ordering cannot be reduced to unsynchronized wall-clock time [8]. Runtime verification formalizes the evaluation of system behavior against declared properties [6]. Process mining reconstructs and compares behavior from event logs [7]. Provenance standards represent derivation, attribution, and activity relationships [9,10]. Canonical serialization supports stable content identity [11]. Remote attestation distinguishes evidence about execution environments from broader behavioral interpretation [12]. Decision-provenance and reviewability research show why computational outcomes require inspectable lineage [14,15]. Assurance-case structures provide a way to use evidence within larger arguments without treating an evidence item as the argument itself [16].</w:t>
      </w:r>
    </w:p>
    <w:p w14:paraId="6428C544" w14:textId="77777777" w:rsidR="00002650" w:rsidRDefault="00002650" w:rsidP="00002650">
      <w:pPr>
        <w:spacing w:after="94"/>
      </w:pPr>
      <w:r>
        <w:rPr>
          <w:rFonts w:ascii="Times New Roman" w:eastAsia="Times New Roman" w:hAnsi="Times New Roman"/>
          <w:color w:val="000000"/>
          <w:sz w:val="20"/>
        </w:rPr>
        <w:t>Computational Behavior Architecture combines related concerns around a different object: the source-bound longitudinal representation of observable computational behavior. Its distinctive contribution is not invention of event logs, provenance, canonicalization, graphs, trajectories, or replay. It is the integration of these elements into a runtime representation in which scientific measurements, behavioral structures, and investigative views remain connected to one evidence authority.</w:t>
      </w:r>
    </w:p>
    <w:p w14:paraId="0B24B8B1" w14:textId="77777777" w:rsidR="00002650" w:rsidRDefault="00002650" w:rsidP="00002650">
      <w:pPr>
        <w:pStyle w:val="Heading2"/>
      </w:pPr>
      <w:r>
        <w:rPr>
          <w:rFonts w:ascii="Arial" w:eastAsia="Times New Roman" w:hAnsi="Arial"/>
          <w:color w:val="000000"/>
          <w:sz w:val="23"/>
        </w:rPr>
        <w:t>Distinctive Scope</w:t>
      </w:r>
    </w:p>
    <w:p w14:paraId="1ACE22DD" w14:textId="77777777" w:rsidR="00002650" w:rsidRDefault="00002650" w:rsidP="00002650">
      <w:pPr>
        <w:keepLines/>
        <w:spacing w:after="94"/>
      </w:pPr>
      <w:r>
        <w:rPr>
          <w:rFonts w:ascii="Times New Roman" w:eastAsia="Times New Roman" w:hAnsi="Times New Roman"/>
          <w:color w:val="000000"/>
          <w:sz w:val="20"/>
        </w:rPr>
        <w:t>The architecture is narrower than a general enterprise architecture and broader than a telemetry schema. It does not prescribe application services, deployment topology, user management, or infrastructure configuration. It does prescribe the relationships needed to prevent representational fragmentation.</w:t>
      </w:r>
    </w:p>
    <w:p w14:paraId="711C337A" w14:textId="77777777" w:rsidR="00002650" w:rsidRDefault="00002650" w:rsidP="00002650">
      <w:pPr>
        <w:spacing w:after="94"/>
      </w:pPr>
      <w:r>
        <w:rPr>
          <w:rFonts w:ascii="Times New Roman" w:eastAsia="Times New Roman" w:hAnsi="Times New Roman"/>
          <w:color w:val="000000"/>
          <w:sz w:val="20"/>
        </w:rPr>
        <w:t>The primary test is continuity. Can a visible worldline position resolve to a canonical frame? Can the frame identify the events, roles, coordinates, and source spans that formed it? Can a regime or marker identify its method and eligible evidence horizon? Can two instruments demonstrate that they projected from the same run? Can an export prove which representation it contains and what changed from an earlier version?</w:t>
      </w:r>
    </w:p>
    <w:p w14:paraId="61EFBC30" w14:textId="77777777" w:rsidR="00002650" w:rsidRDefault="00002650" w:rsidP="00002650">
      <w:pPr>
        <w:spacing w:after="94"/>
      </w:pPr>
      <w:r>
        <w:rPr>
          <w:rFonts w:ascii="Times New Roman" w:eastAsia="Times New Roman" w:hAnsi="Times New Roman"/>
          <w:color w:val="000000"/>
          <w:sz w:val="20"/>
        </w:rPr>
        <w:t>When those relationships are absent, the system may still provide useful analytics. It does not yet provide a complete Computational Behavior Architecture.</w:t>
      </w:r>
    </w:p>
    <w:p w14:paraId="45137ACB" w14:textId="77777777" w:rsidR="00002650" w:rsidRPr="00002650" w:rsidRDefault="00002650" w:rsidP="00002650">
      <w:pPr>
        <w:pStyle w:val="Heading1"/>
        <w:rPr>
          <w:b/>
          <w:bCs/>
          <w:color w:val="4F46E5"/>
        </w:rPr>
      </w:pPr>
      <w:r w:rsidRPr="00002650">
        <w:rPr>
          <w:rFonts w:ascii="Arial" w:eastAsia="Times New Roman" w:hAnsi="Arial"/>
          <w:b/>
          <w:bCs/>
          <w:color w:val="4F46E5"/>
          <w:sz w:val="29"/>
        </w:rPr>
        <w:t>Formal System Model</w:t>
      </w:r>
    </w:p>
    <w:p w14:paraId="175A932B" w14:textId="77777777" w:rsidR="00002650" w:rsidRDefault="00002650" w:rsidP="00002650">
      <w:pPr>
        <w:pStyle w:val="Heading2"/>
      </w:pPr>
      <w:r>
        <w:rPr>
          <w:rFonts w:ascii="Arial" w:eastAsia="Times New Roman" w:hAnsi="Arial"/>
          <w:color w:val="000000"/>
          <w:sz w:val="23"/>
        </w:rPr>
        <w:t>Architectural Object</w:t>
      </w:r>
    </w:p>
    <w:p w14:paraId="08CC8ECC" w14:textId="77777777" w:rsidR="00002650" w:rsidRDefault="00002650" w:rsidP="00002650">
      <w:pPr>
        <w:keepNext/>
        <w:keepLines/>
        <w:spacing w:after="94"/>
      </w:pPr>
      <w:r>
        <w:rPr>
          <w:rFonts w:ascii="Times New Roman" w:eastAsia="Times New Roman" w:hAnsi="Times New Roman"/>
          <w:color w:val="000000"/>
          <w:sz w:val="20"/>
        </w:rPr>
        <w:t xml:space="preserve">Let </w:t>
      </w:r>
      <w:r>
        <w:rPr>
          <w:rFonts w:ascii="Times New Roman" w:eastAsia="Times New Roman" w:hAnsi="Times New Roman"/>
          <w:b/>
          <w:color w:val="000000"/>
          <w:sz w:val="20"/>
        </w:rPr>
        <w:t>S</w:t>
      </w:r>
      <w:r>
        <w:rPr>
          <w:rFonts w:ascii="Times New Roman" w:eastAsia="Times New Roman" w:hAnsi="Times New Roman"/>
          <w:color w:val="000000"/>
          <w:sz w:val="20"/>
        </w:rPr>
        <w:t xml:space="preserve"> denote a source package, </w:t>
      </w:r>
      <w:r>
        <w:rPr>
          <w:rFonts w:ascii="Times New Roman" w:eastAsia="Times New Roman" w:hAnsi="Times New Roman"/>
          <w:b/>
          <w:color w:val="000000"/>
          <w:sz w:val="20"/>
        </w:rPr>
        <w:t>D</w:t>
      </w:r>
      <w:r>
        <w:rPr>
          <w:rFonts w:ascii="Times New Roman" w:eastAsia="Times New Roman" w:hAnsi="Times New Roman"/>
          <w:color w:val="000000"/>
          <w:sz w:val="20"/>
        </w:rPr>
        <w:t xml:space="preserve"> operator or contextual declarations, and </w:t>
      </w:r>
      <w:r>
        <w:rPr>
          <w:rFonts w:ascii="Times New Roman" w:eastAsia="Times New Roman" w:hAnsi="Times New Roman"/>
          <w:b/>
          <w:color w:val="000000"/>
          <w:sz w:val="20"/>
        </w:rPr>
        <w:t>C</w:t>
      </w:r>
      <w:r>
        <w:rPr>
          <w:rFonts w:ascii="Times New Roman" w:eastAsia="Times New Roman" w:hAnsi="Times New Roman"/>
          <w:color w:val="000000"/>
          <w:sz w:val="20"/>
        </w:rPr>
        <w:t xml:space="preserve"> the governing computation contract. Qualification and canonicalization produce a source-bound runtime representation. The Computational Behavior Architecture object is:</w:t>
      </w:r>
    </w:p>
    <w:p w14:paraId="2A8EE81A" w14:textId="77777777" w:rsidR="00002650" w:rsidRDefault="00002650" w:rsidP="00002650">
      <w:pPr>
        <w:spacing w:before="60" w:after="100"/>
        <w:jc w:val="center"/>
      </w:pPr>
      <w:r>
        <w:rPr>
          <w:noProof/>
        </w:rPr>
        <w:drawing>
          <wp:inline distT="0" distB="0" distL="0" distR="0" wp14:anchorId="0AAB60CC" wp14:editId="6BAD3398">
            <wp:extent cx="3398520" cy="271272"/>
            <wp:effectExtent l="0" t="0" r="0" b="0"/>
            <wp:docPr id="1" name="Picture 1" descr="\mathcal{A}_C = (S_q,\,L,\,\mathcal{O},\,R,\,F,\,W,\,M,\,K,\,I,\,X)" title="Displayed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1.png"/>
                    <pic:cNvPicPr/>
                  </pic:nvPicPr>
                  <pic:blipFill>
                    <a:blip r:embed="rId11"/>
                    <a:stretch>
                      <a:fillRect/>
                    </a:stretch>
                  </pic:blipFill>
                  <pic:spPr>
                    <a:xfrm>
                      <a:off x="0" y="0"/>
                      <a:ext cx="3398520" cy="271272"/>
                    </a:xfrm>
                    <a:prstGeom prst="rect">
                      <a:avLst/>
                    </a:prstGeom>
                  </pic:spPr>
                </pic:pic>
              </a:graphicData>
            </a:graphic>
          </wp:inline>
        </w:drawing>
      </w:r>
    </w:p>
    <w:p w14:paraId="476AE591" w14:textId="77777777" w:rsidR="00002650" w:rsidRDefault="00002650" w:rsidP="00002650">
      <w:pPr>
        <w:spacing w:after="94"/>
      </w:pPr>
      <w:r>
        <w:rPr>
          <w:rFonts w:ascii="Times New Roman" w:eastAsia="Times New Roman" w:hAnsi="Times New Roman"/>
          <w:color w:val="000000"/>
          <w:sz w:val="20"/>
        </w:rPr>
        <w:t>where:</w:t>
      </w:r>
    </w:p>
    <w:p w14:paraId="6AF5C763" w14:textId="77777777" w:rsidR="00002650" w:rsidRDefault="00002650" w:rsidP="00002650">
      <w:pPr>
        <w:pStyle w:val="ListBullet"/>
        <w:tabs>
          <w:tab w:val="num" w:pos="360"/>
        </w:tabs>
      </w:pPr>
      <w:proofErr w:type="spellStart"/>
      <w:r>
        <w:rPr>
          <w:rFonts w:eastAsia="Times New Roman"/>
          <w:b/>
          <w:sz w:val="19"/>
        </w:rPr>
        <w:t>S_q</w:t>
      </w:r>
      <w:proofErr w:type="spellEnd"/>
      <w:r>
        <w:rPr>
          <w:rFonts w:eastAsia="Times New Roman"/>
          <w:sz w:val="19"/>
        </w:rPr>
        <w:t xml:space="preserve"> is the qualified source package and its coverage, exclusions, ambiguity, and provenance;</w:t>
      </w:r>
    </w:p>
    <w:p w14:paraId="71EF0764" w14:textId="77777777" w:rsidR="00002650" w:rsidRDefault="00002650" w:rsidP="00002650">
      <w:pPr>
        <w:pStyle w:val="ListBullet"/>
        <w:tabs>
          <w:tab w:val="num" w:pos="360"/>
        </w:tabs>
      </w:pPr>
      <w:r>
        <w:rPr>
          <w:rFonts w:eastAsia="Times New Roman"/>
          <w:b/>
          <w:sz w:val="19"/>
        </w:rPr>
        <w:t>L</w:t>
      </w:r>
      <w:r>
        <w:rPr>
          <w:rFonts w:eastAsia="Times New Roman"/>
          <w:sz w:val="19"/>
        </w:rPr>
        <w:t xml:space="preserve"> is the canonical event ledger;</w:t>
      </w:r>
    </w:p>
    <w:p w14:paraId="79FB6CDA" w14:textId="77777777" w:rsidR="00002650" w:rsidRDefault="00002650" w:rsidP="00002650">
      <w:pPr>
        <w:pStyle w:val="ListBullet"/>
        <w:tabs>
          <w:tab w:val="num" w:pos="360"/>
        </w:tabs>
      </w:pPr>
      <w:r>
        <w:rPr>
          <w:rFonts w:eastAsia="Times New Roman"/>
          <w:b/>
          <w:sz w:val="19"/>
        </w:rPr>
        <w:t>O</w:t>
      </w:r>
      <w:r>
        <w:rPr>
          <w:rFonts w:eastAsia="Times New Roman"/>
          <w:sz w:val="19"/>
        </w:rPr>
        <w:t xml:space="preserve"> is the family of supported order and coordinate relations;</w:t>
      </w:r>
    </w:p>
    <w:p w14:paraId="3D8BEC32" w14:textId="77777777" w:rsidR="00002650" w:rsidRDefault="00002650" w:rsidP="00002650">
      <w:pPr>
        <w:pStyle w:val="ListBullet"/>
        <w:tabs>
          <w:tab w:val="num" w:pos="360"/>
        </w:tabs>
      </w:pPr>
      <w:r>
        <w:rPr>
          <w:rFonts w:eastAsia="Times New Roman"/>
          <w:b/>
          <w:sz w:val="19"/>
        </w:rPr>
        <w:t>R</w:t>
      </w:r>
      <w:r>
        <w:rPr>
          <w:rFonts w:eastAsia="Times New Roman"/>
          <w:sz w:val="19"/>
        </w:rPr>
        <w:t xml:space="preserve"> is the actor, role, tool, objective, and interaction topology;</w:t>
      </w:r>
    </w:p>
    <w:p w14:paraId="3BF0FD86" w14:textId="77777777" w:rsidR="00002650" w:rsidRDefault="00002650" w:rsidP="00002650">
      <w:pPr>
        <w:pStyle w:val="ListBullet"/>
        <w:tabs>
          <w:tab w:val="num" w:pos="360"/>
        </w:tabs>
      </w:pPr>
      <w:r>
        <w:rPr>
          <w:rFonts w:eastAsia="Times New Roman"/>
          <w:b/>
          <w:sz w:val="19"/>
        </w:rPr>
        <w:t>F</w:t>
      </w:r>
      <w:r>
        <w:rPr>
          <w:rFonts w:eastAsia="Times New Roman"/>
          <w:sz w:val="19"/>
        </w:rPr>
        <w:t xml:space="preserve"> is the sequence or indexed collection of playback frames;</w:t>
      </w:r>
    </w:p>
    <w:p w14:paraId="273AE2D6" w14:textId="77777777" w:rsidR="00002650" w:rsidRDefault="00002650" w:rsidP="00002650">
      <w:pPr>
        <w:pStyle w:val="ListBullet"/>
        <w:tabs>
          <w:tab w:val="num" w:pos="360"/>
        </w:tabs>
      </w:pPr>
      <w:r>
        <w:rPr>
          <w:rFonts w:eastAsia="Times New Roman"/>
          <w:b/>
          <w:sz w:val="19"/>
        </w:rPr>
        <w:t>W</w:t>
      </w:r>
      <w:r>
        <w:rPr>
          <w:rFonts w:eastAsia="Times New Roman"/>
          <w:sz w:val="19"/>
        </w:rPr>
        <w:t xml:space="preserve"> is the behavioral worldline or set of declared trajectory projections;</w:t>
      </w:r>
    </w:p>
    <w:p w14:paraId="191CE776" w14:textId="77777777" w:rsidR="00002650" w:rsidRDefault="00002650" w:rsidP="00002650">
      <w:pPr>
        <w:pStyle w:val="ListBullet"/>
        <w:tabs>
          <w:tab w:val="num" w:pos="360"/>
        </w:tabs>
      </w:pPr>
      <w:r>
        <w:rPr>
          <w:rFonts w:eastAsia="Times New Roman"/>
          <w:b/>
          <w:sz w:val="19"/>
        </w:rPr>
        <w:t>M</w:t>
      </w:r>
      <w:r>
        <w:rPr>
          <w:rFonts w:eastAsia="Times New Roman"/>
          <w:sz w:val="19"/>
        </w:rPr>
        <w:t xml:space="preserve"> is the registered measurement and legitimacy binding;</w:t>
      </w:r>
    </w:p>
    <w:p w14:paraId="04E86ACB" w14:textId="77777777" w:rsidR="00002650" w:rsidRDefault="00002650" w:rsidP="00002650">
      <w:pPr>
        <w:pStyle w:val="ListBullet"/>
        <w:tabs>
          <w:tab w:val="num" w:pos="360"/>
        </w:tabs>
      </w:pPr>
      <w:r>
        <w:rPr>
          <w:rFonts w:eastAsia="Times New Roman"/>
          <w:b/>
          <w:sz w:val="19"/>
        </w:rPr>
        <w:t>K</w:t>
      </w:r>
      <w:r>
        <w:rPr>
          <w:rFonts w:eastAsia="Times New Roman"/>
          <w:sz w:val="19"/>
        </w:rPr>
        <w:t xml:space="preserve"> is the marker, regime, boundary, recovery, and re-entry structure;</w:t>
      </w:r>
    </w:p>
    <w:p w14:paraId="6355A7D0" w14:textId="77777777" w:rsidR="00002650" w:rsidRDefault="00002650" w:rsidP="00002650">
      <w:pPr>
        <w:pStyle w:val="ListBullet"/>
        <w:tabs>
          <w:tab w:val="num" w:pos="360"/>
        </w:tabs>
      </w:pPr>
      <w:r>
        <w:rPr>
          <w:rFonts w:eastAsia="Times New Roman"/>
          <w:b/>
          <w:sz w:val="19"/>
        </w:rPr>
        <w:t>I</w:t>
      </w:r>
      <w:r>
        <w:rPr>
          <w:rFonts w:eastAsia="Times New Roman"/>
          <w:sz w:val="19"/>
        </w:rPr>
        <w:t xml:space="preserve"> is the investigation index and reversible evidence-path structure; and</w:t>
      </w:r>
    </w:p>
    <w:p w14:paraId="6813CDFF" w14:textId="77777777" w:rsidR="00002650" w:rsidRDefault="00002650" w:rsidP="00002650">
      <w:pPr>
        <w:pStyle w:val="ListBullet"/>
        <w:tabs>
          <w:tab w:val="num" w:pos="360"/>
        </w:tabs>
      </w:pPr>
      <w:r>
        <w:rPr>
          <w:rFonts w:eastAsia="Times New Roman"/>
          <w:b/>
          <w:sz w:val="19"/>
        </w:rPr>
        <w:t>X</w:t>
      </w:r>
      <w:r>
        <w:rPr>
          <w:rFonts w:eastAsia="Times New Roman"/>
          <w:sz w:val="19"/>
        </w:rPr>
        <w:t xml:space="preserve"> is the export and preservation mapping.</w:t>
      </w:r>
    </w:p>
    <w:p w14:paraId="5AD29E01" w14:textId="77777777" w:rsidR="00002650" w:rsidRDefault="00002650" w:rsidP="00002650">
      <w:pPr>
        <w:spacing w:after="94"/>
      </w:pPr>
      <w:r>
        <w:rPr>
          <w:rFonts w:ascii="Times New Roman" w:eastAsia="Times New Roman" w:hAnsi="Times New Roman"/>
          <w:color w:val="000000"/>
          <w:sz w:val="20"/>
        </w:rPr>
        <w:t xml:space="preserve">The subscript </w:t>
      </w:r>
      <w:r>
        <w:rPr>
          <w:rFonts w:ascii="Times New Roman" w:eastAsia="Times New Roman" w:hAnsi="Times New Roman"/>
          <w:b/>
          <w:color w:val="000000"/>
          <w:sz w:val="20"/>
        </w:rPr>
        <w:t>C</w:t>
      </w:r>
      <w:r>
        <w:rPr>
          <w:rFonts w:ascii="Times New Roman" w:eastAsia="Times New Roman" w:hAnsi="Times New Roman"/>
          <w:color w:val="000000"/>
          <w:sz w:val="20"/>
        </w:rPr>
        <w:t xml:space="preserve"> indicates that the representation depends on declared schemas, adapter versions, segmentation rules, coordinate semantics, algorithms, parameters, thresholds, reference assets, equality rules, and missingness behavior. A change to a computationally relevant part of </w:t>
      </w:r>
      <w:r>
        <w:rPr>
          <w:rFonts w:ascii="Times New Roman" w:eastAsia="Times New Roman" w:hAnsi="Times New Roman"/>
          <w:b/>
          <w:color w:val="000000"/>
          <w:sz w:val="20"/>
        </w:rPr>
        <w:t>C</w:t>
      </w:r>
      <w:r>
        <w:rPr>
          <w:rFonts w:ascii="Times New Roman" w:eastAsia="Times New Roman" w:hAnsi="Times New Roman"/>
          <w:color w:val="000000"/>
          <w:sz w:val="20"/>
        </w:rPr>
        <w:t xml:space="preserve"> creates a distinguishable representation.</w:t>
      </w:r>
    </w:p>
    <w:p w14:paraId="5D047B8E" w14:textId="77777777" w:rsidR="00002650" w:rsidRDefault="00002650" w:rsidP="00002650">
      <w:pPr>
        <w:spacing w:after="94"/>
      </w:pPr>
      <w:r>
        <w:rPr>
          <w:rFonts w:ascii="Times New Roman" w:eastAsia="Times New Roman" w:hAnsi="Times New Roman"/>
          <w:color w:val="000000"/>
          <w:sz w:val="20"/>
        </w:rPr>
        <w:t xml:space="preserve">The architecture </w:t>
      </w:r>
      <w:proofErr w:type="gramStart"/>
      <w:r>
        <w:rPr>
          <w:rFonts w:ascii="Times New Roman" w:eastAsia="Times New Roman" w:hAnsi="Times New Roman"/>
          <w:color w:val="000000"/>
          <w:sz w:val="20"/>
        </w:rPr>
        <w:t>references but</w:t>
      </w:r>
      <w:proofErr w:type="gramEnd"/>
      <w:r>
        <w:rPr>
          <w:rFonts w:ascii="Times New Roman" w:eastAsia="Times New Roman" w:hAnsi="Times New Roman"/>
          <w:color w:val="000000"/>
          <w:sz w:val="20"/>
        </w:rPr>
        <w:t xml:space="preserve"> does not redefine the Runtime Evidence authority objects described in Paper IV. The Current Evidence Run authorizes the active state. The Runtime Evidence Record carries the structured evidence. Certification, the Runtime Evidence Passport, the Evidence Seal, and preservation artifacts identify and qualify issuance. The CBA object organizes the representation those authority objects govern.</w:t>
      </w:r>
    </w:p>
    <w:p w14:paraId="1004E5B5" w14:textId="77777777" w:rsidR="00002650" w:rsidRDefault="00002650" w:rsidP="00002650">
      <w:pPr>
        <w:pStyle w:val="Heading2"/>
      </w:pPr>
      <w:r>
        <w:rPr>
          <w:rFonts w:ascii="Arial" w:eastAsia="Times New Roman" w:hAnsi="Arial"/>
          <w:color w:val="000000"/>
          <w:sz w:val="23"/>
        </w:rPr>
        <w:t>Typed Relation Graph</w:t>
      </w:r>
    </w:p>
    <w:p w14:paraId="26ED128B" w14:textId="77777777" w:rsidR="00002650" w:rsidRDefault="00002650" w:rsidP="00002650">
      <w:pPr>
        <w:keepNext/>
        <w:keepLines/>
        <w:spacing w:after="94"/>
      </w:pPr>
      <w:r>
        <w:rPr>
          <w:rFonts w:ascii="Times New Roman" w:eastAsia="Times New Roman" w:hAnsi="Times New Roman"/>
          <w:color w:val="000000"/>
          <w:sz w:val="20"/>
        </w:rPr>
        <w:t>The architecture can also be represented as a typed directed multigraph:</w:t>
      </w:r>
    </w:p>
    <w:p w14:paraId="6FED2467" w14:textId="77777777" w:rsidR="00002650" w:rsidRDefault="00002650" w:rsidP="00002650">
      <w:pPr>
        <w:spacing w:before="60" w:after="100"/>
        <w:jc w:val="center"/>
      </w:pPr>
      <w:r>
        <w:rPr>
          <w:noProof/>
        </w:rPr>
        <w:drawing>
          <wp:inline distT="0" distB="0" distL="0" distR="0" wp14:anchorId="6EA144FA" wp14:editId="3BE02747">
            <wp:extent cx="2100072" cy="249935"/>
            <wp:effectExtent l="0" t="0" r="0" b="0"/>
            <wp:docPr id="2" name="Picture 2" descr="G_C = (N,\,E,\,\lambda_N,\,\lambda_E,\,\mu)" title="Displayed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2.png"/>
                    <pic:cNvPicPr/>
                  </pic:nvPicPr>
                  <pic:blipFill>
                    <a:blip r:embed="rId12"/>
                    <a:stretch>
                      <a:fillRect/>
                    </a:stretch>
                  </pic:blipFill>
                  <pic:spPr>
                    <a:xfrm>
                      <a:off x="0" y="0"/>
                      <a:ext cx="2100072" cy="249935"/>
                    </a:xfrm>
                    <a:prstGeom prst="rect">
                      <a:avLst/>
                    </a:prstGeom>
                  </pic:spPr>
                </pic:pic>
              </a:graphicData>
            </a:graphic>
          </wp:inline>
        </w:drawing>
      </w:r>
    </w:p>
    <w:p w14:paraId="779A6F50" w14:textId="77777777" w:rsidR="00002650" w:rsidRDefault="00002650" w:rsidP="00002650">
      <w:pPr>
        <w:spacing w:after="94"/>
      </w:pPr>
      <w:r>
        <w:rPr>
          <w:rFonts w:ascii="Times New Roman" w:eastAsia="Times New Roman" w:hAnsi="Times New Roman"/>
          <w:color w:val="000000"/>
          <w:sz w:val="20"/>
        </w:rPr>
        <w:t xml:space="preserve">where </w:t>
      </w:r>
      <w:r>
        <w:rPr>
          <w:rFonts w:ascii="Times New Roman" w:eastAsia="Times New Roman" w:hAnsi="Times New Roman"/>
          <w:b/>
          <w:color w:val="000000"/>
          <w:sz w:val="20"/>
        </w:rPr>
        <w:t>N</w:t>
      </w:r>
      <w:r>
        <w:rPr>
          <w:rFonts w:ascii="Times New Roman" w:eastAsia="Times New Roman" w:hAnsi="Times New Roman"/>
          <w:color w:val="000000"/>
          <w:sz w:val="20"/>
        </w:rPr>
        <w:t xml:space="preserve"> contains source spans, events, actors, roles, tools, objectives, frames, measurements, markers, regimes, findings, investigation questions, and preservation objects. </w:t>
      </w:r>
      <w:r>
        <w:rPr>
          <w:rFonts w:ascii="Times New Roman" w:eastAsia="Times New Roman" w:hAnsi="Times New Roman"/>
          <w:b/>
          <w:color w:val="000000"/>
          <w:sz w:val="20"/>
        </w:rPr>
        <w:t>E</w:t>
      </w:r>
      <w:r>
        <w:rPr>
          <w:rFonts w:ascii="Times New Roman" w:eastAsia="Times New Roman" w:hAnsi="Times New Roman"/>
          <w:color w:val="000000"/>
          <w:sz w:val="20"/>
        </w:rPr>
        <w:t xml:space="preserve"> contains typed relationships among those nodes. The functions </w:t>
      </w:r>
      <w:proofErr w:type="spellStart"/>
      <w:r>
        <w:rPr>
          <w:rFonts w:ascii="Times New Roman" w:eastAsia="Times New Roman" w:hAnsi="Times New Roman"/>
          <w:b/>
          <w:color w:val="000000"/>
          <w:sz w:val="20"/>
        </w:rPr>
        <w:t>lambda_N</w:t>
      </w:r>
      <w:proofErr w:type="spellEnd"/>
      <w:r>
        <w:rPr>
          <w:rFonts w:ascii="Times New Roman" w:eastAsia="Times New Roman" w:hAnsi="Times New Roman"/>
          <w:color w:val="000000"/>
          <w:sz w:val="20"/>
        </w:rPr>
        <w:t xml:space="preserve"> and </w:t>
      </w:r>
      <w:proofErr w:type="spellStart"/>
      <w:r>
        <w:rPr>
          <w:rFonts w:ascii="Times New Roman" w:eastAsia="Times New Roman" w:hAnsi="Times New Roman"/>
          <w:b/>
          <w:color w:val="000000"/>
          <w:sz w:val="20"/>
        </w:rPr>
        <w:t>lambda_E</w:t>
      </w:r>
      <w:proofErr w:type="spellEnd"/>
      <w:r>
        <w:rPr>
          <w:rFonts w:ascii="Times New Roman" w:eastAsia="Times New Roman" w:hAnsi="Times New Roman"/>
          <w:color w:val="000000"/>
          <w:sz w:val="20"/>
        </w:rPr>
        <w:t xml:space="preserve"> assign node and edge types, while </w:t>
      </w:r>
      <w:r>
        <w:rPr>
          <w:rFonts w:ascii="Times New Roman" w:eastAsia="Times New Roman" w:hAnsi="Times New Roman"/>
          <w:b/>
          <w:color w:val="000000"/>
          <w:sz w:val="20"/>
        </w:rPr>
        <w:t>mu</w:t>
      </w:r>
      <w:r>
        <w:rPr>
          <w:rFonts w:ascii="Times New Roman" w:eastAsia="Times New Roman" w:hAnsi="Times New Roman"/>
          <w:color w:val="000000"/>
          <w:sz w:val="20"/>
        </w:rPr>
        <w:t xml:space="preserve"> carries provenance, evidence status, method, version, horizon, availability, and uncertainty.</w:t>
      </w:r>
    </w:p>
    <w:p w14:paraId="7AAD3F7A" w14:textId="77777777" w:rsidR="00002650" w:rsidRDefault="00002650" w:rsidP="00002650">
      <w:pPr>
        <w:spacing w:after="94"/>
      </w:pPr>
      <w:r>
        <w:rPr>
          <w:rFonts w:ascii="Times New Roman" w:eastAsia="Times New Roman" w:hAnsi="Times New Roman"/>
          <w:color w:val="000000"/>
          <w:sz w:val="20"/>
        </w:rPr>
        <w:t>Representative edge types include:</w:t>
      </w:r>
    </w:p>
    <w:p w14:paraId="63692F6B" w14:textId="77777777" w:rsidR="00002650" w:rsidRDefault="00002650" w:rsidP="00002650">
      <w:pPr>
        <w:pStyle w:val="ListBullet"/>
        <w:tabs>
          <w:tab w:val="num" w:pos="360"/>
        </w:tabs>
      </w:pPr>
      <w:r>
        <w:rPr>
          <w:rFonts w:eastAsia="Times New Roman"/>
          <w:sz w:val="19"/>
        </w:rPr>
        <w:t>derived from;</w:t>
      </w:r>
    </w:p>
    <w:p w14:paraId="554CFEB3" w14:textId="77777777" w:rsidR="00002650" w:rsidRDefault="00002650" w:rsidP="00002650">
      <w:pPr>
        <w:pStyle w:val="ListBullet"/>
        <w:tabs>
          <w:tab w:val="num" w:pos="360"/>
        </w:tabs>
      </w:pPr>
      <w:r>
        <w:rPr>
          <w:rFonts w:eastAsia="Times New Roman"/>
          <w:sz w:val="19"/>
        </w:rPr>
        <w:t>canonicalizes;</w:t>
      </w:r>
    </w:p>
    <w:p w14:paraId="05D40946" w14:textId="77777777" w:rsidR="00002650" w:rsidRDefault="00002650" w:rsidP="00002650">
      <w:pPr>
        <w:pStyle w:val="ListBullet"/>
        <w:tabs>
          <w:tab w:val="num" w:pos="360"/>
        </w:tabs>
      </w:pPr>
      <w:r>
        <w:rPr>
          <w:rFonts w:eastAsia="Times New Roman"/>
          <w:sz w:val="19"/>
        </w:rPr>
        <w:t>precedes under coordinate;</w:t>
      </w:r>
    </w:p>
    <w:p w14:paraId="327479A7" w14:textId="77777777" w:rsidR="00002650" w:rsidRDefault="00002650" w:rsidP="00002650">
      <w:pPr>
        <w:pStyle w:val="ListBullet"/>
        <w:tabs>
          <w:tab w:val="num" w:pos="360"/>
        </w:tabs>
      </w:pPr>
      <w:r>
        <w:rPr>
          <w:rFonts w:eastAsia="Times New Roman"/>
          <w:sz w:val="19"/>
        </w:rPr>
        <w:t>depends on;</w:t>
      </w:r>
    </w:p>
    <w:p w14:paraId="396BD07D" w14:textId="77777777" w:rsidR="00002650" w:rsidRDefault="00002650" w:rsidP="00002650">
      <w:pPr>
        <w:pStyle w:val="ListBullet"/>
        <w:tabs>
          <w:tab w:val="num" w:pos="360"/>
        </w:tabs>
      </w:pPr>
      <w:r>
        <w:rPr>
          <w:rFonts w:eastAsia="Times New Roman"/>
          <w:sz w:val="19"/>
        </w:rPr>
        <w:t>participates in;</w:t>
      </w:r>
    </w:p>
    <w:p w14:paraId="782A168F" w14:textId="77777777" w:rsidR="00002650" w:rsidRDefault="00002650" w:rsidP="00002650">
      <w:pPr>
        <w:pStyle w:val="ListBullet"/>
        <w:tabs>
          <w:tab w:val="num" w:pos="360"/>
        </w:tabs>
      </w:pPr>
      <w:r>
        <w:rPr>
          <w:rFonts w:eastAsia="Times New Roman"/>
          <w:sz w:val="19"/>
        </w:rPr>
        <w:t>performed by;</w:t>
      </w:r>
    </w:p>
    <w:p w14:paraId="01B07346" w14:textId="77777777" w:rsidR="00002650" w:rsidRDefault="00002650" w:rsidP="00002650">
      <w:pPr>
        <w:pStyle w:val="ListBullet"/>
        <w:tabs>
          <w:tab w:val="num" w:pos="360"/>
        </w:tabs>
      </w:pPr>
      <w:r>
        <w:rPr>
          <w:rFonts w:eastAsia="Times New Roman"/>
          <w:sz w:val="19"/>
        </w:rPr>
        <w:t>assigned role by;</w:t>
      </w:r>
    </w:p>
    <w:p w14:paraId="6942F9B4" w14:textId="77777777" w:rsidR="00002650" w:rsidRDefault="00002650" w:rsidP="00002650">
      <w:pPr>
        <w:pStyle w:val="ListBullet"/>
        <w:tabs>
          <w:tab w:val="num" w:pos="360"/>
        </w:tabs>
      </w:pPr>
      <w:r>
        <w:rPr>
          <w:rFonts w:eastAsia="Times New Roman"/>
          <w:sz w:val="19"/>
        </w:rPr>
        <w:t>occurs within frame;</w:t>
      </w:r>
    </w:p>
    <w:p w14:paraId="49724DDA" w14:textId="77777777" w:rsidR="00002650" w:rsidRDefault="00002650" w:rsidP="00002650">
      <w:pPr>
        <w:pStyle w:val="ListBullet"/>
        <w:tabs>
          <w:tab w:val="num" w:pos="360"/>
        </w:tabs>
      </w:pPr>
      <w:r>
        <w:rPr>
          <w:rFonts w:eastAsia="Times New Roman"/>
          <w:sz w:val="19"/>
        </w:rPr>
        <w:t>measured at;</w:t>
      </w:r>
    </w:p>
    <w:p w14:paraId="41217E69" w14:textId="77777777" w:rsidR="00002650" w:rsidRDefault="00002650" w:rsidP="00002650">
      <w:pPr>
        <w:pStyle w:val="ListBullet"/>
        <w:tabs>
          <w:tab w:val="num" w:pos="360"/>
        </w:tabs>
      </w:pPr>
      <w:r>
        <w:rPr>
          <w:rFonts w:eastAsia="Times New Roman"/>
          <w:sz w:val="19"/>
        </w:rPr>
        <w:t>satisfies marker rule;</w:t>
      </w:r>
    </w:p>
    <w:p w14:paraId="3CFB504C" w14:textId="77777777" w:rsidR="00002650" w:rsidRDefault="00002650" w:rsidP="00002650">
      <w:pPr>
        <w:pStyle w:val="ListBullet"/>
        <w:tabs>
          <w:tab w:val="num" w:pos="360"/>
        </w:tabs>
      </w:pPr>
      <w:r>
        <w:rPr>
          <w:rFonts w:eastAsia="Times New Roman"/>
          <w:sz w:val="19"/>
        </w:rPr>
        <w:t>classified within regime;</w:t>
      </w:r>
    </w:p>
    <w:p w14:paraId="10443866" w14:textId="77777777" w:rsidR="00002650" w:rsidRDefault="00002650" w:rsidP="00002650">
      <w:pPr>
        <w:pStyle w:val="ListBullet"/>
        <w:tabs>
          <w:tab w:val="num" w:pos="360"/>
        </w:tabs>
      </w:pPr>
      <w:r>
        <w:rPr>
          <w:rFonts w:eastAsia="Times New Roman"/>
          <w:sz w:val="19"/>
        </w:rPr>
        <w:t>supports finding;</w:t>
      </w:r>
    </w:p>
    <w:p w14:paraId="24344ACB" w14:textId="77777777" w:rsidR="00002650" w:rsidRDefault="00002650" w:rsidP="00002650">
      <w:pPr>
        <w:pStyle w:val="ListBullet"/>
        <w:tabs>
          <w:tab w:val="num" w:pos="360"/>
        </w:tabs>
      </w:pPr>
      <w:r>
        <w:rPr>
          <w:rFonts w:eastAsia="Times New Roman"/>
          <w:sz w:val="19"/>
        </w:rPr>
        <w:t>contradicts finding;</w:t>
      </w:r>
    </w:p>
    <w:p w14:paraId="052607E5" w14:textId="77777777" w:rsidR="00002650" w:rsidRDefault="00002650" w:rsidP="00002650">
      <w:pPr>
        <w:pStyle w:val="ListBullet"/>
        <w:tabs>
          <w:tab w:val="num" w:pos="360"/>
        </w:tabs>
      </w:pPr>
      <w:r>
        <w:rPr>
          <w:rFonts w:eastAsia="Times New Roman"/>
          <w:sz w:val="19"/>
        </w:rPr>
        <w:t>projected by instrument;</w:t>
      </w:r>
    </w:p>
    <w:p w14:paraId="1F098DDF" w14:textId="77777777" w:rsidR="00002650" w:rsidRDefault="00002650" w:rsidP="00002650">
      <w:pPr>
        <w:pStyle w:val="ListBullet"/>
        <w:tabs>
          <w:tab w:val="num" w:pos="360"/>
        </w:tabs>
      </w:pPr>
      <w:r>
        <w:rPr>
          <w:rFonts w:eastAsia="Times New Roman"/>
          <w:sz w:val="19"/>
        </w:rPr>
        <w:t>summarized by;</w:t>
      </w:r>
    </w:p>
    <w:p w14:paraId="4C9467E5" w14:textId="77777777" w:rsidR="00002650" w:rsidRDefault="00002650" w:rsidP="00002650">
      <w:pPr>
        <w:pStyle w:val="ListBullet"/>
        <w:tabs>
          <w:tab w:val="num" w:pos="360"/>
        </w:tabs>
      </w:pPr>
      <w:r>
        <w:rPr>
          <w:rFonts w:eastAsia="Times New Roman"/>
          <w:sz w:val="19"/>
        </w:rPr>
        <w:t>inspected through; and</w:t>
      </w:r>
    </w:p>
    <w:p w14:paraId="7462ABC2" w14:textId="77777777" w:rsidR="00002650" w:rsidRDefault="00002650" w:rsidP="00002650">
      <w:pPr>
        <w:pStyle w:val="ListBullet"/>
        <w:tabs>
          <w:tab w:val="num" w:pos="360"/>
        </w:tabs>
      </w:pPr>
      <w:r>
        <w:rPr>
          <w:rFonts w:eastAsia="Times New Roman"/>
          <w:sz w:val="19"/>
        </w:rPr>
        <w:t>preserved in.</w:t>
      </w:r>
    </w:p>
    <w:p w14:paraId="08641D14" w14:textId="77777777" w:rsidR="00002650" w:rsidRDefault="00002650" w:rsidP="00002650">
      <w:pPr>
        <w:spacing w:after="94"/>
      </w:pPr>
      <w:r>
        <w:rPr>
          <w:rFonts w:ascii="Times New Roman" w:eastAsia="Times New Roman" w:hAnsi="Times New Roman"/>
          <w:color w:val="000000"/>
          <w:sz w:val="20"/>
        </w:rPr>
        <w:t>The graph is not required to be stored in a graph database. It defines the semantic relationships that any conforming implementation must preserve through equivalent structures.</w:t>
      </w:r>
    </w:p>
    <w:p w14:paraId="03BC3574" w14:textId="77777777" w:rsidR="00002650" w:rsidRDefault="00002650" w:rsidP="00002650">
      <w:pPr>
        <w:pStyle w:val="Heading2"/>
      </w:pPr>
      <w:r>
        <w:rPr>
          <w:rFonts w:ascii="Arial" w:eastAsia="Times New Roman" w:hAnsi="Arial"/>
          <w:color w:val="000000"/>
          <w:sz w:val="23"/>
        </w:rPr>
        <w:t>Canonical Representation and Permitted Alternatives</w:t>
      </w:r>
    </w:p>
    <w:p w14:paraId="665B448E" w14:textId="77777777" w:rsidR="00002650" w:rsidRDefault="00002650" w:rsidP="00002650">
      <w:pPr>
        <w:keepLines/>
        <w:spacing w:after="94"/>
      </w:pPr>
      <w:r>
        <w:rPr>
          <w:rFonts w:ascii="Times New Roman" w:eastAsia="Times New Roman" w:hAnsi="Times New Roman"/>
          <w:color w:val="000000"/>
          <w:sz w:val="20"/>
        </w:rPr>
        <w:t>Canonical does not mean metaphysically unique. It means that one declared representation governs a particular evidence run. Alternative segmentation, role mapping, ordering, or feature construction may be legitimate. They must produce separately identifiable variants or branches rather than silently altering the active runtime.</w:t>
      </w:r>
    </w:p>
    <w:p w14:paraId="5661FC3D" w14:textId="77777777" w:rsidR="00002650" w:rsidRDefault="00002650" w:rsidP="00002650">
      <w:pPr>
        <w:spacing w:after="94"/>
      </w:pPr>
      <w:r>
        <w:rPr>
          <w:rFonts w:ascii="Times New Roman" w:eastAsia="Times New Roman" w:hAnsi="Times New Roman"/>
          <w:color w:val="000000"/>
          <w:sz w:val="20"/>
        </w:rPr>
        <w:t xml:space="preserve">An implementation may support several candidate </w:t>
      </w:r>
      <w:proofErr w:type="spellStart"/>
      <w:r>
        <w:rPr>
          <w:rFonts w:ascii="Times New Roman" w:eastAsia="Times New Roman" w:hAnsi="Times New Roman"/>
          <w:color w:val="000000"/>
          <w:sz w:val="20"/>
        </w:rPr>
        <w:t>canonicalizations</w:t>
      </w:r>
      <w:proofErr w:type="spellEnd"/>
      <w:r>
        <w:rPr>
          <w:rFonts w:ascii="Times New Roman" w:eastAsia="Times New Roman" w:hAnsi="Times New Roman"/>
          <w:color w:val="000000"/>
          <w:sz w:val="20"/>
        </w:rPr>
        <w:t xml:space="preserve"> during qualification. Once a Current Evidence Run is formed, the active representation must be explicit. A later correction can supersede it through a versioned lineage. Instruments and interfaces cannot select different candidates without creating a distinguishable run or clearly labeled exploratory projection.</w:t>
      </w:r>
    </w:p>
    <w:p w14:paraId="08168548" w14:textId="77777777" w:rsidR="00002650" w:rsidRDefault="00002650" w:rsidP="00002650">
      <w:pPr>
        <w:pStyle w:val="Heading2"/>
      </w:pPr>
      <w:r>
        <w:rPr>
          <w:rFonts w:ascii="Arial" w:eastAsia="Times New Roman" w:hAnsi="Arial"/>
          <w:color w:val="000000"/>
          <w:sz w:val="23"/>
        </w:rPr>
        <w:t>Representation and Authority</w:t>
      </w:r>
    </w:p>
    <w:p w14:paraId="6303DBD1" w14:textId="77777777" w:rsidR="00002650" w:rsidRDefault="00002650" w:rsidP="00002650">
      <w:pPr>
        <w:keepLines/>
        <w:spacing w:after="94"/>
      </w:pPr>
      <w:r>
        <w:rPr>
          <w:rFonts w:ascii="Times New Roman" w:eastAsia="Times New Roman" w:hAnsi="Times New Roman"/>
          <w:color w:val="000000"/>
          <w:sz w:val="20"/>
        </w:rPr>
        <w:t>The architecture distinguishes four questions:</w:t>
      </w:r>
    </w:p>
    <w:p w14:paraId="2614D7C4" w14:textId="77777777" w:rsidR="00002650" w:rsidRDefault="00002650" w:rsidP="00002650">
      <w:pPr>
        <w:keepNext/>
        <w:spacing w:before="140" w:after="80"/>
      </w:pPr>
      <w:r>
        <w:rPr>
          <w:rFonts w:ascii="Times New Roman" w:eastAsia="Times New Roman" w:hAnsi="Times New Roman"/>
          <w:i/>
          <w:color w:val="66717C"/>
          <w:sz w:val="18"/>
        </w:rPr>
        <w:t>Table 2. Separation of representation, evidence authority, claim governance, and presentation.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320"/>
        <w:gridCol w:w="5400"/>
      </w:tblGrid>
      <w:tr w:rsidR="00002650" w14:paraId="62673FE6" w14:textId="77777777">
        <w:trPr>
          <w:cantSplit/>
          <w:tblHeader/>
          <w:jc w:val="center"/>
        </w:trPr>
        <w:tc>
          <w:tcPr>
            <w:tcW w:w="4320" w:type="dxa"/>
            <w:shd w:val="clear" w:color="auto" w:fill="17324D"/>
            <w:tcMar>
              <w:top w:w="70" w:type="dxa"/>
              <w:left w:w="100" w:type="dxa"/>
              <w:bottom w:w="70" w:type="dxa"/>
              <w:right w:w="100" w:type="dxa"/>
            </w:tcMar>
            <w:vAlign w:val="center"/>
          </w:tcPr>
          <w:p w14:paraId="08A630D4" w14:textId="77777777" w:rsidR="00002650" w:rsidRDefault="00002650" w:rsidP="00F96983">
            <w:pPr>
              <w:spacing w:after="0" w:line="240" w:lineRule="auto"/>
            </w:pPr>
            <w:r>
              <w:rPr>
                <w:rFonts w:ascii="Arial" w:eastAsia="Times New Roman" w:hAnsi="Arial"/>
                <w:b/>
                <w:color w:val="FFFFFF"/>
                <w:sz w:val="17"/>
              </w:rPr>
              <w:t>Question</w:t>
            </w:r>
          </w:p>
        </w:tc>
        <w:tc>
          <w:tcPr>
            <w:tcW w:w="5400" w:type="dxa"/>
            <w:shd w:val="clear" w:color="auto" w:fill="17324D"/>
            <w:tcMar>
              <w:top w:w="70" w:type="dxa"/>
              <w:left w:w="100" w:type="dxa"/>
              <w:bottom w:w="70" w:type="dxa"/>
              <w:right w:w="100" w:type="dxa"/>
            </w:tcMar>
            <w:vAlign w:val="center"/>
          </w:tcPr>
          <w:p w14:paraId="6AABF873" w14:textId="77777777" w:rsidR="00002650" w:rsidRDefault="00002650" w:rsidP="00F96983">
            <w:pPr>
              <w:spacing w:after="0" w:line="240" w:lineRule="auto"/>
            </w:pPr>
            <w:r>
              <w:rPr>
                <w:rFonts w:ascii="Arial" w:eastAsia="Times New Roman" w:hAnsi="Arial"/>
                <w:b/>
                <w:color w:val="FFFFFF"/>
                <w:sz w:val="17"/>
              </w:rPr>
              <w:t>Object responsible</w:t>
            </w:r>
          </w:p>
        </w:tc>
      </w:tr>
      <w:tr w:rsidR="00002650" w14:paraId="03CB012A" w14:textId="77777777">
        <w:trPr>
          <w:cantSplit/>
          <w:jc w:val="center"/>
        </w:trPr>
        <w:tc>
          <w:tcPr>
            <w:tcW w:w="4320" w:type="dxa"/>
            <w:shd w:val="clear" w:color="auto" w:fill="FFFFFF"/>
            <w:tcMar>
              <w:top w:w="70" w:type="dxa"/>
              <w:left w:w="100" w:type="dxa"/>
              <w:bottom w:w="70" w:type="dxa"/>
              <w:right w:w="100" w:type="dxa"/>
            </w:tcMar>
            <w:vAlign w:val="center"/>
          </w:tcPr>
          <w:p w14:paraId="2E0B3884" w14:textId="77777777" w:rsidR="00002650" w:rsidRDefault="00002650" w:rsidP="00F96983">
            <w:pPr>
              <w:spacing w:after="0" w:line="240" w:lineRule="auto"/>
            </w:pPr>
            <w:r>
              <w:rPr>
                <w:rFonts w:ascii="Times New Roman" w:eastAsia="Times New Roman" w:hAnsi="Times New Roman"/>
                <w:color w:val="000000"/>
                <w:sz w:val="17"/>
              </w:rPr>
              <w:t>What source and transformations produced this runtime representation</w:t>
            </w:r>
          </w:p>
        </w:tc>
        <w:tc>
          <w:tcPr>
            <w:tcW w:w="5400" w:type="dxa"/>
            <w:shd w:val="clear" w:color="auto" w:fill="FFFFFF"/>
            <w:tcMar>
              <w:top w:w="70" w:type="dxa"/>
              <w:left w:w="100" w:type="dxa"/>
              <w:bottom w:w="70" w:type="dxa"/>
              <w:right w:w="100" w:type="dxa"/>
            </w:tcMar>
            <w:vAlign w:val="center"/>
          </w:tcPr>
          <w:p w14:paraId="7F83F13F" w14:textId="77777777" w:rsidR="00002650" w:rsidRDefault="00002650" w:rsidP="00F96983">
            <w:pPr>
              <w:spacing w:after="0" w:line="240" w:lineRule="auto"/>
            </w:pPr>
            <w:r>
              <w:rPr>
                <w:rFonts w:ascii="Times New Roman" w:eastAsia="Times New Roman" w:hAnsi="Times New Roman"/>
                <w:color w:val="000000"/>
                <w:sz w:val="17"/>
              </w:rPr>
              <w:t>Computational Behavior Architecture and Runtime Evidence lineage</w:t>
            </w:r>
          </w:p>
        </w:tc>
      </w:tr>
      <w:tr w:rsidR="00002650" w14:paraId="07D4025E" w14:textId="77777777">
        <w:trPr>
          <w:cantSplit/>
          <w:jc w:val="center"/>
        </w:trPr>
        <w:tc>
          <w:tcPr>
            <w:tcW w:w="4320" w:type="dxa"/>
            <w:shd w:val="clear" w:color="auto" w:fill="F6F9FB"/>
            <w:tcMar>
              <w:top w:w="70" w:type="dxa"/>
              <w:left w:w="100" w:type="dxa"/>
              <w:bottom w:w="70" w:type="dxa"/>
              <w:right w:w="100" w:type="dxa"/>
            </w:tcMar>
            <w:vAlign w:val="center"/>
          </w:tcPr>
          <w:p w14:paraId="1DF864BA" w14:textId="77777777" w:rsidR="00002650" w:rsidRDefault="00002650" w:rsidP="00F96983">
            <w:pPr>
              <w:spacing w:after="0" w:line="240" w:lineRule="auto"/>
            </w:pPr>
            <w:r>
              <w:rPr>
                <w:rFonts w:ascii="Times New Roman" w:eastAsia="Times New Roman" w:hAnsi="Times New Roman"/>
                <w:color w:val="000000"/>
                <w:sz w:val="17"/>
              </w:rPr>
              <w:t>Which representation and findings govern the active investigation</w:t>
            </w:r>
          </w:p>
        </w:tc>
        <w:tc>
          <w:tcPr>
            <w:tcW w:w="5400" w:type="dxa"/>
            <w:shd w:val="clear" w:color="auto" w:fill="F6F9FB"/>
            <w:tcMar>
              <w:top w:w="70" w:type="dxa"/>
              <w:left w:w="100" w:type="dxa"/>
              <w:bottom w:w="70" w:type="dxa"/>
              <w:right w:w="100" w:type="dxa"/>
            </w:tcMar>
            <w:vAlign w:val="center"/>
          </w:tcPr>
          <w:p w14:paraId="5D3CFD73" w14:textId="77777777" w:rsidR="00002650" w:rsidRDefault="00002650" w:rsidP="00F96983">
            <w:pPr>
              <w:spacing w:after="0" w:line="240" w:lineRule="auto"/>
            </w:pPr>
            <w:r>
              <w:rPr>
                <w:rFonts w:ascii="Times New Roman" w:eastAsia="Times New Roman" w:hAnsi="Times New Roman"/>
                <w:color w:val="000000"/>
                <w:sz w:val="17"/>
              </w:rPr>
              <w:t>Current Evidence Run</w:t>
            </w:r>
          </w:p>
        </w:tc>
      </w:tr>
      <w:tr w:rsidR="00002650" w14:paraId="055E4EE7" w14:textId="77777777">
        <w:trPr>
          <w:cantSplit/>
          <w:jc w:val="center"/>
        </w:trPr>
        <w:tc>
          <w:tcPr>
            <w:tcW w:w="4320" w:type="dxa"/>
            <w:shd w:val="clear" w:color="auto" w:fill="FFFFFF"/>
            <w:tcMar>
              <w:top w:w="70" w:type="dxa"/>
              <w:left w:w="100" w:type="dxa"/>
              <w:bottom w:w="70" w:type="dxa"/>
              <w:right w:w="100" w:type="dxa"/>
            </w:tcMar>
            <w:vAlign w:val="center"/>
          </w:tcPr>
          <w:p w14:paraId="6B6B7E9A" w14:textId="77777777" w:rsidR="00002650" w:rsidRDefault="00002650" w:rsidP="00F96983">
            <w:pPr>
              <w:spacing w:after="0" w:line="240" w:lineRule="auto"/>
            </w:pPr>
            <w:r>
              <w:rPr>
                <w:rFonts w:ascii="Times New Roman" w:eastAsia="Times New Roman" w:hAnsi="Times New Roman"/>
                <w:color w:val="000000"/>
                <w:sz w:val="17"/>
              </w:rPr>
              <w:t>What may be claimed from those evidence objects</w:t>
            </w:r>
          </w:p>
        </w:tc>
        <w:tc>
          <w:tcPr>
            <w:tcW w:w="5400" w:type="dxa"/>
            <w:shd w:val="clear" w:color="auto" w:fill="FFFFFF"/>
            <w:tcMar>
              <w:top w:w="70" w:type="dxa"/>
              <w:left w:w="100" w:type="dxa"/>
              <w:bottom w:w="70" w:type="dxa"/>
              <w:right w:w="100" w:type="dxa"/>
            </w:tcMar>
            <w:vAlign w:val="center"/>
          </w:tcPr>
          <w:p w14:paraId="15E4CB77" w14:textId="77777777" w:rsidR="00002650" w:rsidRDefault="00002650" w:rsidP="00F96983">
            <w:pPr>
              <w:spacing w:after="0" w:line="240" w:lineRule="auto"/>
            </w:pPr>
            <w:r>
              <w:rPr>
                <w:rFonts w:ascii="Times New Roman" w:eastAsia="Times New Roman" w:hAnsi="Times New Roman"/>
                <w:color w:val="000000"/>
                <w:sz w:val="17"/>
              </w:rPr>
              <w:t>Evidence-Governed Computation</w:t>
            </w:r>
          </w:p>
        </w:tc>
      </w:tr>
      <w:tr w:rsidR="00002650" w14:paraId="6BD71D99" w14:textId="77777777">
        <w:trPr>
          <w:cantSplit/>
          <w:jc w:val="center"/>
        </w:trPr>
        <w:tc>
          <w:tcPr>
            <w:tcW w:w="4320" w:type="dxa"/>
            <w:shd w:val="clear" w:color="auto" w:fill="F6F9FB"/>
            <w:tcMar>
              <w:top w:w="70" w:type="dxa"/>
              <w:left w:w="100" w:type="dxa"/>
              <w:bottom w:w="70" w:type="dxa"/>
              <w:right w:w="100" w:type="dxa"/>
            </w:tcMar>
            <w:vAlign w:val="center"/>
          </w:tcPr>
          <w:p w14:paraId="0E05B004" w14:textId="77777777" w:rsidR="00002650" w:rsidRDefault="00002650" w:rsidP="00F96983">
            <w:pPr>
              <w:spacing w:after="0" w:line="240" w:lineRule="auto"/>
            </w:pPr>
            <w:r>
              <w:rPr>
                <w:rFonts w:ascii="Times New Roman" w:eastAsia="Times New Roman" w:hAnsi="Times New Roman"/>
                <w:color w:val="000000"/>
                <w:sz w:val="17"/>
              </w:rPr>
              <w:t>How are the findings displayed or explained to an operator</w:t>
            </w:r>
          </w:p>
        </w:tc>
        <w:tc>
          <w:tcPr>
            <w:tcW w:w="5400" w:type="dxa"/>
            <w:shd w:val="clear" w:color="auto" w:fill="F6F9FB"/>
            <w:tcMar>
              <w:top w:w="70" w:type="dxa"/>
              <w:left w:w="100" w:type="dxa"/>
              <w:bottom w:w="70" w:type="dxa"/>
              <w:right w:w="100" w:type="dxa"/>
            </w:tcMar>
            <w:vAlign w:val="center"/>
          </w:tcPr>
          <w:p w14:paraId="0B3E307F" w14:textId="77777777" w:rsidR="00002650" w:rsidRDefault="00002650" w:rsidP="00F96983">
            <w:pPr>
              <w:spacing w:after="0" w:line="240" w:lineRule="auto"/>
            </w:pPr>
            <w:r>
              <w:rPr>
                <w:rFonts w:ascii="Times New Roman" w:eastAsia="Times New Roman" w:hAnsi="Times New Roman"/>
                <w:color w:val="000000"/>
                <w:sz w:val="17"/>
              </w:rPr>
              <w:t>Bounded presentation and Human Read projections</w:t>
            </w:r>
          </w:p>
        </w:tc>
      </w:tr>
    </w:tbl>
    <w:p w14:paraId="36976FE4" w14:textId="77777777" w:rsidR="00002650" w:rsidRDefault="00002650" w:rsidP="00002650">
      <w:pPr>
        <w:spacing w:after="20"/>
      </w:pPr>
    </w:p>
    <w:p w14:paraId="1D3FBB79" w14:textId="77777777" w:rsidR="00002650" w:rsidRDefault="00002650" w:rsidP="00002650">
      <w:pPr>
        <w:spacing w:after="94"/>
        <w:rPr>
          <w:rFonts w:ascii="Times New Roman" w:eastAsia="Times New Roman" w:hAnsi="Times New Roman"/>
          <w:color w:val="000000"/>
          <w:sz w:val="20"/>
        </w:rPr>
      </w:pPr>
      <w:r>
        <w:rPr>
          <w:rFonts w:ascii="Times New Roman" w:eastAsia="Times New Roman" w:hAnsi="Times New Roman"/>
          <w:color w:val="000000"/>
          <w:sz w:val="20"/>
        </w:rPr>
        <w:t>No object inherits another object's authority by proximity. A graph relation does not make a claim admissible. A Passport does not validate a measurement. A Human Read statement does not create a source fact. A visualization does not become authoritative merely because it is attached to the Current Evidence Run.</w:t>
      </w:r>
    </w:p>
    <w:p w14:paraId="15C1FD10" w14:textId="77777777" w:rsidR="00002650" w:rsidRDefault="00002650" w:rsidP="00002650">
      <w:pPr>
        <w:spacing w:after="94"/>
        <w:rPr>
          <w:rFonts w:ascii="Times New Roman" w:eastAsia="Times New Roman" w:hAnsi="Times New Roman"/>
          <w:color w:val="000000"/>
          <w:sz w:val="20"/>
        </w:rPr>
      </w:pPr>
    </w:p>
    <w:p w14:paraId="711F079E" w14:textId="3107DD4F" w:rsidR="00002650" w:rsidRPr="00002650" w:rsidRDefault="00002650" w:rsidP="00002650">
      <w:pPr>
        <w:pStyle w:val="Heading1"/>
        <w:rPr>
          <w:b/>
          <w:bCs/>
          <w:color w:val="4F46E5"/>
          <w:sz w:val="28"/>
          <w:szCs w:val="28"/>
        </w:rPr>
      </w:pPr>
      <w:r w:rsidRPr="00002650">
        <w:rPr>
          <w:rFonts w:eastAsia="Times New Roman"/>
          <w:b/>
          <w:bCs/>
          <w:color w:val="4F46E5"/>
          <w:sz w:val="28"/>
          <w:szCs w:val="28"/>
        </w:rPr>
        <w:t>Source Qualification and Canonical Runtime Formation</w:t>
      </w:r>
    </w:p>
    <w:p w14:paraId="4E742CC3" w14:textId="77777777" w:rsidR="00002650" w:rsidRDefault="00002650" w:rsidP="00002650">
      <w:pPr>
        <w:pStyle w:val="Heading2"/>
      </w:pPr>
      <w:r>
        <w:rPr>
          <w:rFonts w:ascii="Arial" w:eastAsia="Times New Roman" w:hAnsi="Arial"/>
          <w:color w:val="000000"/>
          <w:sz w:val="23"/>
        </w:rPr>
        <w:t>Source Package and Binding</w:t>
      </w:r>
    </w:p>
    <w:p w14:paraId="59E61220" w14:textId="77777777" w:rsidR="00002650" w:rsidRDefault="00002650" w:rsidP="00002650">
      <w:pPr>
        <w:keepLines/>
        <w:spacing w:after="94"/>
      </w:pPr>
      <w:r>
        <w:rPr>
          <w:rFonts w:ascii="Times New Roman" w:eastAsia="Times New Roman" w:hAnsi="Times New Roman"/>
          <w:color w:val="000000"/>
          <w:sz w:val="20"/>
        </w:rPr>
        <w:t>The architecture begins with identifiable source material. A source package may contain embedded bytes, stable references, hashes, manifests, acquisition metadata, access conditions, permitted-use state, redaction disclosures, and contextual declarations. It must distinguish material supplied by the source from material supplied by an operator, adapter, or later reviewer.</w:t>
      </w:r>
    </w:p>
    <w:p w14:paraId="6A5234EE" w14:textId="77777777" w:rsidR="00002650" w:rsidRDefault="00002650" w:rsidP="00002650">
      <w:pPr>
        <w:spacing w:after="94"/>
      </w:pPr>
      <w:r>
        <w:rPr>
          <w:rFonts w:ascii="Times New Roman" w:eastAsia="Times New Roman" w:hAnsi="Times New Roman"/>
          <w:color w:val="000000"/>
          <w:sz w:val="20"/>
        </w:rPr>
        <w:t>Source binding answers which record entered the system. It does not prove that the record is authentic, complete, or true. Stronger provenance may be supported by signed logs, trusted capture, remote attestation, custody documentation, or corroborating systems. Those properties remain typed additions to the source state rather than assumptions introduced by the architecture.</w:t>
      </w:r>
    </w:p>
    <w:p w14:paraId="6EC59076" w14:textId="77777777" w:rsidR="00002650" w:rsidRDefault="00002650" w:rsidP="00002650">
      <w:pPr>
        <w:pStyle w:val="Heading2"/>
      </w:pPr>
      <w:r>
        <w:rPr>
          <w:rFonts w:ascii="Arial" w:eastAsia="Times New Roman" w:hAnsi="Arial"/>
          <w:color w:val="000000"/>
          <w:sz w:val="23"/>
        </w:rPr>
        <w:t>Qualification</w:t>
      </w:r>
    </w:p>
    <w:p w14:paraId="2C43DE54" w14:textId="77777777" w:rsidR="00002650" w:rsidRDefault="00002650" w:rsidP="00002650">
      <w:pPr>
        <w:keepLines/>
        <w:spacing w:after="94"/>
      </w:pPr>
      <w:r>
        <w:rPr>
          <w:rFonts w:ascii="Times New Roman" w:eastAsia="Times New Roman" w:hAnsi="Times New Roman"/>
          <w:color w:val="000000"/>
          <w:sz w:val="20"/>
        </w:rPr>
        <w:t>Qualification determines whether the source can support canonical runtime formation and which limitations must propagate. It evaluates structure, ordering, role labels, timestamps, event identifiers, tool records, workflow changes, source continuity, encoding, truncation, and required dependencies.</w:t>
      </w:r>
    </w:p>
    <w:p w14:paraId="42B4FFE0" w14:textId="77777777" w:rsidR="00002650" w:rsidRDefault="00002650" w:rsidP="00002650">
      <w:pPr>
        <w:spacing w:after="94"/>
      </w:pPr>
      <w:r>
        <w:rPr>
          <w:rFonts w:ascii="Times New Roman" w:eastAsia="Times New Roman" w:hAnsi="Times New Roman"/>
          <w:color w:val="000000"/>
          <w:sz w:val="20"/>
        </w:rPr>
        <w:t>Qualification outcomes must include more than pass or fail. A source may be:</w:t>
      </w:r>
    </w:p>
    <w:p w14:paraId="34C91987" w14:textId="77777777" w:rsidR="00002650" w:rsidRDefault="00002650" w:rsidP="00002650">
      <w:pPr>
        <w:pStyle w:val="ListBullet"/>
        <w:tabs>
          <w:tab w:val="num" w:pos="360"/>
        </w:tabs>
      </w:pPr>
      <w:r>
        <w:rPr>
          <w:rFonts w:eastAsia="Times New Roman"/>
          <w:sz w:val="19"/>
        </w:rPr>
        <w:t>qualified for full reconstruction;</w:t>
      </w:r>
    </w:p>
    <w:p w14:paraId="21E53220" w14:textId="77777777" w:rsidR="00002650" w:rsidRDefault="00002650" w:rsidP="00002650">
      <w:pPr>
        <w:pStyle w:val="ListBullet"/>
        <w:tabs>
          <w:tab w:val="num" w:pos="360"/>
        </w:tabs>
      </w:pPr>
      <w:r>
        <w:rPr>
          <w:rFonts w:eastAsia="Times New Roman"/>
          <w:sz w:val="19"/>
        </w:rPr>
        <w:t>qualified with warnings or ambiguity;</w:t>
      </w:r>
    </w:p>
    <w:p w14:paraId="70C0C68B" w14:textId="77777777" w:rsidR="00002650" w:rsidRDefault="00002650" w:rsidP="00002650">
      <w:pPr>
        <w:pStyle w:val="ListBullet"/>
        <w:tabs>
          <w:tab w:val="num" w:pos="360"/>
        </w:tabs>
      </w:pPr>
      <w:r>
        <w:rPr>
          <w:rFonts w:eastAsia="Times New Roman"/>
          <w:sz w:val="19"/>
        </w:rPr>
        <w:t>partially qualified for a limited set of claims;</w:t>
      </w:r>
    </w:p>
    <w:p w14:paraId="2E8DC94B" w14:textId="77777777" w:rsidR="00002650" w:rsidRDefault="00002650" w:rsidP="00002650">
      <w:pPr>
        <w:pStyle w:val="ListBullet"/>
        <w:tabs>
          <w:tab w:val="num" w:pos="360"/>
        </w:tabs>
      </w:pPr>
      <w:r>
        <w:rPr>
          <w:rFonts w:eastAsia="Times New Roman"/>
          <w:sz w:val="19"/>
        </w:rPr>
        <w:t>unsupported under the available adapter;</w:t>
      </w:r>
    </w:p>
    <w:p w14:paraId="10701366" w14:textId="77777777" w:rsidR="00002650" w:rsidRDefault="00002650" w:rsidP="00002650">
      <w:pPr>
        <w:pStyle w:val="ListBullet"/>
        <w:tabs>
          <w:tab w:val="num" w:pos="360"/>
        </w:tabs>
      </w:pPr>
      <w:r>
        <w:rPr>
          <w:rFonts w:eastAsia="Times New Roman"/>
          <w:sz w:val="19"/>
        </w:rPr>
        <w:t>withheld because required material cannot be accessed; or</w:t>
      </w:r>
    </w:p>
    <w:p w14:paraId="36A4D8AB" w14:textId="77777777" w:rsidR="00002650" w:rsidRDefault="00002650" w:rsidP="00002650">
      <w:pPr>
        <w:pStyle w:val="ListBullet"/>
        <w:tabs>
          <w:tab w:val="num" w:pos="360"/>
        </w:tabs>
      </w:pPr>
      <w:r>
        <w:rPr>
          <w:rFonts w:eastAsia="Times New Roman"/>
          <w:sz w:val="19"/>
        </w:rPr>
        <w:t>refused because the transformation would invent structure beyond the source.</w:t>
      </w:r>
    </w:p>
    <w:p w14:paraId="6D18DCD4" w14:textId="77777777" w:rsidR="00002650" w:rsidRDefault="00002650" w:rsidP="00002650">
      <w:pPr>
        <w:spacing w:after="94"/>
      </w:pPr>
      <w:r>
        <w:rPr>
          <w:rFonts w:ascii="Times New Roman" w:eastAsia="Times New Roman" w:hAnsi="Times New Roman"/>
          <w:color w:val="000000"/>
          <w:sz w:val="20"/>
        </w:rPr>
        <w:t xml:space="preserve">Parsing success is not evidence sufficiency. A transcript may be </w:t>
      </w:r>
      <w:proofErr w:type="spellStart"/>
      <w:r>
        <w:rPr>
          <w:rFonts w:ascii="Times New Roman" w:eastAsia="Times New Roman" w:hAnsi="Times New Roman"/>
          <w:color w:val="000000"/>
          <w:sz w:val="20"/>
        </w:rPr>
        <w:t>parseable</w:t>
      </w:r>
      <w:proofErr w:type="spellEnd"/>
      <w:r>
        <w:rPr>
          <w:rFonts w:ascii="Times New Roman" w:eastAsia="Times New Roman" w:hAnsi="Times New Roman"/>
          <w:color w:val="000000"/>
          <w:sz w:val="20"/>
        </w:rPr>
        <w:t xml:space="preserve"> while lacking timestamps, failure anchors, role distinctions, or enough horizon for regime classification. Qualification preserves that distinction before scientific computation begins.</w:t>
      </w:r>
    </w:p>
    <w:p w14:paraId="6DDCA082" w14:textId="77777777" w:rsidR="00002650" w:rsidRDefault="00002650" w:rsidP="00002650">
      <w:pPr>
        <w:pStyle w:val="Heading2"/>
      </w:pPr>
      <w:r>
        <w:rPr>
          <w:rFonts w:ascii="Arial" w:eastAsia="Times New Roman" w:hAnsi="Arial"/>
          <w:color w:val="000000"/>
          <w:sz w:val="23"/>
        </w:rPr>
        <w:t>Canonical Event Ledger</w:t>
      </w:r>
    </w:p>
    <w:p w14:paraId="44067FDB" w14:textId="77777777" w:rsidR="00002650" w:rsidRDefault="00002650" w:rsidP="00002650">
      <w:pPr>
        <w:keepLines/>
        <w:spacing w:after="94"/>
      </w:pPr>
      <w:r>
        <w:rPr>
          <w:rFonts w:ascii="Times New Roman" w:eastAsia="Times New Roman" w:hAnsi="Times New Roman"/>
          <w:color w:val="000000"/>
          <w:sz w:val="20"/>
        </w:rPr>
        <w:t>The canonical event ledger is the normalized inventory of eligible runtime events. Each event should identify, where available:</w:t>
      </w:r>
    </w:p>
    <w:p w14:paraId="4863CC4D" w14:textId="77777777" w:rsidR="00002650" w:rsidRDefault="00002650" w:rsidP="00002650">
      <w:pPr>
        <w:pStyle w:val="ListBullet"/>
        <w:tabs>
          <w:tab w:val="num" w:pos="360"/>
        </w:tabs>
      </w:pPr>
      <w:r>
        <w:rPr>
          <w:rFonts w:eastAsia="Times New Roman"/>
          <w:sz w:val="19"/>
        </w:rPr>
        <w:t>canonical event identity;</w:t>
      </w:r>
    </w:p>
    <w:p w14:paraId="37A17459" w14:textId="77777777" w:rsidR="00002650" w:rsidRDefault="00002650" w:rsidP="00002650">
      <w:pPr>
        <w:pStyle w:val="ListBullet"/>
        <w:tabs>
          <w:tab w:val="num" w:pos="360"/>
        </w:tabs>
      </w:pPr>
      <w:r>
        <w:rPr>
          <w:rFonts w:eastAsia="Times New Roman"/>
          <w:sz w:val="19"/>
        </w:rPr>
        <w:t>source identity and source span;</w:t>
      </w:r>
    </w:p>
    <w:p w14:paraId="47F95405" w14:textId="77777777" w:rsidR="00002650" w:rsidRDefault="00002650" w:rsidP="00002650">
      <w:pPr>
        <w:pStyle w:val="ListBullet"/>
        <w:tabs>
          <w:tab w:val="num" w:pos="360"/>
        </w:tabs>
      </w:pPr>
      <w:r>
        <w:rPr>
          <w:rFonts w:eastAsia="Times New Roman"/>
          <w:sz w:val="19"/>
        </w:rPr>
        <w:t>original and canonical ordering references;</w:t>
      </w:r>
    </w:p>
    <w:p w14:paraId="43192DEA" w14:textId="77777777" w:rsidR="00002650" w:rsidRDefault="00002650" w:rsidP="00002650">
      <w:pPr>
        <w:pStyle w:val="ListBullet"/>
        <w:tabs>
          <w:tab w:val="num" w:pos="360"/>
        </w:tabs>
      </w:pPr>
      <w:r>
        <w:rPr>
          <w:rFonts w:eastAsia="Times New Roman"/>
          <w:sz w:val="19"/>
        </w:rPr>
        <w:t>event family and payload reference;</w:t>
      </w:r>
    </w:p>
    <w:p w14:paraId="38034BA4" w14:textId="77777777" w:rsidR="00002650" w:rsidRDefault="00002650" w:rsidP="00002650">
      <w:pPr>
        <w:pStyle w:val="ListBullet"/>
        <w:tabs>
          <w:tab w:val="num" w:pos="360"/>
        </w:tabs>
      </w:pPr>
      <w:r>
        <w:rPr>
          <w:rFonts w:eastAsia="Times New Roman"/>
          <w:sz w:val="19"/>
        </w:rPr>
        <w:t>source-supplied actor or role;</w:t>
      </w:r>
    </w:p>
    <w:p w14:paraId="7179A00D" w14:textId="77777777" w:rsidR="00002650" w:rsidRDefault="00002650" w:rsidP="00002650">
      <w:pPr>
        <w:pStyle w:val="ListBullet"/>
        <w:tabs>
          <w:tab w:val="num" w:pos="360"/>
        </w:tabs>
      </w:pPr>
      <w:r>
        <w:rPr>
          <w:rFonts w:eastAsia="Times New Roman"/>
          <w:sz w:val="19"/>
        </w:rPr>
        <w:t>normalized or assigned role and its provenance;</w:t>
      </w:r>
    </w:p>
    <w:p w14:paraId="61FE0BE1" w14:textId="77777777" w:rsidR="00002650" w:rsidRDefault="00002650" w:rsidP="00002650">
      <w:pPr>
        <w:pStyle w:val="ListBullet"/>
        <w:tabs>
          <w:tab w:val="num" w:pos="360"/>
        </w:tabs>
      </w:pPr>
      <w:r>
        <w:rPr>
          <w:rFonts w:eastAsia="Times New Roman"/>
          <w:sz w:val="19"/>
        </w:rPr>
        <w:t>timestamps and other coordinates;</w:t>
      </w:r>
    </w:p>
    <w:p w14:paraId="6A1AAC00" w14:textId="77777777" w:rsidR="00002650" w:rsidRDefault="00002650" w:rsidP="00002650">
      <w:pPr>
        <w:pStyle w:val="ListBullet"/>
        <w:tabs>
          <w:tab w:val="num" w:pos="360"/>
        </w:tabs>
      </w:pPr>
      <w:r>
        <w:rPr>
          <w:rFonts w:eastAsia="Times New Roman"/>
          <w:sz w:val="19"/>
        </w:rPr>
        <w:t>parent, dependency, tool, or workflow relationships;</w:t>
      </w:r>
    </w:p>
    <w:p w14:paraId="1C45601B" w14:textId="77777777" w:rsidR="00002650" w:rsidRDefault="00002650" w:rsidP="00002650">
      <w:pPr>
        <w:pStyle w:val="ListBullet"/>
        <w:tabs>
          <w:tab w:val="num" w:pos="360"/>
        </w:tabs>
      </w:pPr>
      <w:r>
        <w:rPr>
          <w:rFonts w:eastAsia="Times New Roman"/>
          <w:sz w:val="19"/>
        </w:rPr>
        <w:t>adapter action and transformation history;</w:t>
      </w:r>
    </w:p>
    <w:p w14:paraId="2C84B910" w14:textId="77777777" w:rsidR="00002650" w:rsidRDefault="00002650" w:rsidP="00002650">
      <w:pPr>
        <w:pStyle w:val="ListBullet"/>
        <w:tabs>
          <w:tab w:val="num" w:pos="360"/>
        </w:tabs>
      </w:pPr>
      <w:r>
        <w:rPr>
          <w:rFonts w:eastAsia="Times New Roman"/>
          <w:sz w:val="19"/>
        </w:rPr>
        <w:t>availability and ambiguity state; and</w:t>
      </w:r>
    </w:p>
    <w:p w14:paraId="7ABC58B3" w14:textId="77777777" w:rsidR="00002650" w:rsidRDefault="00002650" w:rsidP="00002650">
      <w:pPr>
        <w:pStyle w:val="ListBullet"/>
        <w:tabs>
          <w:tab w:val="num" w:pos="360"/>
        </w:tabs>
      </w:pPr>
      <w:r>
        <w:rPr>
          <w:rFonts w:eastAsia="Times New Roman"/>
          <w:sz w:val="19"/>
        </w:rPr>
        <w:t>applicable evidence horizon.</w:t>
      </w:r>
    </w:p>
    <w:p w14:paraId="26A3CC95" w14:textId="77777777" w:rsidR="00002650" w:rsidRDefault="00002650" w:rsidP="00002650">
      <w:pPr>
        <w:spacing w:after="94"/>
      </w:pPr>
      <w:r>
        <w:rPr>
          <w:rFonts w:ascii="Times New Roman" w:eastAsia="Times New Roman" w:hAnsi="Times New Roman"/>
          <w:color w:val="000000"/>
          <w:sz w:val="20"/>
        </w:rPr>
        <w:t>Segmentation is part of the method. A transcript turn, tool invocation, distributed span, ticket update, alert, approval, and incident paragraph do not share a natural event boundary. The adapter contract must state how compound records are split or joined and how uncertain boundaries are represented.</w:t>
      </w:r>
    </w:p>
    <w:p w14:paraId="74EC25D9" w14:textId="77777777" w:rsidR="00002650" w:rsidRDefault="00002650" w:rsidP="00002650">
      <w:pPr>
        <w:pStyle w:val="Heading2"/>
      </w:pPr>
      <w:r>
        <w:rPr>
          <w:rFonts w:ascii="Arial" w:eastAsia="Times New Roman" w:hAnsi="Arial"/>
          <w:color w:val="000000"/>
          <w:sz w:val="23"/>
        </w:rPr>
        <w:t>Transformation Provenance</w:t>
      </w:r>
    </w:p>
    <w:p w14:paraId="2274FF1A" w14:textId="77777777" w:rsidR="00002650" w:rsidRDefault="00002650" w:rsidP="00002650">
      <w:pPr>
        <w:keepLines/>
        <w:spacing w:after="94"/>
      </w:pPr>
      <w:r>
        <w:rPr>
          <w:rFonts w:ascii="Times New Roman" w:eastAsia="Times New Roman" w:hAnsi="Times New Roman"/>
          <w:color w:val="000000"/>
          <w:sz w:val="20"/>
        </w:rPr>
        <w:t>Every material transformation between source and canonical event must remain inspectable. Provenance should identify the adapter and version, parser rules, normalization decisions, role aliases, timestamp conversions, operator overrides, excluded records, warnings, and canonical identifiers produced.</w:t>
      </w:r>
    </w:p>
    <w:p w14:paraId="7D6B594A" w14:textId="77777777" w:rsidR="00002650" w:rsidRDefault="00002650" w:rsidP="00002650">
      <w:pPr>
        <w:spacing w:after="94"/>
      </w:pPr>
      <w:r>
        <w:rPr>
          <w:rFonts w:ascii="Times New Roman" w:eastAsia="Times New Roman" w:hAnsi="Times New Roman"/>
          <w:color w:val="000000"/>
          <w:sz w:val="20"/>
        </w:rPr>
        <w:t>An operator correction can improve the representation, but its origin must remain visible. If a correction changes the canonical runtime used for computation, the canonical and run identities must change or the record must enter a declared supersession path. Context may travel with evidence without rewriting evidence.</w:t>
      </w:r>
    </w:p>
    <w:p w14:paraId="1A4D6BB7" w14:textId="77777777" w:rsidR="00002650" w:rsidRDefault="00002650" w:rsidP="00002650">
      <w:pPr>
        <w:pStyle w:val="Heading2"/>
      </w:pPr>
      <w:r>
        <w:rPr>
          <w:rFonts w:ascii="Arial" w:eastAsia="Times New Roman" w:hAnsi="Arial"/>
          <w:color w:val="000000"/>
          <w:sz w:val="23"/>
        </w:rPr>
        <w:t>Canonical Formation Sequence</w:t>
      </w:r>
    </w:p>
    <w:p w14:paraId="2729FA76" w14:textId="77777777" w:rsidR="00002650" w:rsidRDefault="00002650" w:rsidP="00002650">
      <w:pPr>
        <w:keepLines/>
        <w:spacing w:after="94"/>
      </w:pPr>
      <w:r>
        <w:rPr>
          <w:rFonts w:ascii="Times New Roman" w:eastAsia="Times New Roman" w:hAnsi="Times New Roman"/>
          <w:color w:val="000000"/>
          <w:sz w:val="20"/>
        </w:rPr>
        <w:t>The formation sequence is:</w:t>
      </w:r>
    </w:p>
    <w:p w14:paraId="107A5670" w14:textId="77777777" w:rsidR="00002650" w:rsidRDefault="00002650" w:rsidP="00002650">
      <w:pPr>
        <w:spacing w:before="120"/>
        <w:ind w:left="720" w:right="720"/>
        <w:jc w:val="center"/>
      </w:pPr>
      <w:r>
        <w:rPr>
          <w:rFonts w:ascii="Times New Roman" w:eastAsia="Times New Roman" w:hAnsi="Times New Roman"/>
          <w:b/>
          <w:i/>
          <w:color w:val="17324D"/>
          <w:sz w:val="20"/>
        </w:rPr>
        <w:t>Source package → qualification → canonical event ledger → ordering and role relations → runtime spine and frames → measurement bindings → behavioral structures → investigation and preservation mappings</w:t>
      </w:r>
    </w:p>
    <w:p w14:paraId="4052CACC" w14:textId="77777777" w:rsidR="00002650" w:rsidRDefault="00002650" w:rsidP="00002650">
      <w:pPr>
        <w:spacing w:after="94"/>
      </w:pPr>
      <w:r>
        <w:rPr>
          <w:rFonts w:ascii="Times New Roman" w:eastAsia="Times New Roman" w:hAnsi="Times New Roman"/>
          <w:color w:val="000000"/>
          <w:sz w:val="20"/>
        </w:rPr>
        <w:t>The sequence is logical rather than necessarily batch-oriented. A live system may append events and maintain a provisional runtime. Every issued state must nevertheless identify its exact source horizon, governing versions, and provisional or certified status.</w:t>
      </w:r>
    </w:p>
    <w:p w14:paraId="433AD238" w14:textId="77777777" w:rsidR="00002650" w:rsidRPr="00002650" w:rsidRDefault="00002650" w:rsidP="00002650">
      <w:pPr>
        <w:pStyle w:val="Heading1"/>
        <w:rPr>
          <w:b/>
          <w:bCs/>
          <w:color w:val="4F46E5"/>
        </w:rPr>
      </w:pPr>
      <w:r w:rsidRPr="00002650">
        <w:rPr>
          <w:rFonts w:ascii="Arial" w:eastAsia="Times New Roman" w:hAnsi="Arial"/>
          <w:b/>
          <w:bCs/>
          <w:color w:val="4F46E5"/>
          <w:sz w:val="29"/>
        </w:rPr>
        <w:t>Temporal Architecture</w:t>
      </w:r>
    </w:p>
    <w:p w14:paraId="429F8D94" w14:textId="77777777" w:rsidR="00002650" w:rsidRDefault="00002650" w:rsidP="00002650">
      <w:pPr>
        <w:pStyle w:val="Heading2"/>
      </w:pPr>
      <w:r>
        <w:rPr>
          <w:rFonts w:ascii="Arial" w:eastAsia="Times New Roman" w:hAnsi="Arial"/>
          <w:color w:val="000000"/>
          <w:sz w:val="23"/>
        </w:rPr>
        <w:t>Plural Coordinates</w:t>
      </w:r>
    </w:p>
    <w:p w14:paraId="7E073B6E" w14:textId="77777777" w:rsidR="00002650" w:rsidRDefault="00002650" w:rsidP="00002650">
      <w:pPr>
        <w:keepLines/>
        <w:spacing w:after="94"/>
      </w:pPr>
      <w:r>
        <w:rPr>
          <w:rFonts w:ascii="Times New Roman" w:eastAsia="Times New Roman" w:hAnsi="Times New Roman"/>
          <w:color w:val="000000"/>
          <w:sz w:val="20"/>
        </w:rPr>
        <w:t>Longitudinal behavior cannot be represented by one universal clock. Computational records may contain source timestamps, ingestion timestamps, turn indices, sequence numbers, dependency relations, workflow stages, symbolic-time coordinates, marker times, and outcome anchors. Each supports different statements.</w:t>
      </w:r>
    </w:p>
    <w:p w14:paraId="767FF4E7" w14:textId="77777777" w:rsidR="00002650" w:rsidRDefault="00002650" w:rsidP="00002650">
      <w:pPr>
        <w:keepNext/>
        <w:spacing w:after="94"/>
      </w:pPr>
      <w:r>
        <w:rPr>
          <w:rFonts w:ascii="Times New Roman" w:eastAsia="Times New Roman" w:hAnsi="Times New Roman"/>
          <w:color w:val="000000"/>
          <w:sz w:val="20"/>
        </w:rPr>
        <w:t>The family of ordering relations is:</w:t>
      </w:r>
    </w:p>
    <w:p w14:paraId="25E32B32" w14:textId="77777777" w:rsidR="00002650" w:rsidRDefault="00002650" w:rsidP="00002650">
      <w:pPr>
        <w:spacing w:before="60" w:after="100"/>
        <w:jc w:val="center"/>
      </w:pPr>
      <w:r>
        <w:rPr>
          <w:noProof/>
        </w:rPr>
        <w:drawing>
          <wp:inline distT="0" distB="0" distL="0" distR="0" wp14:anchorId="214F9D65" wp14:editId="0655F3ED">
            <wp:extent cx="3435096" cy="240791"/>
            <wp:effectExtent l="0" t="0" r="0" b="0"/>
            <wp:docPr id="3" name="Picture 3" descr="\mathcal{O} = \{\prec_s,\,\prec_c,\,\prec_e,\,\prec_d,\,\prec_w,\,\prec_\sigma\}" title="Displayed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3.png"/>
                    <pic:cNvPicPr/>
                  </pic:nvPicPr>
                  <pic:blipFill>
                    <a:blip r:embed="rId13"/>
                    <a:stretch>
                      <a:fillRect/>
                    </a:stretch>
                  </pic:blipFill>
                  <pic:spPr>
                    <a:xfrm>
                      <a:off x="0" y="0"/>
                      <a:ext cx="3435096" cy="240791"/>
                    </a:xfrm>
                    <a:prstGeom prst="rect">
                      <a:avLst/>
                    </a:prstGeom>
                  </pic:spPr>
                </pic:pic>
              </a:graphicData>
            </a:graphic>
          </wp:inline>
        </w:drawing>
      </w:r>
    </w:p>
    <w:p w14:paraId="16FCD896" w14:textId="77777777" w:rsidR="00002650" w:rsidRDefault="00002650" w:rsidP="00002650">
      <w:pPr>
        <w:spacing w:after="94"/>
      </w:pPr>
      <w:r>
        <w:rPr>
          <w:rFonts w:ascii="Times New Roman" w:eastAsia="Times New Roman" w:hAnsi="Times New Roman"/>
          <w:color w:val="000000"/>
          <w:sz w:val="20"/>
        </w:rPr>
        <w:t>where the relations may denote source order, canonical order, event order, dependency order, wall-clock order, and symbolic order. A conforming implementation may use different names or additional coordinates, but it must identify which relation supports each temporal claim.</w:t>
      </w:r>
    </w:p>
    <w:p w14:paraId="7D0DA78A" w14:textId="77777777" w:rsidR="00002650" w:rsidRDefault="00002650" w:rsidP="00002650">
      <w:pPr>
        <w:keepNext/>
        <w:spacing w:before="140" w:after="80"/>
      </w:pPr>
      <w:r>
        <w:rPr>
          <w:rFonts w:ascii="Times New Roman" w:eastAsia="Times New Roman" w:hAnsi="Times New Roman"/>
          <w:i/>
          <w:color w:val="66717C"/>
          <w:sz w:val="18"/>
        </w:rPr>
        <w:t>Table 3. Temporal coordinates and their evidentiary limits.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87"/>
        <w:gridCol w:w="3715"/>
        <w:gridCol w:w="4017"/>
      </w:tblGrid>
      <w:tr w:rsidR="00002650" w14:paraId="2AB7AACF" w14:textId="77777777">
        <w:trPr>
          <w:cantSplit/>
          <w:tblHeader/>
          <w:jc w:val="center"/>
        </w:trPr>
        <w:tc>
          <w:tcPr>
            <w:tcW w:w="1987" w:type="dxa"/>
            <w:shd w:val="clear" w:color="auto" w:fill="17324D"/>
            <w:tcMar>
              <w:top w:w="70" w:type="dxa"/>
              <w:left w:w="100" w:type="dxa"/>
              <w:bottom w:w="70" w:type="dxa"/>
              <w:right w:w="100" w:type="dxa"/>
            </w:tcMar>
            <w:vAlign w:val="center"/>
          </w:tcPr>
          <w:p w14:paraId="0FE14A0E" w14:textId="77777777" w:rsidR="00002650" w:rsidRDefault="00002650" w:rsidP="00F96983">
            <w:pPr>
              <w:spacing w:after="0" w:line="240" w:lineRule="auto"/>
            </w:pPr>
            <w:r>
              <w:rPr>
                <w:rFonts w:ascii="Arial" w:eastAsia="Times New Roman" w:hAnsi="Arial"/>
                <w:b/>
                <w:color w:val="FFFFFF"/>
                <w:sz w:val="17"/>
              </w:rPr>
              <w:t>Coordinate or relation</w:t>
            </w:r>
          </w:p>
        </w:tc>
        <w:tc>
          <w:tcPr>
            <w:tcW w:w="3715" w:type="dxa"/>
            <w:shd w:val="clear" w:color="auto" w:fill="17324D"/>
            <w:tcMar>
              <w:top w:w="70" w:type="dxa"/>
              <w:left w:w="100" w:type="dxa"/>
              <w:bottom w:w="70" w:type="dxa"/>
              <w:right w:w="100" w:type="dxa"/>
            </w:tcMar>
            <w:vAlign w:val="center"/>
          </w:tcPr>
          <w:p w14:paraId="50E2A45F" w14:textId="77777777" w:rsidR="00002650" w:rsidRDefault="00002650" w:rsidP="00F96983">
            <w:pPr>
              <w:spacing w:after="0" w:line="240" w:lineRule="auto"/>
            </w:pPr>
            <w:r>
              <w:rPr>
                <w:rFonts w:ascii="Arial" w:eastAsia="Times New Roman" w:hAnsi="Arial"/>
                <w:b/>
                <w:color w:val="FFFFFF"/>
                <w:sz w:val="17"/>
              </w:rPr>
              <w:t>Principal use</w:t>
            </w:r>
          </w:p>
        </w:tc>
        <w:tc>
          <w:tcPr>
            <w:tcW w:w="4017" w:type="dxa"/>
            <w:shd w:val="clear" w:color="auto" w:fill="17324D"/>
            <w:tcMar>
              <w:top w:w="70" w:type="dxa"/>
              <w:left w:w="100" w:type="dxa"/>
              <w:bottom w:w="70" w:type="dxa"/>
              <w:right w:w="100" w:type="dxa"/>
            </w:tcMar>
            <w:vAlign w:val="center"/>
          </w:tcPr>
          <w:p w14:paraId="21C8AD93" w14:textId="77777777" w:rsidR="00002650" w:rsidRDefault="00002650" w:rsidP="00F96983">
            <w:pPr>
              <w:spacing w:after="0" w:line="240" w:lineRule="auto"/>
            </w:pPr>
            <w:r>
              <w:rPr>
                <w:rFonts w:ascii="Arial" w:eastAsia="Times New Roman" w:hAnsi="Arial"/>
                <w:b/>
                <w:color w:val="FFFFFF"/>
                <w:sz w:val="17"/>
              </w:rPr>
              <w:t>Required caution</w:t>
            </w:r>
          </w:p>
        </w:tc>
      </w:tr>
      <w:tr w:rsidR="00002650" w14:paraId="4D94FF74" w14:textId="77777777">
        <w:trPr>
          <w:cantSplit/>
          <w:jc w:val="center"/>
        </w:trPr>
        <w:tc>
          <w:tcPr>
            <w:tcW w:w="1987" w:type="dxa"/>
            <w:shd w:val="clear" w:color="auto" w:fill="FFFFFF"/>
            <w:tcMar>
              <w:top w:w="70" w:type="dxa"/>
              <w:left w:w="100" w:type="dxa"/>
              <w:bottom w:w="70" w:type="dxa"/>
              <w:right w:w="100" w:type="dxa"/>
            </w:tcMar>
            <w:vAlign w:val="center"/>
          </w:tcPr>
          <w:p w14:paraId="632088D6" w14:textId="77777777" w:rsidR="00002650" w:rsidRDefault="00002650" w:rsidP="00F96983">
            <w:pPr>
              <w:spacing w:after="0" w:line="240" w:lineRule="auto"/>
            </w:pPr>
            <w:r>
              <w:rPr>
                <w:rFonts w:ascii="Times New Roman" w:eastAsia="Times New Roman" w:hAnsi="Times New Roman"/>
                <w:color w:val="000000"/>
                <w:sz w:val="17"/>
              </w:rPr>
              <w:t>Source order</w:t>
            </w:r>
          </w:p>
        </w:tc>
        <w:tc>
          <w:tcPr>
            <w:tcW w:w="3715" w:type="dxa"/>
            <w:shd w:val="clear" w:color="auto" w:fill="FFFFFF"/>
            <w:tcMar>
              <w:top w:w="70" w:type="dxa"/>
              <w:left w:w="100" w:type="dxa"/>
              <w:bottom w:w="70" w:type="dxa"/>
              <w:right w:w="100" w:type="dxa"/>
            </w:tcMar>
            <w:vAlign w:val="center"/>
          </w:tcPr>
          <w:p w14:paraId="722E5813" w14:textId="77777777" w:rsidR="00002650" w:rsidRDefault="00002650" w:rsidP="00F96983">
            <w:pPr>
              <w:spacing w:after="0" w:line="240" w:lineRule="auto"/>
            </w:pPr>
            <w:r>
              <w:rPr>
                <w:rFonts w:ascii="Times New Roman" w:eastAsia="Times New Roman" w:hAnsi="Times New Roman"/>
                <w:color w:val="000000"/>
                <w:sz w:val="17"/>
              </w:rPr>
              <w:t>Retains the sequence encoded by the supplied record</w:t>
            </w:r>
          </w:p>
        </w:tc>
        <w:tc>
          <w:tcPr>
            <w:tcW w:w="4017" w:type="dxa"/>
            <w:shd w:val="clear" w:color="auto" w:fill="FFFFFF"/>
            <w:tcMar>
              <w:top w:w="70" w:type="dxa"/>
              <w:left w:w="100" w:type="dxa"/>
              <w:bottom w:w="70" w:type="dxa"/>
              <w:right w:w="100" w:type="dxa"/>
            </w:tcMar>
            <w:vAlign w:val="center"/>
          </w:tcPr>
          <w:p w14:paraId="76F5C50A" w14:textId="77777777" w:rsidR="00002650" w:rsidRDefault="00002650" w:rsidP="00F96983">
            <w:pPr>
              <w:spacing w:after="0" w:line="240" w:lineRule="auto"/>
            </w:pPr>
            <w:r>
              <w:rPr>
                <w:rFonts w:ascii="Times New Roman" w:eastAsia="Times New Roman" w:hAnsi="Times New Roman"/>
                <w:color w:val="000000"/>
                <w:sz w:val="17"/>
              </w:rPr>
              <w:t>May reflect batching, editing, or source-local conventions</w:t>
            </w:r>
          </w:p>
        </w:tc>
      </w:tr>
      <w:tr w:rsidR="00002650" w14:paraId="08164A02" w14:textId="77777777">
        <w:trPr>
          <w:cantSplit/>
          <w:jc w:val="center"/>
        </w:trPr>
        <w:tc>
          <w:tcPr>
            <w:tcW w:w="1987" w:type="dxa"/>
            <w:shd w:val="clear" w:color="auto" w:fill="F6F9FB"/>
            <w:tcMar>
              <w:top w:w="70" w:type="dxa"/>
              <w:left w:w="100" w:type="dxa"/>
              <w:bottom w:w="70" w:type="dxa"/>
              <w:right w:w="100" w:type="dxa"/>
            </w:tcMar>
            <w:vAlign w:val="center"/>
          </w:tcPr>
          <w:p w14:paraId="6818D17E" w14:textId="77777777" w:rsidR="00002650" w:rsidRDefault="00002650" w:rsidP="00F96983">
            <w:pPr>
              <w:spacing w:after="0" w:line="240" w:lineRule="auto"/>
            </w:pPr>
            <w:r>
              <w:rPr>
                <w:rFonts w:ascii="Times New Roman" w:eastAsia="Times New Roman" w:hAnsi="Times New Roman"/>
                <w:color w:val="000000"/>
                <w:sz w:val="17"/>
              </w:rPr>
              <w:t>Canonical order</w:t>
            </w:r>
          </w:p>
        </w:tc>
        <w:tc>
          <w:tcPr>
            <w:tcW w:w="3715" w:type="dxa"/>
            <w:shd w:val="clear" w:color="auto" w:fill="F6F9FB"/>
            <w:tcMar>
              <w:top w:w="70" w:type="dxa"/>
              <w:left w:w="100" w:type="dxa"/>
              <w:bottom w:w="70" w:type="dxa"/>
              <w:right w:w="100" w:type="dxa"/>
            </w:tcMar>
            <w:vAlign w:val="center"/>
          </w:tcPr>
          <w:p w14:paraId="1B29AC23" w14:textId="77777777" w:rsidR="00002650" w:rsidRDefault="00002650" w:rsidP="00F96983">
            <w:pPr>
              <w:spacing w:after="0" w:line="240" w:lineRule="auto"/>
            </w:pPr>
            <w:r>
              <w:rPr>
                <w:rFonts w:ascii="Times New Roman" w:eastAsia="Times New Roman" w:hAnsi="Times New Roman"/>
                <w:color w:val="000000"/>
                <w:sz w:val="17"/>
              </w:rPr>
              <w:t>Provides a deterministic representation for replay</w:t>
            </w:r>
          </w:p>
        </w:tc>
        <w:tc>
          <w:tcPr>
            <w:tcW w:w="4017" w:type="dxa"/>
            <w:shd w:val="clear" w:color="auto" w:fill="F6F9FB"/>
            <w:tcMar>
              <w:top w:w="70" w:type="dxa"/>
              <w:left w:w="100" w:type="dxa"/>
              <w:bottom w:w="70" w:type="dxa"/>
              <w:right w:w="100" w:type="dxa"/>
            </w:tcMar>
            <w:vAlign w:val="center"/>
          </w:tcPr>
          <w:p w14:paraId="28BD7AA1" w14:textId="77777777" w:rsidR="00002650" w:rsidRDefault="00002650" w:rsidP="00F96983">
            <w:pPr>
              <w:spacing w:after="0" w:line="240" w:lineRule="auto"/>
            </w:pPr>
            <w:r>
              <w:rPr>
                <w:rFonts w:ascii="Times New Roman" w:eastAsia="Times New Roman" w:hAnsi="Times New Roman"/>
                <w:color w:val="000000"/>
                <w:sz w:val="17"/>
              </w:rPr>
              <w:t>Is a construction and does not automatically establish cause</w:t>
            </w:r>
          </w:p>
        </w:tc>
      </w:tr>
      <w:tr w:rsidR="00002650" w14:paraId="7A4456D5" w14:textId="77777777">
        <w:trPr>
          <w:cantSplit/>
          <w:jc w:val="center"/>
        </w:trPr>
        <w:tc>
          <w:tcPr>
            <w:tcW w:w="1987" w:type="dxa"/>
            <w:shd w:val="clear" w:color="auto" w:fill="FFFFFF"/>
            <w:tcMar>
              <w:top w:w="70" w:type="dxa"/>
              <w:left w:w="100" w:type="dxa"/>
              <w:bottom w:w="70" w:type="dxa"/>
              <w:right w:w="100" w:type="dxa"/>
            </w:tcMar>
            <w:vAlign w:val="center"/>
          </w:tcPr>
          <w:p w14:paraId="5A21E832" w14:textId="77777777" w:rsidR="00002650" w:rsidRDefault="00002650" w:rsidP="00F96983">
            <w:pPr>
              <w:spacing w:after="0" w:line="240" w:lineRule="auto"/>
            </w:pPr>
            <w:r>
              <w:rPr>
                <w:rFonts w:ascii="Times New Roman" w:eastAsia="Times New Roman" w:hAnsi="Times New Roman"/>
                <w:color w:val="000000"/>
                <w:sz w:val="17"/>
              </w:rPr>
              <w:t>Event order</w:t>
            </w:r>
          </w:p>
        </w:tc>
        <w:tc>
          <w:tcPr>
            <w:tcW w:w="3715" w:type="dxa"/>
            <w:shd w:val="clear" w:color="auto" w:fill="FFFFFF"/>
            <w:tcMar>
              <w:top w:w="70" w:type="dxa"/>
              <w:left w:w="100" w:type="dxa"/>
              <w:bottom w:w="70" w:type="dxa"/>
              <w:right w:w="100" w:type="dxa"/>
            </w:tcMar>
            <w:vAlign w:val="center"/>
          </w:tcPr>
          <w:p w14:paraId="61D5AC37" w14:textId="77777777" w:rsidR="00002650" w:rsidRDefault="00002650" w:rsidP="00F96983">
            <w:pPr>
              <w:spacing w:after="0" w:line="240" w:lineRule="auto"/>
            </w:pPr>
            <w:r>
              <w:rPr>
                <w:rFonts w:ascii="Times New Roman" w:eastAsia="Times New Roman" w:hAnsi="Times New Roman"/>
                <w:color w:val="000000"/>
                <w:sz w:val="17"/>
              </w:rPr>
              <w:t>Tracks event progression within a declared event system</w:t>
            </w:r>
          </w:p>
        </w:tc>
        <w:tc>
          <w:tcPr>
            <w:tcW w:w="4017" w:type="dxa"/>
            <w:shd w:val="clear" w:color="auto" w:fill="FFFFFF"/>
            <w:tcMar>
              <w:top w:w="70" w:type="dxa"/>
              <w:left w:w="100" w:type="dxa"/>
              <w:bottom w:w="70" w:type="dxa"/>
              <w:right w:w="100" w:type="dxa"/>
            </w:tcMar>
            <w:vAlign w:val="center"/>
          </w:tcPr>
          <w:p w14:paraId="5D3CA2F4" w14:textId="77777777" w:rsidR="00002650" w:rsidRDefault="00002650" w:rsidP="00F96983">
            <w:pPr>
              <w:spacing w:after="0" w:line="240" w:lineRule="auto"/>
            </w:pPr>
            <w:r>
              <w:rPr>
                <w:rFonts w:ascii="Times New Roman" w:eastAsia="Times New Roman" w:hAnsi="Times New Roman"/>
                <w:color w:val="000000"/>
                <w:sz w:val="17"/>
              </w:rPr>
              <w:t>Requires stable event identity and handling of concurrency</w:t>
            </w:r>
          </w:p>
        </w:tc>
      </w:tr>
      <w:tr w:rsidR="00002650" w14:paraId="04B23B6A" w14:textId="77777777">
        <w:trPr>
          <w:cantSplit/>
          <w:jc w:val="center"/>
        </w:trPr>
        <w:tc>
          <w:tcPr>
            <w:tcW w:w="1987" w:type="dxa"/>
            <w:shd w:val="clear" w:color="auto" w:fill="F6F9FB"/>
            <w:tcMar>
              <w:top w:w="70" w:type="dxa"/>
              <w:left w:w="100" w:type="dxa"/>
              <w:bottom w:w="70" w:type="dxa"/>
              <w:right w:w="100" w:type="dxa"/>
            </w:tcMar>
            <w:vAlign w:val="center"/>
          </w:tcPr>
          <w:p w14:paraId="2AC434AC" w14:textId="77777777" w:rsidR="00002650" w:rsidRDefault="00002650" w:rsidP="00F96983">
            <w:pPr>
              <w:spacing w:after="0" w:line="240" w:lineRule="auto"/>
            </w:pPr>
            <w:r>
              <w:rPr>
                <w:rFonts w:ascii="Times New Roman" w:eastAsia="Times New Roman" w:hAnsi="Times New Roman"/>
                <w:color w:val="000000"/>
                <w:sz w:val="17"/>
              </w:rPr>
              <w:t>Dependency order</w:t>
            </w:r>
          </w:p>
        </w:tc>
        <w:tc>
          <w:tcPr>
            <w:tcW w:w="3715" w:type="dxa"/>
            <w:shd w:val="clear" w:color="auto" w:fill="F6F9FB"/>
            <w:tcMar>
              <w:top w:w="70" w:type="dxa"/>
              <w:left w:w="100" w:type="dxa"/>
              <w:bottom w:w="70" w:type="dxa"/>
              <w:right w:w="100" w:type="dxa"/>
            </w:tcMar>
            <w:vAlign w:val="center"/>
          </w:tcPr>
          <w:p w14:paraId="442577BC" w14:textId="77777777" w:rsidR="00002650" w:rsidRDefault="00002650" w:rsidP="00F96983">
            <w:pPr>
              <w:spacing w:after="0" w:line="240" w:lineRule="auto"/>
            </w:pPr>
            <w:r>
              <w:rPr>
                <w:rFonts w:ascii="Times New Roman" w:eastAsia="Times New Roman" w:hAnsi="Times New Roman"/>
                <w:color w:val="000000"/>
                <w:sz w:val="17"/>
              </w:rPr>
              <w:t>Represents explicit or defensibly reconstructed precedence</w:t>
            </w:r>
          </w:p>
        </w:tc>
        <w:tc>
          <w:tcPr>
            <w:tcW w:w="4017" w:type="dxa"/>
            <w:shd w:val="clear" w:color="auto" w:fill="F6F9FB"/>
            <w:tcMar>
              <w:top w:w="70" w:type="dxa"/>
              <w:left w:w="100" w:type="dxa"/>
              <w:bottom w:w="70" w:type="dxa"/>
              <w:right w:w="100" w:type="dxa"/>
            </w:tcMar>
            <w:vAlign w:val="center"/>
          </w:tcPr>
          <w:p w14:paraId="6C6F4B8C" w14:textId="77777777" w:rsidR="00002650" w:rsidRDefault="00002650" w:rsidP="00F96983">
            <w:pPr>
              <w:spacing w:after="0" w:line="240" w:lineRule="auto"/>
            </w:pPr>
            <w:r>
              <w:rPr>
                <w:rFonts w:ascii="Times New Roman" w:eastAsia="Times New Roman" w:hAnsi="Times New Roman"/>
                <w:color w:val="000000"/>
                <w:sz w:val="17"/>
              </w:rPr>
              <w:t>May remain partial and requires supporting relations</w:t>
            </w:r>
          </w:p>
        </w:tc>
      </w:tr>
      <w:tr w:rsidR="00002650" w14:paraId="6FCD9AAD" w14:textId="77777777">
        <w:trPr>
          <w:cantSplit/>
          <w:jc w:val="center"/>
        </w:trPr>
        <w:tc>
          <w:tcPr>
            <w:tcW w:w="1987" w:type="dxa"/>
            <w:shd w:val="clear" w:color="auto" w:fill="FFFFFF"/>
            <w:tcMar>
              <w:top w:w="70" w:type="dxa"/>
              <w:left w:w="100" w:type="dxa"/>
              <w:bottom w:w="70" w:type="dxa"/>
              <w:right w:w="100" w:type="dxa"/>
            </w:tcMar>
            <w:vAlign w:val="center"/>
          </w:tcPr>
          <w:p w14:paraId="449E073B" w14:textId="77777777" w:rsidR="00002650" w:rsidRDefault="00002650" w:rsidP="00F96983">
            <w:pPr>
              <w:spacing w:after="0" w:line="240" w:lineRule="auto"/>
            </w:pPr>
            <w:r>
              <w:rPr>
                <w:rFonts w:ascii="Times New Roman" w:eastAsia="Times New Roman" w:hAnsi="Times New Roman"/>
                <w:color w:val="000000"/>
                <w:sz w:val="17"/>
              </w:rPr>
              <w:t>Wall-clock time</w:t>
            </w:r>
          </w:p>
        </w:tc>
        <w:tc>
          <w:tcPr>
            <w:tcW w:w="3715" w:type="dxa"/>
            <w:shd w:val="clear" w:color="auto" w:fill="FFFFFF"/>
            <w:tcMar>
              <w:top w:w="70" w:type="dxa"/>
              <w:left w:w="100" w:type="dxa"/>
              <w:bottom w:w="70" w:type="dxa"/>
              <w:right w:w="100" w:type="dxa"/>
            </w:tcMar>
            <w:vAlign w:val="center"/>
          </w:tcPr>
          <w:p w14:paraId="7D884556" w14:textId="77777777" w:rsidR="00002650" w:rsidRDefault="00002650" w:rsidP="00F96983">
            <w:pPr>
              <w:spacing w:after="0" w:line="240" w:lineRule="auto"/>
            </w:pPr>
            <w:r>
              <w:rPr>
                <w:rFonts w:ascii="Times New Roman" w:eastAsia="Times New Roman" w:hAnsi="Times New Roman"/>
                <w:color w:val="000000"/>
                <w:sz w:val="17"/>
              </w:rPr>
              <w:t>Supports elapsed-duration statements</w:t>
            </w:r>
          </w:p>
        </w:tc>
        <w:tc>
          <w:tcPr>
            <w:tcW w:w="4017" w:type="dxa"/>
            <w:shd w:val="clear" w:color="auto" w:fill="FFFFFF"/>
            <w:tcMar>
              <w:top w:w="70" w:type="dxa"/>
              <w:left w:w="100" w:type="dxa"/>
              <w:bottom w:w="70" w:type="dxa"/>
              <w:right w:w="100" w:type="dxa"/>
            </w:tcMar>
            <w:vAlign w:val="center"/>
          </w:tcPr>
          <w:p w14:paraId="6FD8EB73" w14:textId="77777777" w:rsidR="00002650" w:rsidRDefault="00002650" w:rsidP="00F96983">
            <w:pPr>
              <w:spacing w:after="0" w:line="240" w:lineRule="auto"/>
            </w:pPr>
            <w:r>
              <w:rPr>
                <w:rFonts w:ascii="Times New Roman" w:eastAsia="Times New Roman" w:hAnsi="Times New Roman"/>
                <w:color w:val="000000"/>
                <w:sz w:val="17"/>
              </w:rPr>
              <w:t xml:space="preserve">Requires precision, </w:t>
            </w:r>
            <w:proofErr w:type="spellStart"/>
            <w:r>
              <w:rPr>
                <w:rFonts w:ascii="Times New Roman" w:eastAsia="Times New Roman" w:hAnsi="Times New Roman"/>
                <w:color w:val="000000"/>
                <w:sz w:val="17"/>
              </w:rPr>
              <w:t>timezone</w:t>
            </w:r>
            <w:proofErr w:type="spellEnd"/>
            <w:r>
              <w:rPr>
                <w:rFonts w:ascii="Times New Roman" w:eastAsia="Times New Roman" w:hAnsi="Times New Roman"/>
                <w:color w:val="000000"/>
                <w:sz w:val="17"/>
              </w:rPr>
              <w:t>, skew, and capture-delay disclosure</w:t>
            </w:r>
          </w:p>
        </w:tc>
      </w:tr>
      <w:tr w:rsidR="00002650" w14:paraId="5C7A2F3B" w14:textId="77777777">
        <w:trPr>
          <w:cantSplit/>
          <w:jc w:val="center"/>
        </w:trPr>
        <w:tc>
          <w:tcPr>
            <w:tcW w:w="1987" w:type="dxa"/>
            <w:shd w:val="clear" w:color="auto" w:fill="F6F9FB"/>
            <w:tcMar>
              <w:top w:w="70" w:type="dxa"/>
              <w:left w:w="100" w:type="dxa"/>
              <w:bottom w:w="70" w:type="dxa"/>
              <w:right w:w="100" w:type="dxa"/>
            </w:tcMar>
            <w:vAlign w:val="center"/>
          </w:tcPr>
          <w:p w14:paraId="3DB3E173" w14:textId="77777777" w:rsidR="00002650" w:rsidRDefault="00002650" w:rsidP="00F96983">
            <w:pPr>
              <w:spacing w:after="0" w:line="240" w:lineRule="auto"/>
            </w:pPr>
            <w:r>
              <w:rPr>
                <w:rFonts w:ascii="Times New Roman" w:eastAsia="Times New Roman" w:hAnsi="Times New Roman"/>
                <w:color w:val="000000"/>
                <w:sz w:val="17"/>
              </w:rPr>
              <w:t>Symbolic time</w:t>
            </w:r>
          </w:p>
        </w:tc>
        <w:tc>
          <w:tcPr>
            <w:tcW w:w="3715" w:type="dxa"/>
            <w:shd w:val="clear" w:color="auto" w:fill="F6F9FB"/>
            <w:tcMar>
              <w:top w:w="70" w:type="dxa"/>
              <w:left w:w="100" w:type="dxa"/>
              <w:bottom w:w="70" w:type="dxa"/>
              <w:right w:w="100" w:type="dxa"/>
            </w:tcMar>
            <w:vAlign w:val="center"/>
          </w:tcPr>
          <w:p w14:paraId="38DCC355" w14:textId="77777777" w:rsidR="00002650" w:rsidRDefault="00002650" w:rsidP="00F96983">
            <w:pPr>
              <w:spacing w:after="0" w:line="240" w:lineRule="auto"/>
            </w:pPr>
            <w:r>
              <w:rPr>
                <w:rFonts w:ascii="Times New Roman" w:eastAsia="Times New Roman" w:hAnsi="Times New Roman"/>
                <w:color w:val="000000"/>
                <w:sz w:val="17"/>
              </w:rPr>
              <w:t>Supports event-relative or behavioral progression</w:t>
            </w:r>
          </w:p>
        </w:tc>
        <w:tc>
          <w:tcPr>
            <w:tcW w:w="4017" w:type="dxa"/>
            <w:shd w:val="clear" w:color="auto" w:fill="F6F9FB"/>
            <w:tcMar>
              <w:top w:w="70" w:type="dxa"/>
              <w:left w:w="100" w:type="dxa"/>
              <w:bottom w:w="70" w:type="dxa"/>
              <w:right w:w="100" w:type="dxa"/>
            </w:tcMar>
            <w:vAlign w:val="center"/>
          </w:tcPr>
          <w:p w14:paraId="083E6375" w14:textId="77777777" w:rsidR="00002650" w:rsidRDefault="00002650" w:rsidP="00F96983">
            <w:pPr>
              <w:spacing w:after="0" w:line="240" w:lineRule="auto"/>
            </w:pPr>
            <w:r>
              <w:rPr>
                <w:rFonts w:ascii="Times New Roman" w:eastAsia="Times New Roman" w:hAnsi="Times New Roman"/>
                <w:color w:val="000000"/>
                <w:sz w:val="17"/>
              </w:rPr>
              <w:t>Depends on its construction and is not subjective time</w:t>
            </w:r>
          </w:p>
        </w:tc>
      </w:tr>
      <w:tr w:rsidR="00002650" w14:paraId="6410DA2A" w14:textId="77777777">
        <w:trPr>
          <w:cantSplit/>
          <w:jc w:val="center"/>
        </w:trPr>
        <w:tc>
          <w:tcPr>
            <w:tcW w:w="1987" w:type="dxa"/>
            <w:shd w:val="clear" w:color="auto" w:fill="FFFFFF"/>
            <w:tcMar>
              <w:top w:w="70" w:type="dxa"/>
              <w:left w:w="100" w:type="dxa"/>
              <w:bottom w:w="70" w:type="dxa"/>
              <w:right w:w="100" w:type="dxa"/>
            </w:tcMar>
            <w:vAlign w:val="center"/>
          </w:tcPr>
          <w:p w14:paraId="5672DF52" w14:textId="77777777" w:rsidR="00002650" w:rsidRDefault="00002650" w:rsidP="00F96983">
            <w:pPr>
              <w:spacing w:after="0" w:line="240" w:lineRule="auto"/>
            </w:pPr>
            <w:r>
              <w:rPr>
                <w:rFonts w:ascii="Times New Roman" w:eastAsia="Times New Roman" w:hAnsi="Times New Roman"/>
                <w:color w:val="000000"/>
                <w:sz w:val="17"/>
              </w:rPr>
              <w:t>Marker time</w:t>
            </w:r>
          </w:p>
        </w:tc>
        <w:tc>
          <w:tcPr>
            <w:tcW w:w="3715" w:type="dxa"/>
            <w:shd w:val="clear" w:color="auto" w:fill="FFFFFF"/>
            <w:tcMar>
              <w:top w:w="70" w:type="dxa"/>
              <w:left w:w="100" w:type="dxa"/>
              <w:bottom w:w="70" w:type="dxa"/>
              <w:right w:w="100" w:type="dxa"/>
            </w:tcMar>
            <w:vAlign w:val="center"/>
          </w:tcPr>
          <w:p w14:paraId="0FEE346B" w14:textId="77777777" w:rsidR="00002650" w:rsidRDefault="00002650" w:rsidP="00F96983">
            <w:pPr>
              <w:spacing w:after="0" w:line="240" w:lineRule="auto"/>
            </w:pPr>
            <w:r>
              <w:rPr>
                <w:rFonts w:ascii="Times New Roman" w:eastAsia="Times New Roman" w:hAnsi="Times New Roman"/>
                <w:color w:val="000000"/>
                <w:sz w:val="17"/>
              </w:rPr>
              <w:t>Locates candidate, confirmation, failure, recovery, or re-entry states</w:t>
            </w:r>
          </w:p>
        </w:tc>
        <w:tc>
          <w:tcPr>
            <w:tcW w:w="4017" w:type="dxa"/>
            <w:shd w:val="clear" w:color="auto" w:fill="FFFFFF"/>
            <w:tcMar>
              <w:top w:w="70" w:type="dxa"/>
              <w:left w:w="100" w:type="dxa"/>
              <w:bottom w:w="70" w:type="dxa"/>
              <w:right w:w="100" w:type="dxa"/>
            </w:tcMar>
            <w:vAlign w:val="center"/>
          </w:tcPr>
          <w:p w14:paraId="405DA85D" w14:textId="77777777" w:rsidR="00002650" w:rsidRDefault="00002650" w:rsidP="00F96983">
            <w:pPr>
              <w:spacing w:after="0" w:line="240" w:lineRule="auto"/>
            </w:pPr>
            <w:r>
              <w:rPr>
                <w:rFonts w:ascii="Times New Roman" w:eastAsia="Times New Roman" w:hAnsi="Times New Roman"/>
                <w:color w:val="000000"/>
                <w:sz w:val="17"/>
              </w:rPr>
              <w:t>Must preserve marker type, method, persistence, and horizon</w:t>
            </w:r>
          </w:p>
        </w:tc>
      </w:tr>
    </w:tbl>
    <w:p w14:paraId="758E6A0D" w14:textId="77777777" w:rsidR="00002650" w:rsidRDefault="00002650" w:rsidP="00002650">
      <w:pPr>
        <w:spacing w:after="20"/>
      </w:pPr>
    </w:p>
    <w:p w14:paraId="73876B08" w14:textId="77777777" w:rsidR="00002650" w:rsidRDefault="00002650" w:rsidP="00002650">
      <w:pPr>
        <w:pStyle w:val="Heading2"/>
      </w:pPr>
      <w:r>
        <w:rPr>
          <w:rFonts w:ascii="Arial" w:eastAsia="Times New Roman" w:hAnsi="Arial"/>
          <w:color w:val="000000"/>
          <w:sz w:val="23"/>
        </w:rPr>
        <w:t>Partial Order and Display Order</w:t>
      </w:r>
    </w:p>
    <w:p w14:paraId="2D220AEB" w14:textId="77777777" w:rsidR="00002650" w:rsidRDefault="00002650" w:rsidP="00002650">
      <w:pPr>
        <w:keepLines/>
        <w:spacing w:after="94"/>
      </w:pPr>
      <w:r>
        <w:rPr>
          <w:rFonts w:ascii="Times New Roman" w:eastAsia="Times New Roman" w:hAnsi="Times New Roman"/>
          <w:color w:val="000000"/>
          <w:sz w:val="20"/>
        </w:rPr>
        <w:t>Distributed and multi-role systems may support only a partial order. If two events have no defensible precedence relation, the representation must not invent causal order merely to create a smooth line. An interface may apply a deterministic total display order for navigation, but that order must remain distinguishable from source, dependency, and causal claims.</w:t>
      </w:r>
    </w:p>
    <w:p w14:paraId="0E099A56" w14:textId="77777777" w:rsidR="00002650" w:rsidRDefault="00002650" w:rsidP="00002650">
      <w:pPr>
        <w:spacing w:after="94"/>
      </w:pPr>
      <w:r>
        <w:rPr>
          <w:rFonts w:ascii="Times New Roman" w:eastAsia="Times New Roman" w:hAnsi="Times New Roman"/>
          <w:color w:val="000000"/>
          <w:sz w:val="20"/>
        </w:rPr>
        <w:t>Conflicting coordinates are evidence. A source timestamp may place one event before another while sequence identifiers imply the reverse. The architecture records the conflict, any resolution rule, and the affected claims. It does not erase the disagreement from the canonical record.</w:t>
      </w:r>
    </w:p>
    <w:p w14:paraId="21729B3A" w14:textId="77777777" w:rsidR="00002650" w:rsidRDefault="00002650" w:rsidP="00002650">
      <w:pPr>
        <w:pStyle w:val="Heading2"/>
      </w:pPr>
      <w:r>
        <w:rPr>
          <w:rFonts w:ascii="Arial" w:eastAsia="Times New Roman" w:hAnsi="Arial"/>
          <w:color w:val="000000"/>
          <w:sz w:val="23"/>
        </w:rPr>
        <w:t>Runtime Spine Playback Frames and Worldline</w:t>
      </w:r>
    </w:p>
    <w:p w14:paraId="44B9CC92" w14:textId="77777777" w:rsidR="00002650" w:rsidRDefault="00002650" w:rsidP="00002650">
      <w:pPr>
        <w:keepLines/>
        <w:spacing w:after="94"/>
      </w:pPr>
      <w:r>
        <w:rPr>
          <w:rFonts w:ascii="Times New Roman" w:eastAsia="Times New Roman" w:hAnsi="Times New Roman"/>
          <w:color w:val="000000"/>
          <w:sz w:val="20"/>
        </w:rPr>
        <w:t>The canonical runtime spine aligns event identity, supported coordinates, roles, source references, measurements, regimes, and markers along one navigable structure. It is the common runtime index from which frames and bounded projections resolve.</w:t>
      </w:r>
    </w:p>
    <w:p w14:paraId="26E9E857" w14:textId="77777777" w:rsidR="00002650" w:rsidRDefault="00002650" w:rsidP="00002650">
      <w:pPr>
        <w:keepNext/>
        <w:spacing w:after="94"/>
      </w:pPr>
      <w:r>
        <w:rPr>
          <w:rFonts w:ascii="Times New Roman" w:eastAsia="Times New Roman" w:hAnsi="Times New Roman"/>
          <w:color w:val="000000"/>
          <w:sz w:val="20"/>
        </w:rPr>
        <w:t>A playback frame can be represented as:</w:t>
      </w:r>
    </w:p>
    <w:p w14:paraId="76830946" w14:textId="77777777" w:rsidR="00002650" w:rsidRDefault="00002650" w:rsidP="00002650">
      <w:pPr>
        <w:spacing w:before="60" w:after="100"/>
        <w:jc w:val="center"/>
      </w:pPr>
      <w:r>
        <w:rPr>
          <w:noProof/>
        </w:rPr>
        <w:drawing>
          <wp:inline distT="0" distB="0" distL="0" distR="0" wp14:anchorId="2A7B8279" wp14:editId="5F491859">
            <wp:extent cx="2606040" cy="240791"/>
            <wp:effectExtent l="0" t="0" r="0" b="0"/>
            <wp:docPr id="4" name="Picture 4" descr="f_k = (\tau_k,\,E_k,\,R_k,\,X_k,\,K_k,\,B_k)" title="Displayed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4.png"/>
                    <pic:cNvPicPr/>
                  </pic:nvPicPr>
                  <pic:blipFill>
                    <a:blip r:embed="rId14"/>
                    <a:stretch>
                      <a:fillRect/>
                    </a:stretch>
                  </pic:blipFill>
                  <pic:spPr>
                    <a:xfrm>
                      <a:off x="0" y="0"/>
                      <a:ext cx="2606040" cy="240791"/>
                    </a:xfrm>
                    <a:prstGeom prst="rect">
                      <a:avLst/>
                    </a:prstGeom>
                  </pic:spPr>
                </pic:pic>
              </a:graphicData>
            </a:graphic>
          </wp:inline>
        </w:drawing>
      </w:r>
    </w:p>
    <w:p w14:paraId="1C07C110" w14:textId="77777777" w:rsidR="00002650" w:rsidRDefault="00002650" w:rsidP="00002650">
      <w:pPr>
        <w:spacing w:after="94"/>
      </w:pPr>
      <w:r>
        <w:rPr>
          <w:rFonts w:ascii="Times New Roman" w:eastAsia="Times New Roman" w:hAnsi="Times New Roman"/>
          <w:color w:val="000000"/>
          <w:sz w:val="20"/>
        </w:rPr>
        <w:t xml:space="preserve">where </w:t>
      </w:r>
      <w:proofErr w:type="spellStart"/>
      <w:r>
        <w:rPr>
          <w:rFonts w:ascii="Times New Roman" w:eastAsia="Times New Roman" w:hAnsi="Times New Roman"/>
          <w:b/>
          <w:color w:val="000000"/>
          <w:sz w:val="20"/>
        </w:rPr>
        <w:t>tau_k</w:t>
      </w:r>
      <w:proofErr w:type="spellEnd"/>
      <w:r>
        <w:rPr>
          <w:rFonts w:ascii="Times New Roman" w:eastAsia="Times New Roman" w:hAnsi="Times New Roman"/>
          <w:color w:val="000000"/>
          <w:sz w:val="20"/>
        </w:rPr>
        <w:t xml:space="preserve"> is the declared coordinate vector, </w:t>
      </w:r>
      <w:proofErr w:type="spellStart"/>
      <w:r>
        <w:rPr>
          <w:rFonts w:ascii="Times New Roman" w:eastAsia="Times New Roman" w:hAnsi="Times New Roman"/>
          <w:b/>
          <w:color w:val="000000"/>
          <w:sz w:val="20"/>
        </w:rPr>
        <w:t>E_k</w:t>
      </w:r>
      <w:proofErr w:type="spellEnd"/>
      <w:r>
        <w:rPr>
          <w:rFonts w:ascii="Times New Roman" w:eastAsia="Times New Roman" w:hAnsi="Times New Roman"/>
          <w:color w:val="000000"/>
          <w:sz w:val="20"/>
        </w:rPr>
        <w:t xml:space="preserve"> the active or referenced events, </w:t>
      </w:r>
      <w:proofErr w:type="spellStart"/>
      <w:r>
        <w:rPr>
          <w:rFonts w:ascii="Times New Roman" w:eastAsia="Times New Roman" w:hAnsi="Times New Roman"/>
          <w:b/>
          <w:color w:val="000000"/>
          <w:sz w:val="20"/>
        </w:rPr>
        <w:t>R_k</w:t>
      </w:r>
      <w:proofErr w:type="spellEnd"/>
      <w:r>
        <w:rPr>
          <w:rFonts w:ascii="Times New Roman" w:eastAsia="Times New Roman" w:hAnsi="Times New Roman"/>
          <w:color w:val="000000"/>
          <w:sz w:val="20"/>
        </w:rPr>
        <w:t xml:space="preserve"> the participating roles and interactions, </w:t>
      </w:r>
      <w:proofErr w:type="spellStart"/>
      <w:r>
        <w:rPr>
          <w:rFonts w:ascii="Times New Roman" w:eastAsia="Times New Roman" w:hAnsi="Times New Roman"/>
          <w:b/>
          <w:color w:val="000000"/>
          <w:sz w:val="20"/>
        </w:rPr>
        <w:t>X_k</w:t>
      </w:r>
      <w:proofErr w:type="spellEnd"/>
      <w:r>
        <w:rPr>
          <w:rFonts w:ascii="Times New Roman" w:eastAsia="Times New Roman" w:hAnsi="Times New Roman"/>
          <w:color w:val="000000"/>
          <w:sz w:val="20"/>
        </w:rPr>
        <w:t xml:space="preserve"> the available measurement state, </w:t>
      </w:r>
      <w:proofErr w:type="spellStart"/>
      <w:r>
        <w:rPr>
          <w:rFonts w:ascii="Times New Roman" w:eastAsia="Times New Roman" w:hAnsi="Times New Roman"/>
          <w:b/>
          <w:color w:val="000000"/>
          <w:sz w:val="20"/>
        </w:rPr>
        <w:t>K_k</w:t>
      </w:r>
      <w:proofErr w:type="spellEnd"/>
      <w:r>
        <w:rPr>
          <w:rFonts w:ascii="Times New Roman" w:eastAsia="Times New Roman" w:hAnsi="Times New Roman"/>
          <w:color w:val="000000"/>
          <w:sz w:val="20"/>
        </w:rPr>
        <w:t xml:space="preserve"> the marker and regime state, and </w:t>
      </w:r>
      <w:proofErr w:type="spellStart"/>
      <w:r>
        <w:rPr>
          <w:rFonts w:ascii="Times New Roman" w:eastAsia="Times New Roman" w:hAnsi="Times New Roman"/>
          <w:b/>
          <w:color w:val="000000"/>
          <w:sz w:val="20"/>
        </w:rPr>
        <w:t>B_k</w:t>
      </w:r>
      <w:proofErr w:type="spellEnd"/>
      <w:r>
        <w:rPr>
          <w:rFonts w:ascii="Times New Roman" w:eastAsia="Times New Roman" w:hAnsi="Times New Roman"/>
          <w:color w:val="000000"/>
          <w:sz w:val="20"/>
        </w:rPr>
        <w:t xml:space="preserve"> the source and evidence-basis references.</w:t>
      </w:r>
    </w:p>
    <w:p w14:paraId="70863563" w14:textId="77777777" w:rsidR="00002650" w:rsidRDefault="00002650" w:rsidP="00002650">
      <w:pPr>
        <w:spacing w:after="94"/>
      </w:pPr>
      <w:r>
        <w:rPr>
          <w:rFonts w:ascii="Times New Roman" w:eastAsia="Times New Roman" w:hAnsi="Times New Roman"/>
          <w:color w:val="000000"/>
          <w:sz w:val="20"/>
        </w:rPr>
        <w:t>Frames need not correspond one-to-one with source events. A frame may aggregate simultaneous events, represent an interval boundary, or expose a declared sampling position. The frame construction method must remain versioned and traceable.</w:t>
      </w:r>
    </w:p>
    <w:p w14:paraId="67BB081B" w14:textId="77777777" w:rsidR="00002650" w:rsidRDefault="00002650" w:rsidP="00002650">
      <w:pPr>
        <w:keepNext/>
        <w:spacing w:after="94"/>
      </w:pPr>
      <w:r>
        <w:rPr>
          <w:rFonts w:ascii="Times New Roman" w:eastAsia="Times New Roman" w:hAnsi="Times New Roman"/>
          <w:color w:val="000000"/>
          <w:sz w:val="20"/>
        </w:rPr>
        <w:t>The behavioral worldline is the ordered evidence-bound trajectory:</w:t>
      </w:r>
    </w:p>
    <w:p w14:paraId="0D32D871" w14:textId="77777777" w:rsidR="00002650" w:rsidRDefault="00002650" w:rsidP="00002650">
      <w:pPr>
        <w:spacing w:before="60" w:after="100"/>
        <w:jc w:val="center"/>
      </w:pPr>
      <w:r>
        <w:rPr>
          <w:noProof/>
        </w:rPr>
        <w:drawing>
          <wp:inline distT="0" distB="0" distL="0" distR="0" wp14:anchorId="1237F79C" wp14:editId="0822D705">
            <wp:extent cx="2258568" cy="268224"/>
            <wp:effectExtent l="0" t="0" r="0" b="0"/>
            <wp:docPr id="5" name="Picture 5" descr="W_C = \{(\tau_k,\,x_k,\,\mu_k)\}_{k=1}^{n}" title="Displayed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5.png"/>
                    <pic:cNvPicPr/>
                  </pic:nvPicPr>
                  <pic:blipFill>
                    <a:blip r:embed="rId15"/>
                    <a:stretch>
                      <a:fillRect/>
                    </a:stretch>
                  </pic:blipFill>
                  <pic:spPr>
                    <a:xfrm>
                      <a:off x="0" y="0"/>
                      <a:ext cx="2258568" cy="268224"/>
                    </a:xfrm>
                    <a:prstGeom prst="rect">
                      <a:avLst/>
                    </a:prstGeom>
                  </pic:spPr>
                </pic:pic>
              </a:graphicData>
            </a:graphic>
          </wp:inline>
        </w:drawing>
      </w:r>
    </w:p>
    <w:p w14:paraId="72A6185A" w14:textId="77777777" w:rsidR="00002650" w:rsidRDefault="00002650" w:rsidP="00002650">
      <w:pPr>
        <w:spacing w:after="94"/>
      </w:pPr>
      <w:r>
        <w:rPr>
          <w:rFonts w:ascii="Times New Roman" w:eastAsia="Times New Roman" w:hAnsi="Times New Roman"/>
          <w:color w:val="000000"/>
          <w:sz w:val="20"/>
        </w:rPr>
        <w:t xml:space="preserve">where </w:t>
      </w:r>
      <w:proofErr w:type="spellStart"/>
      <w:r>
        <w:rPr>
          <w:rFonts w:ascii="Times New Roman" w:eastAsia="Times New Roman" w:hAnsi="Times New Roman"/>
          <w:b/>
          <w:color w:val="000000"/>
          <w:sz w:val="20"/>
        </w:rPr>
        <w:t>x_k</w:t>
      </w:r>
      <w:proofErr w:type="spellEnd"/>
      <w:r>
        <w:rPr>
          <w:rFonts w:ascii="Times New Roman" w:eastAsia="Times New Roman" w:hAnsi="Times New Roman"/>
          <w:color w:val="000000"/>
          <w:sz w:val="20"/>
        </w:rPr>
        <w:t xml:space="preserve"> is the observable or computed feature state and </w:t>
      </w:r>
      <w:proofErr w:type="spellStart"/>
      <w:r>
        <w:rPr>
          <w:rFonts w:ascii="Times New Roman" w:eastAsia="Times New Roman" w:hAnsi="Times New Roman"/>
          <w:b/>
          <w:color w:val="000000"/>
          <w:sz w:val="20"/>
        </w:rPr>
        <w:t>mu_k</w:t>
      </w:r>
      <w:proofErr w:type="spellEnd"/>
      <w:r>
        <w:rPr>
          <w:rFonts w:ascii="Times New Roman" w:eastAsia="Times New Roman" w:hAnsi="Times New Roman"/>
          <w:color w:val="000000"/>
          <w:sz w:val="20"/>
        </w:rPr>
        <w:t xml:space="preserve"> carries source basis, method, legitimacy, availability, and uncertainty. The worldline is not a claim to recover the complete internal trajectory of a model or organization. It is the development supported by the qualified record and governing methods.</w:t>
      </w:r>
    </w:p>
    <w:p w14:paraId="69012277" w14:textId="77777777" w:rsidR="00002650" w:rsidRDefault="00002650" w:rsidP="00002650">
      <w:pPr>
        <w:pStyle w:val="Heading2"/>
      </w:pPr>
      <w:r>
        <w:rPr>
          <w:rFonts w:ascii="Arial" w:eastAsia="Times New Roman" w:hAnsi="Arial"/>
          <w:color w:val="000000"/>
          <w:sz w:val="23"/>
        </w:rPr>
        <w:t>Evidence Horizons and Temporal Leakage</w:t>
      </w:r>
    </w:p>
    <w:p w14:paraId="6B940D1D" w14:textId="77777777" w:rsidR="00002650" w:rsidRDefault="00002650" w:rsidP="00002650">
      <w:pPr>
        <w:keepLines/>
        <w:spacing w:after="94"/>
      </w:pPr>
      <w:r>
        <w:rPr>
          <w:rFonts w:ascii="Times New Roman" w:eastAsia="Times New Roman" w:hAnsi="Times New Roman"/>
          <w:color w:val="000000"/>
          <w:sz w:val="20"/>
        </w:rPr>
        <w:t xml:space="preserve">Every time-indexed measurement and marker requires an evidence horizon. A prospective value at position </w:t>
      </w:r>
      <w:r>
        <w:rPr>
          <w:rFonts w:ascii="Times New Roman" w:eastAsia="Times New Roman" w:hAnsi="Times New Roman"/>
          <w:b/>
          <w:color w:val="000000"/>
          <w:sz w:val="20"/>
        </w:rPr>
        <w:t>k</w:t>
      </w:r>
      <w:r>
        <w:rPr>
          <w:rFonts w:ascii="Times New Roman" w:eastAsia="Times New Roman" w:hAnsi="Times New Roman"/>
          <w:color w:val="000000"/>
          <w:sz w:val="20"/>
        </w:rPr>
        <w:t xml:space="preserve"> may consume only eligible evidence available at or before that position. A retrospective reconstruction may use later evidence to interpret an earlier interval, but the result must be labeled retrospective.</w:t>
      </w:r>
    </w:p>
    <w:p w14:paraId="29C8023B" w14:textId="77777777" w:rsidR="00002650" w:rsidRDefault="00002650" w:rsidP="00002650">
      <w:pPr>
        <w:spacing w:after="94"/>
      </w:pPr>
      <w:r>
        <w:rPr>
          <w:rFonts w:ascii="Times New Roman" w:eastAsia="Times New Roman" w:hAnsi="Times New Roman"/>
          <w:color w:val="000000"/>
          <w:sz w:val="20"/>
        </w:rPr>
        <w:t xml:space="preserve">Appending future events must not silently change a previously issued prospective value. If later material changes the account, the system must identify a retrospective revision, </w:t>
      </w:r>
      <w:proofErr w:type="spellStart"/>
      <w:r>
        <w:rPr>
          <w:rFonts w:ascii="Times New Roman" w:eastAsia="Times New Roman" w:hAnsi="Times New Roman"/>
          <w:color w:val="000000"/>
          <w:sz w:val="20"/>
        </w:rPr>
        <w:t>recomputation</w:t>
      </w:r>
      <w:proofErr w:type="spellEnd"/>
      <w:r>
        <w:rPr>
          <w:rFonts w:ascii="Times New Roman" w:eastAsia="Times New Roman" w:hAnsi="Times New Roman"/>
          <w:color w:val="000000"/>
          <w:sz w:val="20"/>
        </w:rPr>
        <w:t>, supersession, or method designed for restatement. This requirement is central to claims of warning, detection, or lead time.</w:t>
      </w:r>
    </w:p>
    <w:p w14:paraId="790A4C19" w14:textId="77777777" w:rsidR="00002650" w:rsidRDefault="00002650" w:rsidP="00002650">
      <w:pPr>
        <w:spacing w:after="94"/>
      </w:pPr>
      <w:r>
        <w:rPr>
          <w:rFonts w:ascii="Times New Roman" w:eastAsia="Times New Roman" w:hAnsi="Times New Roman"/>
          <w:color w:val="000000"/>
          <w:sz w:val="20"/>
        </w:rPr>
        <w:t>Formal lead time requires both a qualifying boundary marker and an independently qualified observable failure marker in a compatible temporal coordinate. Without the failure anchor, the representation may preserve an open warning window or post-exit observation interval. It cannot manufacture formal lead time from the end of the record.</w:t>
      </w:r>
    </w:p>
    <w:p w14:paraId="1B1663E7" w14:textId="77777777" w:rsidR="00002650" w:rsidRPr="00002650" w:rsidRDefault="00002650" w:rsidP="00002650">
      <w:pPr>
        <w:pStyle w:val="Heading1"/>
        <w:rPr>
          <w:b/>
          <w:bCs/>
          <w:color w:val="4F46E5"/>
        </w:rPr>
      </w:pPr>
      <w:r w:rsidRPr="00002650">
        <w:rPr>
          <w:rFonts w:ascii="Arial" w:eastAsia="Times New Roman" w:hAnsi="Arial"/>
          <w:b/>
          <w:bCs/>
          <w:color w:val="4F46E5"/>
          <w:sz w:val="29"/>
        </w:rPr>
        <w:t>Behavioral Structure</w:t>
      </w:r>
    </w:p>
    <w:p w14:paraId="45036278" w14:textId="77777777" w:rsidR="00002650" w:rsidRDefault="00002650" w:rsidP="00002650">
      <w:pPr>
        <w:pStyle w:val="Heading2"/>
      </w:pPr>
      <w:r>
        <w:rPr>
          <w:rFonts w:ascii="Arial" w:eastAsia="Times New Roman" w:hAnsi="Arial"/>
          <w:color w:val="000000"/>
          <w:sz w:val="23"/>
        </w:rPr>
        <w:t>Actors Roles Tools and Interaction Topology</w:t>
      </w:r>
    </w:p>
    <w:p w14:paraId="2DE56F5C" w14:textId="77777777" w:rsidR="00002650" w:rsidRDefault="00002650" w:rsidP="00002650">
      <w:pPr>
        <w:keepLines/>
        <w:spacing w:after="94"/>
      </w:pPr>
      <w:r>
        <w:rPr>
          <w:rFonts w:ascii="Times New Roman" w:eastAsia="Times New Roman" w:hAnsi="Times New Roman"/>
          <w:color w:val="000000"/>
          <w:sz w:val="20"/>
        </w:rPr>
        <w:t>Longitudinal computational behavior is frequently co-produced. Models, users, operators, reviewers, tools, services, orchestration layers, and institutions can all alter what follows. The architecture therefore represents interaction topology rather than flattening the runtime into an undifferentiated message sequence.</w:t>
      </w:r>
    </w:p>
    <w:p w14:paraId="55EDE720" w14:textId="77777777" w:rsidR="00002650" w:rsidRDefault="00002650" w:rsidP="00002650">
      <w:pPr>
        <w:spacing w:after="94"/>
      </w:pPr>
      <w:r>
        <w:rPr>
          <w:rFonts w:ascii="Times New Roman" w:eastAsia="Times New Roman" w:hAnsi="Times New Roman"/>
          <w:color w:val="000000"/>
          <w:sz w:val="20"/>
        </w:rPr>
        <w:t>Role records should distinguish:</w:t>
      </w:r>
    </w:p>
    <w:p w14:paraId="22C89423" w14:textId="77777777" w:rsidR="00002650" w:rsidRDefault="00002650" w:rsidP="00002650">
      <w:pPr>
        <w:keepNext/>
        <w:spacing w:before="140" w:after="80"/>
      </w:pPr>
      <w:r>
        <w:rPr>
          <w:rFonts w:ascii="Times New Roman" w:eastAsia="Times New Roman" w:hAnsi="Times New Roman"/>
          <w:i/>
          <w:color w:val="66717C"/>
          <w:sz w:val="18"/>
        </w:rPr>
        <w:t>Table 4. Role bases and evidentiary status.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72"/>
        <w:gridCol w:w="3744"/>
        <w:gridCol w:w="4104"/>
      </w:tblGrid>
      <w:tr w:rsidR="00002650" w14:paraId="6F5B5A01" w14:textId="77777777">
        <w:trPr>
          <w:cantSplit/>
          <w:tblHeader/>
          <w:jc w:val="center"/>
        </w:trPr>
        <w:tc>
          <w:tcPr>
            <w:tcW w:w="1872" w:type="dxa"/>
            <w:shd w:val="clear" w:color="auto" w:fill="17324D"/>
            <w:tcMar>
              <w:top w:w="70" w:type="dxa"/>
              <w:left w:w="100" w:type="dxa"/>
              <w:bottom w:w="70" w:type="dxa"/>
              <w:right w:w="100" w:type="dxa"/>
            </w:tcMar>
            <w:vAlign w:val="center"/>
          </w:tcPr>
          <w:p w14:paraId="03E7D092" w14:textId="77777777" w:rsidR="00002650" w:rsidRDefault="00002650" w:rsidP="00F96983">
            <w:pPr>
              <w:spacing w:after="0" w:line="240" w:lineRule="auto"/>
            </w:pPr>
            <w:r>
              <w:rPr>
                <w:rFonts w:ascii="Arial" w:eastAsia="Times New Roman" w:hAnsi="Arial"/>
                <w:b/>
                <w:color w:val="FFFFFF"/>
                <w:sz w:val="17"/>
              </w:rPr>
              <w:t>Role basis</w:t>
            </w:r>
          </w:p>
        </w:tc>
        <w:tc>
          <w:tcPr>
            <w:tcW w:w="3744" w:type="dxa"/>
            <w:shd w:val="clear" w:color="auto" w:fill="17324D"/>
            <w:tcMar>
              <w:top w:w="70" w:type="dxa"/>
              <w:left w:w="100" w:type="dxa"/>
              <w:bottom w:w="70" w:type="dxa"/>
              <w:right w:w="100" w:type="dxa"/>
            </w:tcMar>
            <w:vAlign w:val="center"/>
          </w:tcPr>
          <w:p w14:paraId="6F3919F3" w14:textId="77777777" w:rsidR="00002650" w:rsidRDefault="00002650" w:rsidP="00F96983">
            <w:pPr>
              <w:spacing w:after="0" w:line="240" w:lineRule="auto"/>
            </w:pPr>
            <w:r>
              <w:rPr>
                <w:rFonts w:ascii="Arial" w:eastAsia="Times New Roman" w:hAnsi="Arial"/>
                <w:b/>
                <w:color w:val="FFFFFF"/>
                <w:sz w:val="17"/>
              </w:rPr>
              <w:t>Meaning</w:t>
            </w:r>
          </w:p>
        </w:tc>
        <w:tc>
          <w:tcPr>
            <w:tcW w:w="4104" w:type="dxa"/>
            <w:shd w:val="clear" w:color="auto" w:fill="17324D"/>
            <w:tcMar>
              <w:top w:w="70" w:type="dxa"/>
              <w:left w:w="100" w:type="dxa"/>
              <w:bottom w:w="70" w:type="dxa"/>
              <w:right w:w="100" w:type="dxa"/>
            </w:tcMar>
            <w:vAlign w:val="center"/>
          </w:tcPr>
          <w:p w14:paraId="7CA55FDB" w14:textId="77777777" w:rsidR="00002650" w:rsidRDefault="00002650" w:rsidP="00F96983">
            <w:pPr>
              <w:spacing w:after="0" w:line="240" w:lineRule="auto"/>
            </w:pPr>
            <w:r>
              <w:rPr>
                <w:rFonts w:ascii="Arial" w:eastAsia="Times New Roman" w:hAnsi="Arial"/>
                <w:b/>
                <w:color w:val="FFFFFF"/>
                <w:sz w:val="17"/>
              </w:rPr>
              <w:t>Evidentiary status</w:t>
            </w:r>
          </w:p>
        </w:tc>
      </w:tr>
      <w:tr w:rsidR="00002650" w14:paraId="4C6C94D2" w14:textId="77777777">
        <w:trPr>
          <w:cantSplit/>
          <w:jc w:val="center"/>
        </w:trPr>
        <w:tc>
          <w:tcPr>
            <w:tcW w:w="1872" w:type="dxa"/>
            <w:shd w:val="clear" w:color="auto" w:fill="FFFFFF"/>
            <w:tcMar>
              <w:top w:w="70" w:type="dxa"/>
              <w:left w:w="100" w:type="dxa"/>
              <w:bottom w:w="70" w:type="dxa"/>
              <w:right w:w="100" w:type="dxa"/>
            </w:tcMar>
            <w:vAlign w:val="center"/>
          </w:tcPr>
          <w:p w14:paraId="1E98C589" w14:textId="77777777" w:rsidR="00002650" w:rsidRDefault="00002650" w:rsidP="00F96983">
            <w:pPr>
              <w:spacing w:after="0" w:line="240" w:lineRule="auto"/>
            </w:pPr>
            <w:r>
              <w:rPr>
                <w:rFonts w:ascii="Times New Roman" w:eastAsia="Times New Roman" w:hAnsi="Times New Roman"/>
                <w:color w:val="000000"/>
                <w:sz w:val="17"/>
              </w:rPr>
              <w:t>Source supplied</w:t>
            </w:r>
          </w:p>
        </w:tc>
        <w:tc>
          <w:tcPr>
            <w:tcW w:w="3744" w:type="dxa"/>
            <w:shd w:val="clear" w:color="auto" w:fill="FFFFFF"/>
            <w:tcMar>
              <w:top w:w="70" w:type="dxa"/>
              <w:left w:w="100" w:type="dxa"/>
              <w:bottom w:w="70" w:type="dxa"/>
              <w:right w:w="100" w:type="dxa"/>
            </w:tcMar>
            <w:vAlign w:val="center"/>
          </w:tcPr>
          <w:p w14:paraId="65DEE545" w14:textId="77777777" w:rsidR="00002650" w:rsidRDefault="00002650" w:rsidP="00F96983">
            <w:pPr>
              <w:spacing w:after="0" w:line="240" w:lineRule="auto"/>
            </w:pPr>
            <w:r>
              <w:rPr>
                <w:rFonts w:ascii="Times New Roman" w:eastAsia="Times New Roman" w:hAnsi="Times New Roman"/>
                <w:color w:val="000000"/>
                <w:sz w:val="17"/>
              </w:rPr>
              <w:t>The record explicitly labels the actor or role</w:t>
            </w:r>
          </w:p>
        </w:tc>
        <w:tc>
          <w:tcPr>
            <w:tcW w:w="4104" w:type="dxa"/>
            <w:shd w:val="clear" w:color="auto" w:fill="FFFFFF"/>
            <w:tcMar>
              <w:top w:w="70" w:type="dxa"/>
              <w:left w:w="100" w:type="dxa"/>
              <w:bottom w:w="70" w:type="dxa"/>
              <w:right w:w="100" w:type="dxa"/>
            </w:tcMar>
            <w:vAlign w:val="center"/>
          </w:tcPr>
          <w:p w14:paraId="330E735D" w14:textId="77777777" w:rsidR="00002650" w:rsidRDefault="00002650" w:rsidP="00F96983">
            <w:pPr>
              <w:spacing w:after="0" w:line="240" w:lineRule="auto"/>
            </w:pPr>
            <w:r>
              <w:rPr>
                <w:rFonts w:ascii="Times New Roman" w:eastAsia="Times New Roman" w:hAnsi="Times New Roman"/>
                <w:color w:val="000000"/>
                <w:sz w:val="17"/>
              </w:rPr>
              <w:t>Directly source-declared but not automatically verified</w:t>
            </w:r>
          </w:p>
        </w:tc>
      </w:tr>
      <w:tr w:rsidR="00002650" w14:paraId="0A58BDDC" w14:textId="77777777">
        <w:trPr>
          <w:cantSplit/>
          <w:jc w:val="center"/>
        </w:trPr>
        <w:tc>
          <w:tcPr>
            <w:tcW w:w="1872" w:type="dxa"/>
            <w:shd w:val="clear" w:color="auto" w:fill="F6F9FB"/>
            <w:tcMar>
              <w:top w:w="70" w:type="dxa"/>
              <w:left w:w="100" w:type="dxa"/>
              <w:bottom w:w="70" w:type="dxa"/>
              <w:right w:w="100" w:type="dxa"/>
            </w:tcMar>
            <w:vAlign w:val="center"/>
          </w:tcPr>
          <w:p w14:paraId="7C96148D" w14:textId="77777777" w:rsidR="00002650" w:rsidRDefault="00002650" w:rsidP="00F96983">
            <w:pPr>
              <w:spacing w:after="0" w:line="240" w:lineRule="auto"/>
            </w:pPr>
            <w:r>
              <w:rPr>
                <w:rFonts w:ascii="Times New Roman" w:eastAsia="Times New Roman" w:hAnsi="Times New Roman"/>
                <w:color w:val="000000"/>
                <w:sz w:val="17"/>
              </w:rPr>
              <w:t>Channel inherited</w:t>
            </w:r>
          </w:p>
        </w:tc>
        <w:tc>
          <w:tcPr>
            <w:tcW w:w="3744" w:type="dxa"/>
            <w:shd w:val="clear" w:color="auto" w:fill="F6F9FB"/>
            <w:tcMar>
              <w:top w:w="70" w:type="dxa"/>
              <w:left w:w="100" w:type="dxa"/>
              <w:bottom w:w="70" w:type="dxa"/>
              <w:right w:w="100" w:type="dxa"/>
            </w:tcMar>
            <w:vAlign w:val="center"/>
          </w:tcPr>
          <w:p w14:paraId="249F6461" w14:textId="77777777" w:rsidR="00002650" w:rsidRDefault="00002650" w:rsidP="00F96983">
            <w:pPr>
              <w:spacing w:after="0" w:line="240" w:lineRule="auto"/>
            </w:pPr>
            <w:r>
              <w:rPr>
                <w:rFonts w:ascii="Times New Roman" w:eastAsia="Times New Roman" w:hAnsi="Times New Roman"/>
                <w:color w:val="000000"/>
                <w:sz w:val="17"/>
              </w:rPr>
              <w:t>The role follows from a declared communication channel</w:t>
            </w:r>
          </w:p>
        </w:tc>
        <w:tc>
          <w:tcPr>
            <w:tcW w:w="4104" w:type="dxa"/>
            <w:shd w:val="clear" w:color="auto" w:fill="F6F9FB"/>
            <w:tcMar>
              <w:top w:w="70" w:type="dxa"/>
              <w:left w:w="100" w:type="dxa"/>
              <w:bottom w:w="70" w:type="dxa"/>
              <w:right w:w="100" w:type="dxa"/>
            </w:tcMar>
            <w:vAlign w:val="center"/>
          </w:tcPr>
          <w:p w14:paraId="11DA9A28" w14:textId="77777777" w:rsidR="00002650" w:rsidRDefault="00002650" w:rsidP="00F96983">
            <w:pPr>
              <w:spacing w:after="0" w:line="240" w:lineRule="auto"/>
            </w:pPr>
            <w:r>
              <w:rPr>
                <w:rFonts w:ascii="Times New Roman" w:eastAsia="Times New Roman" w:hAnsi="Times New Roman"/>
                <w:color w:val="000000"/>
                <w:sz w:val="17"/>
              </w:rPr>
              <w:t>Structural assignment with channel provenance</w:t>
            </w:r>
          </w:p>
        </w:tc>
      </w:tr>
      <w:tr w:rsidR="00002650" w14:paraId="5CB140B5" w14:textId="77777777">
        <w:trPr>
          <w:cantSplit/>
          <w:jc w:val="center"/>
        </w:trPr>
        <w:tc>
          <w:tcPr>
            <w:tcW w:w="1872" w:type="dxa"/>
            <w:shd w:val="clear" w:color="auto" w:fill="FFFFFF"/>
            <w:tcMar>
              <w:top w:w="70" w:type="dxa"/>
              <w:left w:w="100" w:type="dxa"/>
              <w:bottom w:w="70" w:type="dxa"/>
              <w:right w:w="100" w:type="dxa"/>
            </w:tcMar>
            <w:vAlign w:val="center"/>
          </w:tcPr>
          <w:p w14:paraId="097865C9" w14:textId="77777777" w:rsidR="00002650" w:rsidRDefault="00002650" w:rsidP="00F96983">
            <w:pPr>
              <w:spacing w:after="0" w:line="240" w:lineRule="auto"/>
            </w:pPr>
            <w:r>
              <w:rPr>
                <w:rFonts w:ascii="Times New Roman" w:eastAsia="Times New Roman" w:hAnsi="Times New Roman"/>
                <w:color w:val="000000"/>
                <w:sz w:val="17"/>
              </w:rPr>
              <w:t>Identifier mapped</w:t>
            </w:r>
          </w:p>
        </w:tc>
        <w:tc>
          <w:tcPr>
            <w:tcW w:w="3744" w:type="dxa"/>
            <w:shd w:val="clear" w:color="auto" w:fill="FFFFFF"/>
            <w:tcMar>
              <w:top w:w="70" w:type="dxa"/>
              <w:left w:w="100" w:type="dxa"/>
              <w:bottom w:w="70" w:type="dxa"/>
              <w:right w:w="100" w:type="dxa"/>
            </w:tcMar>
            <w:vAlign w:val="center"/>
          </w:tcPr>
          <w:p w14:paraId="6AE580B8" w14:textId="77777777" w:rsidR="00002650" w:rsidRDefault="00002650" w:rsidP="00F96983">
            <w:pPr>
              <w:spacing w:after="0" w:line="240" w:lineRule="auto"/>
            </w:pPr>
            <w:r>
              <w:rPr>
                <w:rFonts w:ascii="Times New Roman" w:eastAsia="Times New Roman" w:hAnsi="Times New Roman"/>
                <w:color w:val="000000"/>
                <w:sz w:val="17"/>
              </w:rPr>
              <w:t>A stable identifier is mapped through a declared registry</w:t>
            </w:r>
          </w:p>
        </w:tc>
        <w:tc>
          <w:tcPr>
            <w:tcW w:w="4104" w:type="dxa"/>
            <w:shd w:val="clear" w:color="auto" w:fill="FFFFFF"/>
            <w:tcMar>
              <w:top w:w="70" w:type="dxa"/>
              <w:left w:w="100" w:type="dxa"/>
              <w:bottom w:w="70" w:type="dxa"/>
              <w:right w:w="100" w:type="dxa"/>
            </w:tcMar>
            <w:vAlign w:val="center"/>
          </w:tcPr>
          <w:p w14:paraId="01881599" w14:textId="77777777" w:rsidR="00002650" w:rsidRDefault="00002650" w:rsidP="00F96983">
            <w:pPr>
              <w:spacing w:after="0" w:line="240" w:lineRule="auto"/>
            </w:pPr>
            <w:r>
              <w:rPr>
                <w:rFonts w:ascii="Times New Roman" w:eastAsia="Times New Roman" w:hAnsi="Times New Roman"/>
                <w:color w:val="000000"/>
                <w:sz w:val="17"/>
              </w:rPr>
              <w:t>Derived mapping whose registry and version must be retained</w:t>
            </w:r>
          </w:p>
        </w:tc>
      </w:tr>
      <w:tr w:rsidR="00002650" w14:paraId="40C56A93" w14:textId="77777777">
        <w:trPr>
          <w:cantSplit/>
          <w:jc w:val="center"/>
        </w:trPr>
        <w:tc>
          <w:tcPr>
            <w:tcW w:w="1872" w:type="dxa"/>
            <w:shd w:val="clear" w:color="auto" w:fill="F6F9FB"/>
            <w:tcMar>
              <w:top w:w="70" w:type="dxa"/>
              <w:left w:w="100" w:type="dxa"/>
              <w:bottom w:w="70" w:type="dxa"/>
              <w:right w:w="100" w:type="dxa"/>
            </w:tcMar>
            <w:vAlign w:val="center"/>
          </w:tcPr>
          <w:p w14:paraId="170C4D74" w14:textId="77777777" w:rsidR="00002650" w:rsidRDefault="00002650" w:rsidP="00F96983">
            <w:pPr>
              <w:spacing w:after="0" w:line="240" w:lineRule="auto"/>
            </w:pPr>
            <w:r>
              <w:rPr>
                <w:rFonts w:ascii="Times New Roman" w:eastAsia="Times New Roman" w:hAnsi="Times New Roman"/>
                <w:color w:val="000000"/>
                <w:sz w:val="17"/>
              </w:rPr>
              <w:t>Adapter assigned</w:t>
            </w:r>
          </w:p>
        </w:tc>
        <w:tc>
          <w:tcPr>
            <w:tcW w:w="3744" w:type="dxa"/>
            <w:shd w:val="clear" w:color="auto" w:fill="F6F9FB"/>
            <w:tcMar>
              <w:top w:w="70" w:type="dxa"/>
              <w:left w:w="100" w:type="dxa"/>
              <w:bottom w:w="70" w:type="dxa"/>
              <w:right w:w="100" w:type="dxa"/>
            </w:tcMar>
            <w:vAlign w:val="center"/>
          </w:tcPr>
          <w:p w14:paraId="4E041715" w14:textId="77777777" w:rsidR="00002650" w:rsidRDefault="00002650" w:rsidP="00F96983">
            <w:pPr>
              <w:spacing w:after="0" w:line="240" w:lineRule="auto"/>
            </w:pPr>
            <w:r>
              <w:rPr>
                <w:rFonts w:ascii="Times New Roman" w:eastAsia="Times New Roman" w:hAnsi="Times New Roman"/>
                <w:color w:val="000000"/>
                <w:sz w:val="17"/>
              </w:rPr>
              <w:t>The ingestion method assigns a canonical structural role</w:t>
            </w:r>
          </w:p>
        </w:tc>
        <w:tc>
          <w:tcPr>
            <w:tcW w:w="4104" w:type="dxa"/>
            <w:shd w:val="clear" w:color="auto" w:fill="F6F9FB"/>
            <w:tcMar>
              <w:top w:w="70" w:type="dxa"/>
              <w:left w:w="100" w:type="dxa"/>
              <w:bottom w:w="70" w:type="dxa"/>
              <w:right w:w="100" w:type="dxa"/>
            </w:tcMar>
            <w:vAlign w:val="center"/>
          </w:tcPr>
          <w:p w14:paraId="0DF66676" w14:textId="77777777" w:rsidR="00002650" w:rsidRDefault="00002650" w:rsidP="00F96983">
            <w:pPr>
              <w:spacing w:after="0" w:line="240" w:lineRule="auto"/>
            </w:pPr>
            <w:r>
              <w:rPr>
                <w:rFonts w:ascii="Times New Roman" w:eastAsia="Times New Roman" w:hAnsi="Times New Roman"/>
                <w:color w:val="000000"/>
                <w:sz w:val="17"/>
              </w:rPr>
              <w:t>Computed structure and never presented as source-supplied</w:t>
            </w:r>
          </w:p>
        </w:tc>
      </w:tr>
      <w:tr w:rsidR="00002650" w14:paraId="6A57A720" w14:textId="77777777">
        <w:trPr>
          <w:cantSplit/>
          <w:jc w:val="center"/>
        </w:trPr>
        <w:tc>
          <w:tcPr>
            <w:tcW w:w="1872" w:type="dxa"/>
            <w:shd w:val="clear" w:color="auto" w:fill="FFFFFF"/>
            <w:tcMar>
              <w:top w:w="70" w:type="dxa"/>
              <w:left w:w="100" w:type="dxa"/>
              <w:bottom w:w="70" w:type="dxa"/>
              <w:right w:w="100" w:type="dxa"/>
            </w:tcMar>
            <w:vAlign w:val="center"/>
          </w:tcPr>
          <w:p w14:paraId="70965B99" w14:textId="77777777" w:rsidR="00002650" w:rsidRDefault="00002650" w:rsidP="00F96983">
            <w:pPr>
              <w:spacing w:after="0" w:line="240" w:lineRule="auto"/>
            </w:pPr>
            <w:r>
              <w:rPr>
                <w:rFonts w:ascii="Times New Roman" w:eastAsia="Times New Roman" w:hAnsi="Times New Roman"/>
                <w:color w:val="000000"/>
                <w:sz w:val="17"/>
              </w:rPr>
              <w:t>Operator declared</w:t>
            </w:r>
          </w:p>
        </w:tc>
        <w:tc>
          <w:tcPr>
            <w:tcW w:w="3744" w:type="dxa"/>
            <w:shd w:val="clear" w:color="auto" w:fill="FFFFFF"/>
            <w:tcMar>
              <w:top w:w="70" w:type="dxa"/>
              <w:left w:w="100" w:type="dxa"/>
              <w:bottom w:w="70" w:type="dxa"/>
              <w:right w:w="100" w:type="dxa"/>
            </w:tcMar>
            <w:vAlign w:val="center"/>
          </w:tcPr>
          <w:p w14:paraId="5344E063" w14:textId="77777777" w:rsidR="00002650" w:rsidRDefault="00002650" w:rsidP="00F96983">
            <w:pPr>
              <w:spacing w:after="0" w:line="240" w:lineRule="auto"/>
            </w:pPr>
            <w:r>
              <w:rPr>
                <w:rFonts w:ascii="Times New Roman" w:eastAsia="Times New Roman" w:hAnsi="Times New Roman"/>
                <w:color w:val="000000"/>
                <w:sz w:val="17"/>
              </w:rPr>
              <w:t>A reviewer supplies contextual role information</w:t>
            </w:r>
          </w:p>
        </w:tc>
        <w:tc>
          <w:tcPr>
            <w:tcW w:w="4104" w:type="dxa"/>
            <w:shd w:val="clear" w:color="auto" w:fill="FFFFFF"/>
            <w:tcMar>
              <w:top w:w="70" w:type="dxa"/>
              <w:left w:w="100" w:type="dxa"/>
              <w:bottom w:w="70" w:type="dxa"/>
              <w:right w:w="100" w:type="dxa"/>
            </w:tcMar>
            <w:vAlign w:val="center"/>
          </w:tcPr>
          <w:p w14:paraId="14610DB5" w14:textId="77777777" w:rsidR="00002650" w:rsidRDefault="00002650" w:rsidP="00F96983">
            <w:pPr>
              <w:spacing w:after="0" w:line="240" w:lineRule="auto"/>
            </w:pPr>
            <w:r>
              <w:rPr>
                <w:rFonts w:ascii="Times New Roman" w:eastAsia="Times New Roman" w:hAnsi="Times New Roman"/>
                <w:color w:val="000000"/>
                <w:sz w:val="17"/>
              </w:rPr>
              <w:t>Contextual declaration requiring separate provenance</w:t>
            </w:r>
          </w:p>
        </w:tc>
      </w:tr>
      <w:tr w:rsidR="00002650" w14:paraId="23A78D56" w14:textId="77777777">
        <w:trPr>
          <w:cantSplit/>
          <w:jc w:val="center"/>
        </w:trPr>
        <w:tc>
          <w:tcPr>
            <w:tcW w:w="1872" w:type="dxa"/>
            <w:shd w:val="clear" w:color="auto" w:fill="F6F9FB"/>
            <w:tcMar>
              <w:top w:w="70" w:type="dxa"/>
              <w:left w:w="100" w:type="dxa"/>
              <w:bottom w:w="70" w:type="dxa"/>
              <w:right w:w="100" w:type="dxa"/>
            </w:tcMar>
            <w:vAlign w:val="center"/>
          </w:tcPr>
          <w:p w14:paraId="3FB376AE" w14:textId="77777777" w:rsidR="00002650" w:rsidRDefault="00002650" w:rsidP="00F96983">
            <w:pPr>
              <w:spacing w:after="0" w:line="240" w:lineRule="auto"/>
            </w:pPr>
            <w:r>
              <w:rPr>
                <w:rFonts w:ascii="Times New Roman" w:eastAsia="Times New Roman" w:hAnsi="Times New Roman"/>
                <w:color w:val="000000"/>
                <w:sz w:val="17"/>
              </w:rPr>
              <w:t>Unresolved</w:t>
            </w:r>
          </w:p>
        </w:tc>
        <w:tc>
          <w:tcPr>
            <w:tcW w:w="3744" w:type="dxa"/>
            <w:shd w:val="clear" w:color="auto" w:fill="F6F9FB"/>
            <w:tcMar>
              <w:top w:w="70" w:type="dxa"/>
              <w:left w:w="100" w:type="dxa"/>
              <w:bottom w:w="70" w:type="dxa"/>
              <w:right w:w="100" w:type="dxa"/>
            </w:tcMar>
            <w:vAlign w:val="center"/>
          </w:tcPr>
          <w:p w14:paraId="62DCB4F2" w14:textId="77777777" w:rsidR="00002650" w:rsidRDefault="00002650" w:rsidP="00F96983">
            <w:pPr>
              <w:spacing w:after="0" w:line="240" w:lineRule="auto"/>
            </w:pPr>
            <w:r>
              <w:rPr>
                <w:rFonts w:ascii="Times New Roman" w:eastAsia="Times New Roman" w:hAnsi="Times New Roman"/>
                <w:color w:val="000000"/>
                <w:sz w:val="17"/>
              </w:rPr>
              <w:t>The available record does not support a stable assignment</w:t>
            </w:r>
          </w:p>
        </w:tc>
        <w:tc>
          <w:tcPr>
            <w:tcW w:w="4104" w:type="dxa"/>
            <w:shd w:val="clear" w:color="auto" w:fill="F6F9FB"/>
            <w:tcMar>
              <w:top w:w="70" w:type="dxa"/>
              <w:left w:w="100" w:type="dxa"/>
              <w:bottom w:w="70" w:type="dxa"/>
              <w:right w:w="100" w:type="dxa"/>
            </w:tcMar>
            <w:vAlign w:val="center"/>
          </w:tcPr>
          <w:p w14:paraId="4816898C" w14:textId="77777777" w:rsidR="00002650" w:rsidRDefault="00002650" w:rsidP="00F96983">
            <w:pPr>
              <w:spacing w:after="0" w:line="240" w:lineRule="auto"/>
            </w:pPr>
            <w:r>
              <w:rPr>
                <w:rFonts w:ascii="Times New Roman" w:eastAsia="Times New Roman" w:hAnsi="Times New Roman"/>
                <w:color w:val="000000"/>
                <w:sz w:val="17"/>
              </w:rPr>
              <w:t>Must remain unresolved rather than forced into a taxonomy</w:t>
            </w:r>
          </w:p>
        </w:tc>
      </w:tr>
    </w:tbl>
    <w:p w14:paraId="6DE5EF09" w14:textId="77777777" w:rsidR="00002650" w:rsidRDefault="00002650" w:rsidP="00002650">
      <w:pPr>
        <w:spacing w:after="20"/>
      </w:pPr>
    </w:p>
    <w:p w14:paraId="29102176" w14:textId="77777777" w:rsidR="00002650" w:rsidRDefault="00002650" w:rsidP="00002650">
      <w:pPr>
        <w:spacing w:after="94"/>
      </w:pPr>
      <w:r>
        <w:rPr>
          <w:rFonts w:ascii="Times New Roman" w:eastAsia="Times New Roman" w:hAnsi="Times New Roman"/>
          <w:color w:val="000000"/>
          <w:sz w:val="20"/>
        </w:rPr>
        <w:t>The topology may represent role transitions, handoffs, authority transfers, tool invocations, reply relationships, shared objectives, conflicts, and interaction boundaries. It supports analysis of coordination continuity without establishing personal identity, intent, competence, blame, or organizational authority beyond the record.</w:t>
      </w:r>
    </w:p>
    <w:p w14:paraId="6AE062A3" w14:textId="77777777" w:rsidR="00002650" w:rsidRDefault="00002650" w:rsidP="00002650">
      <w:pPr>
        <w:pStyle w:val="Heading2"/>
      </w:pPr>
      <w:r>
        <w:rPr>
          <w:rFonts w:ascii="Arial" w:eastAsia="Times New Roman" w:hAnsi="Arial"/>
          <w:color w:val="000000"/>
          <w:sz w:val="23"/>
        </w:rPr>
        <w:t>Objectives Constraints and Operational State</w:t>
      </w:r>
    </w:p>
    <w:p w14:paraId="3D34FEF3" w14:textId="77777777" w:rsidR="00002650" w:rsidRDefault="00002650" w:rsidP="00002650">
      <w:pPr>
        <w:keepLines/>
        <w:spacing w:after="94"/>
      </w:pPr>
      <w:r>
        <w:rPr>
          <w:rFonts w:ascii="Times New Roman" w:eastAsia="Times New Roman" w:hAnsi="Times New Roman"/>
          <w:color w:val="000000"/>
          <w:sz w:val="20"/>
        </w:rPr>
        <w:t>Behavioral development is shaped by more than participants. Objectives, constraints, tool state, retrieved material, workflow state, external observations, permissions, and prior outputs can condition later action. Where the source supports them, these objects should be represented explicitly rather than reconstructed only through prose.</w:t>
      </w:r>
    </w:p>
    <w:p w14:paraId="3525944F" w14:textId="77777777" w:rsidR="00002650" w:rsidRDefault="00002650" w:rsidP="00002650">
      <w:pPr>
        <w:spacing w:after="94"/>
      </w:pPr>
      <w:r>
        <w:rPr>
          <w:rFonts w:ascii="Times New Roman" w:eastAsia="Times New Roman" w:hAnsi="Times New Roman"/>
          <w:color w:val="000000"/>
          <w:sz w:val="20"/>
        </w:rPr>
        <w:t>An objective may be source-supplied, operator-declared, inferred by a bounded method, or absent. A constraint may be introduced, repeated, modified, violated, or superseded. A tool result may change the available facts without proving that every later actor incorporated it. The architecture records these relationships while preserving their basis.</w:t>
      </w:r>
    </w:p>
    <w:p w14:paraId="7DB760FB" w14:textId="77777777" w:rsidR="00002650" w:rsidRDefault="00002650" w:rsidP="00002650">
      <w:pPr>
        <w:pStyle w:val="Heading2"/>
      </w:pPr>
      <w:r>
        <w:rPr>
          <w:rFonts w:ascii="Arial" w:eastAsia="Times New Roman" w:hAnsi="Arial"/>
          <w:color w:val="000000"/>
          <w:sz w:val="23"/>
        </w:rPr>
        <w:t>Regimes Markers and Boundary Formation</w:t>
      </w:r>
    </w:p>
    <w:p w14:paraId="7F10658E" w14:textId="77777777" w:rsidR="00002650" w:rsidRDefault="00002650" w:rsidP="00002650">
      <w:pPr>
        <w:keepLines/>
        <w:spacing w:after="94"/>
      </w:pPr>
      <w:r>
        <w:rPr>
          <w:rFonts w:ascii="Times New Roman" w:eastAsia="Times New Roman" w:hAnsi="Times New Roman"/>
          <w:color w:val="000000"/>
          <w:sz w:val="20"/>
        </w:rPr>
        <w:t>A regime is a sustained classified interval under a named, versioned rule. The representation must retain the eligible inputs, window, persistence rule, hysteresis, entry and exit coordinates, evidence horizon, missingness behavior, and classification confidence or uncertainty posture.</w:t>
      </w:r>
    </w:p>
    <w:p w14:paraId="3314F9D7" w14:textId="77777777" w:rsidR="00002650" w:rsidRDefault="00002650" w:rsidP="00002650">
      <w:pPr>
        <w:spacing w:after="94"/>
      </w:pPr>
      <w:r>
        <w:rPr>
          <w:rFonts w:ascii="Times New Roman" w:eastAsia="Times New Roman" w:hAnsi="Times New Roman"/>
          <w:color w:val="000000"/>
          <w:sz w:val="20"/>
        </w:rPr>
        <w:t>Markers describe distinct events or conditions. Candidate boundary formation, confirmed Basin Exit, observable failure, recovery, and re-entry cannot be treated as interchangeable labels.</w:t>
      </w:r>
    </w:p>
    <w:p w14:paraId="46C16D52" w14:textId="77777777" w:rsidR="00002650" w:rsidRDefault="00002650" w:rsidP="00002650">
      <w:pPr>
        <w:keepNext/>
        <w:spacing w:before="140" w:after="80"/>
      </w:pPr>
      <w:r>
        <w:rPr>
          <w:rFonts w:ascii="Times New Roman" w:eastAsia="Times New Roman" w:hAnsi="Times New Roman"/>
          <w:i/>
          <w:color w:val="66717C"/>
          <w:sz w:val="18"/>
        </w:rPr>
        <w:t>Table 5. Behavioral structures and prohibited substitutions.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44"/>
        <w:gridCol w:w="4248"/>
        <w:gridCol w:w="3427"/>
      </w:tblGrid>
      <w:tr w:rsidR="00002650" w14:paraId="6DFF2012" w14:textId="77777777">
        <w:trPr>
          <w:cantSplit/>
          <w:tblHeader/>
          <w:jc w:val="center"/>
        </w:trPr>
        <w:tc>
          <w:tcPr>
            <w:tcW w:w="2044" w:type="dxa"/>
            <w:shd w:val="clear" w:color="auto" w:fill="17324D"/>
            <w:tcMar>
              <w:top w:w="70" w:type="dxa"/>
              <w:left w:w="100" w:type="dxa"/>
              <w:bottom w:w="70" w:type="dxa"/>
              <w:right w:w="100" w:type="dxa"/>
            </w:tcMar>
            <w:vAlign w:val="center"/>
          </w:tcPr>
          <w:p w14:paraId="058BAFD2" w14:textId="77777777" w:rsidR="00002650" w:rsidRDefault="00002650" w:rsidP="00F96983">
            <w:pPr>
              <w:spacing w:after="0" w:line="240" w:lineRule="auto"/>
            </w:pPr>
            <w:r>
              <w:rPr>
                <w:rFonts w:ascii="Arial" w:eastAsia="Times New Roman" w:hAnsi="Arial"/>
                <w:b/>
                <w:color w:val="FFFFFF"/>
                <w:sz w:val="17"/>
              </w:rPr>
              <w:t>Structure</w:t>
            </w:r>
          </w:p>
        </w:tc>
        <w:tc>
          <w:tcPr>
            <w:tcW w:w="4248" w:type="dxa"/>
            <w:shd w:val="clear" w:color="auto" w:fill="17324D"/>
            <w:tcMar>
              <w:top w:w="70" w:type="dxa"/>
              <w:left w:w="100" w:type="dxa"/>
              <w:bottom w:w="70" w:type="dxa"/>
              <w:right w:w="100" w:type="dxa"/>
            </w:tcMar>
            <w:vAlign w:val="center"/>
          </w:tcPr>
          <w:p w14:paraId="5AE4B446" w14:textId="77777777" w:rsidR="00002650" w:rsidRDefault="00002650" w:rsidP="00F96983">
            <w:pPr>
              <w:spacing w:after="0" w:line="240" w:lineRule="auto"/>
            </w:pPr>
            <w:r>
              <w:rPr>
                <w:rFonts w:ascii="Arial" w:eastAsia="Times New Roman" w:hAnsi="Arial"/>
                <w:b/>
                <w:color w:val="FFFFFF"/>
                <w:sz w:val="17"/>
              </w:rPr>
              <w:t>Minimum representation</w:t>
            </w:r>
          </w:p>
        </w:tc>
        <w:tc>
          <w:tcPr>
            <w:tcW w:w="3427" w:type="dxa"/>
            <w:shd w:val="clear" w:color="auto" w:fill="17324D"/>
            <w:tcMar>
              <w:top w:w="70" w:type="dxa"/>
              <w:left w:w="100" w:type="dxa"/>
              <w:bottom w:w="70" w:type="dxa"/>
              <w:right w:w="100" w:type="dxa"/>
            </w:tcMar>
            <w:vAlign w:val="center"/>
          </w:tcPr>
          <w:p w14:paraId="12E4C8FC" w14:textId="77777777" w:rsidR="00002650" w:rsidRDefault="00002650" w:rsidP="00F96983">
            <w:pPr>
              <w:spacing w:after="0" w:line="240" w:lineRule="auto"/>
            </w:pPr>
            <w:r>
              <w:rPr>
                <w:rFonts w:ascii="Arial" w:eastAsia="Times New Roman" w:hAnsi="Arial"/>
                <w:b/>
                <w:color w:val="FFFFFF"/>
                <w:sz w:val="17"/>
              </w:rPr>
              <w:t>Prohibited substitution</w:t>
            </w:r>
          </w:p>
        </w:tc>
      </w:tr>
      <w:tr w:rsidR="00002650" w14:paraId="63A6B3A2" w14:textId="77777777">
        <w:trPr>
          <w:cantSplit/>
          <w:jc w:val="center"/>
        </w:trPr>
        <w:tc>
          <w:tcPr>
            <w:tcW w:w="2044" w:type="dxa"/>
            <w:shd w:val="clear" w:color="auto" w:fill="FFFFFF"/>
            <w:tcMar>
              <w:top w:w="70" w:type="dxa"/>
              <w:left w:w="100" w:type="dxa"/>
              <w:bottom w:w="70" w:type="dxa"/>
              <w:right w:w="100" w:type="dxa"/>
            </w:tcMar>
            <w:vAlign w:val="center"/>
          </w:tcPr>
          <w:p w14:paraId="6F7E390A" w14:textId="77777777" w:rsidR="00002650" w:rsidRDefault="00002650" w:rsidP="00F96983">
            <w:pPr>
              <w:spacing w:after="0" w:line="240" w:lineRule="auto"/>
            </w:pPr>
            <w:r>
              <w:rPr>
                <w:rFonts w:ascii="Times New Roman" w:eastAsia="Times New Roman" w:hAnsi="Times New Roman"/>
                <w:color w:val="000000"/>
                <w:sz w:val="17"/>
              </w:rPr>
              <w:t>Regime interval</w:t>
            </w:r>
          </w:p>
        </w:tc>
        <w:tc>
          <w:tcPr>
            <w:tcW w:w="4248" w:type="dxa"/>
            <w:shd w:val="clear" w:color="auto" w:fill="FFFFFF"/>
            <w:tcMar>
              <w:top w:w="70" w:type="dxa"/>
              <w:left w:w="100" w:type="dxa"/>
              <w:bottom w:w="70" w:type="dxa"/>
              <w:right w:w="100" w:type="dxa"/>
            </w:tcMar>
            <w:vAlign w:val="center"/>
          </w:tcPr>
          <w:p w14:paraId="585F210E" w14:textId="77777777" w:rsidR="00002650" w:rsidRDefault="00002650" w:rsidP="00F96983">
            <w:pPr>
              <w:spacing w:after="0" w:line="240" w:lineRule="auto"/>
            </w:pPr>
            <w:r>
              <w:rPr>
                <w:rFonts w:ascii="Times New Roman" w:eastAsia="Times New Roman" w:hAnsi="Times New Roman"/>
                <w:color w:val="000000"/>
                <w:sz w:val="17"/>
              </w:rPr>
              <w:t>Class, start and end coordinates, rule, persistence, evidence basis</w:t>
            </w:r>
          </w:p>
        </w:tc>
        <w:tc>
          <w:tcPr>
            <w:tcW w:w="3427" w:type="dxa"/>
            <w:shd w:val="clear" w:color="auto" w:fill="FFFFFF"/>
            <w:tcMar>
              <w:top w:w="70" w:type="dxa"/>
              <w:left w:w="100" w:type="dxa"/>
              <w:bottom w:w="70" w:type="dxa"/>
              <w:right w:w="100" w:type="dxa"/>
            </w:tcMar>
            <w:vAlign w:val="center"/>
          </w:tcPr>
          <w:p w14:paraId="5483E9A1" w14:textId="77777777" w:rsidR="00002650" w:rsidRDefault="00002650" w:rsidP="00F96983">
            <w:pPr>
              <w:spacing w:after="0" w:line="240" w:lineRule="auto"/>
            </w:pPr>
            <w:r>
              <w:rPr>
                <w:rFonts w:ascii="Times New Roman" w:eastAsia="Times New Roman" w:hAnsi="Times New Roman"/>
                <w:color w:val="000000"/>
                <w:sz w:val="17"/>
              </w:rPr>
              <w:t>Single-point fluctuation represented as sustained regime</w:t>
            </w:r>
          </w:p>
        </w:tc>
      </w:tr>
      <w:tr w:rsidR="00002650" w14:paraId="7E3B2B45" w14:textId="77777777">
        <w:trPr>
          <w:cantSplit/>
          <w:jc w:val="center"/>
        </w:trPr>
        <w:tc>
          <w:tcPr>
            <w:tcW w:w="2044" w:type="dxa"/>
            <w:shd w:val="clear" w:color="auto" w:fill="F6F9FB"/>
            <w:tcMar>
              <w:top w:w="70" w:type="dxa"/>
              <w:left w:w="100" w:type="dxa"/>
              <w:bottom w:w="70" w:type="dxa"/>
              <w:right w:w="100" w:type="dxa"/>
            </w:tcMar>
            <w:vAlign w:val="center"/>
          </w:tcPr>
          <w:p w14:paraId="0D462825" w14:textId="77777777" w:rsidR="00002650" w:rsidRDefault="00002650" w:rsidP="00F96983">
            <w:pPr>
              <w:spacing w:after="0" w:line="240" w:lineRule="auto"/>
            </w:pPr>
            <w:r>
              <w:rPr>
                <w:rFonts w:ascii="Times New Roman" w:eastAsia="Times New Roman" w:hAnsi="Times New Roman"/>
                <w:color w:val="000000"/>
                <w:sz w:val="17"/>
              </w:rPr>
              <w:t>Candidate boundary</w:t>
            </w:r>
          </w:p>
        </w:tc>
        <w:tc>
          <w:tcPr>
            <w:tcW w:w="4248" w:type="dxa"/>
            <w:shd w:val="clear" w:color="auto" w:fill="F6F9FB"/>
            <w:tcMar>
              <w:top w:w="70" w:type="dxa"/>
              <w:left w:w="100" w:type="dxa"/>
              <w:bottom w:w="70" w:type="dxa"/>
              <w:right w:w="100" w:type="dxa"/>
            </w:tcMar>
            <w:vAlign w:val="center"/>
          </w:tcPr>
          <w:p w14:paraId="577EC232" w14:textId="77777777" w:rsidR="00002650" w:rsidRDefault="00002650" w:rsidP="00F96983">
            <w:pPr>
              <w:spacing w:after="0" w:line="240" w:lineRule="auto"/>
            </w:pPr>
            <w:r>
              <w:rPr>
                <w:rFonts w:ascii="Times New Roman" w:eastAsia="Times New Roman" w:hAnsi="Times New Roman"/>
                <w:color w:val="000000"/>
                <w:sz w:val="17"/>
              </w:rPr>
              <w:t>Candidate rule, coordinate, support, unresolved confirmation</w:t>
            </w:r>
          </w:p>
        </w:tc>
        <w:tc>
          <w:tcPr>
            <w:tcW w:w="3427" w:type="dxa"/>
            <w:shd w:val="clear" w:color="auto" w:fill="F6F9FB"/>
            <w:tcMar>
              <w:top w:w="70" w:type="dxa"/>
              <w:left w:w="100" w:type="dxa"/>
              <w:bottom w:w="70" w:type="dxa"/>
              <w:right w:w="100" w:type="dxa"/>
            </w:tcMar>
            <w:vAlign w:val="center"/>
          </w:tcPr>
          <w:p w14:paraId="34ECDF31" w14:textId="77777777" w:rsidR="00002650" w:rsidRDefault="00002650" w:rsidP="00F96983">
            <w:pPr>
              <w:spacing w:after="0" w:line="240" w:lineRule="auto"/>
            </w:pPr>
            <w:r>
              <w:rPr>
                <w:rFonts w:ascii="Times New Roman" w:eastAsia="Times New Roman" w:hAnsi="Times New Roman"/>
                <w:color w:val="000000"/>
                <w:sz w:val="17"/>
              </w:rPr>
              <w:t>Candidate represented as confirmed exit</w:t>
            </w:r>
          </w:p>
        </w:tc>
      </w:tr>
      <w:tr w:rsidR="00002650" w14:paraId="7915855A" w14:textId="77777777">
        <w:trPr>
          <w:cantSplit/>
          <w:jc w:val="center"/>
        </w:trPr>
        <w:tc>
          <w:tcPr>
            <w:tcW w:w="2044" w:type="dxa"/>
            <w:shd w:val="clear" w:color="auto" w:fill="FFFFFF"/>
            <w:tcMar>
              <w:top w:w="70" w:type="dxa"/>
              <w:left w:w="100" w:type="dxa"/>
              <w:bottom w:w="70" w:type="dxa"/>
              <w:right w:w="100" w:type="dxa"/>
            </w:tcMar>
            <w:vAlign w:val="center"/>
          </w:tcPr>
          <w:p w14:paraId="3EF7F96B" w14:textId="77777777" w:rsidR="00002650" w:rsidRDefault="00002650" w:rsidP="00F96983">
            <w:pPr>
              <w:spacing w:after="0" w:line="240" w:lineRule="auto"/>
            </w:pPr>
            <w:r>
              <w:rPr>
                <w:rFonts w:ascii="Times New Roman" w:eastAsia="Times New Roman" w:hAnsi="Times New Roman"/>
                <w:color w:val="000000"/>
                <w:sz w:val="17"/>
              </w:rPr>
              <w:t>Confirmed Basin Exit</w:t>
            </w:r>
          </w:p>
        </w:tc>
        <w:tc>
          <w:tcPr>
            <w:tcW w:w="4248" w:type="dxa"/>
            <w:shd w:val="clear" w:color="auto" w:fill="FFFFFF"/>
            <w:tcMar>
              <w:top w:w="70" w:type="dxa"/>
              <w:left w:w="100" w:type="dxa"/>
              <w:bottom w:w="70" w:type="dxa"/>
              <w:right w:w="100" w:type="dxa"/>
            </w:tcMar>
            <w:vAlign w:val="center"/>
          </w:tcPr>
          <w:p w14:paraId="4A284162" w14:textId="77777777" w:rsidR="00002650" w:rsidRDefault="00002650" w:rsidP="00F96983">
            <w:pPr>
              <w:spacing w:after="0" w:line="240" w:lineRule="auto"/>
            </w:pPr>
            <w:r>
              <w:rPr>
                <w:rFonts w:ascii="Times New Roman" w:eastAsia="Times New Roman" w:hAnsi="Times New Roman"/>
                <w:color w:val="000000"/>
                <w:sz w:val="17"/>
              </w:rPr>
              <w:t>Crossing, persistence, declared boundary, confirmation coordinate</w:t>
            </w:r>
          </w:p>
        </w:tc>
        <w:tc>
          <w:tcPr>
            <w:tcW w:w="3427" w:type="dxa"/>
            <w:shd w:val="clear" w:color="auto" w:fill="FFFFFF"/>
            <w:tcMar>
              <w:top w:w="70" w:type="dxa"/>
              <w:left w:w="100" w:type="dxa"/>
              <w:bottom w:w="70" w:type="dxa"/>
              <w:right w:w="100" w:type="dxa"/>
            </w:tcMar>
            <w:vAlign w:val="center"/>
          </w:tcPr>
          <w:p w14:paraId="05611955" w14:textId="77777777" w:rsidR="00002650" w:rsidRDefault="00002650" w:rsidP="00F96983">
            <w:pPr>
              <w:spacing w:after="0" w:line="240" w:lineRule="auto"/>
            </w:pPr>
            <w:r>
              <w:rPr>
                <w:rFonts w:ascii="Times New Roman" w:eastAsia="Times New Roman" w:hAnsi="Times New Roman"/>
                <w:color w:val="000000"/>
                <w:sz w:val="17"/>
              </w:rPr>
              <w:t>Hidden internal failure or universal instability claim</w:t>
            </w:r>
          </w:p>
        </w:tc>
      </w:tr>
      <w:tr w:rsidR="00002650" w14:paraId="60FA9EC5" w14:textId="77777777">
        <w:trPr>
          <w:cantSplit/>
          <w:jc w:val="center"/>
        </w:trPr>
        <w:tc>
          <w:tcPr>
            <w:tcW w:w="2044" w:type="dxa"/>
            <w:shd w:val="clear" w:color="auto" w:fill="F6F9FB"/>
            <w:tcMar>
              <w:top w:w="70" w:type="dxa"/>
              <w:left w:w="100" w:type="dxa"/>
              <w:bottom w:w="70" w:type="dxa"/>
              <w:right w:w="100" w:type="dxa"/>
            </w:tcMar>
            <w:vAlign w:val="center"/>
          </w:tcPr>
          <w:p w14:paraId="49A9C5BB" w14:textId="77777777" w:rsidR="00002650" w:rsidRDefault="00002650" w:rsidP="00F96983">
            <w:pPr>
              <w:spacing w:after="0" w:line="240" w:lineRule="auto"/>
            </w:pPr>
            <w:r>
              <w:rPr>
                <w:rFonts w:ascii="Times New Roman" w:eastAsia="Times New Roman" w:hAnsi="Times New Roman"/>
                <w:color w:val="000000"/>
                <w:sz w:val="17"/>
              </w:rPr>
              <w:t>Observable failure</w:t>
            </w:r>
          </w:p>
        </w:tc>
        <w:tc>
          <w:tcPr>
            <w:tcW w:w="4248" w:type="dxa"/>
            <w:shd w:val="clear" w:color="auto" w:fill="F6F9FB"/>
            <w:tcMar>
              <w:top w:w="70" w:type="dxa"/>
              <w:left w:w="100" w:type="dxa"/>
              <w:bottom w:w="70" w:type="dxa"/>
              <w:right w:w="100" w:type="dxa"/>
            </w:tcMar>
            <w:vAlign w:val="center"/>
          </w:tcPr>
          <w:p w14:paraId="1113707A" w14:textId="77777777" w:rsidR="00002650" w:rsidRDefault="00002650" w:rsidP="00F96983">
            <w:pPr>
              <w:spacing w:after="0" w:line="240" w:lineRule="auto"/>
            </w:pPr>
            <w:r>
              <w:rPr>
                <w:rFonts w:ascii="Times New Roman" w:eastAsia="Times New Roman" w:hAnsi="Times New Roman"/>
                <w:color w:val="000000"/>
                <w:sz w:val="17"/>
              </w:rPr>
              <w:t>Source-supplied or independently declared failure rule and coordinate</w:t>
            </w:r>
          </w:p>
        </w:tc>
        <w:tc>
          <w:tcPr>
            <w:tcW w:w="3427" w:type="dxa"/>
            <w:shd w:val="clear" w:color="auto" w:fill="F6F9FB"/>
            <w:tcMar>
              <w:top w:w="70" w:type="dxa"/>
              <w:left w:w="100" w:type="dxa"/>
              <w:bottom w:w="70" w:type="dxa"/>
              <w:right w:w="100" w:type="dxa"/>
            </w:tcMar>
            <w:vAlign w:val="center"/>
          </w:tcPr>
          <w:p w14:paraId="31CEAE1F" w14:textId="77777777" w:rsidR="00002650" w:rsidRDefault="00002650" w:rsidP="00F96983">
            <w:pPr>
              <w:spacing w:after="0" w:line="240" w:lineRule="auto"/>
            </w:pPr>
            <w:r>
              <w:rPr>
                <w:rFonts w:ascii="Times New Roman" w:eastAsia="Times New Roman" w:hAnsi="Times New Roman"/>
                <w:color w:val="000000"/>
                <w:sz w:val="17"/>
              </w:rPr>
              <w:t>Failure inferred solely from a precursor score</w:t>
            </w:r>
          </w:p>
        </w:tc>
      </w:tr>
      <w:tr w:rsidR="00002650" w14:paraId="14E4EAF7" w14:textId="77777777">
        <w:trPr>
          <w:cantSplit/>
          <w:jc w:val="center"/>
        </w:trPr>
        <w:tc>
          <w:tcPr>
            <w:tcW w:w="2044" w:type="dxa"/>
            <w:shd w:val="clear" w:color="auto" w:fill="FFFFFF"/>
            <w:tcMar>
              <w:top w:w="70" w:type="dxa"/>
              <w:left w:w="100" w:type="dxa"/>
              <w:bottom w:w="70" w:type="dxa"/>
              <w:right w:w="100" w:type="dxa"/>
            </w:tcMar>
            <w:vAlign w:val="center"/>
          </w:tcPr>
          <w:p w14:paraId="09A9DEA9" w14:textId="77777777" w:rsidR="00002650" w:rsidRDefault="00002650" w:rsidP="00F96983">
            <w:pPr>
              <w:spacing w:after="0" w:line="240" w:lineRule="auto"/>
            </w:pPr>
            <w:r>
              <w:rPr>
                <w:rFonts w:ascii="Times New Roman" w:eastAsia="Times New Roman" w:hAnsi="Times New Roman"/>
                <w:color w:val="000000"/>
                <w:sz w:val="17"/>
              </w:rPr>
              <w:t>Recovery</w:t>
            </w:r>
          </w:p>
        </w:tc>
        <w:tc>
          <w:tcPr>
            <w:tcW w:w="4248" w:type="dxa"/>
            <w:shd w:val="clear" w:color="auto" w:fill="FFFFFF"/>
            <w:tcMar>
              <w:top w:w="70" w:type="dxa"/>
              <w:left w:w="100" w:type="dxa"/>
              <w:bottom w:w="70" w:type="dxa"/>
              <w:right w:w="100" w:type="dxa"/>
            </w:tcMar>
            <w:vAlign w:val="center"/>
          </w:tcPr>
          <w:p w14:paraId="54CFACDF" w14:textId="77777777" w:rsidR="00002650" w:rsidRDefault="00002650" w:rsidP="00F96983">
            <w:pPr>
              <w:spacing w:after="0" w:line="240" w:lineRule="auto"/>
            </w:pPr>
            <w:r>
              <w:rPr>
                <w:rFonts w:ascii="Times New Roman" w:eastAsia="Times New Roman" w:hAnsi="Times New Roman"/>
                <w:color w:val="000000"/>
                <w:sz w:val="17"/>
              </w:rPr>
              <w:t>Sustained restoration or reorganization under declared criteria</w:t>
            </w:r>
          </w:p>
        </w:tc>
        <w:tc>
          <w:tcPr>
            <w:tcW w:w="3427" w:type="dxa"/>
            <w:shd w:val="clear" w:color="auto" w:fill="FFFFFF"/>
            <w:tcMar>
              <w:top w:w="70" w:type="dxa"/>
              <w:left w:w="100" w:type="dxa"/>
              <w:bottom w:w="70" w:type="dxa"/>
              <w:right w:w="100" w:type="dxa"/>
            </w:tcMar>
            <w:vAlign w:val="center"/>
          </w:tcPr>
          <w:p w14:paraId="3E27B8AF" w14:textId="77777777" w:rsidR="00002650" w:rsidRDefault="00002650" w:rsidP="00F96983">
            <w:pPr>
              <w:spacing w:after="0" w:line="240" w:lineRule="auto"/>
            </w:pPr>
            <w:r>
              <w:rPr>
                <w:rFonts w:ascii="Times New Roman" w:eastAsia="Times New Roman" w:hAnsi="Times New Roman"/>
                <w:color w:val="000000"/>
                <w:sz w:val="17"/>
              </w:rPr>
              <w:t>One corrected event represented as durable recovery</w:t>
            </w:r>
          </w:p>
        </w:tc>
      </w:tr>
      <w:tr w:rsidR="00002650" w14:paraId="346B1A06" w14:textId="77777777">
        <w:trPr>
          <w:cantSplit/>
          <w:jc w:val="center"/>
        </w:trPr>
        <w:tc>
          <w:tcPr>
            <w:tcW w:w="2044" w:type="dxa"/>
            <w:shd w:val="clear" w:color="auto" w:fill="F6F9FB"/>
            <w:tcMar>
              <w:top w:w="70" w:type="dxa"/>
              <w:left w:w="100" w:type="dxa"/>
              <w:bottom w:w="70" w:type="dxa"/>
              <w:right w:w="100" w:type="dxa"/>
            </w:tcMar>
            <w:vAlign w:val="center"/>
          </w:tcPr>
          <w:p w14:paraId="2D16D3F5" w14:textId="77777777" w:rsidR="00002650" w:rsidRDefault="00002650" w:rsidP="00F96983">
            <w:pPr>
              <w:spacing w:after="0" w:line="240" w:lineRule="auto"/>
            </w:pPr>
            <w:r>
              <w:rPr>
                <w:rFonts w:ascii="Times New Roman" w:eastAsia="Times New Roman" w:hAnsi="Times New Roman"/>
                <w:color w:val="000000"/>
                <w:sz w:val="17"/>
              </w:rPr>
              <w:t>Re-entry</w:t>
            </w:r>
          </w:p>
        </w:tc>
        <w:tc>
          <w:tcPr>
            <w:tcW w:w="4248" w:type="dxa"/>
            <w:shd w:val="clear" w:color="auto" w:fill="F6F9FB"/>
            <w:tcMar>
              <w:top w:w="70" w:type="dxa"/>
              <w:left w:w="100" w:type="dxa"/>
              <w:bottom w:w="70" w:type="dxa"/>
              <w:right w:w="100" w:type="dxa"/>
            </w:tcMar>
            <w:vAlign w:val="center"/>
          </w:tcPr>
          <w:p w14:paraId="5FCE29C1" w14:textId="77777777" w:rsidR="00002650" w:rsidRDefault="00002650" w:rsidP="00F96983">
            <w:pPr>
              <w:spacing w:after="0" w:line="240" w:lineRule="auto"/>
            </w:pPr>
            <w:r>
              <w:rPr>
                <w:rFonts w:ascii="Times New Roman" w:eastAsia="Times New Roman" w:hAnsi="Times New Roman"/>
                <w:color w:val="000000"/>
                <w:sz w:val="17"/>
              </w:rPr>
              <w:t>Return from a declared departure into an admissible region</w:t>
            </w:r>
          </w:p>
        </w:tc>
        <w:tc>
          <w:tcPr>
            <w:tcW w:w="3427" w:type="dxa"/>
            <w:shd w:val="clear" w:color="auto" w:fill="F6F9FB"/>
            <w:tcMar>
              <w:top w:w="70" w:type="dxa"/>
              <w:left w:w="100" w:type="dxa"/>
              <w:bottom w:w="70" w:type="dxa"/>
              <w:right w:w="100" w:type="dxa"/>
            </w:tcMar>
            <w:vAlign w:val="center"/>
          </w:tcPr>
          <w:p w14:paraId="0324C375" w14:textId="77777777" w:rsidR="00002650" w:rsidRDefault="00002650" w:rsidP="00F96983">
            <w:pPr>
              <w:spacing w:after="0" w:line="240" w:lineRule="auto"/>
            </w:pPr>
            <w:r>
              <w:rPr>
                <w:rFonts w:ascii="Times New Roman" w:eastAsia="Times New Roman" w:hAnsi="Times New Roman"/>
                <w:color w:val="000000"/>
                <w:sz w:val="17"/>
              </w:rPr>
              <w:t>Return represented as restoration of the identical prior state</w:t>
            </w:r>
          </w:p>
        </w:tc>
      </w:tr>
    </w:tbl>
    <w:p w14:paraId="0BD22CB4" w14:textId="77777777" w:rsidR="00002650" w:rsidRDefault="00002650" w:rsidP="00002650">
      <w:pPr>
        <w:spacing w:after="20"/>
      </w:pPr>
    </w:p>
    <w:p w14:paraId="1909BBAD" w14:textId="77777777" w:rsidR="00002650" w:rsidRDefault="00002650" w:rsidP="00002650">
      <w:pPr>
        <w:spacing w:after="94"/>
      </w:pPr>
      <w:r>
        <w:rPr>
          <w:rFonts w:ascii="Times New Roman" w:eastAsia="Times New Roman" w:hAnsi="Times New Roman"/>
          <w:color w:val="000000"/>
          <w:sz w:val="20"/>
        </w:rPr>
        <w:t>The architecture does not require one universal regime ontology. It requires that whichever ontology governs a run remain versioned, inspectable, and distinguishable from alternatives.</w:t>
      </w:r>
    </w:p>
    <w:p w14:paraId="25719DDD" w14:textId="77777777" w:rsidR="00002650" w:rsidRDefault="00002650" w:rsidP="00002650">
      <w:pPr>
        <w:pStyle w:val="Heading2"/>
      </w:pPr>
      <w:r>
        <w:rPr>
          <w:rFonts w:ascii="Arial" w:eastAsia="Times New Roman" w:hAnsi="Arial"/>
          <w:color w:val="000000"/>
          <w:sz w:val="23"/>
        </w:rPr>
        <w:t>Formation Continuity and Re-entry</w:t>
      </w:r>
    </w:p>
    <w:p w14:paraId="12C1DBBD" w14:textId="77777777" w:rsidR="00002650" w:rsidRDefault="00002650" w:rsidP="00002650">
      <w:pPr>
        <w:keepLines/>
        <w:spacing w:after="94"/>
      </w:pPr>
      <w:r>
        <w:rPr>
          <w:rFonts w:ascii="Times New Roman" w:eastAsia="Times New Roman" w:hAnsi="Times New Roman"/>
          <w:color w:val="000000"/>
          <w:sz w:val="20"/>
        </w:rPr>
        <w:t>Observable continuity may form through recurrence of roles, vocabulary, constraints, objectives, procedures, or interaction patterns. A system may adapt while retaining a relationship to earlier organization. It may also repeat surface language while losing the constraints that made earlier behavior coherent.</w:t>
      </w:r>
    </w:p>
    <w:p w14:paraId="32179AD5" w14:textId="77777777" w:rsidR="00002650" w:rsidRDefault="00002650" w:rsidP="00002650">
      <w:pPr>
        <w:spacing w:after="94"/>
      </w:pPr>
      <w:r>
        <w:rPr>
          <w:rFonts w:ascii="Times New Roman" w:eastAsia="Times New Roman" w:hAnsi="Times New Roman"/>
          <w:color w:val="000000"/>
          <w:sz w:val="20"/>
        </w:rPr>
        <w:t>The architecture represents the evidence needed to investigate those differences: initial anchors, recurrence, modulation, reflection-like structures, re-anchoring, fragmentation, and repeated formation cycles. These are observable classifications. They do not establish consciousness, subjective identity, memory retrieval, cognition, agency, or an internal self.</w:t>
      </w:r>
    </w:p>
    <w:p w14:paraId="4E9BA78F" w14:textId="77777777" w:rsidR="00002650" w:rsidRPr="00002650" w:rsidRDefault="00002650" w:rsidP="00002650">
      <w:pPr>
        <w:pStyle w:val="Heading1"/>
        <w:rPr>
          <w:b/>
          <w:bCs/>
          <w:color w:val="4F46E5"/>
        </w:rPr>
      </w:pPr>
      <w:r w:rsidRPr="00002650">
        <w:rPr>
          <w:rFonts w:ascii="Arial" w:eastAsia="Times New Roman" w:hAnsi="Arial"/>
          <w:b/>
          <w:bCs/>
          <w:color w:val="4F46E5"/>
          <w:sz w:val="29"/>
        </w:rPr>
        <w:t>Measurement and Instrument Binding</w:t>
      </w:r>
    </w:p>
    <w:p w14:paraId="4477EC0B" w14:textId="77777777" w:rsidR="00002650" w:rsidRDefault="00002650" w:rsidP="00002650">
      <w:pPr>
        <w:pStyle w:val="Heading2"/>
      </w:pPr>
      <w:r>
        <w:rPr>
          <w:rFonts w:ascii="Arial" w:eastAsia="Times New Roman" w:hAnsi="Arial"/>
          <w:color w:val="000000"/>
          <w:sz w:val="23"/>
        </w:rPr>
        <w:t>Measurement Contracts</w:t>
      </w:r>
    </w:p>
    <w:p w14:paraId="47A74CB2" w14:textId="77777777" w:rsidR="00002650" w:rsidRDefault="00002650" w:rsidP="00002650">
      <w:pPr>
        <w:keepLines/>
        <w:spacing w:after="94"/>
      </w:pPr>
      <w:r>
        <w:rPr>
          <w:rFonts w:ascii="Times New Roman" w:eastAsia="Times New Roman" w:hAnsi="Times New Roman"/>
          <w:color w:val="000000"/>
          <w:sz w:val="20"/>
        </w:rPr>
        <w:t>A measurement is not defined by its display label. It requires eligible inputs, method identity, parameters, temporal scope, units or normalization, missingness behavior, valid range, precision, reference assets, uncertainty, legitimacy, allowed interpretations, prohibited claims, and version.</w:t>
      </w:r>
    </w:p>
    <w:p w14:paraId="78361550" w14:textId="77777777" w:rsidR="00002650" w:rsidRDefault="00002650" w:rsidP="00002650">
      <w:pPr>
        <w:keepNext/>
        <w:spacing w:after="94"/>
      </w:pPr>
      <w:r>
        <w:rPr>
          <w:rFonts w:ascii="Times New Roman" w:eastAsia="Times New Roman" w:hAnsi="Times New Roman"/>
          <w:color w:val="000000"/>
          <w:sz w:val="20"/>
        </w:rPr>
        <w:t>A time-indexed signal is:</w:t>
      </w:r>
    </w:p>
    <w:p w14:paraId="4DDC974C" w14:textId="77777777" w:rsidR="00002650" w:rsidRDefault="00002650" w:rsidP="00002650">
      <w:pPr>
        <w:spacing w:before="60" w:after="100"/>
        <w:jc w:val="center"/>
      </w:pPr>
      <w:r>
        <w:rPr>
          <w:noProof/>
        </w:rPr>
        <w:drawing>
          <wp:inline distT="0" distB="0" distL="0" distR="0" wp14:anchorId="3B9F88E6" wp14:editId="7253AE3A">
            <wp:extent cx="2343912" cy="271272"/>
            <wp:effectExtent l="0" t="0" r="0" b="0"/>
            <wp:docPr id="6" name="Picture 6" descr="x_{k,j} = f_{j,C}(L_{\preceq k},\,R_{\preceq k},\,D_k)" title="Displayed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6.png"/>
                    <pic:cNvPicPr/>
                  </pic:nvPicPr>
                  <pic:blipFill>
                    <a:blip r:embed="rId16"/>
                    <a:stretch>
                      <a:fillRect/>
                    </a:stretch>
                  </pic:blipFill>
                  <pic:spPr>
                    <a:xfrm>
                      <a:off x="0" y="0"/>
                      <a:ext cx="2343912" cy="271272"/>
                    </a:xfrm>
                    <a:prstGeom prst="rect">
                      <a:avLst/>
                    </a:prstGeom>
                  </pic:spPr>
                </pic:pic>
              </a:graphicData>
            </a:graphic>
          </wp:inline>
        </w:drawing>
      </w:r>
    </w:p>
    <w:p w14:paraId="22A5148E" w14:textId="77777777" w:rsidR="00002650" w:rsidRDefault="00002650" w:rsidP="00002650">
      <w:pPr>
        <w:spacing w:after="94"/>
      </w:pPr>
      <w:r>
        <w:rPr>
          <w:rFonts w:ascii="Times New Roman" w:eastAsia="Times New Roman" w:hAnsi="Times New Roman"/>
          <w:color w:val="000000"/>
          <w:sz w:val="20"/>
        </w:rPr>
        <w:t xml:space="preserve">where </w:t>
      </w:r>
      <w:proofErr w:type="spellStart"/>
      <w:r>
        <w:rPr>
          <w:rFonts w:ascii="Times New Roman" w:eastAsia="Times New Roman" w:hAnsi="Times New Roman"/>
          <w:b/>
          <w:color w:val="000000"/>
          <w:sz w:val="20"/>
        </w:rPr>
        <w:t>f_j,C</w:t>
      </w:r>
      <w:proofErr w:type="spellEnd"/>
      <w:r>
        <w:rPr>
          <w:rFonts w:ascii="Times New Roman" w:eastAsia="Times New Roman" w:hAnsi="Times New Roman"/>
          <w:color w:val="000000"/>
          <w:sz w:val="20"/>
        </w:rPr>
        <w:t xml:space="preserve"> is the versioned method, </w:t>
      </w:r>
      <w:r>
        <w:rPr>
          <w:rFonts w:ascii="Times New Roman" w:eastAsia="Times New Roman" w:hAnsi="Times New Roman"/>
          <w:b/>
          <w:color w:val="000000"/>
          <w:sz w:val="20"/>
        </w:rPr>
        <w:t>L</w:t>
      </w:r>
      <w:r>
        <w:rPr>
          <w:rFonts w:ascii="Times New Roman" w:eastAsia="Times New Roman" w:hAnsi="Times New Roman"/>
          <w:color w:val="000000"/>
          <w:sz w:val="20"/>
        </w:rPr>
        <w:t xml:space="preserve"> and </w:t>
      </w:r>
      <w:r>
        <w:rPr>
          <w:rFonts w:ascii="Times New Roman" w:eastAsia="Times New Roman" w:hAnsi="Times New Roman"/>
          <w:b/>
          <w:color w:val="000000"/>
          <w:sz w:val="20"/>
        </w:rPr>
        <w:t>R</w:t>
      </w:r>
      <w:r>
        <w:rPr>
          <w:rFonts w:ascii="Times New Roman" w:eastAsia="Times New Roman" w:hAnsi="Times New Roman"/>
          <w:color w:val="000000"/>
          <w:sz w:val="20"/>
        </w:rPr>
        <w:t xml:space="preserve"> provide eligible canonical and role-interaction evidence through position </w:t>
      </w:r>
      <w:r>
        <w:rPr>
          <w:rFonts w:ascii="Times New Roman" w:eastAsia="Times New Roman" w:hAnsi="Times New Roman"/>
          <w:b/>
          <w:color w:val="000000"/>
          <w:sz w:val="20"/>
        </w:rPr>
        <w:t>k</w:t>
      </w:r>
      <w:r>
        <w:rPr>
          <w:rFonts w:ascii="Times New Roman" w:eastAsia="Times New Roman" w:hAnsi="Times New Roman"/>
          <w:color w:val="000000"/>
          <w:sz w:val="20"/>
        </w:rPr>
        <w:t xml:space="preserve">, and </w:t>
      </w:r>
      <w:proofErr w:type="spellStart"/>
      <w:r>
        <w:rPr>
          <w:rFonts w:ascii="Times New Roman" w:eastAsia="Times New Roman" w:hAnsi="Times New Roman"/>
          <w:b/>
          <w:color w:val="000000"/>
          <w:sz w:val="20"/>
        </w:rPr>
        <w:t>D_k</w:t>
      </w:r>
      <w:proofErr w:type="spellEnd"/>
      <w:r>
        <w:rPr>
          <w:rFonts w:ascii="Times New Roman" w:eastAsia="Times New Roman" w:hAnsi="Times New Roman"/>
          <w:color w:val="000000"/>
          <w:sz w:val="20"/>
        </w:rPr>
        <w:t xml:space="preserve"> contains other declared dependencies available within the horizon. A retrospective method may use a different horizon, but its output must remain distinguishable.</w:t>
      </w:r>
    </w:p>
    <w:p w14:paraId="32124C2D" w14:textId="77777777" w:rsidR="00002650" w:rsidRDefault="00002650" w:rsidP="00002650">
      <w:pPr>
        <w:pStyle w:val="Heading2"/>
      </w:pPr>
      <w:r>
        <w:rPr>
          <w:rFonts w:ascii="Arial" w:eastAsia="Times New Roman" w:hAnsi="Arial"/>
          <w:color w:val="000000"/>
          <w:sz w:val="23"/>
        </w:rPr>
        <w:t>Runtime Signal Authority and Metric Legitimacy</w:t>
      </w:r>
    </w:p>
    <w:p w14:paraId="030123DB" w14:textId="77777777" w:rsidR="00002650" w:rsidRDefault="00002650" w:rsidP="00002650">
      <w:pPr>
        <w:keepLines/>
        <w:spacing w:after="94"/>
      </w:pPr>
      <w:r>
        <w:rPr>
          <w:rFonts w:ascii="Times New Roman" w:eastAsia="Times New Roman" w:hAnsi="Times New Roman"/>
          <w:color w:val="000000"/>
          <w:sz w:val="20"/>
        </w:rPr>
        <w:t>The Runtime Signal Authority registers which measurement methods exist and what they may consume and produce. The metric-legitimacy matrix records the evidentiary standing of instantiated values within a particular run. Registration, availability, reproducibility, construct validity, and calibration are separate properties.</w:t>
      </w:r>
    </w:p>
    <w:p w14:paraId="5DC9434D" w14:textId="77777777" w:rsidR="00002650" w:rsidRDefault="00002650" w:rsidP="00002650">
      <w:pPr>
        <w:spacing w:after="94"/>
      </w:pPr>
      <w:r>
        <w:rPr>
          <w:rFonts w:ascii="Times New Roman" w:eastAsia="Times New Roman" w:hAnsi="Times New Roman"/>
          <w:color w:val="000000"/>
          <w:sz w:val="20"/>
        </w:rPr>
        <w:t>A registered method can return unavailable when its dependencies are absent. A reproducible value can remain a proxy. A calibrated measure in one source family can remain experimental in another. The architecture must carry these states with the value rather than relying on a reader to infer them.</w:t>
      </w:r>
    </w:p>
    <w:p w14:paraId="0D27CA67" w14:textId="77777777" w:rsidR="00002650" w:rsidRDefault="00002650" w:rsidP="00002650">
      <w:pPr>
        <w:pStyle w:val="Heading2"/>
      </w:pPr>
      <w:r>
        <w:rPr>
          <w:rFonts w:ascii="Arial" w:eastAsia="Times New Roman" w:hAnsi="Arial"/>
          <w:color w:val="000000"/>
          <w:sz w:val="23"/>
        </w:rPr>
        <w:t>Bounded Instrument Projections</w:t>
      </w:r>
    </w:p>
    <w:p w14:paraId="4A8C8B56" w14:textId="77777777" w:rsidR="00002650" w:rsidRDefault="00002650" w:rsidP="00002650">
      <w:pPr>
        <w:keepNext/>
        <w:keepLines/>
        <w:spacing w:after="94"/>
      </w:pPr>
      <w:r>
        <w:rPr>
          <w:rFonts w:ascii="Times New Roman" w:eastAsia="Times New Roman" w:hAnsi="Times New Roman"/>
          <w:color w:val="000000"/>
          <w:sz w:val="20"/>
        </w:rPr>
        <w:t>An instrument is a contract-governed projection of authorized runtime evidence:</w:t>
      </w:r>
    </w:p>
    <w:p w14:paraId="0CCA4BBF" w14:textId="77777777" w:rsidR="00002650" w:rsidRDefault="00002650" w:rsidP="00002650">
      <w:pPr>
        <w:spacing w:before="60" w:after="100"/>
        <w:jc w:val="center"/>
      </w:pPr>
      <w:r>
        <w:rPr>
          <w:noProof/>
        </w:rPr>
        <w:drawing>
          <wp:inline distT="0" distB="0" distL="0" distR="0" wp14:anchorId="0F4FDCA3" wp14:editId="05D00C8B">
            <wp:extent cx="1588008" cy="271272"/>
            <wp:effectExtent l="0" t="0" r="0" b="0"/>
            <wp:docPr id="7" name="Picture 7" descr="P_j = \pi_{j,C}(E_C,\,\mathcal{A}_C)" title="Displayed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7.png"/>
                    <pic:cNvPicPr/>
                  </pic:nvPicPr>
                  <pic:blipFill>
                    <a:blip r:embed="rId17"/>
                    <a:stretch>
                      <a:fillRect/>
                    </a:stretch>
                  </pic:blipFill>
                  <pic:spPr>
                    <a:xfrm>
                      <a:off x="0" y="0"/>
                      <a:ext cx="1588008" cy="271272"/>
                    </a:xfrm>
                    <a:prstGeom prst="rect">
                      <a:avLst/>
                    </a:prstGeom>
                  </pic:spPr>
                </pic:pic>
              </a:graphicData>
            </a:graphic>
          </wp:inline>
        </w:drawing>
      </w:r>
    </w:p>
    <w:p w14:paraId="47C88846" w14:textId="77777777" w:rsidR="00002650" w:rsidRDefault="00002650" w:rsidP="00002650">
      <w:pPr>
        <w:spacing w:after="94"/>
      </w:pPr>
      <w:r>
        <w:rPr>
          <w:rFonts w:ascii="Times New Roman" w:eastAsia="Times New Roman" w:hAnsi="Times New Roman"/>
          <w:color w:val="000000"/>
          <w:sz w:val="20"/>
        </w:rPr>
        <w:t>The projection may select, aggregate, compare, visualize, or summarize authorized content. It cannot independently change the canonical event history, temporal coordinates, markers, regimes, source identity, run identity, or claim boundary. A new calculation introduced inside a projection must become a registered method with declared dependencies and legitimacy.</w:t>
      </w:r>
    </w:p>
    <w:p w14:paraId="7320AD82" w14:textId="77777777" w:rsidR="00002650" w:rsidRDefault="00002650" w:rsidP="00002650">
      <w:pPr>
        <w:spacing w:after="94"/>
      </w:pPr>
      <w:r>
        <w:rPr>
          <w:rFonts w:ascii="Times New Roman" w:eastAsia="Times New Roman" w:hAnsi="Times New Roman"/>
          <w:color w:val="000000"/>
          <w:sz w:val="20"/>
        </w:rPr>
        <w:t>Instrument findings must preserve the instrument and contract version, source and frame references, contributing signals, evidence horizon, availability, confidence or uncertainty posture, claim boundary, and prohibited extensions. A visual form may change without changing the finding. A changed computation requires a changed method or finding version.</w:t>
      </w:r>
    </w:p>
    <w:p w14:paraId="47AD4A63" w14:textId="77777777" w:rsidR="00002650" w:rsidRDefault="00002650" w:rsidP="00002650">
      <w:pPr>
        <w:pStyle w:val="Heading2"/>
      </w:pPr>
      <w:r>
        <w:rPr>
          <w:rFonts w:ascii="Arial" w:eastAsia="Times New Roman" w:hAnsi="Arial"/>
          <w:color w:val="000000"/>
          <w:sz w:val="23"/>
        </w:rPr>
        <w:t>Shared Evidence Is Not Independent Corroboration</w:t>
      </w:r>
    </w:p>
    <w:p w14:paraId="5E0BA309" w14:textId="77777777" w:rsidR="00002650" w:rsidRDefault="00002650" w:rsidP="00002650">
      <w:pPr>
        <w:keepLines/>
        <w:spacing w:after="94"/>
      </w:pPr>
      <w:r>
        <w:rPr>
          <w:rFonts w:ascii="Times New Roman" w:eastAsia="Times New Roman" w:hAnsi="Times New Roman"/>
          <w:color w:val="000000"/>
          <w:sz w:val="20"/>
        </w:rPr>
        <w:t>Several instruments may converge because they examine related properties of the same evidence object. That convergence can support internal coherence and reveal complementary structure. It is not independent replication or multiple-witness corroboration when the instruments share source material, canonicalization, signals, thresholds, or other dependencies.</w:t>
      </w:r>
    </w:p>
    <w:p w14:paraId="7F7A7FC2" w14:textId="77777777" w:rsidR="00002650" w:rsidRDefault="00002650" w:rsidP="00002650">
      <w:pPr>
        <w:spacing w:after="94"/>
      </w:pPr>
      <w:r>
        <w:rPr>
          <w:rFonts w:ascii="Times New Roman" w:eastAsia="Times New Roman" w:hAnsi="Times New Roman"/>
          <w:color w:val="000000"/>
          <w:sz w:val="20"/>
        </w:rPr>
        <w:t>The architecture should make shared dependencies visible. Independent corroboration requires a genuinely independent source, method, system, or evaluator under declared conditions. Agreement among projections remains valuable, but its authority must not be inflated.</w:t>
      </w:r>
    </w:p>
    <w:p w14:paraId="19844079" w14:textId="77777777" w:rsidR="00002650" w:rsidRPr="00002650" w:rsidRDefault="00002650" w:rsidP="00002650">
      <w:pPr>
        <w:pStyle w:val="Heading1"/>
        <w:rPr>
          <w:b/>
          <w:bCs/>
          <w:color w:val="4F46E5"/>
        </w:rPr>
      </w:pPr>
      <w:r w:rsidRPr="00002650">
        <w:rPr>
          <w:rFonts w:ascii="Arial" w:eastAsia="Times New Roman" w:hAnsi="Arial"/>
          <w:b/>
          <w:bCs/>
          <w:color w:val="4F46E5"/>
          <w:sz w:val="29"/>
        </w:rPr>
        <w:t>Investigation Replay and Human Interpretation</w:t>
      </w:r>
    </w:p>
    <w:p w14:paraId="01AA1357" w14:textId="77777777" w:rsidR="00002650" w:rsidRDefault="00002650" w:rsidP="00002650">
      <w:pPr>
        <w:pStyle w:val="Heading2"/>
      </w:pPr>
      <w:r>
        <w:rPr>
          <w:rFonts w:ascii="Arial" w:eastAsia="Times New Roman" w:hAnsi="Arial"/>
          <w:color w:val="000000"/>
          <w:sz w:val="23"/>
        </w:rPr>
        <w:t>Investigative Questions as Architectural Objects</w:t>
      </w:r>
    </w:p>
    <w:p w14:paraId="74B4989D" w14:textId="77777777" w:rsidR="00002650" w:rsidRDefault="00002650" w:rsidP="00002650">
      <w:pPr>
        <w:keepLines/>
        <w:spacing w:after="94"/>
      </w:pPr>
      <w:r>
        <w:rPr>
          <w:rFonts w:ascii="Times New Roman" w:eastAsia="Times New Roman" w:hAnsi="Times New Roman"/>
          <w:color w:val="000000"/>
          <w:sz w:val="20"/>
        </w:rPr>
        <w:t>An investigation is more than a collection of panels. It establishes a disciplined relationship among a question, the method authorized to address it, the evidence required, the finding produced, and the limits of interpretation.</w:t>
      </w:r>
    </w:p>
    <w:p w14:paraId="4F4FBF17" w14:textId="77777777" w:rsidR="00002650" w:rsidRDefault="00002650" w:rsidP="00002650">
      <w:pPr>
        <w:spacing w:after="94"/>
      </w:pPr>
      <w:r>
        <w:rPr>
          <w:rFonts w:ascii="Times New Roman" w:eastAsia="Times New Roman" w:hAnsi="Times New Roman"/>
          <w:color w:val="000000"/>
          <w:sz w:val="20"/>
        </w:rPr>
        <w:t>Questions should therefore be represented with explicit contracts. A question such as “When did weakening first become observable?” requires a declared weakening construct, eligible signals, temporal coordinate, evidence horizon, threshold or classification method, and distinction between candidate and confirmed states. A question such as “Did recovery occur?” requires a persistence rule and enough post-intervention evidence to evaluate it.</w:t>
      </w:r>
    </w:p>
    <w:p w14:paraId="4162A4B4" w14:textId="77777777" w:rsidR="00002650" w:rsidRDefault="00002650" w:rsidP="00002650">
      <w:pPr>
        <w:spacing w:after="94"/>
      </w:pPr>
      <w:r>
        <w:rPr>
          <w:rFonts w:ascii="Times New Roman" w:eastAsia="Times New Roman" w:hAnsi="Times New Roman"/>
          <w:color w:val="000000"/>
          <w:sz w:val="20"/>
        </w:rPr>
        <w:t>Questions direct attention; they do not encode expected answers. Sample titles, fixture labels, operator expectations, selected Operational Worlds, and generated explanations must remain outside the evidence computation unless explicitly admitted as separately typed evidence.</w:t>
      </w:r>
    </w:p>
    <w:p w14:paraId="005574F2" w14:textId="77777777" w:rsidR="00002650" w:rsidRDefault="00002650" w:rsidP="00002650">
      <w:pPr>
        <w:pStyle w:val="Heading2"/>
      </w:pPr>
      <w:r>
        <w:rPr>
          <w:rFonts w:ascii="Arial" w:eastAsia="Times New Roman" w:hAnsi="Arial"/>
          <w:color w:val="000000"/>
          <w:sz w:val="23"/>
        </w:rPr>
        <w:t>Reversible Evidence Paths</w:t>
      </w:r>
    </w:p>
    <w:p w14:paraId="69741C70" w14:textId="77777777" w:rsidR="00002650" w:rsidRDefault="00002650" w:rsidP="00002650">
      <w:pPr>
        <w:keepNext/>
        <w:keepLines/>
        <w:spacing w:after="94"/>
      </w:pPr>
      <w:r>
        <w:rPr>
          <w:rFonts w:ascii="Times New Roman" w:eastAsia="Times New Roman" w:hAnsi="Times New Roman"/>
          <w:color w:val="000000"/>
          <w:sz w:val="20"/>
        </w:rPr>
        <w:t>Every material investigative statement should preserve a reversible path:</w:t>
      </w:r>
    </w:p>
    <w:p w14:paraId="2673DB31" w14:textId="77777777" w:rsidR="00002650" w:rsidRDefault="00002650" w:rsidP="00002650">
      <w:pPr>
        <w:spacing w:before="60" w:after="100"/>
        <w:jc w:val="center"/>
      </w:pPr>
      <w:r>
        <w:rPr>
          <w:noProof/>
        </w:rPr>
        <w:drawing>
          <wp:inline distT="0" distB="0" distL="0" distR="0" wp14:anchorId="197DF43C" wp14:editId="100F5D12">
            <wp:extent cx="2042160" cy="249935"/>
            <wp:effectExtent l="0" t="0" r="0" b="0"/>
            <wp:docPr id="8" name="Picture 8" descr="q \rightarrow p \rightarrow m \rightarrow f \rightarrow e \rightarrow s" title="Displayed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8.png"/>
                    <pic:cNvPicPr/>
                  </pic:nvPicPr>
                  <pic:blipFill>
                    <a:blip r:embed="rId18"/>
                    <a:stretch>
                      <a:fillRect/>
                    </a:stretch>
                  </pic:blipFill>
                  <pic:spPr>
                    <a:xfrm>
                      <a:off x="0" y="0"/>
                      <a:ext cx="2042160" cy="249935"/>
                    </a:xfrm>
                    <a:prstGeom prst="rect">
                      <a:avLst/>
                    </a:prstGeom>
                  </pic:spPr>
                </pic:pic>
              </a:graphicData>
            </a:graphic>
          </wp:inline>
        </w:drawing>
      </w:r>
    </w:p>
    <w:p w14:paraId="45ACBB3F" w14:textId="77777777" w:rsidR="00002650" w:rsidRDefault="00002650" w:rsidP="00002650">
      <w:pPr>
        <w:spacing w:after="94"/>
      </w:pPr>
      <w:r>
        <w:rPr>
          <w:rFonts w:ascii="Times New Roman" w:eastAsia="Times New Roman" w:hAnsi="Times New Roman"/>
          <w:color w:val="000000"/>
          <w:sz w:val="20"/>
        </w:rPr>
        <w:t xml:space="preserve">where </w:t>
      </w:r>
      <w:r>
        <w:rPr>
          <w:rFonts w:ascii="Times New Roman" w:eastAsia="Times New Roman" w:hAnsi="Times New Roman"/>
          <w:b/>
          <w:color w:val="000000"/>
          <w:sz w:val="20"/>
        </w:rPr>
        <w:t>q</w:t>
      </w:r>
      <w:r>
        <w:rPr>
          <w:rFonts w:ascii="Times New Roman" w:eastAsia="Times New Roman" w:hAnsi="Times New Roman"/>
          <w:color w:val="000000"/>
          <w:sz w:val="20"/>
        </w:rPr>
        <w:t xml:space="preserve"> is an investigative question or summary statement, </w:t>
      </w:r>
      <w:r>
        <w:rPr>
          <w:rFonts w:ascii="Times New Roman" w:eastAsia="Times New Roman" w:hAnsi="Times New Roman"/>
          <w:b/>
          <w:color w:val="000000"/>
          <w:sz w:val="20"/>
        </w:rPr>
        <w:t>p</w:t>
      </w:r>
      <w:r>
        <w:rPr>
          <w:rFonts w:ascii="Times New Roman" w:eastAsia="Times New Roman" w:hAnsi="Times New Roman"/>
          <w:color w:val="000000"/>
          <w:sz w:val="20"/>
        </w:rPr>
        <w:t xml:space="preserve"> a finding or bounded projection, </w:t>
      </w:r>
      <w:r>
        <w:rPr>
          <w:rFonts w:ascii="Times New Roman" w:eastAsia="Times New Roman" w:hAnsi="Times New Roman"/>
          <w:b/>
          <w:color w:val="000000"/>
          <w:sz w:val="20"/>
        </w:rPr>
        <w:t>m</w:t>
      </w:r>
      <w:r>
        <w:rPr>
          <w:rFonts w:ascii="Times New Roman" w:eastAsia="Times New Roman" w:hAnsi="Times New Roman"/>
          <w:color w:val="000000"/>
          <w:sz w:val="20"/>
        </w:rPr>
        <w:t xml:space="preserve"> its measurement and method, </w:t>
      </w:r>
      <w:r>
        <w:rPr>
          <w:rFonts w:ascii="Times New Roman" w:eastAsia="Times New Roman" w:hAnsi="Times New Roman"/>
          <w:b/>
          <w:color w:val="000000"/>
          <w:sz w:val="20"/>
        </w:rPr>
        <w:t>f</w:t>
      </w:r>
      <w:r>
        <w:rPr>
          <w:rFonts w:ascii="Times New Roman" w:eastAsia="Times New Roman" w:hAnsi="Times New Roman"/>
          <w:color w:val="000000"/>
          <w:sz w:val="20"/>
        </w:rPr>
        <w:t xml:space="preserve"> the relevant frame or interval, </w:t>
      </w:r>
      <w:r>
        <w:rPr>
          <w:rFonts w:ascii="Times New Roman" w:eastAsia="Times New Roman" w:hAnsi="Times New Roman"/>
          <w:b/>
          <w:color w:val="000000"/>
          <w:sz w:val="20"/>
        </w:rPr>
        <w:t>e</w:t>
      </w:r>
      <w:r>
        <w:rPr>
          <w:rFonts w:ascii="Times New Roman" w:eastAsia="Times New Roman" w:hAnsi="Times New Roman"/>
          <w:color w:val="000000"/>
          <w:sz w:val="20"/>
        </w:rPr>
        <w:t xml:space="preserve"> the canonical event, and </w:t>
      </w:r>
      <w:proofErr w:type="spellStart"/>
      <w:r>
        <w:rPr>
          <w:rFonts w:ascii="Times New Roman" w:eastAsia="Times New Roman" w:hAnsi="Times New Roman"/>
          <w:b/>
          <w:color w:val="000000"/>
          <w:sz w:val="20"/>
        </w:rPr>
        <w:t>s</w:t>
      </w:r>
      <w:proofErr w:type="spellEnd"/>
      <w:r>
        <w:rPr>
          <w:rFonts w:ascii="Times New Roman" w:eastAsia="Times New Roman" w:hAnsi="Times New Roman"/>
          <w:color w:val="000000"/>
          <w:sz w:val="20"/>
        </w:rPr>
        <w:t xml:space="preserve"> the supporting source span or source object.</w:t>
      </w:r>
    </w:p>
    <w:p w14:paraId="0E982E91" w14:textId="77777777" w:rsidR="00002650" w:rsidRDefault="00002650" w:rsidP="00002650">
      <w:pPr>
        <w:spacing w:after="94"/>
      </w:pPr>
      <w:r>
        <w:rPr>
          <w:rFonts w:ascii="Times New Roman" w:eastAsia="Times New Roman" w:hAnsi="Times New Roman"/>
          <w:color w:val="000000"/>
          <w:sz w:val="20"/>
        </w:rPr>
        <w:t>The exact number of steps may vary. A source observation may not require a separate computed measurement. A comparative finding may resolve to several frames, sources, or methods. The invariant is that the operator can move from interpretation toward evidence and can determine where the path ends because evidence is absent, withheld, contradictory, or outside scope.</w:t>
      </w:r>
    </w:p>
    <w:p w14:paraId="7F3F1982" w14:textId="77777777" w:rsidR="00002650" w:rsidRDefault="00002650" w:rsidP="00002650">
      <w:pPr>
        <w:keepNext/>
        <w:spacing w:before="140" w:after="80"/>
      </w:pPr>
      <w:r>
        <w:rPr>
          <w:rFonts w:ascii="Times New Roman" w:eastAsia="Times New Roman" w:hAnsi="Times New Roman"/>
          <w:i/>
          <w:color w:val="66717C"/>
          <w:sz w:val="18"/>
        </w:rPr>
        <w:t>Table 6. Investigative objects and reversible evidence requirements.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31"/>
        <w:gridCol w:w="3888"/>
        <w:gridCol w:w="3700"/>
      </w:tblGrid>
      <w:tr w:rsidR="00002650" w14:paraId="7D950D49" w14:textId="77777777">
        <w:trPr>
          <w:cantSplit/>
          <w:tblHeader/>
          <w:jc w:val="center"/>
        </w:trPr>
        <w:tc>
          <w:tcPr>
            <w:tcW w:w="2131" w:type="dxa"/>
            <w:shd w:val="clear" w:color="auto" w:fill="17324D"/>
            <w:tcMar>
              <w:top w:w="70" w:type="dxa"/>
              <w:left w:w="100" w:type="dxa"/>
              <w:bottom w:w="70" w:type="dxa"/>
              <w:right w:w="100" w:type="dxa"/>
            </w:tcMar>
            <w:vAlign w:val="center"/>
          </w:tcPr>
          <w:p w14:paraId="32C29035" w14:textId="77777777" w:rsidR="00002650" w:rsidRDefault="00002650" w:rsidP="00F96983">
            <w:pPr>
              <w:spacing w:after="0" w:line="240" w:lineRule="auto"/>
            </w:pPr>
            <w:r>
              <w:rPr>
                <w:rFonts w:ascii="Arial" w:eastAsia="Times New Roman" w:hAnsi="Arial"/>
                <w:b/>
                <w:color w:val="FFFFFF"/>
                <w:sz w:val="17"/>
              </w:rPr>
              <w:t>Investigative object</w:t>
            </w:r>
          </w:p>
        </w:tc>
        <w:tc>
          <w:tcPr>
            <w:tcW w:w="3888" w:type="dxa"/>
            <w:shd w:val="clear" w:color="auto" w:fill="17324D"/>
            <w:tcMar>
              <w:top w:w="70" w:type="dxa"/>
              <w:left w:w="100" w:type="dxa"/>
              <w:bottom w:w="70" w:type="dxa"/>
              <w:right w:w="100" w:type="dxa"/>
            </w:tcMar>
            <w:vAlign w:val="center"/>
          </w:tcPr>
          <w:p w14:paraId="6D22FE05" w14:textId="77777777" w:rsidR="00002650" w:rsidRDefault="00002650" w:rsidP="00F96983">
            <w:pPr>
              <w:spacing w:after="0" w:line="240" w:lineRule="auto"/>
            </w:pPr>
            <w:r>
              <w:rPr>
                <w:rFonts w:ascii="Arial" w:eastAsia="Times New Roman" w:hAnsi="Arial"/>
                <w:b/>
                <w:color w:val="FFFFFF"/>
                <w:sz w:val="17"/>
              </w:rPr>
              <w:t>Must resolve to</w:t>
            </w:r>
          </w:p>
        </w:tc>
        <w:tc>
          <w:tcPr>
            <w:tcW w:w="3700" w:type="dxa"/>
            <w:shd w:val="clear" w:color="auto" w:fill="17324D"/>
            <w:tcMar>
              <w:top w:w="70" w:type="dxa"/>
              <w:left w:w="100" w:type="dxa"/>
              <w:bottom w:w="70" w:type="dxa"/>
              <w:right w:w="100" w:type="dxa"/>
            </w:tcMar>
            <w:vAlign w:val="center"/>
          </w:tcPr>
          <w:p w14:paraId="7277EB91" w14:textId="77777777" w:rsidR="00002650" w:rsidRDefault="00002650" w:rsidP="00F96983">
            <w:pPr>
              <w:spacing w:after="0" w:line="240" w:lineRule="auto"/>
            </w:pPr>
            <w:r>
              <w:rPr>
                <w:rFonts w:ascii="Arial" w:eastAsia="Times New Roman" w:hAnsi="Arial"/>
                <w:b/>
                <w:color w:val="FFFFFF"/>
                <w:sz w:val="17"/>
              </w:rPr>
              <w:t>Must not become</w:t>
            </w:r>
          </w:p>
        </w:tc>
      </w:tr>
      <w:tr w:rsidR="00002650" w14:paraId="011D5A7F" w14:textId="77777777">
        <w:trPr>
          <w:cantSplit/>
          <w:jc w:val="center"/>
        </w:trPr>
        <w:tc>
          <w:tcPr>
            <w:tcW w:w="2131" w:type="dxa"/>
            <w:shd w:val="clear" w:color="auto" w:fill="FFFFFF"/>
            <w:tcMar>
              <w:top w:w="70" w:type="dxa"/>
              <w:left w:w="100" w:type="dxa"/>
              <w:bottom w:w="70" w:type="dxa"/>
              <w:right w:w="100" w:type="dxa"/>
            </w:tcMar>
            <w:vAlign w:val="center"/>
          </w:tcPr>
          <w:p w14:paraId="5A2BB436" w14:textId="77777777" w:rsidR="00002650" w:rsidRDefault="00002650" w:rsidP="00F96983">
            <w:pPr>
              <w:spacing w:after="0" w:line="240" w:lineRule="auto"/>
            </w:pPr>
            <w:r>
              <w:rPr>
                <w:rFonts w:ascii="Times New Roman" w:eastAsia="Times New Roman" w:hAnsi="Times New Roman"/>
                <w:color w:val="000000"/>
                <w:sz w:val="17"/>
              </w:rPr>
              <w:t>Chapter summary</w:t>
            </w:r>
          </w:p>
        </w:tc>
        <w:tc>
          <w:tcPr>
            <w:tcW w:w="3888" w:type="dxa"/>
            <w:shd w:val="clear" w:color="auto" w:fill="FFFFFF"/>
            <w:tcMar>
              <w:top w:w="70" w:type="dxa"/>
              <w:left w:w="100" w:type="dxa"/>
              <w:bottom w:w="70" w:type="dxa"/>
              <w:right w:w="100" w:type="dxa"/>
            </w:tcMar>
            <w:vAlign w:val="center"/>
          </w:tcPr>
          <w:p w14:paraId="59AD5DD9" w14:textId="77777777" w:rsidR="00002650" w:rsidRDefault="00002650" w:rsidP="00F96983">
            <w:pPr>
              <w:spacing w:after="0" w:line="240" w:lineRule="auto"/>
            </w:pPr>
            <w:r>
              <w:rPr>
                <w:rFonts w:ascii="Times New Roman" w:eastAsia="Times New Roman" w:hAnsi="Times New Roman"/>
                <w:color w:val="000000"/>
                <w:sz w:val="17"/>
              </w:rPr>
              <w:t>Findings, limitations, and unresolved evidence</w:t>
            </w:r>
          </w:p>
        </w:tc>
        <w:tc>
          <w:tcPr>
            <w:tcW w:w="3700" w:type="dxa"/>
            <w:shd w:val="clear" w:color="auto" w:fill="FFFFFF"/>
            <w:tcMar>
              <w:top w:w="70" w:type="dxa"/>
              <w:left w:w="100" w:type="dxa"/>
              <w:bottom w:w="70" w:type="dxa"/>
              <w:right w:w="100" w:type="dxa"/>
            </w:tcMar>
            <w:vAlign w:val="center"/>
          </w:tcPr>
          <w:p w14:paraId="6AF62CB0" w14:textId="77777777" w:rsidR="00002650" w:rsidRDefault="00002650" w:rsidP="00F96983">
            <w:pPr>
              <w:spacing w:after="0" w:line="240" w:lineRule="auto"/>
            </w:pPr>
            <w:r>
              <w:rPr>
                <w:rFonts w:ascii="Times New Roman" w:eastAsia="Times New Roman" w:hAnsi="Times New Roman"/>
                <w:color w:val="000000"/>
                <w:sz w:val="17"/>
              </w:rPr>
              <w:t>Independent narrative authority</w:t>
            </w:r>
          </w:p>
        </w:tc>
      </w:tr>
      <w:tr w:rsidR="00002650" w14:paraId="43109E63" w14:textId="77777777">
        <w:trPr>
          <w:cantSplit/>
          <w:jc w:val="center"/>
        </w:trPr>
        <w:tc>
          <w:tcPr>
            <w:tcW w:w="2131" w:type="dxa"/>
            <w:shd w:val="clear" w:color="auto" w:fill="F6F9FB"/>
            <w:tcMar>
              <w:top w:w="70" w:type="dxa"/>
              <w:left w:w="100" w:type="dxa"/>
              <w:bottom w:w="70" w:type="dxa"/>
              <w:right w:w="100" w:type="dxa"/>
            </w:tcMar>
            <w:vAlign w:val="center"/>
          </w:tcPr>
          <w:p w14:paraId="5E2565AB" w14:textId="77777777" w:rsidR="00002650" w:rsidRDefault="00002650" w:rsidP="00F96983">
            <w:pPr>
              <w:spacing w:after="0" w:line="240" w:lineRule="auto"/>
            </w:pPr>
            <w:r>
              <w:rPr>
                <w:rFonts w:ascii="Times New Roman" w:eastAsia="Times New Roman" w:hAnsi="Times New Roman"/>
                <w:color w:val="000000"/>
                <w:sz w:val="17"/>
              </w:rPr>
              <w:t>Instrument finding</w:t>
            </w:r>
          </w:p>
        </w:tc>
        <w:tc>
          <w:tcPr>
            <w:tcW w:w="3888" w:type="dxa"/>
            <w:shd w:val="clear" w:color="auto" w:fill="F6F9FB"/>
            <w:tcMar>
              <w:top w:w="70" w:type="dxa"/>
              <w:left w:w="100" w:type="dxa"/>
              <w:bottom w:w="70" w:type="dxa"/>
              <w:right w:w="100" w:type="dxa"/>
            </w:tcMar>
            <w:vAlign w:val="center"/>
          </w:tcPr>
          <w:p w14:paraId="5BBA3F6A" w14:textId="77777777" w:rsidR="00002650" w:rsidRDefault="00002650" w:rsidP="00F96983">
            <w:pPr>
              <w:spacing w:after="0" w:line="240" w:lineRule="auto"/>
            </w:pPr>
            <w:r>
              <w:rPr>
                <w:rFonts w:ascii="Times New Roman" w:eastAsia="Times New Roman" w:hAnsi="Times New Roman"/>
                <w:color w:val="000000"/>
                <w:sz w:val="17"/>
              </w:rPr>
              <w:t>Contract, contributing measurements, frames, and source basis</w:t>
            </w:r>
          </w:p>
        </w:tc>
        <w:tc>
          <w:tcPr>
            <w:tcW w:w="3700" w:type="dxa"/>
            <w:shd w:val="clear" w:color="auto" w:fill="F6F9FB"/>
            <w:tcMar>
              <w:top w:w="70" w:type="dxa"/>
              <w:left w:w="100" w:type="dxa"/>
              <w:bottom w:w="70" w:type="dxa"/>
              <w:right w:w="100" w:type="dxa"/>
            </w:tcMar>
            <w:vAlign w:val="center"/>
          </w:tcPr>
          <w:p w14:paraId="131FB933" w14:textId="77777777" w:rsidR="00002650" w:rsidRDefault="00002650" w:rsidP="00F96983">
            <w:pPr>
              <w:spacing w:after="0" w:line="240" w:lineRule="auto"/>
            </w:pPr>
            <w:r>
              <w:rPr>
                <w:rFonts w:ascii="Times New Roman" w:eastAsia="Times New Roman" w:hAnsi="Times New Roman"/>
                <w:color w:val="000000"/>
                <w:sz w:val="17"/>
              </w:rPr>
              <w:t>Local replacement for the runtime record</w:t>
            </w:r>
          </w:p>
        </w:tc>
      </w:tr>
      <w:tr w:rsidR="00002650" w14:paraId="43F8E0FE" w14:textId="77777777">
        <w:trPr>
          <w:cantSplit/>
          <w:jc w:val="center"/>
        </w:trPr>
        <w:tc>
          <w:tcPr>
            <w:tcW w:w="2131" w:type="dxa"/>
            <w:shd w:val="clear" w:color="auto" w:fill="FFFFFF"/>
            <w:tcMar>
              <w:top w:w="70" w:type="dxa"/>
              <w:left w:w="100" w:type="dxa"/>
              <w:bottom w:w="70" w:type="dxa"/>
              <w:right w:w="100" w:type="dxa"/>
            </w:tcMar>
            <w:vAlign w:val="center"/>
          </w:tcPr>
          <w:p w14:paraId="6F991307" w14:textId="77777777" w:rsidR="00002650" w:rsidRDefault="00002650" w:rsidP="00F96983">
            <w:pPr>
              <w:spacing w:after="0" w:line="240" w:lineRule="auto"/>
            </w:pPr>
            <w:r>
              <w:rPr>
                <w:rFonts w:ascii="Times New Roman" w:eastAsia="Times New Roman" w:hAnsi="Times New Roman"/>
                <w:color w:val="000000"/>
                <w:sz w:val="17"/>
              </w:rPr>
              <w:t>Marker</w:t>
            </w:r>
          </w:p>
        </w:tc>
        <w:tc>
          <w:tcPr>
            <w:tcW w:w="3888" w:type="dxa"/>
            <w:shd w:val="clear" w:color="auto" w:fill="FFFFFF"/>
            <w:tcMar>
              <w:top w:w="70" w:type="dxa"/>
              <w:left w:w="100" w:type="dxa"/>
              <w:bottom w:w="70" w:type="dxa"/>
              <w:right w:w="100" w:type="dxa"/>
            </w:tcMar>
            <w:vAlign w:val="center"/>
          </w:tcPr>
          <w:p w14:paraId="5E7BF64B" w14:textId="77777777" w:rsidR="00002650" w:rsidRDefault="00002650" w:rsidP="00F96983">
            <w:pPr>
              <w:spacing w:after="0" w:line="240" w:lineRule="auto"/>
            </w:pPr>
            <w:r>
              <w:rPr>
                <w:rFonts w:ascii="Times New Roman" w:eastAsia="Times New Roman" w:hAnsi="Times New Roman"/>
                <w:color w:val="000000"/>
                <w:sz w:val="17"/>
              </w:rPr>
              <w:t>Method, coordinate, support, persistence, and status</w:t>
            </w:r>
          </w:p>
        </w:tc>
        <w:tc>
          <w:tcPr>
            <w:tcW w:w="3700" w:type="dxa"/>
            <w:shd w:val="clear" w:color="auto" w:fill="FFFFFF"/>
            <w:tcMar>
              <w:top w:w="70" w:type="dxa"/>
              <w:left w:w="100" w:type="dxa"/>
              <w:bottom w:w="70" w:type="dxa"/>
              <w:right w:w="100" w:type="dxa"/>
            </w:tcMar>
            <w:vAlign w:val="center"/>
          </w:tcPr>
          <w:p w14:paraId="54A473BC" w14:textId="77777777" w:rsidR="00002650" w:rsidRDefault="00002650" w:rsidP="00F96983">
            <w:pPr>
              <w:spacing w:after="0" w:line="240" w:lineRule="auto"/>
            </w:pPr>
            <w:r>
              <w:rPr>
                <w:rFonts w:ascii="Times New Roman" w:eastAsia="Times New Roman" w:hAnsi="Times New Roman"/>
                <w:color w:val="000000"/>
                <w:sz w:val="17"/>
              </w:rPr>
              <w:t>Interface annotation without computational lineage</w:t>
            </w:r>
          </w:p>
        </w:tc>
      </w:tr>
      <w:tr w:rsidR="00002650" w14:paraId="135BCE0F" w14:textId="77777777">
        <w:trPr>
          <w:cantSplit/>
          <w:jc w:val="center"/>
        </w:trPr>
        <w:tc>
          <w:tcPr>
            <w:tcW w:w="2131" w:type="dxa"/>
            <w:shd w:val="clear" w:color="auto" w:fill="F6F9FB"/>
            <w:tcMar>
              <w:top w:w="70" w:type="dxa"/>
              <w:left w:w="100" w:type="dxa"/>
              <w:bottom w:w="70" w:type="dxa"/>
              <w:right w:w="100" w:type="dxa"/>
            </w:tcMar>
            <w:vAlign w:val="center"/>
          </w:tcPr>
          <w:p w14:paraId="3DDC471E" w14:textId="77777777" w:rsidR="00002650" w:rsidRDefault="00002650" w:rsidP="00F96983">
            <w:pPr>
              <w:spacing w:after="0" w:line="240" w:lineRule="auto"/>
            </w:pPr>
            <w:r>
              <w:rPr>
                <w:rFonts w:ascii="Times New Roman" w:eastAsia="Times New Roman" w:hAnsi="Times New Roman"/>
                <w:color w:val="000000"/>
                <w:sz w:val="17"/>
              </w:rPr>
              <w:t>Replay frame</w:t>
            </w:r>
          </w:p>
        </w:tc>
        <w:tc>
          <w:tcPr>
            <w:tcW w:w="3888" w:type="dxa"/>
            <w:shd w:val="clear" w:color="auto" w:fill="F6F9FB"/>
            <w:tcMar>
              <w:top w:w="70" w:type="dxa"/>
              <w:left w:w="100" w:type="dxa"/>
              <w:bottom w:w="70" w:type="dxa"/>
              <w:right w:w="100" w:type="dxa"/>
            </w:tcMar>
            <w:vAlign w:val="center"/>
          </w:tcPr>
          <w:p w14:paraId="46A11161" w14:textId="77777777" w:rsidR="00002650" w:rsidRDefault="00002650" w:rsidP="00F96983">
            <w:pPr>
              <w:spacing w:after="0" w:line="240" w:lineRule="auto"/>
            </w:pPr>
            <w:r>
              <w:rPr>
                <w:rFonts w:ascii="Times New Roman" w:eastAsia="Times New Roman" w:hAnsi="Times New Roman"/>
                <w:color w:val="000000"/>
                <w:sz w:val="17"/>
              </w:rPr>
              <w:t>Canonical events, roles, coordinates, and source references</w:t>
            </w:r>
          </w:p>
        </w:tc>
        <w:tc>
          <w:tcPr>
            <w:tcW w:w="3700" w:type="dxa"/>
            <w:shd w:val="clear" w:color="auto" w:fill="F6F9FB"/>
            <w:tcMar>
              <w:top w:w="70" w:type="dxa"/>
              <w:left w:w="100" w:type="dxa"/>
              <w:bottom w:w="70" w:type="dxa"/>
              <w:right w:w="100" w:type="dxa"/>
            </w:tcMar>
            <w:vAlign w:val="center"/>
          </w:tcPr>
          <w:p w14:paraId="2C249B05" w14:textId="77777777" w:rsidR="00002650" w:rsidRDefault="00002650" w:rsidP="00F96983">
            <w:pPr>
              <w:spacing w:after="0" w:line="240" w:lineRule="auto"/>
            </w:pPr>
            <w:r>
              <w:rPr>
                <w:rFonts w:ascii="Times New Roman" w:eastAsia="Times New Roman" w:hAnsi="Times New Roman"/>
                <w:color w:val="000000"/>
                <w:sz w:val="17"/>
              </w:rPr>
              <w:t>Newly generated version of the run</w:t>
            </w:r>
          </w:p>
        </w:tc>
      </w:tr>
      <w:tr w:rsidR="00002650" w14:paraId="60EE2FDC" w14:textId="77777777">
        <w:trPr>
          <w:cantSplit/>
          <w:jc w:val="center"/>
        </w:trPr>
        <w:tc>
          <w:tcPr>
            <w:tcW w:w="2131" w:type="dxa"/>
            <w:shd w:val="clear" w:color="auto" w:fill="FFFFFF"/>
            <w:tcMar>
              <w:top w:w="70" w:type="dxa"/>
              <w:left w:w="100" w:type="dxa"/>
              <w:bottom w:w="70" w:type="dxa"/>
              <w:right w:w="100" w:type="dxa"/>
            </w:tcMar>
            <w:vAlign w:val="center"/>
          </w:tcPr>
          <w:p w14:paraId="43FCD49D" w14:textId="77777777" w:rsidR="00002650" w:rsidRDefault="00002650" w:rsidP="00F96983">
            <w:pPr>
              <w:spacing w:after="0" w:line="240" w:lineRule="auto"/>
            </w:pPr>
            <w:r>
              <w:rPr>
                <w:rFonts w:ascii="Times New Roman" w:eastAsia="Times New Roman" w:hAnsi="Times New Roman"/>
                <w:color w:val="000000"/>
                <w:sz w:val="17"/>
              </w:rPr>
              <w:t>Human Read statement</w:t>
            </w:r>
          </w:p>
        </w:tc>
        <w:tc>
          <w:tcPr>
            <w:tcW w:w="3888" w:type="dxa"/>
            <w:shd w:val="clear" w:color="auto" w:fill="FFFFFF"/>
            <w:tcMar>
              <w:top w:w="70" w:type="dxa"/>
              <w:left w:w="100" w:type="dxa"/>
              <w:bottom w:w="70" w:type="dxa"/>
              <w:right w:w="100" w:type="dxa"/>
            </w:tcMar>
            <w:vAlign w:val="center"/>
          </w:tcPr>
          <w:p w14:paraId="55756998" w14:textId="77777777" w:rsidR="00002650" w:rsidRDefault="00002650" w:rsidP="00F96983">
            <w:pPr>
              <w:spacing w:after="0" w:line="240" w:lineRule="auto"/>
            </w:pPr>
            <w:r>
              <w:rPr>
                <w:rFonts w:ascii="Times New Roman" w:eastAsia="Times New Roman" w:hAnsi="Times New Roman"/>
                <w:color w:val="000000"/>
                <w:sz w:val="17"/>
              </w:rPr>
              <w:t>Structured evidence or interpretation field and claim limit</w:t>
            </w:r>
          </w:p>
        </w:tc>
        <w:tc>
          <w:tcPr>
            <w:tcW w:w="3700" w:type="dxa"/>
            <w:shd w:val="clear" w:color="auto" w:fill="FFFFFF"/>
            <w:tcMar>
              <w:top w:w="70" w:type="dxa"/>
              <w:left w:w="100" w:type="dxa"/>
              <w:bottom w:w="70" w:type="dxa"/>
              <w:right w:w="100" w:type="dxa"/>
            </w:tcMar>
            <w:vAlign w:val="center"/>
          </w:tcPr>
          <w:p w14:paraId="1460CEE7" w14:textId="77777777" w:rsidR="00002650" w:rsidRDefault="00002650" w:rsidP="00F96983">
            <w:pPr>
              <w:spacing w:after="0" w:line="240" w:lineRule="auto"/>
            </w:pPr>
            <w:r>
              <w:rPr>
                <w:rFonts w:ascii="Times New Roman" w:eastAsia="Times New Roman" w:hAnsi="Times New Roman"/>
                <w:color w:val="000000"/>
                <w:sz w:val="17"/>
              </w:rPr>
              <w:t>Unrestricted explanation of what really happened</w:t>
            </w:r>
          </w:p>
        </w:tc>
      </w:tr>
      <w:tr w:rsidR="00002650" w14:paraId="18BB2BDB" w14:textId="77777777">
        <w:trPr>
          <w:cantSplit/>
          <w:jc w:val="center"/>
        </w:trPr>
        <w:tc>
          <w:tcPr>
            <w:tcW w:w="2131" w:type="dxa"/>
            <w:shd w:val="clear" w:color="auto" w:fill="F6F9FB"/>
            <w:tcMar>
              <w:top w:w="70" w:type="dxa"/>
              <w:left w:w="100" w:type="dxa"/>
              <w:bottom w:w="70" w:type="dxa"/>
              <w:right w:w="100" w:type="dxa"/>
            </w:tcMar>
            <w:vAlign w:val="center"/>
          </w:tcPr>
          <w:p w14:paraId="2CAEF0C0" w14:textId="77777777" w:rsidR="00002650" w:rsidRDefault="00002650" w:rsidP="00F96983">
            <w:pPr>
              <w:spacing w:after="0" w:line="240" w:lineRule="auto"/>
            </w:pPr>
            <w:r>
              <w:rPr>
                <w:rFonts w:ascii="Times New Roman" w:eastAsia="Times New Roman" w:hAnsi="Times New Roman"/>
                <w:color w:val="000000"/>
                <w:sz w:val="17"/>
              </w:rPr>
              <w:t>Operator annotation</w:t>
            </w:r>
          </w:p>
        </w:tc>
        <w:tc>
          <w:tcPr>
            <w:tcW w:w="3888" w:type="dxa"/>
            <w:shd w:val="clear" w:color="auto" w:fill="F6F9FB"/>
            <w:tcMar>
              <w:top w:w="70" w:type="dxa"/>
              <w:left w:w="100" w:type="dxa"/>
              <w:bottom w:w="70" w:type="dxa"/>
              <w:right w:w="100" w:type="dxa"/>
            </w:tcMar>
            <w:vAlign w:val="center"/>
          </w:tcPr>
          <w:p w14:paraId="4E56C9D2" w14:textId="77777777" w:rsidR="00002650" w:rsidRDefault="00002650" w:rsidP="00F96983">
            <w:pPr>
              <w:spacing w:after="0" w:line="240" w:lineRule="auto"/>
            </w:pPr>
            <w:r>
              <w:rPr>
                <w:rFonts w:ascii="Times New Roman" w:eastAsia="Times New Roman" w:hAnsi="Times New Roman"/>
                <w:color w:val="000000"/>
                <w:sz w:val="17"/>
              </w:rPr>
              <w:t>Author, time, context, and declared relationship to the evidence</w:t>
            </w:r>
          </w:p>
        </w:tc>
        <w:tc>
          <w:tcPr>
            <w:tcW w:w="3700" w:type="dxa"/>
            <w:shd w:val="clear" w:color="auto" w:fill="F6F9FB"/>
            <w:tcMar>
              <w:top w:w="70" w:type="dxa"/>
              <w:left w:w="100" w:type="dxa"/>
              <w:bottom w:w="70" w:type="dxa"/>
              <w:right w:w="100" w:type="dxa"/>
            </w:tcMar>
            <w:vAlign w:val="center"/>
          </w:tcPr>
          <w:p w14:paraId="72894F7C" w14:textId="77777777" w:rsidR="00002650" w:rsidRDefault="00002650" w:rsidP="00F96983">
            <w:pPr>
              <w:spacing w:after="0" w:line="240" w:lineRule="auto"/>
            </w:pPr>
            <w:r>
              <w:rPr>
                <w:rFonts w:ascii="Times New Roman" w:eastAsia="Times New Roman" w:hAnsi="Times New Roman"/>
                <w:color w:val="000000"/>
                <w:sz w:val="17"/>
              </w:rPr>
              <w:t>Silent mutation of canonical evidence</w:t>
            </w:r>
          </w:p>
        </w:tc>
      </w:tr>
    </w:tbl>
    <w:p w14:paraId="5F8E21EF" w14:textId="77777777" w:rsidR="00002650" w:rsidRDefault="00002650" w:rsidP="00002650">
      <w:pPr>
        <w:spacing w:after="20"/>
      </w:pPr>
    </w:p>
    <w:p w14:paraId="6AB8C28F" w14:textId="77777777" w:rsidR="00002650" w:rsidRDefault="00002650" w:rsidP="00002650">
      <w:pPr>
        <w:pStyle w:val="Heading2"/>
      </w:pPr>
      <w:r>
        <w:rPr>
          <w:rFonts w:ascii="Arial" w:eastAsia="Times New Roman" w:hAnsi="Arial"/>
          <w:color w:val="000000"/>
          <w:sz w:val="23"/>
        </w:rPr>
        <w:t>Replay</w:t>
      </w:r>
    </w:p>
    <w:p w14:paraId="4D0CE800" w14:textId="77777777" w:rsidR="00002650" w:rsidRDefault="00002650" w:rsidP="00002650">
      <w:pPr>
        <w:keepLines/>
        <w:spacing w:after="94"/>
      </w:pPr>
      <w:r>
        <w:rPr>
          <w:rFonts w:ascii="Times New Roman" w:eastAsia="Times New Roman" w:hAnsi="Times New Roman"/>
          <w:color w:val="000000"/>
          <w:sz w:val="20"/>
        </w:rPr>
        <w:t xml:space="preserve">Replay is navigation through an existing reconstruction, not regeneration of a different history. A </w:t>
      </w:r>
      <w:proofErr w:type="spellStart"/>
      <w:r>
        <w:rPr>
          <w:rFonts w:ascii="Times New Roman" w:eastAsia="Times New Roman" w:hAnsi="Times New Roman"/>
          <w:color w:val="000000"/>
          <w:sz w:val="20"/>
        </w:rPr>
        <w:t>replayable</w:t>
      </w:r>
      <w:proofErr w:type="spellEnd"/>
      <w:r>
        <w:rPr>
          <w:rFonts w:ascii="Times New Roman" w:eastAsia="Times New Roman" w:hAnsi="Times New Roman"/>
          <w:color w:val="000000"/>
          <w:sz w:val="20"/>
        </w:rPr>
        <w:t xml:space="preserve"> frame retains stable identity or a stable derivation rule, applicable coordinates, event references, role state, measurement state, markers, regimes, and source basis. When a visualization samples or aggregates the run, replay must preserve the relationship between the displayed position and the complete canonical structure.</w:t>
      </w:r>
    </w:p>
    <w:p w14:paraId="032D321A" w14:textId="77777777" w:rsidR="00002650" w:rsidRDefault="00002650" w:rsidP="00002650">
      <w:pPr>
        <w:spacing w:after="94"/>
      </w:pPr>
      <w:r>
        <w:rPr>
          <w:rFonts w:ascii="Times New Roman" w:eastAsia="Times New Roman" w:hAnsi="Times New Roman"/>
          <w:color w:val="000000"/>
          <w:sz w:val="20"/>
        </w:rPr>
        <w:t>Deterministic replay has a declared scope. Some presentation details, access conditions, review notes, or issuance timestamps may vary while the evidence core remains equivalent. The equality contract must state which objects and fields are governed and which are variable envelope metadata.</w:t>
      </w:r>
    </w:p>
    <w:p w14:paraId="77E7CAB6" w14:textId="77777777" w:rsidR="00002650" w:rsidRDefault="00002650" w:rsidP="00002650">
      <w:pPr>
        <w:pStyle w:val="Heading2"/>
      </w:pPr>
      <w:r>
        <w:rPr>
          <w:rFonts w:ascii="Arial" w:eastAsia="Times New Roman" w:hAnsi="Arial"/>
          <w:color w:val="000000"/>
          <w:sz w:val="23"/>
        </w:rPr>
        <w:t>Interpretation and Human Read</w:t>
      </w:r>
    </w:p>
    <w:p w14:paraId="12589BF6" w14:textId="77777777" w:rsidR="00002650" w:rsidRDefault="00002650" w:rsidP="00002650">
      <w:pPr>
        <w:keepLines/>
        <w:spacing w:after="94"/>
      </w:pPr>
      <w:r>
        <w:rPr>
          <w:rFonts w:ascii="Times New Roman" w:eastAsia="Times New Roman" w:hAnsi="Times New Roman"/>
          <w:color w:val="000000"/>
          <w:sz w:val="20"/>
        </w:rPr>
        <w:t>Interpretation operates above representation. A classification or explanatory statement may organize evidence, but it does not rewrite the event ledger, worldline, marker state, or measurement record. The Runtime Evidence Interpretation Matrix can select a versioned interpretation posture and investigation route. The Evaluation and Synthesis Layer can assemble authorized findings. Human Read can translate those structures into operator-facing language. Each remains a projection of the same Current Evidence Run.</w:t>
      </w:r>
    </w:p>
    <w:p w14:paraId="6C63EFE0" w14:textId="77777777" w:rsidR="00002650" w:rsidRDefault="00002650" w:rsidP="00002650">
      <w:pPr>
        <w:spacing w:after="94"/>
      </w:pPr>
      <w:r>
        <w:rPr>
          <w:rFonts w:ascii="Times New Roman" w:eastAsia="Times New Roman" w:hAnsi="Times New Roman"/>
          <w:color w:val="000000"/>
          <w:sz w:val="20"/>
        </w:rPr>
        <w:t>Human-readable language must preserve canonical propositions, evidence basis, missingness, uncertainty, and claim limits. It may simplify terminology. It may not simplify away the difference between candidate and confirmed, absent and unavailable, correction and recovery, association and causation, or runtime intensity and operational impact.</w:t>
      </w:r>
    </w:p>
    <w:p w14:paraId="50F65777" w14:textId="77777777" w:rsidR="00002650" w:rsidRDefault="00002650" w:rsidP="00002650">
      <w:pPr>
        <w:pStyle w:val="Heading2"/>
      </w:pPr>
      <w:r>
        <w:rPr>
          <w:rFonts w:ascii="Arial" w:eastAsia="Times New Roman" w:hAnsi="Arial"/>
          <w:color w:val="000000"/>
          <w:sz w:val="23"/>
        </w:rPr>
        <w:t>Operational Context and Adaptive Presentation</w:t>
      </w:r>
    </w:p>
    <w:p w14:paraId="15864A13" w14:textId="77777777" w:rsidR="00002650" w:rsidRDefault="00002650" w:rsidP="00002650">
      <w:pPr>
        <w:keepLines/>
        <w:spacing w:after="94"/>
      </w:pPr>
      <w:r>
        <w:rPr>
          <w:rFonts w:ascii="Times New Roman" w:eastAsia="Times New Roman" w:hAnsi="Times New Roman"/>
          <w:color w:val="000000"/>
          <w:sz w:val="20"/>
        </w:rPr>
        <w:t>The same evidence may be investigated in software engineering, infrastructure, security operations, workflow coordination, agent operations, monitoring, or research validation. Operational World Mapping supplies domain vocabulary, recommended questions, examples, and investigative emphasis. The Adaptive Evidence Cockpit can change navigation, information density, instrument priority, and explanatory depth for different operators.</w:t>
      </w:r>
    </w:p>
    <w:p w14:paraId="5BD46636" w14:textId="77777777" w:rsidR="00002650" w:rsidRDefault="00002650" w:rsidP="00002650">
      <w:pPr>
        <w:spacing w:after="94"/>
      </w:pPr>
      <w:r>
        <w:rPr>
          <w:rFonts w:ascii="Times New Roman" w:eastAsia="Times New Roman" w:hAnsi="Times New Roman"/>
          <w:color w:val="000000"/>
          <w:sz w:val="20"/>
        </w:rPr>
        <w:t xml:space="preserve">These changes belong to presentation and investigation state. They cannot silently change source qualification, adapter selection, canonical events, telemetry, markers, regimes, instrument findings, interpretation posture, evidence identity, or preservation authority. If an operator changes an ingestion adapter, role map, or canonicalization option, that is a versioned representational decision requiring </w:t>
      </w:r>
      <w:proofErr w:type="spellStart"/>
      <w:r>
        <w:rPr>
          <w:rFonts w:ascii="Times New Roman" w:eastAsia="Times New Roman" w:hAnsi="Times New Roman"/>
          <w:color w:val="000000"/>
          <w:sz w:val="20"/>
        </w:rPr>
        <w:t>recomputation</w:t>
      </w:r>
      <w:proofErr w:type="spellEnd"/>
      <w:r>
        <w:rPr>
          <w:rFonts w:ascii="Times New Roman" w:eastAsia="Times New Roman" w:hAnsi="Times New Roman"/>
          <w:color w:val="000000"/>
          <w:sz w:val="20"/>
        </w:rPr>
        <w:t>, not a harmless interface preference.</w:t>
      </w:r>
    </w:p>
    <w:p w14:paraId="7E61FF01" w14:textId="77777777" w:rsidR="00002650" w:rsidRPr="00002650" w:rsidRDefault="00002650" w:rsidP="00002650">
      <w:pPr>
        <w:pStyle w:val="Heading1"/>
        <w:rPr>
          <w:b/>
          <w:bCs/>
          <w:color w:val="4F46E5"/>
        </w:rPr>
      </w:pPr>
      <w:r w:rsidRPr="00002650">
        <w:rPr>
          <w:rFonts w:ascii="Arial" w:eastAsia="Times New Roman" w:hAnsi="Arial"/>
          <w:b/>
          <w:bCs/>
          <w:color w:val="4F46E5"/>
          <w:sz w:val="29"/>
        </w:rPr>
        <w:t>Integration With Runtime Evidence and Evidence Governed Computation</w:t>
      </w:r>
    </w:p>
    <w:p w14:paraId="1080BDF4" w14:textId="77777777" w:rsidR="00002650" w:rsidRDefault="00002650" w:rsidP="00002650">
      <w:pPr>
        <w:pStyle w:val="Heading2"/>
      </w:pPr>
      <w:r>
        <w:rPr>
          <w:rFonts w:ascii="Arial" w:eastAsia="Times New Roman" w:hAnsi="Arial"/>
          <w:color w:val="000000"/>
          <w:sz w:val="23"/>
        </w:rPr>
        <w:t>Current Evidence Run</w:t>
      </w:r>
    </w:p>
    <w:p w14:paraId="36040565" w14:textId="77777777" w:rsidR="00002650" w:rsidRDefault="00002650" w:rsidP="00002650">
      <w:pPr>
        <w:keepLines/>
        <w:spacing w:after="94"/>
      </w:pPr>
      <w:r>
        <w:rPr>
          <w:rFonts w:ascii="Times New Roman" w:eastAsia="Times New Roman" w:hAnsi="Times New Roman"/>
          <w:color w:val="000000"/>
          <w:sz w:val="20"/>
        </w:rPr>
        <w:t>The Current Evidence Run is the active, run-wide computational authority described in Paper IV [4]. It binds the qualified source, canonical representation, methods, measurements, markers, regimes, findings, interpretation objects, missingness, claim-boundary architecture, and export dependencies used during active investigation.</w:t>
      </w:r>
    </w:p>
    <w:p w14:paraId="534FBFAB" w14:textId="77777777" w:rsidR="00002650" w:rsidRDefault="00002650" w:rsidP="00002650">
      <w:pPr>
        <w:spacing w:after="94"/>
      </w:pPr>
      <w:r>
        <w:rPr>
          <w:rFonts w:ascii="Times New Roman" w:eastAsia="Times New Roman" w:hAnsi="Times New Roman"/>
          <w:color w:val="000000"/>
          <w:sz w:val="20"/>
        </w:rPr>
        <w:t>Computational Behavior Architecture supplies the structured representation governed by that authority. It does not independently issue evidence. A canonical spine or worldline can exist as a provisional representation before certification. Its visible elements must retain their status and may not be presented as though a Certified Runtime Evidence Record already exists.</w:t>
      </w:r>
    </w:p>
    <w:p w14:paraId="3578E401" w14:textId="77777777" w:rsidR="00002650" w:rsidRDefault="00002650" w:rsidP="00002650">
      <w:pPr>
        <w:pStyle w:val="Heading2"/>
      </w:pPr>
      <w:r>
        <w:rPr>
          <w:rFonts w:ascii="Arial" w:eastAsia="Times New Roman" w:hAnsi="Arial"/>
          <w:color w:val="000000"/>
          <w:sz w:val="23"/>
        </w:rPr>
        <w:t>Authority Lifecycle Objects</w:t>
      </w:r>
    </w:p>
    <w:p w14:paraId="79CFCEE1" w14:textId="77777777" w:rsidR="00002650" w:rsidRDefault="00002650" w:rsidP="00002650">
      <w:pPr>
        <w:keepNext/>
        <w:spacing w:before="140" w:after="80"/>
      </w:pPr>
      <w:r>
        <w:rPr>
          <w:rFonts w:ascii="Times New Roman" w:eastAsia="Times New Roman" w:hAnsi="Times New Roman"/>
          <w:i/>
          <w:color w:val="66717C"/>
          <w:sz w:val="18"/>
        </w:rPr>
        <w:t>Table 7. Runtime Evidence authority lifecycle objects.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32"/>
        <w:gridCol w:w="4392"/>
        <w:gridCol w:w="3096"/>
      </w:tblGrid>
      <w:tr w:rsidR="00002650" w14:paraId="498C27D8" w14:textId="77777777">
        <w:trPr>
          <w:cantSplit/>
          <w:tblHeader/>
          <w:jc w:val="center"/>
        </w:trPr>
        <w:tc>
          <w:tcPr>
            <w:tcW w:w="2232" w:type="dxa"/>
            <w:shd w:val="clear" w:color="auto" w:fill="17324D"/>
            <w:tcMar>
              <w:top w:w="70" w:type="dxa"/>
              <w:left w:w="100" w:type="dxa"/>
              <w:bottom w:w="70" w:type="dxa"/>
              <w:right w:w="100" w:type="dxa"/>
            </w:tcMar>
            <w:vAlign w:val="center"/>
          </w:tcPr>
          <w:p w14:paraId="344089BF" w14:textId="77777777" w:rsidR="00002650" w:rsidRDefault="00002650" w:rsidP="00F96983">
            <w:pPr>
              <w:spacing w:after="0" w:line="240" w:lineRule="auto"/>
            </w:pPr>
            <w:r>
              <w:rPr>
                <w:rFonts w:ascii="Arial" w:eastAsia="Times New Roman" w:hAnsi="Arial"/>
                <w:b/>
                <w:color w:val="FFFFFF"/>
                <w:sz w:val="17"/>
              </w:rPr>
              <w:t>Object</w:t>
            </w:r>
          </w:p>
        </w:tc>
        <w:tc>
          <w:tcPr>
            <w:tcW w:w="4392" w:type="dxa"/>
            <w:shd w:val="clear" w:color="auto" w:fill="17324D"/>
            <w:tcMar>
              <w:top w:w="70" w:type="dxa"/>
              <w:left w:w="100" w:type="dxa"/>
              <w:bottom w:w="70" w:type="dxa"/>
              <w:right w:w="100" w:type="dxa"/>
            </w:tcMar>
            <w:vAlign w:val="center"/>
          </w:tcPr>
          <w:p w14:paraId="2AF12F8B" w14:textId="77777777" w:rsidR="00002650" w:rsidRDefault="00002650" w:rsidP="00F96983">
            <w:pPr>
              <w:spacing w:after="0" w:line="240" w:lineRule="auto"/>
            </w:pPr>
            <w:r>
              <w:rPr>
                <w:rFonts w:ascii="Arial" w:eastAsia="Times New Roman" w:hAnsi="Arial"/>
                <w:b/>
                <w:color w:val="FFFFFF"/>
                <w:sz w:val="17"/>
              </w:rPr>
              <w:t>Relationship to Computational Behavior Architecture</w:t>
            </w:r>
          </w:p>
        </w:tc>
        <w:tc>
          <w:tcPr>
            <w:tcW w:w="3096" w:type="dxa"/>
            <w:shd w:val="clear" w:color="auto" w:fill="17324D"/>
            <w:tcMar>
              <w:top w:w="70" w:type="dxa"/>
              <w:left w:w="100" w:type="dxa"/>
              <w:bottom w:w="70" w:type="dxa"/>
              <w:right w:w="100" w:type="dxa"/>
            </w:tcMar>
            <w:vAlign w:val="center"/>
          </w:tcPr>
          <w:p w14:paraId="01B9A218" w14:textId="77777777" w:rsidR="00002650" w:rsidRDefault="00002650" w:rsidP="00F96983">
            <w:pPr>
              <w:spacing w:after="0" w:line="240" w:lineRule="auto"/>
            </w:pPr>
            <w:r>
              <w:rPr>
                <w:rFonts w:ascii="Arial" w:eastAsia="Times New Roman" w:hAnsi="Arial"/>
                <w:b/>
                <w:color w:val="FFFFFF"/>
                <w:sz w:val="17"/>
              </w:rPr>
              <w:t>Authority limit</w:t>
            </w:r>
          </w:p>
        </w:tc>
      </w:tr>
      <w:tr w:rsidR="00002650" w14:paraId="6EA11A11" w14:textId="77777777">
        <w:trPr>
          <w:cantSplit/>
          <w:jc w:val="center"/>
        </w:trPr>
        <w:tc>
          <w:tcPr>
            <w:tcW w:w="2232" w:type="dxa"/>
            <w:shd w:val="clear" w:color="auto" w:fill="FFFFFF"/>
            <w:tcMar>
              <w:top w:w="70" w:type="dxa"/>
              <w:left w:w="100" w:type="dxa"/>
              <w:bottom w:w="70" w:type="dxa"/>
              <w:right w:w="100" w:type="dxa"/>
            </w:tcMar>
            <w:vAlign w:val="center"/>
          </w:tcPr>
          <w:p w14:paraId="20E15AFF" w14:textId="77777777" w:rsidR="00002650" w:rsidRDefault="00002650" w:rsidP="00F96983">
            <w:pPr>
              <w:spacing w:after="0" w:line="240" w:lineRule="auto"/>
            </w:pPr>
            <w:r>
              <w:rPr>
                <w:rFonts w:ascii="Times New Roman" w:eastAsia="Times New Roman" w:hAnsi="Times New Roman"/>
                <w:color w:val="000000"/>
                <w:sz w:val="17"/>
              </w:rPr>
              <w:t>Current Evidence Run</w:t>
            </w:r>
          </w:p>
        </w:tc>
        <w:tc>
          <w:tcPr>
            <w:tcW w:w="4392" w:type="dxa"/>
            <w:shd w:val="clear" w:color="auto" w:fill="FFFFFF"/>
            <w:tcMar>
              <w:top w:w="70" w:type="dxa"/>
              <w:left w:w="100" w:type="dxa"/>
              <w:bottom w:w="70" w:type="dxa"/>
              <w:right w:w="100" w:type="dxa"/>
            </w:tcMar>
            <w:vAlign w:val="center"/>
          </w:tcPr>
          <w:p w14:paraId="006CA4BC" w14:textId="77777777" w:rsidR="00002650" w:rsidRDefault="00002650" w:rsidP="00F96983">
            <w:pPr>
              <w:spacing w:after="0" w:line="240" w:lineRule="auto"/>
            </w:pPr>
            <w:r>
              <w:rPr>
                <w:rFonts w:ascii="Times New Roman" w:eastAsia="Times New Roman" w:hAnsi="Times New Roman"/>
                <w:color w:val="000000"/>
                <w:sz w:val="17"/>
              </w:rPr>
              <w:t>Governs the active canonical runtime, measurements, findings, and investigation state</w:t>
            </w:r>
          </w:p>
        </w:tc>
        <w:tc>
          <w:tcPr>
            <w:tcW w:w="3096" w:type="dxa"/>
            <w:shd w:val="clear" w:color="auto" w:fill="FFFFFF"/>
            <w:tcMar>
              <w:top w:w="70" w:type="dxa"/>
              <w:left w:w="100" w:type="dxa"/>
              <w:bottom w:w="70" w:type="dxa"/>
              <w:right w:w="100" w:type="dxa"/>
            </w:tcMar>
            <w:vAlign w:val="center"/>
          </w:tcPr>
          <w:p w14:paraId="62F86755" w14:textId="77777777" w:rsidR="00002650" w:rsidRDefault="00002650" w:rsidP="00F96983">
            <w:pPr>
              <w:spacing w:after="0" w:line="240" w:lineRule="auto"/>
            </w:pPr>
            <w:r>
              <w:rPr>
                <w:rFonts w:ascii="Times New Roman" w:eastAsia="Times New Roman" w:hAnsi="Times New Roman"/>
                <w:color w:val="000000"/>
                <w:sz w:val="17"/>
              </w:rPr>
              <w:t>Active authority and not yet necessarily a portable issued artifact</w:t>
            </w:r>
          </w:p>
        </w:tc>
      </w:tr>
      <w:tr w:rsidR="00002650" w14:paraId="6F451803" w14:textId="77777777">
        <w:trPr>
          <w:cantSplit/>
          <w:jc w:val="center"/>
        </w:trPr>
        <w:tc>
          <w:tcPr>
            <w:tcW w:w="2232" w:type="dxa"/>
            <w:shd w:val="clear" w:color="auto" w:fill="F6F9FB"/>
            <w:tcMar>
              <w:top w:w="70" w:type="dxa"/>
              <w:left w:w="100" w:type="dxa"/>
              <w:bottom w:w="70" w:type="dxa"/>
              <w:right w:w="100" w:type="dxa"/>
            </w:tcMar>
            <w:vAlign w:val="center"/>
          </w:tcPr>
          <w:p w14:paraId="357202F3" w14:textId="77777777" w:rsidR="00002650" w:rsidRDefault="00002650" w:rsidP="00F96983">
            <w:pPr>
              <w:spacing w:after="0" w:line="240" w:lineRule="auto"/>
            </w:pPr>
            <w:r>
              <w:rPr>
                <w:rFonts w:ascii="Times New Roman" w:eastAsia="Times New Roman" w:hAnsi="Times New Roman"/>
                <w:color w:val="000000"/>
                <w:sz w:val="17"/>
              </w:rPr>
              <w:t>Runtime Evidence Record</w:t>
            </w:r>
          </w:p>
        </w:tc>
        <w:tc>
          <w:tcPr>
            <w:tcW w:w="4392" w:type="dxa"/>
            <w:shd w:val="clear" w:color="auto" w:fill="F6F9FB"/>
            <w:tcMar>
              <w:top w:w="70" w:type="dxa"/>
              <w:left w:w="100" w:type="dxa"/>
              <w:bottom w:w="70" w:type="dxa"/>
              <w:right w:w="100" w:type="dxa"/>
            </w:tcMar>
            <w:vAlign w:val="center"/>
          </w:tcPr>
          <w:p w14:paraId="71E7F905" w14:textId="77777777" w:rsidR="00002650" w:rsidRDefault="00002650" w:rsidP="00F96983">
            <w:pPr>
              <w:spacing w:after="0" w:line="240" w:lineRule="auto"/>
            </w:pPr>
            <w:r>
              <w:rPr>
                <w:rFonts w:ascii="Times New Roman" w:eastAsia="Times New Roman" w:hAnsi="Times New Roman"/>
                <w:color w:val="000000"/>
                <w:sz w:val="17"/>
              </w:rPr>
              <w:t>Contains or references the structured architecture object and its evidence states</w:t>
            </w:r>
          </w:p>
        </w:tc>
        <w:tc>
          <w:tcPr>
            <w:tcW w:w="3096" w:type="dxa"/>
            <w:shd w:val="clear" w:color="auto" w:fill="F6F9FB"/>
            <w:tcMar>
              <w:top w:w="70" w:type="dxa"/>
              <w:left w:w="100" w:type="dxa"/>
              <w:bottom w:w="70" w:type="dxa"/>
              <w:right w:w="100" w:type="dxa"/>
            </w:tcMar>
            <w:vAlign w:val="center"/>
          </w:tcPr>
          <w:p w14:paraId="6B491F5D" w14:textId="77777777" w:rsidR="00002650" w:rsidRDefault="00002650" w:rsidP="00F96983">
            <w:pPr>
              <w:spacing w:after="0" w:line="240" w:lineRule="auto"/>
            </w:pPr>
            <w:r>
              <w:rPr>
                <w:rFonts w:ascii="Times New Roman" w:eastAsia="Times New Roman" w:hAnsi="Times New Roman"/>
                <w:color w:val="000000"/>
                <w:sz w:val="17"/>
              </w:rPr>
              <w:t>Records what exists but does not by itself certify truth or issuance</w:t>
            </w:r>
          </w:p>
        </w:tc>
      </w:tr>
      <w:tr w:rsidR="00002650" w14:paraId="04DA9782" w14:textId="77777777">
        <w:trPr>
          <w:cantSplit/>
          <w:jc w:val="center"/>
        </w:trPr>
        <w:tc>
          <w:tcPr>
            <w:tcW w:w="2232" w:type="dxa"/>
            <w:shd w:val="clear" w:color="auto" w:fill="FFFFFF"/>
            <w:tcMar>
              <w:top w:w="70" w:type="dxa"/>
              <w:left w:w="100" w:type="dxa"/>
              <w:bottom w:w="70" w:type="dxa"/>
              <w:right w:w="100" w:type="dxa"/>
            </w:tcMar>
            <w:vAlign w:val="center"/>
          </w:tcPr>
          <w:p w14:paraId="48B71437" w14:textId="77777777" w:rsidR="00002650" w:rsidRDefault="00002650" w:rsidP="00F96983">
            <w:pPr>
              <w:spacing w:after="0" w:line="240" w:lineRule="auto"/>
            </w:pPr>
            <w:r>
              <w:rPr>
                <w:rFonts w:ascii="Times New Roman" w:eastAsia="Times New Roman" w:hAnsi="Times New Roman"/>
                <w:color w:val="000000"/>
                <w:sz w:val="17"/>
              </w:rPr>
              <w:t>Certified Runtime Evidence Record</w:t>
            </w:r>
          </w:p>
        </w:tc>
        <w:tc>
          <w:tcPr>
            <w:tcW w:w="4392" w:type="dxa"/>
            <w:shd w:val="clear" w:color="auto" w:fill="FFFFFF"/>
            <w:tcMar>
              <w:top w:w="70" w:type="dxa"/>
              <w:left w:w="100" w:type="dxa"/>
              <w:bottom w:w="70" w:type="dxa"/>
              <w:right w:w="100" w:type="dxa"/>
            </w:tcMar>
            <w:vAlign w:val="center"/>
          </w:tcPr>
          <w:p w14:paraId="328F55D4" w14:textId="77777777" w:rsidR="00002650" w:rsidRDefault="00002650" w:rsidP="00F96983">
            <w:pPr>
              <w:spacing w:after="0" w:line="240" w:lineRule="auto"/>
            </w:pPr>
            <w:r>
              <w:rPr>
                <w:rFonts w:ascii="Times New Roman" w:eastAsia="Times New Roman" w:hAnsi="Times New Roman"/>
                <w:color w:val="000000"/>
                <w:sz w:val="17"/>
              </w:rPr>
              <w:t>Issued record after declared identity, integrity, conformance, disclosure, and certification conditions</w:t>
            </w:r>
          </w:p>
        </w:tc>
        <w:tc>
          <w:tcPr>
            <w:tcW w:w="3096" w:type="dxa"/>
            <w:shd w:val="clear" w:color="auto" w:fill="FFFFFF"/>
            <w:tcMar>
              <w:top w:w="70" w:type="dxa"/>
              <w:left w:w="100" w:type="dxa"/>
              <w:bottom w:w="70" w:type="dxa"/>
              <w:right w:w="100" w:type="dxa"/>
            </w:tcMar>
            <w:vAlign w:val="center"/>
          </w:tcPr>
          <w:p w14:paraId="3FDC634F" w14:textId="77777777" w:rsidR="00002650" w:rsidRDefault="00002650" w:rsidP="00F96983">
            <w:pPr>
              <w:spacing w:after="0" w:line="240" w:lineRule="auto"/>
            </w:pPr>
            <w:r>
              <w:rPr>
                <w:rFonts w:ascii="Times New Roman" w:eastAsia="Times New Roman" w:hAnsi="Times New Roman"/>
                <w:color w:val="000000"/>
                <w:sz w:val="17"/>
              </w:rPr>
              <w:t>Certifies only the stated formation and conformance scope</w:t>
            </w:r>
          </w:p>
        </w:tc>
      </w:tr>
      <w:tr w:rsidR="00002650" w14:paraId="2C0B9366" w14:textId="77777777">
        <w:trPr>
          <w:cantSplit/>
          <w:jc w:val="center"/>
        </w:trPr>
        <w:tc>
          <w:tcPr>
            <w:tcW w:w="2232" w:type="dxa"/>
            <w:shd w:val="clear" w:color="auto" w:fill="F6F9FB"/>
            <w:tcMar>
              <w:top w:w="70" w:type="dxa"/>
              <w:left w:w="100" w:type="dxa"/>
              <w:bottom w:w="70" w:type="dxa"/>
              <w:right w:w="100" w:type="dxa"/>
            </w:tcMar>
            <w:vAlign w:val="center"/>
          </w:tcPr>
          <w:p w14:paraId="50F3067B" w14:textId="77777777" w:rsidR="00002650" w:rsidRDefault="00002650" w:rsidP="00F96983">
            <w:pPr>
              <w:spacing w:after="0" w:line="240" w:lineRule="auto"/>
            </w:pPr>
            <w:r>
              <w:rPr>
                <w:rFonts w:ascii="Times New Roman" w:eastAsia="Times New Roman" w:hAnsi="Times New Roman"/>
                <w:color w:val="000000"/>
                <w:sz w:val="17"/>
              </w:rPr>
              <w:t>Runtime Evidence Passport</w:t>
            </w:r>
          </w:p>
        </w:tc>
        <w:tc>
          <w:tcPr>
            <w:tcW w:w="4392" w:type="dxa"/>
            <w:shd w:val="clear" w:color="auto" w:fill="F6F9FB"/>
            <w:tcMar>
              <w:top w:w="70" w:type="dxa"/>
              <w:left w:w="100" w:type="dxa"/>
              <w:bottom w:w="70" w:type="dxa"/>
              <w:right w:w="100" w:type="dxa"/>
            </w:tcMar>
            <w:vAlign w:val="center"/>
          </w:tcPr>
          <w:p w14:paraId="164C75A0" w14:textId="77777777" w:rsidR="00002650" w:rsidRDefault="00002650" w:rsidP="00F96983">
            <w:pPr>
              <w:spacing w:after="0" w:line="240" w:lineRule="auto"/>
            </w:pPr>
            <w:r>
              <w:rPr>
                <w:rFonts w:ascii="Times New Roman" w:eastAsia="Times New Roman" w:hAnsi="Times New Roman"/>
                <w:color w:val="000000"/>
                <w:sz w:val="17"/>
              </w:rPr>
              <w:t>Identifies the run, source and canonical formation, versions, disclosure, certification, claim limits, and preservation posture</w:t>
            </w:r>
          </w:p>
        </w:tc>
        <w:tc>
          <w:tcPr>
            <w:tcW w:w="3096" w:type="dxa"/>
            <w:shd w:val="clear" w:color="auto" w:fill="F6F9FB"/>
            <w:tcMar>
              <w:top w:w="70" w:type="dxa"/>
              <w:left w:w="100" w:type="dxa"/>
              <w:bottom w:w="70" w:type="dxa"/>
              <w:right w:w="100" w:type="dxa"/>
            </w:tcMar>
            <w:vAlign w:val="center"/>
          </w:tcPr>
          <w:p w14:paraId="0E4945E8" w14:textId="77777777" w:rsidR="00002650" w:rsidRDefault="00002650" w:rsidP="00F96983">
            <w:pPr>
              <w:spacing w:after="0" w:line="240" w:lineRule="auto"/>
            </w:pPr>
            <w:r>
              <w:rPr>
                <w:rFonts w:ascii="Times New Roman" w:eastAsia="Times New Roman" w:hAnsi="Times New Roman"/>
                <w:color w:val="000000"/>
                <w:sz w:val="17"/>
              </w:rPr>
              <w:t>Does not create telemetry, validate constructs, or replace the record</w:t>
            </w:r>
          </w:p>
        </w:tc>
      </w:tr>
      <w:tr w:rsidR="00002650" w14:paraId="103C79A2" w14:textId="77777777">
        <w:trPr>
          <w:cantSplit/>
          <w:jc w:val="center"/>
        </w:trPr>
        <w:tc>
          <w:tcPr>
            <w:tcW w:w="2232" w:type="dxa"/>
            <w:shd w:val="clear" w:color="auto" w:fill="FFFFFF"/>
            <w:tcMar>
              <w:top w:w="70" w:type="dxa"/>
              <w:left w:w="100" w:type="dxa"/>
              <w:bottom w:w="70" w:type="dxa"/>
              <w:right w:w="100" w:type="dxa"/>
            </w:tcMar>
            <w:vAlign w:val="center"/>
          </w:tcPr>
          <w:p w14:paraId="532279C9" w14:textId="77777777" w:rsidR="00002650" w:rsidRDefault="00002650" w:rsidP="00F96983">
            <w:pPr>
              <w:spacing w:after="0" w:line="240" w:lineRule="auto"/>
            </w:pPr>
            <w:r>
              <w:rPr>
                <w:rFonts w:ascii="Times New Roman" w:eastAsia="Times New Roman" w:hAnsi="Times New Roman"/>
                <w:color w:val="000000"/>
                <w:sz w:val="17"/>
              </w:rPr>
              <w:t>Evidence Seal</w:t>
            </w:r>
          </w:p>
        </w:tc>
        <w:tc>
          <w:tcPr>
            <w:tcW w:w="4392" w:type="dxa"/>
            <w:shd w:val="clear" w:color="auto" w:fill="FFFFFF"/>
            <w:tcMar>
              <w:top w:w="70" w:type="dxa"/>
              <w:left w:w="100" w:type="dxa"/>
              <w:bottom w:w="70" w:type="dxa"/>
              <w:right w:w="100" w:type="dxa"/>
            </w:tcMar>
            <w:vAlign w:val="center"/>
          </w:tcPr>
          <w:p w14:paraId="6CA6E3AA" w14:textId="77777777" w:rsidR="00002650" w:rsidRDefault="00002650" w:rsidP="00F96983">
            <w:pPr>
              <w:spacing w:after="0" w:line="240" w:lineRule="auto"/>
            </w:pPr>
            <w:r>
              <w:rPr>
                <w:rFonts w:ascii="Times New Roman" w:eastAsia="Times New Roman" w:hAnsi="Times New Roman"/>
                <w:color w:val="000000"/>
                <w:sz w:val="17"/>
              </w:rPr>
              <w:t>Binds the declared evidence-bearing core to an integrity reference</w:t>
            </w:r>
          </w:p>
        </w:tc>
        <w:tc>
          <w:tcPr>
            <w:tcW w:w="3096" w:type="dxa"/>
            <w:shd w:val="clear" w:color="auto" w:fill="FFFFFF"/>
            <w:tcMar>
              <w:top w:w="70" w:type="dxa"/>
              <w:left w:w="100" w:type="dxa"/>
              <w:bottom w:w="70" w:type="dxa"/>
              <w:right w:w="100" w:type="dxa"/>
            </w:tcMar>
            <w:vAlign w:val="center"/>
          </w:tcPr>
          <w:p w14:paraId="5978F42E" w14:textId="77777777" w:rsidR="00002650" w:rsidRDefault="00002650" w:rsidP="00F96983">
            <w:pPr>
              <w:spacing w:after="0" w:line="240" w:lineRule="auto"/>
            </w:pPr>
            <w:r>
              <w:rPr>
                <w:rFonts w:ascii="Times New Roman" w:eastAsia="Times New Roman" w:hAnsi="Times New Roman"/>
                <w:color w:val="000000"/>
                <w:sz w:val="17"/>
              </w:rPr>
              <w:t>Does not prove source authenticity or scientific validity</w:t>
            </w:r>
          </w:p>
        </w:tc>
      </w:tr>
      <w:tr w:rsidR="00002650" w14:paraId="76ED7C54" w14:textId="77777777">
        <w:trPr>
          <w:cantSplit/>
          <w:jc w:val="center"/>
        </w:trPr>
        <w:tc>
          <w:tcPr>
            <w:tcW w:w="2232" w:type="dxa"/>
            <w:shd w:val="clear" w:color="auto" w:fill="F6F9FB"/>
            <w:tcMar>
              <w:top w:w="70" w:type="dxa"/>
              <w:left w:w="100" w:type="dxa"/>
              <w:bottom w:w="70" w:type="dxa"/>
              <w:right w:w="100" w:type="dxa"/>
            </w:tcMar>
            <w:vAlign w:val="center"/>
          </w:tcPr>
          <w:p w14:paraId="7B12E50F" w14:textId="77777777" w:rsidR="00002650" w:rsidRDefault="00002650" w:rsidP="00F96983">
            <w:pPr>
              <w:spacing w:after="0" w:line="240" w:lineRule="auto"/>
            </w:pPr>
            <w:r>
              <w:rPr>
                <w:rFonts w:ascii="Times New Roman" w:eastAsia="Times New Roman" w:hAnsi="Times New Roman"/>
                <w:color w:val="000000"/>
                <w:sz w:val="17"/>
              </w:rPr>
              <w:t>Preservation artifact</w:t>
            </w:r>
          </w:p>
        </w:tc>
        <w:tc>
          <w:tcPr>
            <w:tcW w:w="4392" w:type="dxa"/>
            <w:shd w:val="clear" w:color="auto" w:fill="F6F9FB"/>
            <w:tcMar>
              <w:top w:w="70" w:type="dxa"/>
              <w:left w:w="100" w:type="dxa"/>
              <w:bottom w:w="70" w:type="dxa"/>
              <w:right w:w="100" w:type="dxa"/>
            </w:tcMar>
            <w:vAlign w:val="center"/>
          </w:tcPr>
          <w:p w14:paraId="1EEA6CE8" w14:textId="77777777" w:rsidR="00002650" w:rsidRDefault="00002650" w:rsidP="00F96983">
            <w:pPr>
              <w:spacing w:after="0" w:line="240" w:lineRule="auto"/>
            </w:pPr>
            <w:r>
              <w:rPr>
                <w:rFonts w:ascii="Times New Roman" w:eastAsia="Times New Roman" w:hAnsi="Times New Roman"/>
                <w:color w:val="000000"/>
                <w:sz w:val="17"/>
              </w:rPr>
              <w:t>Carries authorized evidence objects, manifests, methods, omissions, and lineage beyond the interface</w:t>
            </w:r>
          </w:p>
        </w:tc>
        <w:tc>
          <w:tcPr>
            <w:tcW w:w="3096" w:type="dxa"/>
            <w:shd w:val="clear" w:color="auto" w:fill="F6F9FB"/>
            <w:tcMar>
              <w:top w:w="70" w:type="dxa"/>
              <w:left w:w="100" w:type="dxa"/>
              <w:bottom w:w="70" w:type="dxa"/>
              <w:right w:w="100" w:type="dxa"/>
            </w:tcMar>
            <w:vAlign w:val="center"/>
          </w:tcPr>
          <w:p w14:paraId="2260CEE2" w14:textId="77777777" w:rsidR="00002650" w:rsidRDefault="00002650" w:rsidP="00F96983">
            <w:pPr>
              <w:spacing w:after="0" w:line="240" w:lineRule="auto"/>
            </w:pPr>
            <w:r>
              <w:rPr>
                <w:rFonts w:ascii="Times New Roman" w:eastAsia="Times New Roman" w:hAnsi="Times New Roman"/>
                <w:color w:val="000000"/>
                <w:sz w:val="17"/>
              </w:rPr>
              <w:t>Cannot strengthen claims or silently remove limitations</w:t>
            </w:r>
          </w:p>
        </w:tc>
      </w:tr>
    </w:tbl>
    <w:p w14:paraId="0FC7A69E" w14:textId="77777777" w:rsidR="00002650" w:rsidRDefault="00002650" w:rsidP="00002650">
      <w:pPr>
        <w:spacing w:after="20"/>
      </w:pPr>
    </w:p>
    <w:p w14:paraId="794FB7DD" w14:textId="77777777" w:rsidR="00002650" w:rsidRDefault="00002650" w:rsidP="00002650">
      <w:pPr>
        <w:spacing w:after="94"/>
      </w:pPr>
      <w:r>
        <w:rPr>
          <w:rFonts w:ascii="Times New Roman" w:eastAsia="Times New Roman" w:hAnsi="Times New Roman"/>
          <w:color w:val="000000"/>
          <w:sz w:val="20"/>
        </w:rPr>
        <w:t>The Passport supplies stable identity beneath multiple representations and projections. It is not the representation itself. The Evidence Seal identifies the declared core, while artifact identity describes a particular exported package. These identities form a lineage rather than one interchangeable hash.</w:t>
      </w:r>
    </w:p>
    <w:p w14:paraId="024D8988" w14:textId="77777777" w:rsidR="00002650" w:rsidRDefault="00002650" w:rsidP="00002650">
      <w:pPr>
        <w:pStyle w:val="Heading2"/>
      </w:pPr>
      <w:r>
        <w:rPr>
          <w:rFonts w:ascii="Arial" w:eastAsia="Times New Roman" w:hAnsi="Arial"/>
          <w:color w:val="000000"/>
          <w:sz w:val="23"/>
        </w:rPr>
        <w:t>Evidence Governed Claim Formation</w:t>
      </w:r>
    </w:p>
    <w:p w14:paraId="73A1DDC7" w14:textId="77777777" w:rsidR="00002650" w:rsidRDefault="00002650" w:rsidP="00002650">
      <w:pPr>
        <w:keepLines/>
        <w:spacing w:after="94"/>
      </w:pPr>
      <w:r>
        <w:rPr>
          <w:rFonts w:ascii="Times New Roman" w:eastAsia="Times New Roman" w:hAnsi="Times New Roman"/>
          <w:color w:val="000000"/>
          <w:sz w:val="20"/>
        </w:rPr>
        <w:t>Evidence-Governed Computation defines whether a claim may be formed, projected, displayed, exported, challenged, or superseded [5]. Computational Behavior Architecture provides the objects and relations to which those rules apply.</w:t>
      </w:r>
    </w:p>
    <w:p w14:paraId="23C5FE0E" w14:textId="77777777" w:rsidR="00002650" w:rsidRDefault="00002650" w:rsidP="00002650">
      <w:pPr>
        <w:spacing w:after="94"/>
      </w:pPr>
      <w:r>
        <w:rPr>
          <w:rFonts w:ascii="Times New Roman" w:eastAsia="Times New Roman" w:hAnsi="Times New Roman"/>
          <w:color w:val="000000"/>
          <w:sz w:val="20"/>
        </w:rPr>
        <w:t>This distinction is essential. The representation may state that an interval was classified as Transitional under a declared method. EGC determines which claim object can be issued from that state, which assumptions and limits must accompany it, which surfaces may display it, and what stronger claims are forbidden. The representation may preserve a role handoff and a subsequent failure. EGC prevents the sequence from being exported as proof of blame or unique causation without additional evidence.</w:t>
      </w:r>
    </w:p>
    <w:p w14:paraId="7DB012B5" w14:textId="77777777" w:rsidR="00002650" w:rsidRDefault="00002650" w:rsidP="00002650">
      <w:pPr>
        <w:spacing w:after="94"/>
      </w:pPr>
      <w:r>
        <w:rPr>
          <w:rFonts w:ascii="Times New Roman" w:eastAsia="Times New Roman" w:hAnsi="Times New Roman"/>
          <w:color w:val="000000"/>
          <w:sz w:val="20"/>
        </w:rPr>
        <w:t>The two architectures therefore meet at structured references:</w:t>
      </w:r>
    </w:p>
    <w:p w14:paraId="66CAAFB9" w14:textId="77777777" w:rsidR="00002650" w:rsidRDefault="00002650" w:rsidP="00002650">
      <w:pPr>
        <w:pStyle w:val="ListBullet"/>
        <w:tabs>
          <w:tab w:val="num" w:pos="360"/>
        </w:tabs>
      </w:pPr>
      <w:r>
        <w:rPr>
          <w:rFonts w:eastAsia="Times New Roman"/>
          <w:sz w:val="19"/>
        </w:rPr>
        <w:t>claims reference findings, measurements, frames, events, and source spans;</w:t>
      </w:r>
    </w:p>
    <w:p w14:paraId="08C443B9" w14:textId="77777777" w:rsidR="00002650" w:rsidRDefault="00002650" w:rsidP="00002650">
      <w:pPr>
        <w:pStyle w:val="ListBullet"/>
        <w:tabs>
          <w:tab w:val="num" w:pos="360"/>
        </w:tabs>
      </w:pPr>
      <w:r>
        <w:rPr>
          <w:rFonts w:eastAsia="Times New Roman"/>
          <w:sz w:val="19"/>
        </w:rPr>
        <w:t>findings reference instrument and method contracts;</w:t>
      </w:r>
    </w:p>
    <w:p w14:paraId="6C66B8D1" w14:textId="77777777" w:rsidR="00002650" w:rsidRDefault="00002650" w:rsidP="00002650">
      <w:pPr>
        <w:pStyle w:val="ListBullet"/>
        <w:tabs>
          <w:tab w:val="num" w:pos="360"/>
        </w:tabs>
      </w:pPr>
      <w:r>
        <w:rPr>
          <w:rFonts w:eastAsia="Times New Roman"/>
          <w:sz w:val="19"/>
        </w:rPr>
        <w:t>measurements reference eligible inputs and evidence horizons;</w:t>
      </w:r>
    </w:p>
    <w:p w14:paraId="3BCD1500" w14:textId="77777777" w:rsidR="00002650" w:rsidRDefault="00002650" w:rsidP="00002650">
      <w:pPr>
        <w:pStyle w:val="ListBullet"/>
        <w:tabs>
          <w:tab w:val="num" w:pos="360"/>
        </w:tabs>
      </w:pPr>
      <w:r>
        <w:rPr>
          <w:rFonts w:eastAsia="Times New Roman"/>
          <w:sz w:val="19"/>
        </w:rPr>
        <w:t>representation objects identify their provenance and state; and</w:t>
      </w:r>
    </w:p>
    <w:p w14:paraId="45AB6A34" w14:textId="77777777" w:rsidR="00002650" w:rsidRDefault="00002650" w:rsidP="00002650">
      <w:pPr>
        <w:pStyle w:val="ListBullet"/>
        <w:tabs>
          <w:tab w:val="num" w:pos="360"/>
        </w:tabs>
      </w:pPr>
      <w:r>
        <w:rPr>
          <w:rFonts w:eastAsia="Times New Roman"/>
          <w:sz w:val="19"/>
        </w:rPr>
        <w:t>surfaces bind to the claim and evidence objects they are permitted to project.</w:t>
      </w:r>
    </w:p>
    <w:p w14:paraId="5C16387C" w14:textId="77777777" w:rsidR="00002650" w:rsidRDefault="00002650" w:rsidP="00002650">
      <w:pPr>
        <w:spacing w:after="94"/>
      </w:pPr>
      <w:r>
        <w:rPr>
          <w:rFonts w:ascii="Times New Roman" w:eastAsia="Times New Roman" w:hAnsi="Times New Roman"/>
          <w:color w:val="000000"/>
          <w:sz w:val="20"/>
        </w:rPr>
        <w:t>Computational Behavior Architecture is not an alternative to EGC. It is the representational substrate on which EGC can operate without reducing claims to detached prose.</w:t>
      </w:r>
    </w:p>
    <w:p w14:paraId="5B81E6F4" w14:textId="77777777" w:rsidR="00002650" w:rsidRPr="00002650" w:rsidRDefault="00002650" w:rsidP="00002650">
      <w:pPr>
        <w:pStyle w:val="Heading1"/>
        <w:rPr>
          <w:b/>
          <w:bCs/>
          <w:color w:val="4F46E5"/>
        </w:rPr>
      </w:pPr>
      <w:r w:rsidRPr="00002650">
        <w:rPr>
          <w:rFonts w:ascii="Arial" w:eastAsia="Times New Roman" w:hAnsi="Arial"/>
          <w:b/>
          <w:bCs/>
          <w:color w:val="4F46E5"/>
          <w:sz w:val="29"/>
        </w:rPr>
        <w:t>Preservation Portability and Round Trip Reconstruction</w:t>
      </w:r>
    </w:p>
    <w:p w14:paraId="21860CCA" w14:textId="77777777" w:rsidR="00002650" w:rsidRDefault="00002650" w:rsidP="00002650">
      <w:pPr>
        <w:pStyle w:val="Heading2"/>
      </w:pPr>
      <w:r>
        <w:rPr>
          <w:rFonts w:ascii="Arial" w:eastAsia="Times New Roman" w:hAnsi="Arial"/>
          <w:color w:val="000000"/>
          <w:sz w:val="23"/>
        </w:rPr>
        <w:t>Preservation Mapping</w:t>
      </w:r>
    </w:p>
    <w:p w14:paraId="2EA5554F" w14:textId="77777777" w:rsidR="00002650" w:rsidRDefault="00002650" w:rsidP="00002650">
      <w:pPr>
        <w:keepLines/>
        <w:spacing w:after="94"/>
      </w:pPr>
      <w:r>
        <w:rPr>
          <w:rFonts w:ascii="Times New Roman" w:eastAsia="Times New Roman" w:hAnsi="Times New Roman"/>
          <w:color w:val="000000"/>
          <w:sz w:val="20"/>
        </w:rPr>
        <w:t>Preservation must carry more than a report. A conforming artifact should contain or reference the source package, qualification state, canonical event ledger, ordering semantics, role and interaction topology, runtime spine, frames or frame-construction method, worldline, measurements, marker and regime structures, findings, evidence-authority objects, disclosures, challenge state, and replay requirements applicable to its declared scope.</w:t>
      </w:r>
    </w:p>
    <w:p w14:paraId="17C68CD2" w14:textId="77777777" w:rsidR="00002650" w:rsidRDefault="00002650" w:rsidP="00002650">
      <w:pPr>
        <w:spacing w:after="94"/>
      </w:pPr>
      <w:r>
        <w:rPr>
          <w:rFonts w:ascii="Times New Roman" w:eastAsia="Times New Roman" w:hAnsi="Times New Roman"/>
          <w:color w:val="000000"/>
          <w:sz w:val="20"/>
        </w:rPr>
        <w:t xml:space="preserve">The preservation mapping </w:t>
      </w:r>
      <w:r>
        <w:rPr>
          <w:rFonts w:ascii="Times New Roman" w:eastAsia="Times New Roman" w:hAnsi="Times New Roman"/>
          <w:b/>
          <w:color w:val="000000"/>
          <w:sz w:val="20"/>
        </w:rPr>
        <w:t>X</w:t>
      </w:r>
      <w:r>
        <w:rPr>
          <w:rFonts w:ascii="Times New Roman" w:eastAsia="Times New Roman" w:hAnsi="Times New Roman"/>
          <w:color w:val="000000"/>
          <w:sz w:val="20"/>
        </w:rPr>
        <w:t xml:space="preserve"> identifies which architecture objects are embedded, externally referenced, withheld, redacted, summarized, or unavailable. It also records the effect of each omission on replay and challenge. A privacy-preserving artifact may omit raw source content while retaining source identity, access conditions, derived objects, and explicit replay limitations. It cannot claim complete source-level reproducibility when the necessary material is unavailable.</w:t>
      </w:r>
    </w:p>
    <w:p w14:paraId="371514F4" w14:textId="77777777" w:rsidR="00002650" w:rsidRDefault="00002650" w:rsidP="00002650">
      <w:pPr>
        <w:pStyle w:val="Heading2"/>
      </w:pPr>
      <w:r>
        <w:rPr>
          <w:rFonts w:ascii="Arial" w:eastAsia="Times New Roman" w:hAnsi="Arial"/>
          <w:color w:val="000000"/>
          <w:sz w:val="23"/>
        </w:rPr>
        <w:t>Identity Continuity</w:t>
      </w:r>
    </w:p>
    <w:p w14:paraId="3ED1A51D" w14:textId="77777777" w:rsidR="00002650" w:rsidRDefault="00002650" w:rsidP="00002650">
      <w:pPr>
        <w:keepLines/>
        <w:spacing w:after="94"/>
      </w:pPr>
      <w:r>
        <w:rPr>
          <w:rFonts w:ascii="Times New Roman" w:eastAsia="Times New Roman" w:hAnsi="Times New Roman"/>
          <w:color w:val="000000"/>
          <w:sz w:val="20"/>
        </w:rPr>
        <w:t>The architecture distinguishes at least five identities:</w:t>
      </w:r>
    </w:p>
    <w:p w14:paraId="0BB82686" w14:textId="77777777" w:rsidR="00002650" w:rsidRDefault="00002650" w:rsidP="00002650">
      <w:pPr>
        <w:keepNext/>
        <w:spacing w:before="140" w:after="80"/>
      </w:pPr>
      <w:r>
        <w:rPr>
          <w:rFonts w:ascii="Times New Roman" w:eastAsia="Times New Roman" w:hAnsi="Times New Roman"/>
          <w:i/>
          <w:color w:val="66717C"/>
          <w:sz w:val="18"/>
        </w:rPr>
        <w:t>Table 8. Identity layers and representative change conditions.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72"/>
        <w:gridCol w:w="3384"/>
        <w:gridCol w:w="4464"/>
      </w:tblGrid>
      <w:tr w:rsidR="00002650" w14:paraId="7A482591" w14:textId="77777777">
        <w:trPr>
          <w:cantSplit/>
          <w:tblHeader/>
          <w:jc w:val="center"/>
        </w:trPr>
        <w:tc>
          <w:tcPr>
            <w:tcW w:w="1872" w:type="dxa"/>
            <w:shd w:val="clear" w:color="auto" w:fill="17324D"/>
            <w:tcMar>
              <w:top w:w="70" w:type="dxa"/>
              <w:left w:w="100" w:type="dxa"/>
              <w:bottom w:w="70" w:type="dxa"/>
              <w:right w:w="100" w:type="dxa"/>
            </w:tcMar>
            <w:vAlign w:val="center"/>
          </w:tcPr>
          <w:p w14:paraId="32AAA61E" w14:textId="77777777" w:rsidR="00002650" w:rsidRDefault="00002650" w:rsidP="00F96983">
            <w:pPr>
              <w:spacing w:after="0" w:line="240" w:lineRule="auto"/>
            </w:pPr>
            <w:r>
              <w:rPr>
                <w:rFonts w:ascii="Arial" w:eastAsia="Times New Roman" w:hAnsi="Arial"/>
                <w:b/>
                <w:color w:val="FFFFFF"/>
                <w:sz w:val="17"/>
              </w:rPr>
              <w:t>Identity</w:t>
            </w:r>
          </w:p>
        </w:tc>
        <w:tc>
          <w:tcPr>
            <w:tcW w:w="3384" w:type="dxa"/>
            <w:shd w:val="clear" w:color="auto" w:fill="17324D"/>
            <w:tcMar>
              <w:top w:w="70" w:type="dxa"/>
              <w:left w:w="100" w:type="dxa"/>
              <w:bottom w:w="70" w:type="dxa"/>
              <w:right w:w="100" w:type="dxa"/>
            </w:tcMar>
            <w:vAlign w:val="center"/>
          </w:tcPr>
          <w:p w14:paraId="57B392A8" w14:textId="77777777" w:rsidR="00002650" w:rsidRDefault="00002650" w:rsidP="00F96983">
            <w:pPr>
              <w:spacing w:after="0" w:line="240" w:lineRule="auto"/>
            </w:pPr>
            <w:r>
              <w:rPr>
                <w:rFonts w:ascii="Arial" w:eastAsia="Times New Roman" w:hAnsi="Arial"/>
                <w:b/>
                <w:color w:val="FFFFFF"/>
                <w:sz w:val="17"/>
              </w:rPr>
              <w:t>Object</w:t>
            </w:r>
          </w:p>
        </w:tc>
        <w:tc>
          <w:tcPr>
            <w:tcW w:w="4464" w:type="dxa"/>
            <w:shd w:val="clear" w:color="auto" w:fill="17324D"/>
            <w:tcMar>
              <w:top w:w="70" w:type="dxa"/>
              <w:left w:w="100" w:type="dxa"/>
              <w:bottom w:w="70" w:type="dxa"/>
              <w:right w:w="100" w:type="dxa"/>
            </w:tcMar>
            <w:vAlign w:val="center"/>
          </w:tcPr>
          <w:p w14:paraId="1F0E14FE" w14:textId="77777777" w:rsidR="00002650" w:rsidRDefault="00002650" w:rsidP="00F96983">
            <w:pPr>
              <w:spacing w:after="0" w:line="240" w:lineRule="auto"/>
            </w:pPr>
            <w:r>
              <w:rPr>
                <w:rFonts w:ascii="Arial" w:eastAsia="Times New Roman" w:hAnsi="Arial"/>
                <w:b/>
                <w:color w:val="FFFFFF"/>
                <w:sz w:val="17"/>
              </w:rPr>
              <w:t>Representative change condition</w:t>
            </w:r>
          </w:p>
        </w:tc>
      </w:tr>
      <w:tr w:rsidR="00002650" w14:paraId="164FB776" w14:textId="77777777">
        <w:trPr>
          <w:cantSplit/>
          <w:jc w:val="center"/>
        </w:trPr>
        <w:tc>
          <w:tcPr>
            <w:tcW w:w="1872" w:type="dxa"/>
            <w:shd w:val="clear" w:color="auto" w:fill="FFFFFF"/>
            <w:tcMar>
              <w:top w:w="70" w:type="dxa"/>
              <w:left w:w="100" w:type="dxa"/>
              <w:bottom w:w="70" w:type="dxa"/>
              <w:right w:w="100" w:type="dxa"/>
            </w:tcMar>
            <w:vAlign w:val="center"/>
          </w:tcPr>
          <w:p w14:paraId="3CD62EF3" w14:textId="77777777" w:rsidR="00002650" w:rsidRDefault="00002650" w:rsidP="00F96983">
            <w:pPr>
              <w:spacing w:after="0" w:line="240" w:lineRule="auto"/>
            </w:pPr>
            <w:r>
              <w:rPr>
                <w:rFonts w:ascii="Times New Roman" w:eastAsia="Times New Roman" w:hAnsi="Times New Roman"/>
                <w:color w:val="000000"/>
                <w:sz w:val="17"/>
              </w:rPr>
              <w:t>Source identity</w:t>
            </w:r>
          </w:p>
        </w:tc>
        <w:tc>
          <w:tcPr>
            <w:tcW w:w="3384" w:type="dxa"/>
            <w:shd w:val="clear" w:color="auto" w:fill="FFFFFF"/>
            <w:tcMar>
              <w:top w:w="70" w:type="dxa"/>
              <w:left w:w="100" w:type="dxa"/>
              <w:bottom w:w="70" w:type="dxa"/>
              <w:right w:w="100" w:type="dxa"/>
            </w:tcMar>
            <w:vAlign w:val="center"/>
          </w:tcPr>
          <w:p w14:paraId="7FD4031B" w14:textId="77777777" w:rsidR="00002650" w:rsidRDefault="00002650" w:rsidP="00F96983">
            <w:pPr>
              <w:spacing w:after="0" w:line="240" w:lineRule="auto"/>
            </w:pPr>
            <w:r>
              <w:rPr>
                <w:rFonts w:ascii="Times New Roman" w:eastAsia="Times New Roman" w:hAnsi="Times New Roman"/>
                <w:color w:val="000000"/>
                <w:sz w:val="17"/>
              </w:rPr>
              <w:t>Supplied bytes, streams, or stable references</w:t>
            </w:r>
          </w:p>
        </w:tc>
        <w:tc>
          <w:tcPr>
            <w:tcW w:w="4464" w:type="dxa"/>
            <w:shd w:val="clear" w:color="auto" w:fill="FFFFFF"/>
            <w:tcMar>
              <w:top w:w="70" w:type="dxa"/>
              <w:left w:w="100" w:type="dxa"/>
              <w:bottom w:w="70" w:type="dxa"/>
              <w:right w:w="100" w:type="dxa"/>
            </w:tcMar>
            <w:vAlign w:val="center"/>
          </w:tcPr>
          <w:p w14:paraId="0388130E" w14:textId="77777777" w:rsidR="00002650" w:rsidRDefault="00002650" w:rsidP="00F96983">
            <w:pPr>
              <w:spacing w:after="0" w:line="240" w:lineRule="auto"/>
            </w:pPr>
            <w:r>
              <w:rPr>
                <w:rFonts w:ascii="Times New Roman" w:eastAsia="Times New Roman" w:hAnsi="Times New Roman"/>
                <w:color w:val="000000"/>
                <w:sz w:val="17"/>
              </w:rPr>
              <w:t>Source material or declared source package changes</w:t>
            </w:r>
          </w:p>
        </w:tc>
      </w:tr>
      <w:tr w:rsidR="00002650" w14:paraId="7B509672" w14:textId="77777777">
        <w:trPr>
          <w:cantSplit/>
          <w:jc w:val="center"/>
        </w:trPr>
        <w:tc>
          <w:tcPr>
            <w:tcW w:w="1872" w:type="dxa"/>
            <w:shd w:val="clear" w:color="auto" w:fill="F6F9FB"/>
            <w:tcMar>
              <w:top w:w="70" w:type="dxa"/>
              <w:left w:w="100" w:type="dxa"/>
              <w:bottom w:w="70" w:type="dxa"/>
              <w:right w:w="100" w:type="dxa"/>
            </w:tcMar>
            <w:vAlign w:val="center"/>
          </w:tcPr>
          <w:p w14:paraId="0B3DE643" w14:textId="77777777" w:rsidR="00002650" w:rsidRDefault="00002650" w:rsidP="00F96983">
            <w:pPr>
              <w:spacing w:after="0" w:line="240" w:lineRule="auto"/>
            </w:pPr>
            <w:r>
              <w:rPr>
                <w:rFonts w:ascii="Times New Roman" w:eastAsia="Times New Roman" w:hAnsi="Times New Roman"/>
                <w:color w:val="000000"/>
                <w:sz w:val="17"/>
              </w:rPr>
              <w:t>Canonical identity</w:t>
            </w:r>
          </w:p>
        </w:tc>
        <w:tc>
          <w:tcPr>
            <w:tcW w:w="3384" w:type="dxa"/>
            <w:shd w:val="clear" w:color="auto" w:fill="F6F9FB"/>
            <w:tcMar>
              <w:top w:w="70" w:type="dxa"/>
              <w:left w:w="100" w:type="dxa"/>
              <w:bottom w:w="70" w:type="dxa"/>
              <w:right w:w="100" w:type="dxa"/>
            </w:tcMar>
            <w:vAlign w:val="center"/>
          </w:tcPr>
          <w:p w14:paraId="60B75B40" w14:textId="77777777" w:rsidR="00002650" w:rsidRDefault="00002650" w:rsidP="00F96983">
            <w:pPr>
              <w:spacing w:after="0" w:line="240" w:lineRule="auto"/>
            </w:pPr>
            <w:r>
              <w:rPr>
                <w:rFonts w:ascii="Times New Roman" w:eastAsia="Times New Roman" w:hAnsi="Times New Roman"/>
                <w:color w:val="000000"/>
                <w:sz w:val="17"/>
              </w:rPr>
              <w:t>Qualified event and relationship representation</w:t>
            </w:r>
          </w:p>
        </w:tc>
        <w:tc>
          <w:tcPr>
            <w:tcW w:w="4464" w:type="dxa"/>
            <w:shd w:val="clear" w:color="auto" w:fill="F6F9FB"/>
            <w:tcMar>
              <w:top w:w="70" w:type="dxa"/>
              <w:left w:w="100" w:type="dxa"/>
              <w:bottom w:w="70" w:type="dxa"/>
              <w:right w:w="100" w:type="dxa"/>
            </w:tcMar>
            <w:vAlign w:val="center"/>
          </w:tcPr>
          <w:p w14:paraId="753487F4" w14:textId="77777777" w:rsidR="00002650" w:rsidRDefault="00002650" w:rsidP="00F96983">
            <w:pPr>
              <w:spacing w:after="0" w:line="240" w:lineRule="auto"/>
            </w:pPr>
            <w:r>
              <w:rPr>
                <w:rFonts w:ascii="Times New Roman" w:eastAsia="Times New Roman" w:hAnsi="Times New Roman"/>
                <w:color w:val="000000"/>
                <w:sz w:val="17"/>
              </w:rPr>
              <w:t>Segmentation, role mapping, ordering, adapter, or canonical content changes</w:t>
            </w:r>
          </w:p>
        </w:tc>
      </w:tr>
      <w:tr w:rsidR="00002650" w14:paraId="772D9990" w14:textId="77777777">
        <w:trPr>
          <w:cantSplit/>
          <w:jc w:val="center"/>
        </w:trPr>
        <w:tc>
          <w:tcPr>
            <w:tcW w:w="1872" w:type="dxa"/>
            <w:shd w:val="clear" w:color="auto" w:fill="FFFFFF"/>
            <w:tcMar>
              <w:top w:w="70" w:type="dxa"/>
              <w:left w:w="100" w:type="dxa"/>
              <w:bottom w:w="70" w:type="dxa"/>
              <w:right w:w="100" w:type="dxa"/>
            </w:tcMar>
            <w:vAlign w:val="center"/>
          </w:tcPr>
          <w:p w14:paraId="5DA88887" w14:textId="77777777" w:rsidR="00002650" w:rsidRDefault="00002650" w:rsidP="00F96983">
            <w:pPr>
              <w:spacing w:after="0" w:line="240" w:lineRule="auto"/>
            </w:pPr>
            <w:r>
              <w:rPr>
                <w:rFonts w:ascii="Times New Roman" w:eastAsia="Times New Roman" w:hAnsi="Times New Roman"/>
                <w:color w:val="000000"/>
                <w:sz w:val="17"/>
              </w:rPr>
              <w:t>Run identity</w:t>
            </w:r>
          </w:p>
        </w:tc>
        <w:tc>
          <w:tcPr>
            <w:tcW w:w="3384" w:type="dxa"/>
            <w:shd w:val="clear" w:color="auto" w:fill="FFFFFF"/>
            <w:tcMar>
              <w:top w:w="70" w:type="dxa"/>
              <w:left w:w="100" w:type="dxa"/>
              <w:bottom w:w="70" w:type="dxa"/>
              <w:right w:w="100" w:type="dxa"/>
            </w:tcMar>
            <w:vAlign w:val="center"/>
          </w:tcPr>
          <w:p w14:paraId="258A794A" w14:textId="77777777" w:rsidR="00002650" w:rsidRDefault="00002650" w:rsidP="00F96983">
            <w:pPr>
              <w:spacing w:after="0" w:line="240" w:lineRule="auto"/>
            </w:pPr>
            <w:r>
              <w:rPr>
                <w:rFonts w:ascii="Times New Roman" w:eastAsia="Times New Roman" w:hAnsi="Times New Roman"/>
                <w:color w:val="000000"/>
                <w:sz w:val="17"/>
              </w:rPr>
              <w:t>Active representation and governing configuration</w:t>
            </w:r>
          </w:p>
        </w:tc>
        <w:tc>
          <w:tcPr>
            <w:tcW w:w="4464" w:type="dxa"/>
            <w:shd w:val="clear" w:color="auto" w:fill="FFFFFF"/>
            <w:tcMar>
              <w:top w:w="70" w:type="dxa"/>
              <w:left w:w="100" w:type="dxa"/>
              <w:bottom w:w="70" w:type="dxa"/>
              <w:right w:w="100" w:type="dxa"/>
            </w:tcMar>
            <w:vAlign w:val="center"/>
          </w:tcPr>
          <w:p w14:paraId="4C5BC1FB" w14:textId="77777777" w:rsidR="00002650" w:rsidRDefault="00002650" w:rsidP="00F96983">
            <w:pPr>
              <w:spacing w:after="0" w:line="240" w:lineRule="auto"/>
            </w:pPr>
            <w:r>
              <w:rPr>
                <w:rFonts w:ascii="Times New Roman" w:eastAsia="Times New Roman" w:hAnsi="Times New Roman"/>
                <w:color w:val="000000"/>
                <w:sz w:val="17"/>
              </w:rPr>
              <w:t>Eligible source, contract, versions, or authority state changes</w:t>
            </w:r>
          </w:p>
        </w:tc>
      </w:tr>
      <w:tr w:rsidR="00002650" w14:paraId="4156D30D" w14:textId="77777777">
        <w:trPr>
          <w:cantSplit/>
          <w:jc w:val="center"/>
        </w:trPr>
        <w:tc>
          <w:tcPr>
            <w:tcW w:w="1872" w:type="dxa"/>
            <w:shd w:val="clear" w:color="auto" w:fill="F6F9FB"/>
            <w:tcMar>
              <w:top w:w="70" w:type="dxa"/>
              <w:left w:w="100" w:type="dxa"/>
              <w:bottom w:w="70" w:type="dxa"/>
              <w:right w:w="100" w:type="dxa"/>
            </w:tcMar>
            <w:vAlign w:val="center"/>
          </w:tcPr>
          <w:p w14:paraId="2B693248" w14:textId="77777777" w:rsidR="00002650" w:rsidRDefault="00002650" w:rsidP="00F96983">
            <w:pPr>
              <w:spacing w:after="0" w:line="240" w:lineRule="auto"/>
            </w:pPr>
            <w:r>
              <w:rPr>
                <w:rFonts w:ascii="Times New Roman" w:eastAsia="Times New Roman" w:hAnsi="Times New Roman"/>
                <w:color w:val="000000"/>
                <w:sz w:val="17"/>
              </w:rPr>
              <w:t>Evidence-core identity</w:t>
            </w:r>
          </w:p>
        </w:tc>
        <w:tc>
          <w:tcPr>
            <w:tcW w:w="3384" w:type="dxa"/>
            <w:shd w:val="clear" w:color="auto" w:fill="F6F9FB"/>
            <w:tcMar>
              <w:top w:w="70" w:type="dxa"/>
              <w:left w:w="100" w:type="dxa"/>
              <w:bottom w:w="70" w:type="dxa"/>
              <w:right w:w="100" w:type="dxa"/>
            </w:tcMar>
            <w:vAlign w:val="center"/>
          </w:tcPr>
          <w:p w14:paraId="7DBACF7E" w14:textId="77777777" w:rsidR="00002650" w:rsidRDefault="00002650" w:rsidP="00F96983">
            <w:pPr>
              <w:spacing w:after="0" w:line="240" w:lineRule="auto"/>
            </w:pPr>
            <w:r>
              <w:rPr>
                <w:rFonts w:ascii="Times New Roman" w:eastAsia="Times New Roman" w:hAnsi="Times New Roman"/>
                <w:color w:val="000000"/>
                <w:sz w:val="17"/>
              </w:rPr>
              <w:t>Governed machine-readable evidence included by the equality contract</w:t>
            </w:r>
          </w:p>
        </w:tc>
        <w:tc>
          <w:tcPr>
            <w:tcW w:w="4464" w:type="dxa"/>
            <w:shd w:val="clear" w:color="auto" w:fill="F6F9FB"/>
            <w:tcMar>
              <w:top w:w="70" w:type="dxa"/>
              <w:left w:w="100" w:type="dxa"/>
              <w:bottom w:w="70" w:type="dxa"/>
              <w:right w:w="100" w:type="dxa"/>
            </w:tcMar>
            <w:vAlign w:val="center"/>
          </w:tcPr>
          <w:p w14:paraId="02B6FEBA" w14:textId="77777777" w:rsidR="00002650" w:rsidRDefault="00002650" w:rsidP="00F96983">
            <w:pPr>
              <w:spacing w:after="0" w:line="240" w:lineRule="auto"/>
            </w:pPr>
            <w:r>
              <w:rPr>
                <w:rFonts w:ascii="Times New Roman" w:eastAsia="Times New Roman" w:hAnsi="Times New Roman"/>
                <w:color w:val="000000"/>
                <w:sz w:val="17"/>
              </w:rPr>
              <w:t>Any governed evidence field changes</w:t>
            </w:r>
          </w:p>
        </w:tc>
      </w:tr>
      <w:tr w:rsidR="00002650" w14:paraId="5D3D047B" w14:textId="77777777">
        <w:trPr>
          <w:cantSplit/>
          <w:jc w:val="center"/>
        </w:trPr>
        <w:tc>
          <w:tcPr>
            <w:tcW w:w="1872" w:type="dxa"/>
            <w:shd w:val="clear" w:color="auto" w:fill="FFFFFF"/>
            <w:tcMar>
              <w:top w:w="70" w:type="dxa"/>
              <w:left w:w="100" w:type="dxa"/>
              <w:bottom w:w="70" w:type="dxa"/>
              <w:right w:w="100" w:type="dxa"/>
            </w:tcMar>
            <w:vAlign w:val="center"/>
          </w:tcPr>
          <w:p w14:paraId="3AEB7D61" w14:textId="77777777" w:rsidR="00002650" w:rsidRDefault="00002650" w:rsidP="00F96983">
            <w:pPr>
              <w:spacing w:after="0" w:line="240" w:lineRule="auto"/>
            </w:pPr>
            <w:r>
              <w:rPr>
                <w:rFonts w:ascii="Times New Roman" w:eastAsia="Times New Roman" w:hAnsi="Times New Roman"/>
                <w:color w:val="000000"/>
                <w:sz w:val="17"/>
              </w:rPr>
              <w:t>Artifact identity</w:t>
            </w:r>
          </w:p>
        </w:tc>
        <w:tc>
          <w:tcPr>
            <w:tcW w:w="3384" w:type="dxa"/>
            <w:shd w:val="clear" w:color="auto" w:fill="FFFFFF"/>
            <w:tcMar>
              <w:top w:w="70" w:type="dxa"/>
              <w:left w:w="100" w:type="dxa"/>
              <w:bottom w:w="70" w:type="dxa"/>
              <w:right w:w="100" w:type="dxa"/>
            </w:tcMar>
            <w:vAlign w:val="center"/>
          </w:tcPr>
          <w:p w14:paraId="7735D30B" w14:textId="77777777" w:rsidR="00002650" w:rsidRDefault="00002650" w:rsidP="00F96983">
            <w:pPr>
              <w:spacing w:after="0" w:line="240" w:lineRule="auto"/>
            </w:pPr>
            <w:r>
              <w:rPr>
                <w:rFonts w:ascii="Times New Roman" w:eastAsia="Times New Roman" w:hAnsi="Times New Roman"/>
                <w:color w:val="000000"/>
                <w:sz w:val="17"/>
              </w:rPr>
              <w:t>Portable package and manifest</w:t>
            </w:r>
          </w:p>
        </w:tc>
        <w:tc>
          <w:tcPr>
            <w:tcW w:w="4464" w:type="dxa"/>
            <w:shd w:val="clear" w:color="auto" w:fill="FFFFFF"/>
            <w:tcMar>
              <w:top w:w="70" w:type="dxa"/>
              <w:left w:w="100" w:type="dxa"/>
              <w:bottom w:w="70" w:type="dxa"/>
              <w:right w:w="100" w:type="dxa"/>
            </w:tcMar>
            <w:vAlign w:val="center"/>
          </w:tcPr>
          <w:p w14:paraId="66EE40E8" w14:textId="77777777" w:rsidR="00002650" w:rsidRDefault="00002650" w:rsidP="00F96983">
            <w:pPr>
              <w:spacing w:after="0" w:line="240" w:lineRule="auto"/>
            </w:pPr>
            <w:r>
              <w:rPr>
                <w:rFonts w:ascii="Times New Roman" w:eastAsia="Times New Roman" w:hAnsi="Times New Roman"/>
                <w:color w:val="000000"/>
                <w:sz w:val="17"/>
              </w:rPr>
              <w:t>Packaging, inclusion, redaction, encryption, signature, or artifact bytes change</w:t>
            </w:r>
          </w:p>
        </w:tc>
      </w:tr>
    </w:tbl>
    <w:p w14:paraId="08E1DAB9" w14:textId="77777777" w:rsidR="00002650" w:rsidRDefault="00002650" w:rsidP="00002650">
      <w:pPr>
        <w:spacing w:after="20"/>
      </w:pPr>
    </w:p>
    <w:p w14:paraId="5B909E3B" w14:textId="77777777" w:rsidR="00002650" w:rsidRDefault="00002650" w:rsidP="00002650">
      <w:pPr>
        <w:spacing w:after="94"/>
      </w:pPr>
      <w:r>
        <w:rPr>
          <w:rFonts w:ascii="Times New Roman" w:eastAsia="Times New Roman" w:hAnsi="Times New Roman"/>
          <w:color w:val="000000"/>
          <w:sz w:val="20"/>
        </w:rPr>
        <w:t>Passport and Evidence Seal references bind these identities without collapsing them. Repackaging an unchanged evidence core may create a new artifact identity. Changing a canonical role assignment or event order changes the canonical and run identities even when an export filename remains unchanged.</w:t>
      </w:r>
    </w:p>
    <w:p w14:paraId="56133205" w14:textId="77777777" w:rsidR="00002650" w:rsidRDefault="00002650" w:rsidP="00002650">
      <w:pPr>
        <w:pStyle w:val="Heading2"/>
      </w:pPr>
      <w:r>
        <w:rPr>
          <w:rFonts w:ascii="Arial" w:eastAsia="Times New Roman" w:hAnsi="Arial"/>
          <w:color w:val="000000"/>
          <w:sz w:val="23"/>
        </w:rPr>
        <w:t>Round Trip Requirement</w:t>
      </w:r>
    </w:p>
    <w:p w14:paraId="3972DBEF" w14:textId="77777777" w:rsidR="00002650" w:rsidRDefault="00002650" w:rsidP="00002650">
      <w:pPr>
        <w:keepLines/>
        <w:spacing w:after="94"/>
      </w:pPr>
      <w:r>
        <w:rPr>
          <w:rFonts w:ascii="Times New Roman" w:eastAsia="Times New Roman" w:hAnsi="Times New Roman"/>
          <w:color w:val="000000"/>
          <w:sz w:val="20"/>
        </w:rPr>
        <w:t>A preservation artifact should permit an independent implementation to reconstruct the declared architecture object or identify precisely why complete reconstruction is impossible. Round-trip conformance tests should verify identifiers, event and role relations, coordinate semantics, measurement records, markers, regimes, findings, missingness, and claim limits after export and re-import.</w:t>
      </w:r>
    </w:p>
    <w:p w14:paraId="066C2BCE" w14:textId="77777777" w:rsidR="00002650" w:rsidRDefault="00002650" w:rsidP="00002650">
      <w:pPr>
        <w:spacing w:after="94"/>
      </w:pPr>
      <w:r>
        <w:rPr>
          <w:rFonts w:ascii="Times New Roman" w:eastAsia="Times New Roman" w:hAnsi="Times New Roman"/>
          <w:color w:val="000000"/>
          <w:sz w:val="20"/>
        </w:rPr>
        <w:t>Round-trip equality need not mean byte equality. The contract may define canonical-object equality, set equivalence, order equivalence, tolerance-bound numerical comparison, or permitted envelope variation. These rules must be published before comparison.</w:t>
      </w:r>
    </w:p>
    <w:p w14:paraId="7ED9385A" w14:textId="77777777" w:rsidR="00002650" w:rsidRDefault="00002650" w:rsidP="00002650">
      <w:pPr>
        <w:pStyle w:val="Heading2"/>
      </w:pPr>
      <w:r>
        <w:rPr>
          <w:rFonts w:ascii="Arial" w:eastAsia="Times New Roman" w:hAnsi="Arial"/>
          <w:color w:val="000000"/>
          <w:sz w:val="23"/>
        </w:rPr>
        <w:t>Challenge and Supersession</w:t>
      </w:r>
    </w:p>
    <w:p w14:paraId="6E53CF93" w14:textId="77777777" w:rsidR="00002650" w:rsidRDefault="00002650" w:rsidP="00002650">
      <w:pPr>
        <w:keepLines/>
        <w:spacing w:after="94"/>
      </w:pPr>
      <w:r>
        <w:rPr>
          <w:rFonts w:ascii="Times New Roman" w:eastAsia="Times New Roman" w:hAnsi="Times New Roman"/>
          <w:color w:val="000000"/>
          <w:sz w:val="20"/>
        </w:rPr>
        <w:t>Preservation exists partly to support future challenge. A corrected parser, revised role mapping, stronger failure anchor, invalidated measurement, or new counterevidence may change the representation or its interpretation. The earlier record should remain identifiable. A superseding version states what changed, why it changed, which objects and claims are affected, and whether the source, method, or interpretation was revised.</w:t>
      </w:r>
    </w:p>
    <w:p w14:paraId="204F3669" w14:textId="77777777" w:rsidR="00002650" w:rsidRDefault="00002650" w:rsidP="00002650">
      <w:pPr>
        <w:spacing w:after="94"/>
      </w:pPr>
      <w:r>
        <w:rPr>
          <w:rFonts w:ascii="Times New Roman" w:eastAsia="Times New Roman" w:hAnsi="Times New Roman"/>
          <w:color w:val="000000"/>
          <w:sz w:val="20"/>
        </w:rPr>
        <w:t>Silent overwrite destroys the ability to understand how an earlier conclusion formed. Versioned correction strengthens the architecture because it makes representational fallibility inspectable.</w:t>
      </w:r>
    </w:p>
    <w:p w14:paraId="19E7254D" w14:textId="77777777" w:rsidR="00002650" w:rsidRPr="00002650" w:rsidRDefault="00002650" w:rsidP="00002650">
      <w:pPr>
        <w:pStyle w:val="Heading1"/>
        <w:rPr>
          <w:b/>
          <w:bCs/>
          <w:color w:val="4F46E5"/>
        </w:rPr>
      </w:pPr>
      <w:r w:rsidRPr="00002650">
        <w:rPr>
          <w:rFonts w:ascii="Arial" w:eastAsia="Times New Roman" w:hAnsi="Arial"/>
          <w:b/>
          <w:bCs/>
          <w:color w:val="4F46E5"/>
          <w:sz w:val="29"/>
        </w:rPr>
        <w:t>Architectural Invariants</w:t>
      </w:r>
    </w:p>
    <w:p w14:paraId="538EB591" w14:textId="77777777" w:rsidR="00002650" w:rsidRDefault="00002650" w:rsidP="00002650">
      <w:pPr>
        <w:keepLines/>
        <w:spacing w:after="94"/>
      </w:pPr>
      <w:r>
        <w:rPr>
          <w:rFonts w:ascii="Times New Roman" w:eastAsia="Times New Roman" w:hAnsi="Times New Roman"/>
          <w:color w:val="000000"/>
          <w:sz w:val="20"/>
        </w:rPr>
        <w:t>The following invariants define minimum conformance for a Computational Behavior Architecture. They are architectural requirements, not empirical laws of intelligence.</w:t>
      </w:r>
    </w:p>
    <w:p w14:paraId="24D8572A" w14:textId="77777777" w:rsidR="00002650" w:rsidRDefault="00002650" w:rsidP="00002650">
      <w:pPr>
        <w:keepNext/>
        <w:spacing w:before="140" w:after="80"/>
      </w:pPr>
      <w:r>
        <w:rPr>
          <w:rFonts w:ascii="Times New Roman" w:eastAsia="Times New Roman" w:hAnsi="Times New Roman"/>
          <w:i/>
          <w:color w:val="66717C"/>
          <w:sz w:val="18"/>
        </w:rPr>
        <w:t>Table 9. Computational Behavior Architecture invariants.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72"/>
        <w:gridCol w:w="4536"/>
        <w:gridCol w:w="3311"/>
      </w:tblGrid>
      <w:tr w:rsidR="00002650" w14:paraId="23ACBD95" w14:textId="77777777">
        <w:trPr>
          <w:cantSplit/>
          <w:tblHeader/>
          <w:jc w:val="center"/>
        </w:trPr>
        <w:tc>
          <w:tcPr>
            <w:tcW w:w="1872" w:type="dxa"/>
            <w:shd w:val="clear" w:color="auto" w:fill="17324D"/>
            <w:tcMar>
              <w:top w:w="70" w:type="dxa"/>
              <w:left w:w="100" w:type="dxa"/>
              <w:bottom w:w="70" w:type="dxa"/>
              <w:right w:w="100" w:type="dxa"/>
            </w:tcMar>
            <w:vAlign w:val="center"/>
          </w:tcPr>
          <w:p w14:paraId="1A94B7C8" w14:textId="77777777" w:rsidR="00002650" w:rsidRDefault="00002650" w:rsidP="00F96983">
            <w:pPr>
              <w:spacing w:after="0" w:line="240" w:lineRule="auto"/>
            </w:pPr>
            <w:r>
              <w:rPr>
                <w:rFonts w:ascii="Arial" w:eastAsia="Times New Roman" w:hAnsi="Arial"/>
                <w:b/>
                <w:color w:val="FFFFFF"/>
                <w:sz w:val="17"/>
              </w:rPr>
              <w:t>Invariant</w:t>
            </w:r>
          </w:p>
        </w:tc>
        <w:tc>
          <w:tcPr>
            <w:tcW w:w="4536" w:type="dxa"/>
            <w:shd w:val="clear" w:color="auto" w:fill="17324D"/>
            <w:tcMar>
              <w:top w:w="70" w:type="dxa"/>
              <w:left w:w="100" w:type="dxa"/>
              <w:bottom w:w="70" w:type="dxa"/>
              <w:right w:w="100" w:type="dxa"/>
            </w:tcMar>
            <w:vAlign w:val="center"/>
          </w:tcPr>
          <w:p w14:paraId="565B3F1C" w14:textId="77777777" w:rsidR="00002650" w:rsidRDefault="00002650" w:rsidP="00F96983">
            <w:pPr>
              <w:spacing w:after="0" w:line="240" w:lineRule="auto"/>
            </w:pPr>
            <w:r>
              <w:rPr>
                <w:rFonts w:ascii="Arial" w:eastAsia="Times New Roman" w:hAnsi="Arial"/>
                <w:b/>
                <w:color w:val="FFFFFF"/>
                <w:sz w:val="17"/>
              </w:rPr>
              <w:t>Requirement</w:t>
            </w:r>
          </w:p>
        </w:tc>
        <w:tc>
          <w:tcPr>
            <w:tcW w:w="3311" w:type="dxa"/>
            <w:shd w:val="clear" w:color="auto" w:fill="17324D"/>
            <w:tcMar>
              <w:top w:w="70" w:type="dxa"/>
              <w:left w:w="100" w:type="dxa"/>
              <w:bottom w:w="70" w:type="dxa"/>
              <w:right w:w="100" w:type="dxa"/>
            </w:tcMar>
            <w:vAlign w:val="center"/>
          </w:tcPr>
          <w:p w14:paraId="0590EBA5" w14:textId="77777777" w:rsidR="00002650" w:rsidRDefault="00002650" w:rsidP="00F96983">
            <w:pPr>
              <w:spacing w:after="0" w:line="240" w:lineRule="auto"/>
            </w:pPr>
            <w:r>
              <w:rPr>
                <w:rFonts w:ascii="Arial" w:eastAsia="Times New Roman" w:hAnsi="Arial"/>
                <w:b/>
                <w:color w:val="FFFFFF"/>
                <w:sz w:val="17"/>
              </w:rPr>
              <w:t>Representative failure</w:t>
            </w:r>
          </w:p>
        </w:tc>
      </w:tr>
      <w:tr w:rsidR="00002650" w14:paraId="711FABFD" w14:textId="77777777">
        <w:trPr>
          <w:cantSplit/>
          <w:jc w:val="center"/>
        </w:trPr>
        <w:tc>
          <w:tcPr>
            <w:tcW w:w="1872" w:type="dxa"/>
            <w:shd w:val="clear" w:color="auto" w:fill="FFFFFF"/>
            <w:tcMar>
              <w:top w:w="70" w:type="dxa"/>
              <w:left w:w="100" w:type="dxa"/>
              <w:bottom w:w="70" w:type="dxa"/>
              <w:right w:w="100" w:type="dxa"/>
            </w:tcMar>
            <w:vAlign w:val="center"/>
          </w:tcPr>
          <w:p w14:paraId="34F1D027" w14:textId="77777777" w:rsidR="00002650" w:rsidRDefault="00002650" w:rsidP="00F96983">
            <w:pPr>
              <w:spacing w:after="0" w:line="240" w:lineRule="auto"/>
            </w:pPr>
            <w:r>
              <w:rPr>
                <w:rFonts w:ascii="Times New Roman" w:eastAsia="Times New Roman" w:hAnsi="Times New Roman"/>
                <w:color w:val="000000"/>
                <w:sz w:val="17"/>
              </w:rPr>
              <w:t>Source recoverability</w:t>
            </w:r>
          </w:p>
        </w:tc>
        <w:tc>
          <w:tcPr>
            <w:tcW w:w="4536" w:type="dxa"/>
            <w:shd w:val="clear" w:color="auto" w:fill="FFFFFF"/>
            <w:tcMar>
              <w:top w:w="70" w:type="dxa"/>
              <w:left w:w="100" w:type="dxa"/>
              <w:bottom w:w="70" w:type="dxa"/>
              <w:right w:w="100" w:type="dxa"/>
            </w:tcMar>
            <w:vAlign w:val="center"/>
          </w:tcPr>
          <w:p w14:paraId="3BCB2589" w14:textId="77777777" w:rsidR="00002650" w:rsidRDefault="00002650" w:rsidP="00F96983">
            <w:pPr>
              <w:spacing w:after="0" w:line="240" w:lineRule="auto"/>
            </w:pPr>
            <w:r>
              <w:rPr>
                <w:rFonts w:ascii="Times New Roman" w:eastAsia="Times New Roman" w:hAnsi="Times New Roman"/>
                <w:color w:val="000000"/>
                <w:sz w:val="17"/>
              </w:rPr>
              <w:t>Every material canonical element resolves to source material or a declared non-source basis</w:t>
            </w:r>
          </w:p>
        </w:tc>
        <w:tc>
          <w:tcPr>
            <w:tcW w:w="3311" w:type="dxa"/>
            <w:shd w:val="clear" w:color="auto" w:fill="FFFFFF"/>
            <w:tcMar>
              <w:top w:w="70" w:type="dxa"/>
              <w:left w:w="100" w:type="dxa"/>
              <w:bottom w:w="70" w:type="dxa"/>
              <w:right w:w="100" w:type="dxa"/>
            </w:tcMar>
            <w:vAlign w:val="center"/>
          </w:tcPr>
          <w:p w14:paraId="7B6BC98A" w14:textId="77777777" w:rsidR="00002650" w:rsidRDefault="00002650" w:rsidP="00F96983">
            <w:pPr>
              <w:spacing w:after="0" w:line="240" w:lineRule="auto"/>
            </w:pPr>
            <w:r>
              <w:rPr>
                <w:rFonts w:ascii="Times New Roman" w:eastAsia="Times New Roman" w:hAnsi="Times New Roman"/>
                <w:color w:val="000000"/>
                <w:sz w:val="17"/>
              </w:rPr>
              <w:t>Worldline point cannot resolve beyond a chart</w:t>
            </w:r>
          </w:p>
        </w:tc>
      </w:tr>
      <w:tr w:rsidR="00002650" w14:paraId="4A1D99D7" w14:textId="77777777">
        <w:trPr>
          <w:cantSplit/>
          <w:jc w:val="center"/>
        </w:trPr>
        <w:tc>
          <w:tcPr>
            <w:tcW w:w="1872" w:type="dxa"/>
            <w:shd w:val="clear" w:color="auto" w:fill="F6F9FB"/>
            <w:tcMar>
              <w:top w:w="70" w:type="dxa"/>
              <w:left w:w="100" w:type="dxa"/>
              <w:bottom w:w="70" w:type="dxa"/>
              <w:right w:w="100" w:type="dxa"/>
            </w:tcMar>
            <w:vAlign w:val="center"/>
          </w:tcPr>
          <w:p w14:paraId="671608A9" w14:textId="77777777" w:rsidR="00002650" w:rsidRDefault="00002650" w:rsidP="00F96983">
            <w:pPr>
              <w:spacing w:after="0" w:line="240" w:lineRule="auto"/>
            </w:pPr>
            <w:r>
              <w:rPr>
                <w:rFonts w:ascii="Times New Roman" w:eastAsia="Times New Roman" w:hAnsi="Times New Roman"/>
                <w:color w:val="000000"/>
                <w:sz w:val="17"/>
              </w:rPr>
              <w:t>Transformation provenance</w:t>
            </w:r>
          </w:p>
        </w:tc>
        <w:tc>
          <w:tcPr>
            <w:tcW w:w="4536" w:type="dxa"/>
            <w:shd w:val="clear" w:color="auto" w:fill="F6F9FB"/>
            <w:tcMar>
              <w:top w:w="70" w:type="dxa"/>
              <w:left w:w="100" w:type="dxa"/>
              <w:bottom w:w="70" w:type="dxa"/>
              <w:right w:w="100" w:type="dxa"/>
            </w:tcMar>
            <w:vAlign w:val="center"/>
          </w:tcPr>
          <w:p w14:paraId="5357300F" w14:textId="77777777" w:rsidR="00002650" w:rsidRDefault="00002650" w:rsidP="00F96983">
            <w:pPr>
              <w:spacing w:after="0" w:line="240" w:lineRule="auto"/>
            </w:pPr>
            <w:r>
              <w:rPr>
                <w:rFonts w:ascii="Times New Roman" w:eastAsia="Times New Roman" w:hAnsi="Times New Roman"/>
                <w:color w:val="000000"/>
                <w:sz w:val="17"/>
              </w:rPr>
              <w:t>Qualification, parsing, normalization, role mapping, and exclusions retain method and version</w:t>
            </w:r>
          </w:p>
        </w:tc>
        <w:tc>
          <w:tcPr>
            <w:tcW w:w="3311" w:type="dxa"/>
            <w:shd w:val="clear" w:color="auto" w:fill="F6F9FB"/>
            <w:tcMar>
              <w:top w:w="70" w:type="dxa"/>
              <w:left w:w="100" w:type="dxa"/>
              <w:bottom w:w="70" w:type="dxa"/>
              <w:right w:w="100" w:type="dxa"/>
            </w:tcMar>
            <w:vAlign w:val="center"/>
          </w:tcPr>
          <w:p w14:paraId="52DB822B" w14:textId="77777777" w:rsidR="00002650" w:rsidRDefault="00002650" w:rsidP="00F96983">
            <w:pPr>
              <w:spacing w:after="0" w:line="240" w:lineRule="auto"/>
            </w:pPr>
            <w:r>
              <w:rPr>
                <w:rFonts w:ascii="Times New Roman" w:eastAsia="Times New Roman" w:hAnsi="Times New Roman"/>
                <w:color w:val="000000"/>
                <w:sz w:val="17"/>
              </w:rPr>
              <w:t>Adapter-assigned structure appears source-observed</w:t>
            </w:r>
          </w:p>
        </w:tc>
      </w:tr>
      <w:tr w:rsidR="00002650" w14:paraId="07C87246" w14:textId="77777777">
        <w:trPr>
          <w:cantSplit/>
          <w:jc w:val="center"/>
        </w:trPr>
        <w:tc>
          <w:tcPr>
            <w:tcW w:w="1872" w:type="dxa"/>
            <w:shd w:val="clear" w:color="auto" w:fill="FFFFFF"/>
            <w:tcMar>
              <w:top w:w="70" w:type="dxa"/>
              <w:left w:w="100" w:type="dxa"/>
              <w:bottom w:w="70" w:type="dxa"/>
              <w:right w:w="100" w:type="dxa"/>
            </w:tcMar>
            <w:vAlign w:val="center"/>
          </w:tcPr>
          <w:p w14:paraId="6CA3AE5C" w14:textId="77777777" w:rsidR="00002650" w:rsidRDefault="00002650" w:rsidP="00F96983">
            <w:pPr>
              <w:spacing w:after="0" w:line="240" w:lineRule="auto"/>
            </w:pPr>
            <w:r>
              <w:rPr>
                <w:rFonts w:ascii="Times New Roman" w:eastAsia="Times New Roman" w:hAnsi="Times New Roman"/>
                <w:color w:val="000000"/>
                <w:sz w:val="17"/>
              </w:rPr>
              <w:t>Canonical singularity</w:t>
            </w:r>
          </w:p>
        </w:tc>
        <w:tc>
          <w:tcPr>
            <w:tcW w:w="4536" w:type="dxa"/>
            <w:shd w:val="clear" w:color="auto" w:fill="FFFFFF"/>
            <w:tcMar>
              <w:top w:w="70" w:type="dxa"/>
              <w:left w:w="100" w:type="dxa"/>
              <w:bottom w:w="70" w:type="dxa"/>
              <w:right w:w="100" w:type="dxa"/>
            </w:tcMar>
            <w:vAlign w:val="center"/>
          </w:tcPr>
          <w:p w14:paraId="5E64F6C8" w14:textId="77777777" w:rsidR="00002650" w:rsidRDefault="00002650" w:rsidP="00F96983">
            <w:pPr>
              <w:spacing w:after="0" w:line="240" w:lineRule="auto"/>
            </w:pPr>
            <w:r>
              <w:rPr>
                <w:rFonts w:ascii="Times New Roman" w:eastAsia="Times New Roman" w:hAnsi="Times New Roman"/>
                <w:color w:val="000000"/>
                <w:sz w:val="17"/>
              </w:rPr>
              <w:t>One declared canonical representation governs each active run</w:t>
            </w:r>
          </w:p>
        </w:tc>
        <w:tc>
          <w:tcPr>
            <w:tcW w:w="3311" w:type="dxa"/>
            <w:shd w:val="clear" w:color="auto" w:fill="FFFFFF"/>
            <w:tcMar>
              <w:top w:w="70" w:type="dxa"/>
              <w:left w:w="100" w:type="dxa"/>
              <w:bottom w:w="70" w:type="dxa"/>
              <w:right w:w="100" w:type="dxa"/>
            </w:tcMar>
            <w:vAlign w:val="center"/>
          </w:tcPr>
          <w:p w14:paraId="625C3E21" w14:textId="77777777" w:rsidR="00002650" w:rsidRDefault="00002650" w:rsidP="00F96983">
            <w:pPr>
              <w:spacing w:after="0" w:line="240" w:lineRule="auto"/>
            </w:pPr>
            <w:r>
              <w:rPr>
                <w:rFonts w:ascii="Times New Roman" w:eastAsia="Times New Roman" w:hAnsi="Times New Roman"/>
                <w:color w:val="000000"/>
                <w:sz w:val="17"/>
              </w:rPr>
              <w:t>Instruments reconstruct incompatible local histories</w:t>
            </w:r>
          </w:p>
        </w:tc>
      </w:tr>
      <w:tr w:rsidR="00002650" w14:paraId="4E57AF8D" w14:textId="77777777">
        <w:trPr>
          <w:cantSplit/>
          <w:jc w:val="center"/>
        </w:trPr>
        <w:tc>
          <w:tcPr>
            <w:tcW w:w="1872" w:type="dxa"/>
            <w:shd w:val="clear" w:color="auto" w:fill="F6F9FB"/>
            <w:tcMar>
              <w:top w:w="70" w:type="dxa"/>
              <w:left w:w="100" w:type="dxa"/>
              <w:bottom w:w="70" w:type="dxa"/>
              <w:right w:w="100" w:type="dxa"/>
            </w:tcMar>
            <w:vAlign w:val="center"/>
          </w:tcPr>
          <w:p w14:paraId="2FD4ABB1" w14:textId="77777777" w:rsidR="00002650" w:rsidRDefault="00002650" w:rsidP="00F96983">
            <w:pPr>
              <w:spacing w:after="0" w:line="240" w:lineRule="auto"/>
            </w:pPr>
            <w:r>
              <w:rPr>
                <w:rFonts w:ascii="Times New Roman" w:eastAsia="Times New Roman" w:hAnsi="Times New Roman"/>
                <w:color w:val="000000"/>
                <w:sz w:val="17"/>
              </w:rPr>
              <w:t>Temporal plurality</w:t>
            </w:r>
          </w:p>
        </w:tc>
        <w:tc>
          <w:tcPr>
            <w:tcW w:w="4536" w:type="dxa"/>
            <w:shd w:val="clear" w:color="auto" w:fill="F6F9FB"/>
            <w:tcMar>
              <w:top w:w="70" w:type="dxa"/>
              <w:left w:w="100" w:type="dxa"/>
              <w:bottom w:w="70" w:type="dxa"/>
              <w:right w:w="100" w:type="dxa"/>
            </w:tcMar>
            <w:vAlign w:val="center"/>
          </w:tcPr>
          <w:p w14:paraId="0CCB6AFD" w14:textId="77777777" w:rsidR="00002650" w:rsidRDefault="00002650" w:rsidP="00F96983">
            <w:pPr>
              <w:spacing w:after="0" w:line="240" w:lineRule="auto"/>
            </w:pPr>
            <w:r>
              <w:rPr>
                <w:rFonts w:ascii="Times New Roman" w:eastAsia="Times New Roman" w:hAnsi="Times New Roman"/>
                <w:color w:val="000000"/>
                <w:sz w:val="17"/>
              </w:rPr>
              <w:t>Each ordering claim identifies its coordinate or relation</w:t>
            </w:r>
          </w:p>
        </w:tc>
        <w:tc>
          <w:tcPr>
            <w:tcW w:w="3311" w:type="dxa"/>
            <w:shd w:val="clear" w:color="auto" w:fill="F6F9FB"/>
            <w:tcMar>
              <w:top w:w="70" w:type="dxa"/>
              <w:left w:w="100" w:type="dxa"/>
              <w:bottom w:w="70" w:type="dxa"/>
              <w:right w:w="100" w:type="dxa"/>
            </w:tcMar>
            <w:vAlign w:val="center"/>
          </w:tcPr>
          <w:p w14:paraId="72D41C89" w14:textId="77777777" w:rsidR="00002650" w:rsidRDefault="00002650" w:rsidP="00F96983">
            <w:pPr>
              <w:spacing w:after="0" w:line="240" w:lineRule="auto"/>
            </w:pPr>
            <w:r>
              <w:rPr>
                <w:rFonts w:ascii="Times New Roman" w:eastAsia="Times New Roman" w:hAnsi="Times New Roman"/>
                <w:color w:val="000000"/>
                <w:sz w:val="17"/>
              </w:rPr>
              <w:t>Display order is presented as causal order</w:t>
            </w:r>
          </w:p>
        </w:tc>
      </w:tr>
      <w:tr w:rsidR="00002650" w14:paraId="2BE5C937" w14:textId="77777777">
        <w:trPr>
          <w:cantSplit/>
          <w:jc w:val="center"/>
        </w:trPr>
        <w:tc>
          <w:tcPr>
            <w:tcW w:w="1872" w:type="dxa"/>
            <w:shd w:val="clear" w:color="auto" w:fill="FFFFFF"/>
            <w:tcMar>
              <w:top w:w="70" w:type="dxa"/>
              <w:left w:w="100" w:type="dxa"/>
              <w:bottom w:w="70" w:type="dxa"/>
              <w:right w:w="100" w:type="dxa"/>
            </w:tcMar>
            <w:vAlign w:val="center"/>
          </w:tcPr>
          <w:p w14:paraId="14F690C3" w14:textId="77777777" w:rsidR="00002650" w:rsidRDefault="00002650" w:rsidP="00F96983">
            <w:pPr>
              <w:spacing w:after="0" w:line="240" w:lineRule="auto"/>
            </w:pPr>
            <w:r>
              <w:rPr>
                <w:rFonts w:ascii="Times New Roman" w:eastAsia="Times New Roman" w:hAnsi="Times New Roman"/>
                <w:color w:val="000000"/>
                <w:sz w:val="17"/>
              </w:rPr>
              <w:t>Role provenance</w:t>
            </w:r>
          </w:p>
        </w:tc>
        <w:tc>
          <w:tcPr>
            <w:tcW w:w="4536" w:type="dxa"/>
            <w:shd w:val="clear" w:color="auto" w:fill="FFFFFF"/>
            <w:tcMar>
              <w:top w:w="70" w:type="dxa"/>
              <w:left w:w="100" w:type="dxa"/>
              <w:bottom w:w="70" w:type="dxa"/>
              <w:right w:w="100" w:type="dxa"/>
            </w:tcMar>
            <w:vAlign w:val="center"/>
          </w:tcPr>
          <w:p w14:paraId="521C48D4" w14:textId="77777777" w:rsidR="00002650" w:rsidRDefault="00002650" w:rsidP="00F96983">
            <w:pPr>
              <w:spacing w:after="0" w:line="240" w:lineRule="auto"/>
            </w:pPr>
            <w:r>
              <w:rPr>
                <w:rFonts w:ascii="Times New Roman" w:eastAsia="Times New Roman" w:hAnsi="Times New Roman"/>
                <w:color w:val="000000"/>
                <w:sz w:val="17"/>
              </w:rPr>
              <w:t>Source, adapter, operator, registry, and unresolved roles remain distinguishable</w:t>
            </w:r>
          </w:p>
        </w:tc>
        <w:tc>
          <w:tcPr>
            <w:tcW w:w="3311" w:type="dxa"/>
            <w:shd w:val="clear" w:color="auto" w:fill="FFFFFF"/>
            <w:tcMar>
              <w:top w:w="70" w:type="dxa"/>
              <w:left w:w="100" w:type="dxa"/>
              <w:bottom w:w="70" w:type="dxa"/>
              <w:right w:w="100" w:type="dxa"/>
            </w:tcMar>
            <w:vAlign w:val="center"/>
          </w:tcPr>
          <w:p w14:paraId="2222CB81" w14:textId="77777777" w:rsidR="00002650" w:rsidRDefault="00002650" w:rsidP="00F96983">
            <w:pPr>
              <w:spacing w:after="0" w:line="240" w:lineRule="auto"/>
            </w:pPr>
            <w:r>
              <w:rPr>
                <w:rFonts w:ascii="Times New Roman" w:eastAsia="Times New Roman" w:hAnsi="Times New Roman"/>
                <w:color w:val="000000"/>
                <w:sz w:val="17"/>
              </w:rPr>
              <w:t>Assigned role appears explicitly supplied</w:t>
            </w:r>
          </w:p>
        </w:tc>
      </w:tr>
      <w:tr w:rsidR="00002650" w14:paraId="4E3515F3" w14:textId="77777777">
        <w:trPr>
          <w:cantSplit/>
          <w:jc w:val="center"/>
        </w:trPr>
        <w:tc>
          <w:tcPr>
            <w:tcW w:w="1872" w:type="dxa"/>
            <w:shd w:val="clear" w:color="auto" w:fill="F6F9FB"/>
            <w:tcMar>
              <w:top w:w="70" w:type="dxa"/>
              <w:left w:w="100" w:type="dxa"/>
              <w:bottom w:w="70" w:type="dxa"/>
              <w:right w:w="100" w:type="dxa"/>
            </w:tcMar>
            <w:vAlign w:val="center"/>
          </w:tcPr>
          <w:p w14:paraId="2965030C" w14:textId="77777777" w:rsidR="00002650" w:rsidRDefault="00002650" w:rsidP="00F96983">
            <w:pPr>
              <w:spacing w:after="0" w:line="240" w:lineRule="auto"/>
            </w:pPr>
            <w:r>
              <w:rPr>
                <w:rFonts w:ascii="Times New Roman" w:eastAsia="Times New Roman" w:hAnsi="Times New Roman"/>
                <w:color w:val="000000"/>
                <w:sz w:val="17"/>
              </w:rPr>
              <w:t>Frame continuity</w:t>
            </w:r>
          </w:p>
        </w:tc>
        <w:tc>
          <w:tcPr>
            <w:tcW w:w="4536" w:type="dxa"/>
            <w:shd w:val="clear" w:color="auto" w:fill="F6F9FB"/>
            <w:tcMar>
              <w:top w:w="70" w:type="dxa"/>
              <w:left w:w="100" w:type="dxa"/>
              <w:bottom w:w="70" w:type="dxa"/>
              <w:right w:w="100" w:type="dxa"/>
            </w:tcMar>
            <w:vAlign w:val="center"/>
          </w:tcPr>
          <w:p w14:paraId="2332A273" w14:textId="77777777" w:rsidR="00002650" w:rsidRDefault="00002650" w:rsidP="00F96983">
            <w:pPr>
              <w:spacing w:after="0" w:line="240" w:lineRule="auto"/>
            </w:pPr>
            <w:r>
              <w:rPr>
                <w:rFonts w:ascii="Times New Roman" w:eastAsia="Times New Roman" w:hAnsi="Times New Roman"/>
                <w:color w:val="000000"/>
                <w:sz w:val="17"/>
              </w:rPr>
              <w:t>Frames retain event, coordinate, role, measurement, marker, and source relationships</w:t>
            </w:r>
          </w:p>
        </w:tc>
        <w:tc>
          <w:tcPr>
            <w:tcW w:w="3311" w:type="dxa"/>
            <w:shd w:val="clear" w:color="auto" w:fill="F6F9FB"/>
            <w:tcMar>
              <w:top w:w="70" w:type="dxa"/>
              <w:left w:w="100" w:type="dxa"/>
              <w:bottom w:w="70" w:type="dxa"/>
              <w:right w:w="100" w:type="dxa"/>
            </w:tcMar>
            <w:vAlign w:val="center"/>
          </w:tcPr>
          <w:p w14:paraId="688EED5E" w14:textId="77777777" w:rsidR="00002650" w:rsidRDefault="00002650" w:rsidP="00F96983">
            <w:pPr>
              <w:spacing w:after="0" w:line="240" w:lineRule="auto"/>
            </w:pPr>
            <w:r>
              <w:rPr>
                <w:rFonts w:ascii="Times New Roman" w:eastAsia="Times New Roman" w:hAnsi="Times New Roman"/>
                <w:color w:val="000000"/>
                <w:sz w:val="17"/>
              </w:rPr>
              <w:t>Replay position becomes a detached visualization state</w:t>
            </w:r>
          </w:p>
        </w:tc>
      </w:tr>
      <w:tr w:rsidR="00002650" w14:paraId="210FFB16" w14:textId="77777777">
        <w:trPr>
          <w:cantSplit/>
          <w:jc w:val="center"/>
        </w:trPr>
        <w:tc>
          <w:tcPr>
            <w:tcW w:w="1872" w:type="dxa"/>
            <w:shd w:val="clear" w:color="auto" w:fill="FFFFFF"/>
            <w:tcMar>
              <w:top w:w="70" w:type="dxa"/>
              <w:left w:w="100" w:type="dxa"/>
              <w:bottom w:w="70" w:type="dxa"/>
              <w:right w:w="100" w:type="dxa"/>
            </w:tcMar>
            <w:vAlign w:val="center"/>
          </w:tcPr>
          <w:p w14:paraId="6597ED35" w14:textId="77777777" w:rsidR="00002650" w:rsidRDefault="00002650" w:rsidP="00F96983">
            <w:pPr>
              <w:spacing w:after="0" w:line="240" w:lineRule="auto"/>
            </w:pPr>
            <w:r>
              <w:rPr>
                <w:rFonts w:ascii="Times New Roman" w:eastAsia="Times New Roman" w:hAnsi="Times New Roman"/>
                <w:color w:val="000000"/>
                <w:sz w:val="17"/>
              </w:rPr>
              <w:t>Measurement binding</w:t>
            </w:r>
          </w:p>
        </w:tc>
        <w:tc>
          <w:tcPr>
            <w:tcW w:w="4536" w:type="dxa"/>
            <w:shd w:val="clear" w:color="auto" w:fill="FFFFFF"/>
            <w:tcMar>
              <w:top w:w="70" w:type="dxa"/>
              <w:left w:w="100" w:type="dxa"/>
              <w:bottom w:w="70" w:type="dxa"/>
              <w:right w:w="100" w:type="dxa"/>
            </w:tcMar>
            <w:vAlign w:val="center"/>
          </w:tcPr>
          <w:p w14:paraId="1073F39B" w14:textId="77777777" w:rsidR="00002650" w:rsidRDefault="00002650" w:rsidP="00F96983">
            <w:pPr>
              <w:spacing w:after="0" w:line="240" w:lineRule="auto"/>
            </w:pPr>
            <w:r>
              <w:rPr>
                <w:rFonts w:ascii="Times New Roman" w:eastAsia="Times New Roman" w:hAnsi="Times New Roman"/>
                <w:color w:val="000000"/>
                <w:sz w:val="17"/>
              </w:rPr>
              <w:t>Every computed value retains method, inputs, horizon, legitimacy, and missingness</w:t>
            </w:r>
          </w:p>
        </w:tc>
        <w:tc>
          <w:tcPr>
            <w:tcW w:w="3311" w:type="dxa"/>
            <w:shd w:val="clear" w:color="auto" w:fill="FFFFFF"/>
            <w:tcMar>
              <w:top w:w="70" w:type="dxa"/>
              <w:left w:w="100" w:type="dxa"/>
              <w:bottom w:w="70" w:type="dxa"/>
              <w:right w:w="100" w:type="dxa"/>
            </w:tcMar>
            <w:vAlign w:val="center"/>
          </w:tcPr>
          <w:p w14:paraId="4B55439F" w14:textId="77777777" w:rsidR="00002650" w:rsidRDefault="00002650" w:rsidP="00F96983">
            <w:pPr>
              <w:spacing w:after="0" w:line="240" w:lineRule="auto"/>
            </w:pPr>
            <w:r>
              <w:rPr>
                <w:rFonts w:ascii="Times New Roman" w:eastAsia="Times New Roman" w:hAnsi="Times New Roman"/>
                <w:color w:val="000000"/>
                <w:sz w:val="17"/>
              </w:rPr>
              <w:t>Score appears without recoverable definition</w:t>
            </w:r>
          </w:p>
        </w:tc>
      </w:tr>
      <w:tr w:rsidR="00002650" w14:paraId="16BCEE4E" w14:textId="77777777">
        <w:trPr>
          <w:cantSplit/>
          <w:jc w:val="center"/>
        </w:trPr>
        <w:tc>
          <w:tcPr>
            <w:tcW w:w="1872" w:type="dxa"/>
            <w:shd w:val="clear" w:color="auto" w:fill="F6F9FB"/>
            <w:tcMar>
              <w:top w:w="70" w:type="dxa"/>
              <w:left w:w="100" w:type="dxa"/>
              <w:bottom w:w="70" w:type="dxa"/>
              <w:right w:w="100" w:type="dxa"/>
            </w:tcMar>
            <w:vAlign w:val="center"/>
          </w:tcPr>
          <w:p w14:paraId="7D204A0A" w14:textId="77777777" w:rsidR="00002650" w:rsidRDefault="00002650" w:rsidP="00F96983">
            <w:pPr>
              <w:spacing w:after="0" w:line="240" w:lineRule="auto"/>
            </w:pPr>
            <w:r>
              <w:rPr>
                <w:rFonts w:ascii="Times New Roman" w:eastAsia="Times New Roman" w:hAnsi="Times New Roman"/>
                <w:color w:val="000000"/>
                <w:sz w:val="17"/>
              </w:rPr>
              <w:t>Marker discipline</w:t>
            </w:r>
          </w:p>
        </w:tc>
        <w:tc>
          <w:tcPr>
            <w:tcW w:w="4536" w:type="dxa"/>
            <w:shd w:val="clear" w:color="auto" w:fill="F6F9FB"/>
            <w:tcMar>
              <w:top w:w="70" w:type="dxa"/>
              <w:left w:w="100" w:type="dxa"/>
              <w:bottom w:w="70" w:type="dxa"/>
              <w:right w:w="100" w:type="dxa"/>
            </w:tcMar>
            <w:vAlign w:val="center"/>
          </w:tcPr>
          <w:p w14:paraId="5AC553AC" w14:textId="77777777" w:rsidR="00002650" w:rsidRDefault="00002650" w:rsidP="00F96983">
            <w:pPr>
              <w:spacing w:after="0" w:line="240" w:lineRule="auto"/>
            </w:pPr>
            <w:r>
              <w:rPr>
                <w:rFonts w:ascii="Times New Roman" w:eastAsia="Times New Roman" w:hAnsi="Times New Roman"/>
                <w:color w:val="000000"/>
                <w:sz w:val="17"/>
              </w:rPr>
              <w:t>Candidate, confirmation, failure, recovery, and re-entry remain typed and method-bound</w:t>
            </w:r>
          </w:p>
        </w:tc>
        <w:tc>
          <w:tcPr>
            <w:tcW w:w="3311" w:type="dxa"/>
            <w:shd w:val="clear" w:color="auto" w:fill="F6F9FB"/>
            <w:tcMar>
              <w:top w:w="70" w:type="dxa"/>
              <w:left w:w="100" w:type="dxa"/>
              <w:bottom w:w="70" w:type="dxa"/>
              <w:right w:w="100" w:type="dxa"/>
            </w:tcMar>
            <w:vAlign w:val="center"/>
          </w:tcPr>
          <w:p w14:paraId="5F27D901" w14:textId="77777777" w:rsidR="00002650" w:rsidRDefault="00002650" w:rsidP="00F96983">
            <w:pPr>
              <w:spacing w:after="0" w:line="240" w:lineRule="auto"/>
            </w:pPr>
            <w:r>
              <w:rPr>
                <w:rFonts w:ascii="Times New Roman" w:eastAsia="Times New Roman" w:hAnsi="Times New Roman"/>
                <w:color w:val="000000"/>
                <w:sz w:val="17"/>
              </w:rPr>
              <w:t>Candidate boundary becomes confirmed Basin Exit</w:t>
            </w:r>
          </w:p>
        </w:tc>
      </w:tr>
      <w:tr w:rsidR="00002650" w14:paraId="77401ED6" w14:textId="77777777">
        <w:trPr>
          <w:cantSplit/>
          <w:jc w:val="center"/>
        </w:trPr>
        <w:tc>
          <w:tcPr>
            <w:tcW w:w="1872" w:type="dxa"/>
            <w:shd w:val="clear" w:color="auto" w:fill="FFFFFF"/>
            <w:tcMar>
              <w:top w:w="70" w:type="dxa"/>
              <w:left w:w="100" w:type="dxa"/>
              <w:bottom w:w="70" w:type="dxa"/>
              <w:right w:w="100" w:type="dxa"/>
            </w:tcMar>
            <w:vAlign w:val="center"/>
          </w:tcPr>
          <w:p w14:paraId="690EF23C" w14:textId="77777777" w:rsidR="00002650" w:rsidRDefault="00002650" w:rsidP="00F96983">
            <w:pPr>
              <w:spacing w:after="0" w:line="240" w:lineRule="auto"/>
            </w:pPr>
            <w:r>
              <w:rPr>
                <w:rFonts w:ascii="Times New Roman" w:eastAsia="Times New Roman" w:hAnsi="Times New Roman"/>
                <w:color w:val="000000"/>
                <w:sz w:val="17"/>
              </w:rPr>
              <w:t>Projection non-mutation</w:t>
            </w:r>
          </w:p>
        </w:tc>
        <w:tc>
          <w:tcPr>
            <w:tcW w:w="4536" w:type="dxa"/>
            <w:shd w:val="clear" w:color="auto" w:fill="FFFFFF"/>
            <w:tcMar>
              <w:top w:w="70" w:type="dxa"/>
              <w:left w:w="100" w:type="dxa"/>
              <w:bottom w:w="70" w:type="dxa"/>
              <w:right w:w="100" w:type="dxa"/>
            </w:tcMar>
            <w:vAlign w:val="center"/>
          </w:tcPr>
          <w:p w14:paraId="7D6FE812" w14:textId="77777777" w:rsidR="00002650" w:rsidRDefault="00002650" w:rsidP="00F96983">
            <w:pPr>
              <w:spacing w:after="0" w:line="240" w:lineRule="auto"/>
            </w:pPr>
            <w:r>
              <w:rPr>
                <w:rFonts w:ascii="Times New Roman" w:eastAsia="Times New Roman" w:hAnsi="Times New Roman"/>
                <w:color w:val="000000"/>
                <w:sz w:val="17"/>
              </w:rPr>
              <w:t>Instruments, interpretations, and interfaces cannot rewrite canonical objects</w:t>
            </w:r>
          </w:p>
        </w:tc>
        <w:tc>
          <w:tcPr>
            <w:tcW w:w="3311" w:type="dxa"/>
            <w:shd w:val="clear" w:color="auto" w:fill="FFFFFF"/>
            <w:tcMar>
              <w:top w:w="70" w:type="dxa"/>
              <w:left w:w="100" w:type="dxa"/>
              <w:bottom w:w="70" w:type="dxa"/>
              <w:right w:w="100" w:type="dxa"/>
            </w:tcMar>
            <w:vAlign w:val="center"/>
          </w:tcPr>
          <w:p w14:paraId="4926F98B" w14:textId="77777777" w:rsidR="00002650" w:rsidRDefault="00002650" w:rsidP="00F96983">
            <w:pPr>
              <w:spacing w:after="0" w:line="240" w:lineRule="auto"/>
            </w:pPr>
            <w:r>
              <w:rPr>
                <w:rFonts w:ascii="Times New Roman" w:eastAsia="Times New Roman" w:hAnsi="Times New Roman"/>
                <w:color w:val="000000"/>
                <w:sz w:val="17"/>
              </w:rPr>
              <w:t>Local panel moves a marker or changes a regime</w:t>
            </w:r>
          </w:p>
        </w:tc>
      </w:tr>
      <w:tr w:rsidR="00002650" w14:paraId="3E85FB6C" w14:textId="77777777">
        <w:trPr>
          <w:cantSplit/>
          <w:jc w:val="center"/>
        </w:trPr>
        <w:tc>
          <w:tcPr>
            <w:tcW w:w="1872" w:type="dxa"/>
            <w:shd w:val="clear" w:color="auto" w:fill="F6F9FB"/>
            <w:tcMar>
              <w:top w:w="70" w:type="dxa"/>
              <w:left w:w="100" w:type="dxa"/>
              <w:bottom w:w="70" w:type="dxa"/>
              <w:right w:w="100" w:type="dxa"/>
            </w:tcMar>
            <w:vAlign w:val="center"/>
          </w:tcPr>
          <w:p w14:paraId="71EBF3AC" w14:textId="77777777" w:rsidR="00002650" w:rsidRDefault="00002650" w:rsidP="00F96983">
            <w:pPr>
              <w:spacing w:after="0" w:line="240" w:lineRule="auto"/>
            </w:pPr>
            <w:r>
              <w:rPr>
                <w:rFonts w:ascii="Times New Roman" w:eastAsia="Times New Roman" w:hAnsi="Times New Roman"/>
                <w:color w:val="000000"/>
                <w:sz w:val="17"/>
              </w:rPr>
              <w:t>Missingness preservation</w:t>
            </w:r>
          </w:p>
        </w:tc>
        <w:tc>
          <w:tcPr>
            <w:tcW w:w="4536" w:type="dxa"/>
            <w:shd w:val="clear" w:color="auto" w:fill="F6F9FB"/>
            <w:tcMar>
              <w:top w:w="70" w:type="dxa"/>
              <w:left w:w="100" w:type="dxa"/>
              <w:bottom w:w="70" w:type="dxa"/>
              <w:right w:w="100" w:type="dxa"/>
            </w:tcMar>
            <w:vAlign w:val="center"/>
          </w:tcPr>
          <w:p w14:paraId="03EFF81D" w14:textId="77777777" w:rsidR="00002650" w:rsidRDefault="00002650" w:rsidP="00F96983">
            <w:pPr>
              <w:spacing w:after="0" w:line="240" w:lineRule="auto"/>
            </w:pPr>
            <w:r>
              <w:rPr>
                <w:rFonts w:ascii="Times New Roman" w:eastAsia="Times New Roman" w:hAnsi="Times New Roman"/>
                <w:color w:val="000000"/>
                <w:sz w:val="17"/>
              </w:rPr>
              <w:t>Absent, unavailable, withheld, not observed, and not computed states remain explicit</w:t>
            </w:r>
          </w:p>
        </w:tc>
        <w:tc>
          <w:tcPr>
            <w:tcW w:w="3311" w:type="dxa"/>
            <w:shd w:val="clear" w:color="auto" w:fill="F6F9FB"/>
            <w:tcMar>
              <w:top w:w="70" w:type="dxa"/>
              <w:left w:w="100" w:type="dxa"/>
              <w:bottom w:w="70" w:type="dxa"/>
              <w:right w:w="100" w:type="dxa"/>
            </w:tcMar>
            <w:vAlign w:val="center"/>
          </w:tcPr>
          <w:p w14:paraId="280E0FEF" w14:textId="77777777" w:rsidR="00002650" w:rsidRDefault="00002650" w:rsidP="00F96983">
            <w:pPr>
              <w:spacing w:after="0" w:line="240" w:lineRule="auto"/>
            </w:pPr>
            <w:r>
              <w:rPr>
                <w:rFonts w:ascii="Times New Roman" w:eastAsia="Times New Roman" w:hAnsi="Times New Roman"/>
                <w:color w:val="000000"/>
                <w:sz w:val="17"/>
              </w:rPr>
              <w:t>Missing failure anchor becomes no failure</w:t>
            </w:r>
          </w:p>
        </w:tc>
      </w:tr>
      <w:tr w:rsidR="00002650" w14:paraId="46E174DB" w14:textId="77777777">
        <w:trPr>
          <w:cantSplit/>
          <w:jc w:val="center"/>
        </w:trPr>
        <w:tc>
          <w:tcPr>
            <w:tcW w:w="1872" w:type="dxa"/>
            <w:shd w:val="clear" w:color="auto" w:fill="FFFFFF"/>
            <w:tcMar>
              <w:top w:w="70" w:type="dxa"/>
              <w:left w:w="100" w:type="dxa"/>
              <w:bottom w:w="70" w:type="dxa"/>
              <w:right w:w="100" w:type="dxa"/>
            </w:tcMar>
            <w:vAlign w:val="center"/>
          </w:tcPr>
          <w:p w14:paraId="350B2F88" w14:textId="77777777" w:rsidR="00002650" w:rsidRDefault="00002650" w:rsidP="00F96983">
            <w:pPr>
              <w:spacing w:after="0" w:line="240" w:lineRule="auto"/>
            </w:pPr>
            <w:r>
              <w:rPr>
                <w:rFonts w:ascii="Times New Roman" w:eastAsia="Times New Roman" w:hAnsi="Times New Roman"/>
                <w:color w:val="000000"/>
                <w:sz w:val="17"/>
              </w:rPr>
              <w:t>Reversible investigation</w:t>
            </w:r>
          </w:p>
        </w:tc>
        <w:tc>
          <w:tcPr>
            <w:tcW w:w="4536" w:type="dxa"/>
            <w:shd w:val="clear" w:color="auto" w:fill="FFFFFF"/>
            <w:tcMar>
              <w:top w:w="70" w:type="dxa"/>
              <w:left w:w="100" w:type="dxa"/>
              <w:bottom w:w="70" w:type="dxa"/>
              <w:right w:w="100" w:type="dxa"/>
            </w:tcMar>
            <w:vAlign w:val="center"/>
          </w:tcPr>
          <w:p w14:paraId="092B5152" w14:textId="77777777" w:rsidR="00002650" w:rsidRDefault="00002650" w:rsidP="00F96983">
            <w:pPr>
              <w:spacing w:after="0" w:line="240" w:lineRule="auto"/>
            </w:pPr>
            <w:r>
              <w:rPr>
                <w:rFonts w:ascii="Times New Roman" w:eastAsia="Times New Roman" w:hAnsi="Times New Roman"/>
                <w:color w:val="000000"/>
                <w:sz w:val="17"/>
              </w:rPr>
              <w:t>Material summaries and findings resolve toward frames, events, methods, and source</w:t>
            </w:r>
          </w:p>
        </w:tc>
        <w:tc>
          <w:tcPr>
            <w:tcW w:w="3311" w:type="dxa"/>
            <w:shd w:val="clear" w:color="auto" w:fill="FFFFFF"/>
            <w:tcMar>
              <w:top w:w="70" w:type="dxa"/>
              <w:left w:w="100" w:type="dxa"/>
              <w:bottom w:w="70" w:type="dxa"/>
              <w:right w:w="100" w:type="dxa"/>
            </w:tcMar>
            <w:vAlign w:val="center"/>
          </w:tcPr>
          <w:p w14:paraId="5DDB7341" w14:textId="77777777" w:rsidR="00002650" w:rsidRDefault="00002650" w:rsidP="00F96983">
            <w:pPr>
              <w:spacing w:after="0" w:line="240" w:lineRule="auto"/>
            </w:pPr>
            <w:r>
              <w:rPr>
                <w:rFonts w:ascii="Times New Roman" w:eastAsia="Times New Roman" w:hAnsi="Times New Roman"/>
                <w:color w:val="000000"/>
                <w:sz w:val="17"/>
              </w:rPr>
              <w:t>Operator must trust an unsupported narrative</w:t>
            </w:r>
          </w:p>
        </w:tc>
      </w:tr>
      <w:tr w:rsidR="00002650" w14:paraId="51AEA2BB" w14:textId="77777777">
        <w:trPr>
          <w:cantSplit/>
          <w:jc w:val="center"/>
        </w:trPr>
        <w:tc>
          <w:tcPr>
            <w:tcW w:w="1872" w:type="dxa"/>
            <w:shd w:val="clear" w:color="auto" w:fill="F6F9FB"/>
            <w:tcMar>
              <w:top w:w="70" w:type="dxa"/>
              <w:left w:w="100" w:type="dxa"/>
              <w:bottom w:w="70" w:type="dxa"/>
              <w:right w:w="100" w:type="dxa"/>
            </w:tcMar>
            <w:vAlign w:val="center"/>
          </w:tcPr>
          <w:p w14:paraId="524CD325" w14:textId="77777777" w:rsidR="00002650" w:rsidRDefault="00002650" w:rsidP="00F96983">
            <w:pPr>
              <w:spacing w:after="0" w:line="240" w:lineRule="auto"/>
            </w:pPr>
            <w:r>
              <w:rPr>
                <w:rFonts w:ascii="Times New Roman" w:eastAsia="Times New Roman" w:hAnsi="Times New Roman"/>
                <w:color w:val="000000"/>
                <w:sz w:val="17"/>
              </w:rPr>
              <w:t>Preservation fidelity</w:t>
            </w:r>
          </w:p>
        </w:tc>
        <w:tc>
          <w:tcPr>
            <w:tcW w:w="4536" w:type="dxa"/>
            <w:shd w:val="clear" w:color="auto" w:fill="F6F9FB"/>
            <w:tcMar>
              <w:top w:w="70" w:type="dxa"/>
              <w:left w:w="100" w:type="dxa"/>
              <w:bottom w:w="70" w:type="dxa"/>
              <w:right w:w="100" w:type="dxa"/>
            </w:tcMar>
            <w:vAlign w:val="center"/>
          </w:tcPr>
          <w:p w14:paraId="684D0742" w14:textId="77777777" w:rsidR="00002650" w:rsidRDefault="00002650" w:rsidP="00F96983">
            <w:pPr>
              <w:spacing w:after="0" w:line="240" w:lineRule="auto"/>
            </w:pPr>
            <w:r>
              <w:rPr>
                <w:rFonts w:ascii="Times New Roman" w:eastAsia="Times New Roman" w:hAnsi="Times New Roman"/>
                <w:color w:val="000000"/>
                <w:sz w:val="17"/>
              </w:rPr>
              <w:t>Export retains declared content, identities, omissions, relationships, and replay conditions</w:t>
            </w:r>
          </w:p>
        </w:tc>
        <w:tc>
          <w:tcPr>
            <w:tcW w:w="3311" w:type="dxa"/>
            <w:shd w:val="clear" w:color="auto" w:fill="F6F9FB"/>
            <w:tcMar>
              <w:top w:w="70" w:type="dxa"/>
              <w:left w:w="100" w:type="dxa"/>
              <w:bottom w:w="70" w:type="dxa"/>
              <w:right w:w="100" w:type="dxa"/>
            </w:tcMar>
            <w:vAlign w:val="center"/>
          </w:tcPr>
          <w:p w14:paraId="6E1C607E" w14:textId="77777777" w:rsidR="00002650" w:rsidRDefault="00002650" w:rsidP="00F96983">
            <w:pPr>
              <w:spacing w:after="0" w:line="240" w:lineRule="auto"/>
            </w:pPr>
            <w:r>
              <w:rPr>
                <w:rFonts w:ascii="Times New Roman" w:eastAsia="Times New Roman" w:hAnsi="Times New Roman"/>
                <w:color w:val="000000"/>
                <w:sz w:val="17"/>
              </w:rPr>
              <w:t>Artifact preserves a conclusion but loses its source path</w:t>
            </w:r>
          </w:p>
        </w:tc>
      </w:tr>
    </w:tbl>
    <w:p w14:paraId="33A5BB92" w14:textId="77777777" w:rsidR="00002650" w:rsidRDefault="00002650" w:rsidP="00002650">
      <w:pPr>
        <w:spacing w:after="20"/>
      </w:pPr>
    </w:p>
    <w:p w14:paraId="7819AF7F" w14:textId="77777777" w:rsidR="00002650" w:rsidRDefault="00002650" w:rsidP="00002650">
      <w:pPr>
        <w:spacing w:after="94"/>
      </w:pPr>
      <w:r>
        <w:rPr>
          <w:rFonts w:ascii="Times New Roman" w:eastAsia="Times New Roman" w:hAnsi="Times New Roman"/>
          <w:color w:val="000000"/>
          <w:sz w:val="20"/>
        </w:rPr>
        <w:t>These invariants can be tested without accepting the scientific validity of every measurement. A system may conform architecturally while using an experimental construct. Conversely, a scientifically meaningful measurement can be implemented in a nonconformant architecture that loses its lineage or changes its meaning across surfaces.</w:t>
      </w:r>
    </w:p>
    <w:p w14:paraId="0C6E84B7" w14:textId="77777777" w:rsidR="00002650" w:rsidRPr="00002650" w:rsidRDefault="00002650" w:rsidP="00002650">
      <w:pPr>
        <w:pStyle w:val="Heading1"/>
        <w:pageBreakBefore/>
        <w:rPr>
          <w:b/>
          <w:bCs/>
          <w:color w:val="4F46E5"/>
        </w:rPr>
      </w:pPr>
      <w:r w:rsidRPr="00002650">
        <w:rPr>
          <w:rFonts w:ascii="Arial" w:eastAsia="Times New Roman" w:hAnsi="Arial"/>
          <w:b/>
          <w:bCs/>
          <w:color w:val="4F46E5"/>
          <w:sz w:val="29"/>
        </w:rPr>
        <w:t>SubstrateX Aperture as the Reference Implementation</w:t>
      </w:r>
    </w:p>
    <w:p w14:paraId="06E6116A" w14:textId="77777777" w:rsidR="00002650" w:rsidRDefault="00002650" w:rsidP="00002650">
      <w:pPr>
        <w:keepLines/>
        <w:spacing w:after="94"/>
      </w:pPr>
      <w:r>
        <w:rPr>
          <w:rFonts w:ascii="Times New Roman" w:eastAsia="Times New Roman" w:hAnsi="Times New Roman"/>
          <w:color w:val="000000"/>
          <w:sz w:val="20"/>
        </w:rPr>
        <w:t>SubstrateX Aperture is the principal working implementation through which Computational Behavior Architecture has been operationalized [3]. It is a browser-local Runtime Evidence Observatory that transforms qualified operational records into canonical runtimes, source-linked worldlines, governed measurements, bounded Instrument Findings, guided investigations, Passports, Evidence Seals, and preservation artifacts.</w:t>
      </w:r>
    </w:p>
    <w:p w14:paraId="4336B413" w14:textId="77777777" w:rsidR="00002650" w:rsidRDefault="00002650" w:rsidP="00002650">
      <w:pPr>
        <w:pStyle w:val="Heading2"/>
      </w:pPr>
      <w:r>
        <w:rPr>
          <w:rFonts w:ascii="Arial" w:eastAsia="Times New Roman" w:hAnsi="Arial"/>
          <w:color w:val="000000"/>
          <w:sz w:val="23"/>
        </w:rPr>
        <w:t>Implementation Mapping</w:t>
      </w:r>
    </w:p>
    <w:p w14:paraId="24A708F5" w14:textId="77777777" w:rsidR="00002650" w:rsidRDefault="00002650" w:rsidP="00002650">
      <w:pPr>
        <w:keepNext/>
        <w:spacing w:before="140" w:after="80"/>
      </w:pPr>
      <w:r>
        <w:rPr>
          <w:rFonts w:ascii="Times New Roman" w:eastAsia="Times New Roman" w:hAnsi="Times New Roman"/>
          <w:i/>
          <w:color w:val="66717C"/>
          <w:sz w:val="18"/>
        </w:rPr>
        <w:t>Table 10. Mapping to the SubstrateX Aperture reference implementation.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87"/>
        <w:gridCol w:w="3888"/>
        <w:gridCol w:w="3844"/>
      </w:tblGrid>
      <w:tr w:rsidR="00002650" w14:paraId="0A0985EC" w14:textId="77777777">
        <w:trPr>
          <w:cantSplit/>
          <w:tblHeader/>
          <w:jc w:val="center"/>
        </w:trPr>
        <w:tc>
          <w:tcPr>
            <w:tcW w:w="1987" w:type="dxa"/>
            <w:shd w:val="clear" w:color="auto" w:fill="17324D"/>
            <w:tcMar>
              <w:top w:w="70" w:type="dxa"/>
              <w:left w:w="100" w:type="dxa"/>
              <w:bottom w:w="70" w:type="dxa"/>
              <w:right w:w="100" w:type="dxa"/>
            </w:tcMar>
            <w:vAlign w:val="center"/>
          </w:tcPr>
          <w:p w14:paraId="370F607E" w14:textId="77777777" w:rsidR="00002650" w:rsidRDefault="00002650" w:rsidP="00F96983">
            <w:pPr>
              <w:spacing w:after="0" w:line="240" w:lineRule="auto"/>
            </w:pPr>
            <w:r>
              <w:rPr>
                <w:rFonts w:ascii="Arial" w:eastAsia="Times New Roman" w:hAnsi="Arial"/>
                <w:b/>
                <w:color w:val="FFFFFF"/>
                <w:sz w:val="17"/>
              </w:rPr>
              <w:t>Architectural responsibility</w:t>
            </w:r>
          </w:p>
        </w:tc>
        <w:tc>
          <w:tcPr>
            <w:tcW w:w="3888" w:type="dxa"/>
            <w:shd w:val="clear" w:color="auto" w:fill="17324D"/>
            <w:tcMar>
              <w:top w:w="70" w:type="dxa"/>
              <w:left w:w="100" w:type="dxa"/>
              <w:bottom w:w="70" w:type="dxa"/>
              <w:right w:w="100" w:type="dxa"/>
            </w:tcMar>
            <w:vAlign w:val="center"/>
          </w:tcPr>
          <w:p w14:paraId="63F5922B" w14:textId="77777777" w:rsidR="00002650" w:rsidRDefault="00002650" w:rsidP="00F96983">
            <w:pPr>
              <w:spacing w:after="0" w:line="240" w:lineRule="auto"/>
            </w:pPr>
            <w:r>
              <w:rPr>
                <w:rFonts w:ascii="Arial" w:eastAsia="Times New Roman" w:hAnsi="Arial"/>
                <w:b/>
                <w:color w:val="FFFFFF"/>
                <w:sz w:val="17"/>
              </w:rPr>
              <w:t>Aperture implementation object</w:t>
            </w:r>
          </w:p>
        </w:tc>
        <w:tc>
          <w:tcPr>
            <w:tcW w:w="3844" w:type="dxa"/>
            <w:shd w:val="clear" w:color="auto" w:fill="17324D"/>
            <w:tcMar>
              <w:top w:w="70" w:type="dxa"/>
              <w:left w:w="100" w:type="dxa"/>
              <w:bottom w:w="70" w:type="dxa"/>
              <w:right w:w="100" w:type="dxa"/>
            </w:tcMar>
            <w:vAlign w:val="center"/>
          </w:tcPr>
          <w:p w14:paraId="5EF57800" w14:textId="77777777" w:rsidR="00002650" w:rsidRDefault="00002650" w:rsidP="00F96983">
            <w:pPr>
              <w:spacing w:after="0" w:line="240" w:lineRule="auto"/>
            </w:pPr>
            <w:r>
              <w:rPr>
                <w:rFonts w:ascii="Arial" w:eastAsia="Times New Roman" w:hAnsi="Arial"/>
                <w:b/>
                <w:color w:val="FFFFFF"/>
                <w:sz w:val="17"/>
              </w:rPr>
              <w:t>Authority limit</w:t>
            </w:r>
          </w:p>
        </w:tc>
      </w:tr>
      <w:tr w:rsidR="00002650" w14:paraId="5D99371D" w14:textId="77777777">
        <w:trPr>
          <w:cantSplit/>
          <w:jc w:val="center"/>
        </w:trPr>
        <w:tc>
          <w:tcPr>
            <w:tcW w:w="1987" w:type="dxa"/>
            <w:shd w:val="clear" w:color="auto" w:fill="FFFFFF"/>
            <w:tcMar>
              <w:top w:w="70" w:type="dxa"/>
              <w:left w:w="100" w:type="dxa"/>
              <w:bottom w:w="70" w:type="dxa"/>
              <w:right w:w="100" w:type="dxa"/>
            </w:tcMar>
            <w:vAlign w:val="center"/>
          </w:tcPr>
          <w:p w14:paraId="2A63741F" w14:textId="77777777" w:rsidR="00002650" w:rsidRDefault="00002650" w:rsidP="00F96983">
            <w:pPr>
              <w:spacing w:after="0" w:line="240" w:lineRule="auto"/>
            </w:pPr>
            <w:r>
              <w:rPr>
                <w:rFonts w:ascii="Times New Roman" w:eastAsia="Times New Roman" w:hAnsi="Times New Roman"/>
                <w:color w:val="000000"/>
                <w:sz w:val="17"/>
              </w:rPr>
              <w:t>Source binding and qualification</w:t>
            </w:r>
          </w:p>
        </w:tc>
        <w:tc>
          <w:tcPr>
            <w:tcW w:w="3888" w:type="dxa"/>
            <w:shd w:val="clear" w:color="auto" w:fill="FFFFFF"/>
            <w:tcMar>
              <w:top w:w="70" w:type="dxa"/>
              <w:left w:w="100" w:type="dxa"/>
              <w:bottom w:w="70" w:type="dxa"/>
              <w:right w:w="100" w:type="dxa"/>
            </w:tcMar>
            <w:vAlign w:val="center"/>
          </w:tcPr>
          <w:p w14:paraId="446A8461" w14:textId="77777777" w:rsidR="00002650" w:rsidRDefault="00002650" w:rsidP="00F96983">
            <w:pPr>
              <w:spacing w:after="0" w:line="240" w:lineRule="auto"/>
            </w:pPr>
            <w:r>
              <w:rPr>
                <w:rFonts w:ascii="Times New Roman" w:eastAsia="Times New Roman" w:hAnsi="Times New Roman"/>
                <w:color w:val="000000"/>
                <w:sz w:val="17"/>
              </w:rPr>
              <w:t>Ingestion Engine, raw source binding, preflight, adapter provenance</w:t>
            </w:r>
          </w:p>
        </w:tc>
        <w:tc>
          <w:tcPr>
            <w:tcW w:w="3844" w:type="dxa"/>
            <w:shd w:val="clear" w:color="auto" w:fill="FFFFFF"/>
            <w:tcMar>
              <w:top w:w="70" w:type="dxa"/>
              <w:left w:w="100" w:type="dxa"/>
              <w:bottom w:w="70" w:type="dxa"/>
              <w:right w:w="100" w:type="dxa"/>
            </w:tcMar>
            <w:vAlign w:val="center"/>
          </w:tcPr>
          <w:p w14:paraId="45656324" w14:textId="77777777" w:rsidR="00002650" w:rsidRDefault="00002650" w:rsidP="00F96983">
            <w:pPr>
              <w:spacing w:after="0" w:line="240" w:lineRule="auto"/>
            </w:pPr>
            <w:r>
              <w:rPr>
                <w:rFonts w:ascii="Times New Roman" w:eastAsia="Times New Roman" w:hAnsi="Times New Roman"/>
                <w:color w:val="000000"/>
                <w:sz w:val="17"/>
              </w:rPr>
              <w:t>Cannot generate telemetry or force the selected Operational World into canonicalization</w:t>
            </w:r>
          </w:p>
        </w:tc>
      </w:tr>
      <w:tr w:rsidR="00002650" w14:paraId="54085675" w14:textId="77777777">
        <w:trPr>
          <w:cantSplit/>
          <w:jc w:val="center"/>
        </w:trPr>
        <w:tc>
          <w:tcPr>
            <w:tcW w:w="1987" w:type="dxa"/>
            <w:shd w:val="clear" w:color="auto" w:fill="F6F9FB"/>
            <w:tcMar>
              <w:top w:w="70" w:type="dxa"/>
              <w:left w:w="100" w:type="dxa"/>
              <w:bottom w:w="70" w:type="dxa"/>
              <w:right w:w="100" w:type="dxa"/>
            </w:tcMar>
            <w:vAlign w:val="center"/>
          </w:tcPr>
          <w:p w14:paraId="59E447F9" w14:textId="77777777" w:rsidR="00002650" w:rsidRDefault="00002650" w:rsidP="00F96983">
            <w:pPr>
              <w:spacing w:after="0" w:line="240" w:lineRule="auto"/>
            </w:pPr>
            <w:r>
              <w:rPr>
                <w:rFonts w:ascii="Times New Roman" w:eastAsia="Times New Roman" w:hAnsi="Times New Roman"/>
                <w:color w:val="000000"/>
                <w:sz w:val="17"/>
              </w:rPr>
              <w:t>Canonical event representation</w:t>
            </w:r>
          </w:p>
        </w:tc>
        <w:tc>
          <w:tcPr>
            <w:tcW w:w="3888" w:type="dxa"/>
            <w:shd w:val="clear" w:color="auto" w:fill="F6F9FB"/>
            <w:tcMar>
              <w:top w:w="70" w:type="dxa"/>
              <w:left w:w="100" w:type="dxa"/>
              <w:bottom w:w="70" w:type="dxa"/>
              <w:right w:w="100" w:type="dxa"/>
            </w:tcMar>
            <w:vAlign w:val="center"/>
          </w:tcPr>
          <w:p w14:paraId="25A9FFA3" w14:textId="77777777" w:rsidR="00002650" w:rsidRDefault="00002650" w:rsidP="00F96983">
            <w:pPr>
              <w:spacing w:after="0" w:line="240" w:lineRule="auto"/>
            </w:pPr>
            <w:r>
              <w:rPr>
                <w:rFonts w:ascii="Times New Roman" w:eastAsia="Times New Roman" w:hAnsi="Times New Roman"/>
                <w:color w:val="000000"/>
                <w:sz w:val="17"/>
              </w:rPr>
              <w:t>Runtime event ledger and canonical runtime record</w:t>
            </w:r>
          </w:p>
        </w:tc>
        <w:tc>
          <w:tcPr>
            <w:tcW w:w="3844" w:type="dxa"/>
            <w:shd w:val="clear" w:color="auto" w:fill="F6F9FB"/>
            <w:tcMar>
              <w:top w:w="70" w:type="dxa"/>
              <w:left w:w="100" w:type="dxa"/>
              <w:bottom w:w="70" w:type="dxa"/>
              <w:right w:w="100" w:type="dxa"/>
            </w:tcMar>
            <w:vAlign w:val="center"/>
          </w:tcPr>
          <w:p w14:paraId="05C0E470" w14:textId="77777777" w:rsidR="00002650" w:rsidRDefault="00002650" w:rsidP="00F96983">
            <w:pPr>
              <w:spacing w:after="0" w:line="240" w:lineRule="auto"/>
            </w:pPr>
            <w:r>
              <w:rPr>
                <w:rFonts w:ascii="Times New Roman" w:eastAsia="Times New Roman" w:hAnsi="Times New Roman"/>
                <w:color w:val="000000"/>
                <w:sz w:val="17"/>
              </w:rPr>
              <w:t>Cannot invent absent events or hidden state</w:t>
            </w:r>
          </w:p>
        </w:tc>
      </w:tr>
      <w:tr w:rsidR="00002650" w14:paraId="4A6551FB" w14:textId="77777777">
        <w:trPr>
          <w:cantSplit/>
          <w:jc w:val="center"/>
        </w:trPr>
        <w:tc>
          <w:tcPr>
            <w:tcW w:w="1987" w:type="dxa"/>
            <w:shd w:val="clear" w:color="auto" w:fill="FFFFFF"/>
            <w:tcMar>
              <w:top w:w="70" w:type="dxa"/>
              <w:left w:w="100" w:type="dxa"/>
              <w:bottom w:w="70" w:type="dxa"/>
              <w:right w:w="100" w:type="dxa"/>
            </w:tcMar>
            <w:vAlign w:val="center"/>
          </w:tcPr>
          <w:p w14:paraId="5EE9A211" w14:textId="77777777" w:rsidR="00002650" w:rsidRDefault="00002650" w:rsidP="00F96983">
            <w:pPr>
              <w:spacing w:after="0" w:line="240" w:lineRule="auto"/>
            </w:pPr>
            <w:r>
              <w:rPr>
                <w:rFonts w:ascii="Times New Roman" w:eastAsia="Times New Roman" w:hAnsi="Times New Roman"/>
                <w:color w:val="000000"/>
                <w:sz w:val="17"/>
              </w:rPr>
              <w:t>Runtime organization</w:t>
            </w:r>
          </w:p>
        </w:tc>
        <w:tc>
          <w:tcPr>
            <w:tcW w:w="3888" w:type="dxa"/>
            <w:shd w:val="clear" w:color="auto" w:fill="FFFFFF"/>
            <w:tcMar>
              <w:top w:w="70" w:type="dxa"/>
              <w:left w:w="100" w:type="dxa"/>
              <w:bottom w:w="70" w:type="dxa"/>
              <w:right w:w="100" w:type="dxa"/>
            </w:tcMar>
            <w:vAlign w:val="center"/>
          </w:tcPr>
          <w:p w14:paraId="43FB3EAB" w14:textId="77777777" w:rsidR="00002650" w:rsidRDefault="00002650" w:rsidP="00F96983">
            <w:pPr>
              <w:spacing w:after="0" w:line="240" w:lineRule="auto"/>
            </w:pPr>
            <w:r>
              <w:rPr>
                <w:rFonts w:ascii="Times New Roman" w:eastAsia="Times New Roman" w:hAnsi="Times New Roman"/>
                <w:color w:val="000000"/>
                <w:sz w:val="17"/>
              </w:rPr>
              <w:t>Canonical runtime spine, playback frames, and worldline</w:t>
            </w:r>
          </w:p>
        </w:tc>
        <w:tc>
          <w:tcPr>
            <w:tcW w:w="3844" w:type="dxa"/>
            <w:shd w:val="clear" w:color="auto" w:fill="FFFFFF"/>
            <w:tcMar>
              <w:top w:w="70" w:type="dxa"/>
              <w:left w:w="100" w:type="dxa"/>
              <w:bottom w:w="70" w:type="dxa"/>
              <w:right w:w="100" w:type="dxa"/>
            </w:tcMar>
            <w:vAlign w:val="center"/>
          </w:tcPr>
          <w:p w14:paraId="189FED75" w14:textId="77777777" w:rsidR="00002650" w:rsidRDefault="00002650" w:rsidP="00F96983">
            <w:pPr>
              <w:spacing w:after="0" w:line="240" w:lineRule="auto"/>
            </w:pPr>
            <w:r>
              <w:rPr>
                <w:rFonts w:ascii="Times New Roman" w:eastAsia="Times New Roman" w:hAnsi="Times New Roman"/>
                <w:color w:val="000000"/>
                <w:sz w:val="17"/>
              </w:rPr>
              <w:t>Represents the qualified record and not the complete internal computation</w:t>
            </w:r>
          </w:p>
        </w:tc>
      </w:tr>
      <w:tr w:rsidR="00002650" w14:paraId="3DFE05DB" w14:textId="77777777">
        <w:trPr>
          <w:cantSplit/>
          <w:jc w:val="center"/>
        </w:trPr>
        <w:tc>
          <w:tcPr>
            <w:tcW w:w="1987" w:type="dxa"/>
            <w:shd w:val="clear" w:color="auto" w:fill="F6F9FB"/>
            <w:tcMar>
              <w:top w:w="70" w:type="dxa"/>
              <w:left w:w="100" w:type="dxa"/>
              <w:bottom w:w="70" w:type="dxa"/>
              <w:right w:w="100" w:type="dxa"/>
            </w:tcMar>
            <w:vAlign w:val="center"/>
          </w:tcPr>
          <w:p w14:paraId="2C06F808" w14:textId="77777777" w:rsidR="00002650" w:rsidRDefault="00002650" w:rsidP="00F96983">
            <w:pPr>
              <w:spacing w:after="0" w:line="240" w:lineRule="auto"/>
            </w:pPr>
            <w:r>
              <w:rPr>
                <w:rFonts w:ascii="Times New Roman" w:eastAsia="Times New Roman" w:hAnsi="Times New Roman"/>
                <w:color w:val="000000"/>
                <w:sz w:val="17"/>
              </w:rPr>
              <w:t>Temporal architecture</w:t>
            </w:r>
          </w:p>
        </w:tc>
        <w:tc>
          <w:tcPr>
            <w:tcW w:w="3888" w:type="dxa"/>
            <w:shd w:val="clear" w:color="auto" w:fill="F6F9FB"/>
            <w:tcMar>
              <w:top w:w="70" w:type="dxa"/>
              <w:left w:w="100" w:type="dxa"/>
              <w:bottom w:w="70" w:type="dxa"/>
              <w:right w:w="100" w:type="dxa"/>
            </w:tcMar>
            <w:vAlign w:val="center"/>
          </w:tcPr>
          <w:p w14:paraId="22660953" w14:textId="77777777" w:rsidR="00002650" w:rsidRDefault="00002650" w:rsidP="00F96983">
            <w:pPr>
              <w:spacing w:after="0" w:line="240" w:lineRule="auto"/>
            </w:pPr>
            <w:r>
              <w:rPr>
                <w:rFonts w:ascii="Times New Roman" w:eastAsia="Times New Roman" w:hAnsi="Times New Roman"/>
                <w:color w:val="000000"/>
                <w:sz w:val="17"/>
              </w:rPr>
              <w:t>Temporal authority, coordinate records, marker relationships</w:t>
            </w:r>
          </w:p>
        </w:tc>
        <w:tc>
          <w:tcPr>
            <w:tcW w:w="3844" w:type="dxa"/>
            <w:shd w:val="clear" w:color="auto" w:fill="F6F9FB"/>
            <w:tcMar>
              <w:top w:w="70" w:type="dxa"/>
              <w:left w:w="100" w:type="dxa"/>
              <w:bottom w:w="70" w:type="dxa"/>
              <w:right w:w="100" w:type="dxa"/>
            </w:tcMar>
            <w:vAlign w:val="center"/>
          </w:tcPr>
          <w:p w14:paraId="3F807464" w14:textId="77777777" w:rsidR="00002650" w:rsidRDefault="00002650" w:rsidP="00F96983">
            <w:pPr>
              <w:spacing w:after="0" w:line="240" w:lineRule="auto"/>
            </w:pPr>
            <w:r>
              <w:rPr>
                <w:rFonts w:ascii="Times New Roman" w:eastAsia="Times New Roman" w:hAnsi="Times New Roman"/>
                <w:color w:val="000000"/>
                <w:sz w:val="17"/>
              </w:rPr>
              <w:t>Cannot convert incompatible or absent coordinates into formal lead time</w:t>
            </w:r>
          </w:p>
        </w:tc>
      </w:tr>
      <w:tr w:rsidR="00002650" w14:paraId="5938165E" w14:textId="77777777">
        <w:trPr>
          <w:cantSplit/>
          <w:jc w:val="center"/>
        </w:trPr>
        <w:tc>
          <w:tcPr>
            <w:tcW w:w="1987" w:type="dxa"/>
            <w:shd w:val="clear" w:color="auto" w:fill="FFFFFF"/>
            <w:tcMar>
              <w:top w:w="70" w:type="dxa"/>
              <w:left w:w="100" w:type="dxa"/>
              <w:bottom w:w="70" w:type="dxa"/>
              <w:right w:w="100" w:type="dxa"/>
            </w:tcMar>
            <w:vAlign w:val="center"/>
          </w:tcPr>
          <w:p w14:paraId="5533811E" w14:textId="77777777" w:rsidR="00002650" w:rsidRDefault="00002650" w:rsidP="00F96983">
            <w:pPr>
              <w:spacing w:after="0" w:line="240" w:lineRule="auto"/>
            </w:pPr>
            <w:r>
              <w:rPr>
                <w:rFonts w:ascii="Times New Roman" w:eastAsia="Times New Roman" w:hAnsi="Times New Roman"/>
                <w:color w:val="000000"/>
                <w:sz w:val="17"/>
              </w:rPr>
              <w:t>Role and interaction topology</w:t>
            </w:r>
          </w:p>
        </w:tc>
        <w:tc>
          <w:tcPr>
            <w:tcW w:w="3888" w:type="dxa"/>
            <w:shd w:val="clear" w:color="auto" w:fill="FFFFFF"/>
            <w:tcMar>
              <w:top w:w="70" w:type="dxa"/>
              <w:left w:w="100" w:type="dxa"/>
              <w:bottom w:w="70" w:type="dxa"/>
              <w:right w:w="100" w:type="dxa"/>
            </w:tcMar>
            <w:vAlign w:val="center"/>
          </w:tcPr>
          <w:p w14:paraId="33ED3E94" w14:textId="77777777" w:rsidR="00002650" w:rsidRDefault="00002650" w:rsidP="00F96983">
            <w:pPr>
              <w:spacing w:after="0" w:line="240" w:lineRule="auto"/>
            </w:pPr>
            <w:r>
              <w:rPr>
                <w:rFonts w:ascii="Times New Roman" w:eastAsia="Times New Roman" w:hAnsi="Times New Roman"/>
                <w:color w:val="000000"/>
                <w:sz w:val="17"/>
              </w:rPr>
              <w:t>Role-aware canonicalization, tool and handoff relations</w:t>
            </w:r>
          </w:p>
        </w:tc>
        <w:tc>
          <w:tcPr>
            <w:tcW w:w="3844" w:type="dxa"/>
            <w:shd w:val="clear" w:color="auto" w:fill="FFFFFF"/>
            <w:tcMar>
              <w:top w:w="70" w:type="dxa"/>
              <w:left w:w="100" w:type="dxa"/>
              <w:bottom w:w="70" w:type="dxa"/>
              <w:right w:w="100" w:type="dxa"/>
            </w:tcMar>
            <w:vAlign w:val="center"/>
          </w:tcPr>
          <w:p w14:paraId="2F869613" w14:textId="77777777" w:rsidR="00002650" w:rsidRDefault="00002650" w:rsidP="00F96983">
            <w:pPr>
              <w:spacing w:after="0" w:line="240" w:lineRule="auto"/>
            </w:pPr>
            <w:r>
              <w:rPr>
                <w:rFonts w:ascii="Times New Roman" w:eastAsia="Times New Roman" w:hAnsi="Times New Roman"/>
                <w:color w:val="000000"/>
                <w:sz w:val="17"/>
              </w:rPr>
              <w:t>Cannot establish intent, blame, or literal identity beyond source support</w:t>
            </w:r>
          </w:p>
        </w:tc>
      </w:tr>
      <w:tr w:rsidR="00002650" w14:paraId="3C6869EE" w14:textId="77777777">
        <w:trPr>
          <w:cantSplit/>
          <w:jc w:val="center"/>
        </w:trPr>
        <w:tc>
          <w:tcPr>
            <w:tcW w:w="1987" w:type="dxa"/>
            <w:shd w:val="clear" w:color="auto" w:fill="F6F9FB"/>
            <w:tcMar>
              <w:top w:w="70" w:type="dxa"/>
              <w:left w:w="100" w:type="dxa"/>
              <w:bottom w:w="70" w:type="dxa"/>
              <w:right w:w="100" w:type="dxa"/>
            </w:tcMar>
            <w:vAlign w:val="center"/>
          </w:tcPr>
          <w:p w14:paraId="57BEE838" w14:textId="77777777" w:rsidR="00002650" w:rsidRDefault="00002650" w:rsidP="00F96983">
            <w:pPr>
              <w:spacing w:after="0" w:line="240" w:lineRule="auto"/>
            </w:pPr>
            <w:r>
              <w:rPr>
                <w:rFonts w:ascii="Times New Roman" w:eastAsia="Times New Roman" w:hAnsi="Times New Roman"/>
                <w:color w:val="000000"/>
                <w:sz w:val="17"/>
              </w:rPr>
              <w:t>Measurement binding</w:t>
            </w:r>
          </w:p>
        </w:tc>
        <w:tc>
          <w:tcPr>
            <w:tcW w:w="3888" w:type="dxa"/>
            <w:shd w:val="clear" w:color="auto" w:fill="F6F9FB"/>
            <w:tcMar>
              <w:top w:w="70" w:type="dxa"/>
              <w:left w:w="100" w:type="dxa"/>
              <w:bottom w:w="70" w:type="dxa"/>
              <w:right w:w="100" w:type="dxa"/>
            </w:tcMar>
            <w:vAlign w:val="center"/>
          </w:tcPr>
          <w:p w14:paraId="51DF7E8A" w14:textId="77777777" w:rsidR="00002650" w:rsidRDefault="00002650" w:rsidP="00F96983">
            <w:pPr>
              <w:spacing w:after="0" w:line="240" w:lineRule="auto"/>
            </w:pPr>
            <w:r>
              <w:rPr>
                <w:rFonts w:ascii="Times New Roman" w:eastAsia="Times New Roman" w:hAnsi="Times New Roman"/>
                <w:color w:val="000000"/>
                <w:sz w:val="17"/>
              </w:rPr>
              <w:t>Runtime Signal Authority and metric-legitimacy matrix</w:t>
            </w:r>
          </w:p>
        </w:tc>
        <w:tc>
          <w:tcPr>
            <w:tcW w:w="3844" w:type="dxa"/>
            <w:shd w:val="clear" w:color="auto" w:fill="F6F9FB"/>
            <w:tcMar>
              <w:top w:w="70" w:type="dxa"/>
              <w:left w:w="100" w:type="dxa"/>
              <w:bottom w:w="70" w:type="dxa"/>
              <w:right w:w="100" w:type="dxa"/>
            </w:tcMar>
            <w:vAlign w:val="center"/>
          </w:tcPr>
          <w:p w14:paraId="060657F1" w14:textId="77777777" w:rsidR="00002650" w:rsidRDefault="00002650" w:rsidP="00F96983">
            <w:pPr>
              <w:spacing w:after="0" w:line="240" w:lineRule="auto"/>
            </w:pPr>
            <w:r>
              <w:rPr>
                <w:rFonts w:ascii="Times New Roman" w:eastAsia="Times New Roman" w:hAnsi="Times New Roman"/>
                <w:color w:val="000000"/>
                <w:sz w:val="17"/>
              </w:rPr>
              <w:t>Registration and replay do not prove construct validity</w:t>
            </w:r>
          </w:p>
        </w:tc>
      </w:tr>
      <w:tr w:rsidR="00002650" w14:paraId="67D3C314" w14:textId="77777777">
        <w:trPr>
          <w:cantSplit/>
          <w:jc w:val="center"/>
        </w:trPr>
        <w:tc>
          <w:tcPr>
            <w:tcW w:w="1987" w:type="dxa"/>
            <w:shd w:val="clear" w:color="auto" w:fill="FFFFFF"/>
            <w:tcMar>
              <w:top w:w="70" w:type="dxa"/>
              <w:left w:w="100" w:type="dxa"/>
              <w:bottom w:w="70" w:type="dxa"/>
              <w:right w:w="100" w:type="dxa"/>
            </w:tcMar>
            <w:vAlign w:val="center"/>
          </w:tcPr>
          <w:p w14:paraId="0CB49DD7" w14:textId="77777777" w:rsidR="00002650" w:rsidRDefault="00002650" w:rsidP="00F96983">
            <w:pPr>
              <w:spacing w:after="0" w:line="240" w:lineRule="auto"/>
            </w:pPr>
            <w:r>
              <w:rPr>
                <w:rFonts w:ascii="Times New Roman" w:eastAsia="Times New Roman" w:hAnsi="Times New Roman"/>
                <w:color w:val="000000"/>
                <w:sz w:val="17"/>
              </w:rPr>
              <w:t>Behavioral structures</w:t>
            </w:r>
          </w:p>
        </w:tc>
        <w:tc>
          <w:tcPr>
            <w:tcW w:w="3888" w:type="dxa"/>
            <w:shd w:val="clear" w:color="auto" w:fill="FFFFFF"/>
            <w:tcMar>
              <w:top w:w="70" w:type="dxa"/>
              <w:left w:w="100" w:type="dxa"/>
              <w:bottom w:w="70" w:type="dxa"/>
              <w:right w:w="100" w:type="dxa"/>
            </w:tcMar>
            <w:vAlign w:val="center"/>
          </w:tcPr>
          <w:p w14:paraId="0817F46F" w14:textId="77777777" w:rsidR="00002650" w:rsidRDefault="00002650" w:rsidP="00F96983">
            <w:pPr>
              <w:spacing w:after="0" w:line="240" w:lineRule="auto"/>
            </w:pPr>
            <w:r>
              <w:rPr>
                <w:rFonts w:ascii="Times New Roman" w:eastAsia="Times New Roman" w:hAnsi="Times New Roman"/>
                <w:color w:val="000000"/>
                <w:sz w:val="17"/>
              </w:rPr>
              <w:t>Shared stability substrate, regimes, boundary, recovery, and re-entry records</w:t>
            </w:r>
          </w:p>
        </w:tc>
        <w:tc>
          <w:tcPr>
            <w:tcW w:w="3844" w:type="dxa"/>
            <w:shd w:val="clear" w:color="auto" w:fill="FFFFFF"/>
            <w:tcMar>
              <w:top w:w="70" w:type="dxa"/>
              <w:left w:w="100" w:type="dxa"/>
              <w:bottom w:w="70" w:type="dxa"/>
              <w:right w:w="100" w:type="dxa"/>
            </w:tcMar>
            <w:vAlign w:val="center"/>
          </w:tcPr>
          <w:p w14:paraId="1A090A10" w14:textId="77777777" w:rsidR="00002650" w:rsidRDefault="00002650" w:rsidP="00F96983">
            <w:pPr>
              <w:spacing w:after="0" w:line="240" w:lineRule="auto"/>
            </w:pPr>
            <w:r>
              <w:rPr>
                <w:rFonts w:ascii="Times New Roman" w:eastAsia="Times New Roman" w:hAnsi="Times New Roman"/>
                <w:color w:val="000000"/>
                <w:sz w:val="17"/>
              </w:rPr>
              <w:t>Observable-runtime constructs and not hidden-state diagnoses</w:t>
            </w:r>
          </w:p>
        </w:tc>
      </w:tr>
      <w:tr w:rsidR="00002650" w14:paraId="44227A7D" w14:textId="77777777">
        <w:trPr>
          <w:cantSplit/>
          <w:jc w:val="center"/>
        </w:trPr>
        <w:tc>
          <w:tcPr>
            <w:tcW w:w="1987" w:type="dxa"/>
            <w:shd w:val="clear" w:color="auto" w:fill="F6F9FB"/>
            <w:tcMar>
              <w:top w:w="70" w:type="dxa"/>
              <w:left w:w="100" w:type="dxa"/>
              <w:bottom w:w="70" w:type="dxa"/>
              <w:right w:w="100" w:type="dxa"/>
            </w:tcMar>
            <w:vAlign w:val="center"/>
          </w:tcPr>
          <w:p w14:paraId="41EFCA1B" w14:textId="77777777" w:rsidR="00002650" w:rsidRDefault="00002650" w:rsidP="00F96983">
            <w:pPr>
              <w:spacing w:after="0" w:line="240" w:lineRule="auto"/>
            </w:pPr>
            <w:r>
              <w:rPr>
                <w:rFonts w:ascii="Times New Roman" w:eastAsia="Times New Roman" w:hAnsi="Times New Roman"/>
                <w:color w:val="000000"/>
                <w:sz w:val="17"/>
              </w:rPr>
              <w:t>Instrument projections</w:t>
            </w:r>
          </w:p>
        </w:tc>
        <w:tc>
          <w:tcPr>
            <w:tcW w:w="3888" w:type="dxa"/>
            <w:shd w:val="clear" w:color="auto" w:fill="F6F9FB"/>
            <w:tcMar>
              <w:top w:w="70" w:type="dxa"/>
              <w:left w:w="100" w:type="dxa"/>
              <w:bottom w:w="70" w:type="dxa"/>
              <w:right w:w="100" w:type="dxa"/>
            </w:tcMar>
            <w:vAlign w:val="center"/>
          </w:tcPr>
          <w:p w14:paraId="2729409B" w14:textId="77777777" w:rsidR="00002650" w:rsidRDefault="00002650" w:rsidP="00F96983">
            <w:pPr>
              <w:spacing w:after="0" w:line="240" w:lineRule="auto"/>
            </w:pPr>
            <w:r>
              <w:rPr>
                <w:rFonts w:ascii="Times New Roman" w:eastAsia="Times New Roman" w:hAnsi="Times New Roman"/>
                <w:color w:val="000000"/>
                <w:sz w:val="17"/>
              </w:rPr>
              <w:t>Nine read-only Instrument Findings</w:t>
            </w:r>
          </w:p>
        </w:tc>
        <w:tc>
          <w:tcPr>
            <w:tcW w:w="3844" w:type="dxa"/>
            <w:shd w:val="clear" w:color="auto" w:fill="F6F9FB"/>
            <w:tcMar>
              <w:top w:w="70" w:type="dxa"/>
              <w:left w:w="100" w:type="dxa"/>
              <w:bottom w:w="70" w:type="dxa"/>
              <w:right w:w="100" w:type="dxa"/>
            </w:tcMar>
            <w:vAlign w:val="center"/>
          </w:tcPr>
          <w:p w14:paraId="74A04921" w14:textId="77777777" w:rsidR="00002650" w:rsidRDefault="00002650" w:rsidP="00F96983">
            <w:pPr>
              <w:spacing w:after="0" w:line="240" w:lineRule="auto"/>
            </w:pPr>
            <w:r>
              <w:rPr>
                <w:rFonts w:ascii="Times New Roman" w:eastAsia="Times New Roman" w:hAnsi="Times New Roman"/>
                <w:color w:val="000000"/>
                <w:sz w:val="17"/>
              </w:rPr>
              <w:t>Instruments cannot rewrite telemetry, markers, or run identity</w:t>
            </w:r>
          </w:p>
        </w:tc>
      </w:tr>
      <w:tr w:rsidR="00002650" w14:paraId="5C0368E1" w14:textId="77777777">
        <w:trPr>
          <w:cantSplit/>
          <w:jc w:val="center"/>
        </w:trPr>
        <w:tc>
          <w:tcPr>
            <w:tcW w:w="1987" w:type="dxa"/>
            <w:shd w:val="clear" w:color="auto" w:fill="FFFFFF"/>
            <w:tcMar>
              <w:top w:w="70" w:type="dxa"/>
              <w:left w:w="100" w:type="dxa"/>
              <w:bottom w:w="70" w:type="dxa"/>
              <w:right w:w="100" w:type="dxa"/>
            </w:tcMar>
            <w:vAlign w:val="center"/>
          </w:tcPr>
          <w:p w14:paraId="79C1DEDB" w14:textId="77777777" w:rsidR="00002650" w:rsidRDefault="00002650" w:rsidP="00F96983">
            <w:pPr>
              <w:spacing w:after="0" w:line="240" w:lineRule="auto"/>
            </w:pPr>
            <w:r>
              <w:rPr>
                <w:rFonts w:ascii="Times New Roman" w:eastAsia="Times New Roman" w:hAnsi="Times New Roman"/>
                <w:color w:val="000000"/>
                <w:sz w:val="17"/>
              </w:rPr>
              <w:t>Interpretation and synthesis</w:t>
            </w:r>
          </w:p>
        </w:tc>
        <w:tc>
          <w:tcPr>
            <w:tcW w:w="3888" w:type="dxa"/>
            <w:shd w:val="clear" w:color="auto" w:fill="FFFFFF"/>
            <w:tcMar>
              <w:top w:w="70" w:type="dxa"/>
              <w:left w:w="100" w:type="dxa"/>
              <w:bottom w:w="70" w:type="dxa"/>
              <w:right w:w="100" w:type="dxa"/>
            </w:tcMar>
            <w:vAlign w:val="center"/>
          </w:tcPr>
          <w:p w14:paraId="1D8F6269" w14:textId="77777777" w:rsidR="00002650" w:rsidRDefault="00002650" w:rsidP="00F96983">
            <w:pPr>
              <w:spacing w:after="0" w:line="240" w:lineRule="auto"/>
            </w:pPr>
            <w:r>
              <w:rPr>
                <w:rFonts w:ascii="Times New Roman" w:eastAsia="Times New Roman" w:hAnsi="Times New Roman"/>
                <w:color w:val="000000"/>
                <w:sz w:val="17"/>
              </w:rPr>
              <w:t>REIM-0.1, Evaluation and Synthesis Layer v2, and Human Read</w:t>
            </w:r>
          </w:p>
        </w:tc>
        <w:tc>
          <w:tcPr>
            <w:tcW w:w="3844" w:type="dxa"/>
            <w:shd w:val="clear" w:color="auto" w:fill="FFFFFF"/>
            <w:tcMar>
              <w:top w:w="70" w:type="dxa"/>
              <w:left w:w="100" w:type="dxa"/>
              <w:bottom w:w="70" w:type="dxa"/>
              <w:right w:w="100" w:type="dxa"/>
            </w:tcMar>
            <w:vAlign w:val="center"/>
          </w:tcPr>
          <w:p w14:paraId="20BF0A86" w14:textId="77777777" w:rsidR="00002650" w:rsidRDefault="00002650" w:rsidP="00F96983">
            <w:pPr>
              <w:spacing w:after="0" w:line="240" w:lineRule="auto"/>
            </w:pPr>
            <w:r>
              <w:rPr>
                <w:rFonts w:ascii="Times New Roman" w:eastAsia="Times New Roman" w:hAnsi="Times New Roman"/>
                <w:color w:val="000000"/>
                <w:sz w:val="17"/>
              </w:rPr>
              <w:t>Cannot establish cause, truth, blame, or required action</w:t>
            </w:r>
          </w:p>
        </w:tc>
      </w:tr>
      <w:tr w:rsidR="00002650" w14:paraId="4725C415" w14:textId="77777777">
        <w:trPr>
          <w:cantSplit/>
          <w:jc w:val="center"/>
        </w:trPr>
        <w:tc>
          <w:tcPr>
            <w:tcW w:w="1987" w:type="dxa"/>
            <w:shd w:val="clear" w:color="auto" w:fill="F6F9FB"/>
            <w:tcMar>
              <w:top w:w="70" w:type="dxa"/>
              <w:left w:w="100" w:type="dxa"/>
              <w:bottom w:w="70" w:type="dxa"/>
              <w:right w:w="100" w:type="dxa"/>
            </w:tcMar>
            <w:vAlign w:val="center"/>
          </w:tcPr>
          <w:p w14:paraId="09DB7468" w14:textId="77777777" w:rsidR="00002650" w:rsidRDefault="00002650" w:rsidP="00F96983">
            <w:pPr>
              <w:spacing w:after="0" w:line="240" w:lineRule="auto"/>
            </w:pPr>
            <w:r>
              <w:rPr>
                <w:rFonts w:ascii="Times New Roman" w:eastAsia="Times New Roman" w:hAnsi="Times New Roman"/>
                <w:color w:val="000000"/>
                <w:sz w:val="17"/>
              </w:rPr>
              <w:t>Investigation and replay</w:t>
            </w:r>
          </w:p>
        </w:tc>
        <w:tc>
          <w:tcPr>
            <w:tcW w:w="3888" w:type="dxa"/>
            <w:shd w:val="clear" w:color="auto" w:fill="F6F9FB"/>
            <w:tcMar>
              <w:top w:w="70" w:type="dxa"/>
              <w:left w:w="100" w:type="dxa"/>
              <w:bottom w:w="70" w:type="dxa"/>
              <w:right w:w="100" w:type="dxa"/>
            </w:tcMar>
            <w:vAlign w:val="center"/>
          </w:tcPr>
          <w:p w14:paraId="430D6624" w14:textId="77777777" w:rsidR="00002650" w:rsidRDefault="00002650" w:rsidP="00F96983">
            <w:pPr>
              <w:spacing w:after="0" w:line="240" w:lineRule="auto"/>
            </w:pPr>
            <w:r>
              <w:rPr>
                <w:rFonts w:ascii="Times New Roman" w:eastAsia="Times New Roman" w:hAnsi="Times New Roman"/>
                <w:color w:val="000000"/>
                <w:sz w:val="17"/>
              </w:rPr>
              <w:t>Runtime Reconstruction, Flight Recorder, and Guided Investigation</w:t>
            </w:r>
          </w:p>
        </w:tc>
        <w:tc>
          <w:tcPr>
            <w:tcW w:w="3844" w:type="dxa"/>
            <w:shd w:val="clear" w:color="auto" w:fill="F6F9FB"/>
            <w:tcMar>
              <w:top w:w="70" w:type="dxa"/>
              <w:left w:w="100" w:type="dxa"/>
              <w:bottom w:w="70" w:type="dxa"/>
              <w:right w:w="100" w:type="dxa"/>
            </w:tcMar>
            <w:vAlign w:val="center"/>
          </w:tcPr>
          <w:p w14:paraId="74143AEE" w14:textId="77777777" w:rsidR="00002650" w:rsidRDefault="00002650" w:rsidP="00F96983">
            <w:pPr>
              <w:spacing w:after="0" w:line="240" w:lineRule="auto"/>
            </w:pPr>
            <w:r>
              <w:rPr>
                <w:rFonts w:ascii="Times New Roman" w:eastAsia="Times New Roman" w:hAnsi="Times New Roman"/>
                <w:color w:val="000000"/>
                <w:sz w:val="17"/>
              </w:rPr>
              <w:t>Navigation cannot manufacture evidence</w:t>
            </w:r>
          </w:p>
        </w:tc>
      </w:tr>
      <w:tr w:rsidR="00002650" w14:paraId="5617A56C" w14:textId="77777777">
        <w:trPr>
          <w:cantSplit/>
          <w:jc w:val="center"/>
        </w:trPr>
        <w:tc>
          <w:tcPr>
            <w:tcW w:w="1987" w:type="dxa"/>
            <w:shd w:val="clear" w:color="auto" w:fill="FFFFFF"/>
            <w:tcMar>
              <w:top w:w="70" w:type="dxa"/>
              <w:left w:w="100" w:type="dxa"/>
              <w:bottom w:w="70" w:type="dxa"/>
              <w:right w:w="100" w:type="dxa"/>
            </w:tcMar>
            <w:vAlign w:val="center"/>
          </w:tcPr>
          <w:p w14:paraId="0EE02AC8" w14:textId="77777777" w:rsidR="00002650" w:rsidRDefault="00002650" w:rsidP="00F96983">
            <w:pPr>
              <w:spacing w:after="0" w:line="240" w:lineRule="auto"/>
            </w:pPr>
            <w:r>
              <w:rPr>
                <w:rFonts w:ascii="Times New Roman" w:eastAsia="Times New Roman" w:hAnsi="Times New Roman"/>
                <w:color w:val="000000"/>
                <w:sz w:val="17"/>
              </w:rPr>
              <w:t>Identity and authority</w:t>
            </w:r>
          </w:p>
        </w:tc>
        <w:tc>
          <w:tcPr>
            <w:tcW w:w="3888" w:type="dxa"/>
            <w:shd w:val="clear" w:color="auto" w:fill="FFFFFF"/>
            <w:tcMar>
              <w:top w:w="70" w:type="dxa"/>
              <w:left w:w="100" w:type="dxa"/>
              <w:bottom w:w="70" w:type="dxa"/>
              <w:right w:w="100" w:type="dxa"/>
            </w:tcMar>
            <w:vAlign w:val="center"/>
          </w:tcPr>
          <w:p w14:paraId="48D5E344" w14:textId="77777777" w:rsidR="00002650" w:rsidRDefault="00002650" w:rsidP="00F96983">
            <w:pPr>
              <w:spacing w:after="0" w:line="240" w:lineRule="auto"/>
            </w:pPr>
            <w:r>
              <w:rPr>
                <w:rFonts w:ascii="Times New Roman" w:eastAsia="Times New Roman" w:hAnsi="Times New Roman"/>
                <w:color w:val="000000"/>
                <w:sz w:val="17"/>
              </w:rPr>
              <w:t>Current Evidence Run, Runtime Evidence Record, Passport, and Evidence Seal</w:t>
            </w:r>
          </w:p>
        </w:tc>
        <w:tc>
          <w:tcPr>
            <w:tcW w:w="3844" w:type="dxa"/>
            <w:shd w:val="clear" w:color="auto" w:fill="FFFFFF"/>
            <w:tcMar>
              <w:top w:w="70" w:type="dxa"/>
              <w:left w:w="100" w:type="dxa"/>
              <w:bottom w:w="70" w:type="dxa"/>
              <w:right w:w="100" w:type="dxa"/>
            </w:tcMar>
            <w:vAlign w:val="center"/>
          </w:tcPr>
          <w:p w14:paraId="507C92C6" w14:textId="77777777" w:rsidR="00002650" w:rsidRDefault="00002650" w:rsidP="00F96983">
            <w:pPr>
              <w:spacing w:after="0" w:line="240" w:lineRule="auto"/>
            </w:pPr>
            <w:r>
              <w:rPr>
                <w:rFonts w:ascii="Times New Roman" w:eastAsia="Times New Roman" w:hAnsi="Times New Roman"/>
                <w:color w:val="000000"/>
                <w:sz w:val="17"/>
              </w:rPr>
              <w:t>Certification remains limited to declared formation and conformance scope</w:t>
            </w:r>
          </w:p>
        </w:tc>
      </w:tr>
      <w:tr w:rsidR="00002650" w14:paraId="331C133F" w14:textId="77777777">
        <w:trPr>
          <w:cantSplit/>
          <w:jc w:val="center"/>
        </w:trPr>
        <w:tc>
          <w:tcPr>
            <w:tcW w:w="1987" w:type="dxa"/>
            <w:shd w:val="clear" w:color="auto" w:fill="F6F9FB"/>
            <w:tcMar>
              <w:top w:w="70" w:type="dxa"/>
              <w:left w:w="100" w:type="dxa"/>
              <w:bottom w:w="70" w:type="dxa"/>
              <w:right w:w="100" w:type="dxa"/>
            </w:tcMar>
            <w:vAlign w:val="center"/>
          </w:tcPr>
          <w:p w14:paraId="643204DC" w14:textId="77777777" w:rsidR="00002650" w:rsidRDefault="00002650" w:rsidP="00F96983">
            <w:pPr>
              <w:spacing w:after="0" w:line="240" w:lineRule="auto"/>
            </w:pPr>
            <w:r>
              <w:rPr>
                <w:rFonts w:ascii="Times New Roman" w:eastAsia="Times New Roman" w:hAnsi="Times New Roman"/>
                <w:color w:val="000000"/>
                <w:sz w:val="17"/>
              </w:rPr>
              <w:t>Preservation</w:t>
            </w:r>
          </w:p>
        </w:tc>
        <w:tc>
          <w:tcPr>
            <w:tcW w:w="3888" w:type="dxa"/>
            <w:shd w:val="clear" w:color="auto" w:fill="F6F9FB"/>
            <w:tcMar>
              <w:top w:w="70" w:type="dxa"/>
              <w:left w:w="100" w:type="dxa"/>
              <w:bottom w:w="70" w:type="dxa"/>
              <w:right w:w="100" w:type="dxa"/>
            </w:tcMar>
            <w:vAlign w:val="center"/>
          </w:tcPr>
          <w:p w14:paraId="6DF169F3" w14:textId="77777777" w:rsidR="00002650" w:rsidRDefault="00002650" w:rsidP="00F96983">
            <w:pPr>
              <w:spacing w:after="0" w:line="240" w:lineRule="auto"/>
            </w:pPr>
            <w:r>
              <w:rPr>
                <w:rFonts w:ascii="Times New Roman" w:eastAsia="Times New Roman" w:hAnsi="Times New Roman"/>
                <w:color w:val="000000"/>
                <w:sz w:val="17"/>
              </w:rPr>
              <w:t>Runtime Evidence Conveyor and Evidence Commons manifest</w:t>
            </w:r>
          </w:p>
        </w:tc>
        <w:tc>
          <w:tcPr>
            <w:tcW w:w="3844" w:type="dxa"/>
            <w:shd w:val="clear" w:color="auto" w:fill="F6F9FB"/>
            <w:tcMar>
              <w:top w:w="70" w:type="dxa"/>
              <w:left w:w="100" w:type="dxa"/>
              <w:bottom w:w="70" w:type="dxa"/>
              <w:right w:w="100" w:type="dxa"/>
            </w:tcMar>
            <w:vAlign w:val="center"/>
          </w:tcPr>
          <w:p w14:paraId="617A7D0C" w14:textId="77777777" w:rsidR="00002650" w:rsidRDefault="00002650" w:rsidP="00F96983">
            <w:pPr>
              <w:spacing w:after="0" w:line="240" w:lineRule="auto"/>
            </w:pPr>
            <w:r>
              <w:rPr>
                <w:rFonts w:ascii="Times New Roman" w:eastAsia="Times New Roman" w:hAnsi="Times New Roman"/>
                <w:color w:val="000000"/>
                <w:sz w:val="17"/>
              </w:rPr>
              <w:t>Export cannot strengthen or silently narrow claims</w:t>
            </w:r>
          </w:p>
        </w:tc>
      </w:tr>
    </w:tbl>
    <w:p w14:paraId="571B2237" w14:textId="77777777" w:rsidR="00002650" w:rsidRDefault="00002650" w:rsidP="00002650">
      <w:pPr>
        <w:spacing w:after="20"/>
      </w:pPr>
    </w:p>
    <w:p w14:paraId="46FC7903" w14:textId="77777777" w:rsidR="00002650" w:rsidRDefault="00002650" w:rsidP="00002650">
      <w:pPr>
        <w:pStyle w:val="Heading2"/>
      </w:pPr>
      <w:r>
        <w:rPr>
          <w:rFonts w:ascii="Arial" w:eastAsia="Times New Roman" w:hAnsi="Arial"/>
          <w:color w:val="000000"/>
          <w:sz w:val="23"/>
        </w:rPr>
        <w:t>Runtime Signal and Instrument Architecture</w:t>
      </w:r>
    </w:p>
    <w:p w14:paraId="5EBB4A8B" w14:textId="77777777" w:rsidR="00002650" w:rsidRDefault="00002650" w:rsidP="00002650">
      <w:pPr>
        <w:keepLines/>
        <w:spacing w:after="94"/>
      </w:pPr>
      <w:r>
        <w:rPr>
          <w:rFonts w:ascii="Times New Roman" w:eastAsia="Times New Roman" w:hAnsi="Times New Roman"/>
          <w:color w:val="000000"/>
          <w:sz w:val="20"/>
        </w:rPr>
        <w:t>The reviewed RL1331 implementation maintains a 25-entry active Runtime Signal Authority comprising six Level 0 features, ten Level 1 runtime dynamics, and nine Level 2 projections [3]. The FG-TVS-2026.1 technical baseline separately defines 28 research-facing signal contracts. A conforming release must publish a crosswalk rather than treating those counts as interchangeable.</w:t>
      </w:r>
    </w:p>
    <w:p w14:paraId="5227AA42" w14:textId="77777777" w:rsidR="00002650" w:rsidRDefault="00002650" w:rsidP="00002650">
      <w:pPr>
        <w:spacing w:after="94"/>
      </w:pPr>
      <w:r>
        <w:rPr>
          <w:rFonts w:ascii="Times New Roman" w:eastAsia="Times New Roman" w:hAnsi="Times New Roman"/>
          <w:color w:val="000000"/>
          <w:sz w:val="20"/>
        </w:rPr>
        <w:t xml:space="preserve">Aperture implements nine read-only scientific instruments: </w:t>
      </w:r>
      <w:proofErr w:type="spellStart"/>
      <w:r>
        <w:rPr>
          <w:rFonts w:ascii="Times New Roman" w:eastAsia="Times New Roman" w:hAnsi="Times New Roman"/>
          <w:color w:val="000000"/>
          <w:sz w:val="20"/>
        </w:rPr>
        <w:t>Seismo</w:t>
      </w:r>
      <w:proofErr w:type="spellEnd"/>
      <w:r>
        <w:rPr>
          <w:rFonts w:ascii="Times New Roman" w:eastAsia="Times New Roman" w:hAnsi="Times New Roman"/>
          <w:color w:val="000000"/>
          <w:sz w:val="20"/>
        </w:rPr>
        <w:t>, Chronos, Drift, Pressure, Bridge, Noesis, Scope, Dynamics, and Interferometer. They share one Current Evidence Run and do not constitute independent observers. REIM is an interpretation and routing layer, not a tenth instrument.</w:t>
      </w:r>
    </w:p>
    <w:p w14:paraId="56BB982B" w14:textId="77777777" w:rsidR="00002650" w:rsidRDefault="00002650" w:rsidP="00002650">
      <w:pPr>
        <w:pStyle w:val="Heading2"/>
      </w:pPr>
      <w:r>
        <w:rPr>
          <w:rFonts w:ascii="Arial" w:eastAsia="Times New Roman" w:hAnsi="Arial"/>
          <w:color w:val="000000"/>
          <w:sz w:val="23"/>
        </w:rPr>
        <w:t>One Runtime and Multiple Projections</w:t>
      </w:r>
    </w:p>
    <w:p w14:paraId="75C97C90" w14:textId="77777777" w:rsidR="00002650" w:rsidRDefault="00002650" w:rsidP="00002650">
      <w:pPr>
        <w:keepLines/>
        <w:spacing w:after="94"/>
      </w:pPr>
      <w:r>
        <w:rPr>
          <w:rFonts w:ascii="Times New Roman" w:eastAsia="Times New Roman" w:hAnsi="Times New Roman"/>
          <w:color w:val="000000"/>
          <w:sz w:val="20"/>
        </w:rPr>
        <w:t>Aperture reconstructs the runtime once. Instruments may expose disturbance, temporal structure, displacement, pressure, role coordination, formation continuity, coverage, multivariate dynamics, or cross-stream alignment. Guided Investigation may reorder questions. Operational World Mapping may change terminology. The Adaptive Evidence Cockpit may change what an operator sees first.</w:t>
      </w:r>
    </w:p>
    <w:p w14:paraId="4DBCA370" w14:textId="77777777" w:rsidR="00002650" w:rsidRDefault="00002650" w:rsidP="00002650">
      <w:pPr>
        <w:spacing w:after="94"/>
      </w:pPr>
      <w:r>
        <w:rPr>
          <w:rFonts w:ascii="Times New Roman" w:eastAsia="Times New Roman" w:hAnsi="Times New Roman"/>
          <w:color w:val="000000"/>
          <w:sz w:val="20"/>
        </w:rPr>
        <w:t>None of those projections may create a separate canonical runtime or evidence identity. The Runtime Evidence Passport supplies identity continuity beneath them. This implementation property demonstrates the architectural proposition:</w:t>
      </w:r>
    </w:p>
    <w:p w14:paraId="58D6D4BB" w14:textId="77777777" w:rsidR="00002650" w:rsidRDefault="00002650" w:rsidP="00002650">
      <w:pPr>
        <w:spacing w:before="120"/>
        <w:ind w:left="720" w:right="720"/>
        <w:jc w:val="center"/>
      </w:pPr>
      <w:r>
        <w:rPr>
          <w:rFonts w:ascii="Times New Roman" w:eastAsia="Times New Roman" w:hAnsi="Times New Roman"/>
          <w:b/>
          <w:i/>
          <w:color w:val="17324D"/>
          <w:sz w:val="20"/>
        </w:rPr>
        <w:t>One runtime. One evidence authority. Multiple bounded projections.</w:t>
      </w:r>
    </w:p>
    <w:p w14:paraId="44ABE9FE" w14:textId="77777777" w:rsidR="00002650" w:rsidRDefault="00002650" w:rsidP="00002650">
      <w:pPr>
        <w:pStyle w:val="Heading2"/>
      </w:pPr>
      <w:r>
        <w:rPr>
          <w:rFonts w:ascii="Arial" w:eastAsia="Times New Roman" w:hAnsi="Arial"/>
          <w:color w:val="000000"/>
          <w:sz w:val="23"/>
        </w:rPr>
        <w:t>Validation Harness and Controlled Evidence Chamber</w:t>
      </w:r>
    </w:p>
    <w:p w14:paraId="123C89DF" w14:textId="77777777" w:rsidR="00002650" w:rsidRDefault="00002650" w:rsidP="00002650">
      <w:pPr>
        <w:keepLines/>
        <w:spacing w:after="94"/>
      </w:pPr>
      <w:r>
        <w:rPr>
          <w:rFonts w:ascii="Times New Roman" w:eastAsia="Times New Roman" w:hAnsi="Times New Roman"/>
          <w:color w:val="000000"/>
          <w:sz w:val="20"/>
        </w:rPr>
        <w:t>The Aperture Validation Harness processes controlled scenarios through the same ingestion, canonicalization, measurement, reconstruction, instrumentation, interpretation, and preservation path used for operator-supplied evidence. Expected evidence maps remain outside active computation until comparison. This prevents fixture labels, sample identity, rubric targets, and interface framing from contaminating telemetry or classification.</w:t>
      </w:r>
    </w:p>
    <w:p w14:paraId="3781E643" w14:textId="77777777" w:rsidR="00002650" w:rsidRDefault="00002650" w:rsidP="00002650">
      <w:pPr>
        <w:spacing w:after="94"/>
      </w:pPr>
      <w:r>
        <w:rPr>
          <w:rFonts w:ascii="Times New Roman" w:eastAsia="Times New Roman" w:hAnsi="Times New Roman"/>
          <w:color w:val="000000"/>
          <w:sz w:val="20"/>
        </w:rPr>
        <w:t>The implementation makes the architecture executable and falsifiable. It does not make every construct valid merely because the software runs. Independent implementations can conform to this paper without reproducing Aperture's interface, nomenclature, or instrument suite.</w:t>
      </w:r>
    </w:p>
    <w:p w14:paraId="0D6B5F4D" w14:textId="77777777" w:rsidR="00002650" w:rsidRPr="00002650" w:rsidRDefault="00002650" w:rsidP="00002650">
      <w:pPr>
        <w:pStyle w:val="Heading1"/>
        <w:rPr>
          <w:b/>
          <w:bCs/>
          <w:color w:val="4F46E5"/>
        </w:rPr>
      </w:pPr>
      <w:r w:rsidRPr="00002650">
        <w:rPr>
          <w:rFonts w:ascii="Arial" w:eastAsia="Times New Roman" w:hAnsi="Arial"/>
          <w:b/>
          <w:bCs/>
          <w:color w:val="4F46E5"/>
          <w:sz w:val="29"/>
        </w:rPr>
        <w:t>Conformance and Validation</w:t>
      </w:r>
    </w:p>
    <w:p w14:paraId="6B33C0F8" w14:textId="77777777" w:rsidR="00002650" w:rsidRDefault="00002650" w:rsidP="00002650">
      <w:pPr>
        <w:pStyle w:val="Heading2"/>
      </w:pPr>
      <w:r>
        <w:rPr>
          <w:rFonts w:ascii="Arial" w:eastAsia="Times New Roman" w:hAnsi="Arial"/>
          <w:color w:val="000000"/>
          <w:sz w:val="23"/>
        </w:rPr>
        <w:t>Architectural Conformance</w:t>
      </w:r>
    </w:p>
    <w:p w14:paraId="3B7EEC8B" w14:textId="77777777" w:rsidR="00002650" w:rsidRDefault="00002650" w:rsidP="00002650">
      <w:pPr>
        <w:keepLines/>
        <w:spacing w:after="94"/>
      </w:pPr>
      <w:r>
        <w:rPr>
          <w:rFonts w:ascii="Times New Roman" w:eastAsia="Times New Roman" w:hAnsi="Times New Roman"/>
          <w:color w:val="000000"/>
          <w:sz w:val="20"/>
        </w:rPr>
        <w:t>Architectural conformance asks whether an implementation preserves the objects, relations, identities, and invariants defined in this paper. It can be evaluated across the six implementation surfaces used by Aperture:</w:t>
      </w:r>
    </w:p>
    <w:p w14:paraId="0F45737B" w14:textId="77777777" w:rsidR="00002650" w:rsidRDefault="00002650" w:rsidP="00002650">
      <w:pPr>
        <w:spacing w:after="60" w:line="240" w:lineRule="auto"/>
        <w:ind w:left="403" w:hanging="403"/>
      </w:pPr>
      <w:r>
        <w:rPr>
          <w:rFonts w:ascii="Times New Roman" w:eastAsia="Times New Roman" w:hAnsi="Times New Roman"/>
          <w:color w:val="000000"/>
          <w:sz w:val="19"/>
        </w:rPr>
        <w:t xml:space="preserve">1. </w:t>
      </w:r>
      <w:r>
        <w:rPr>
          <w:rFonts w:ascii="Times New Roman" w:eastAsia="Times New Roman" w:hAnsi="Times New Roman"/>
          <w:b/>
          <w:color w:val="000000"/>
          <w:sz w:val="19"/>
        </w:rPr>
        <w:t>Source conformance</w:t>
      </w:r>
      <w:r>
        <w:rPr>
          <w:rFonts w:ascii="Times New Roman" w:eastAsia="Times New Roman" w:hAnsi="Times New Roman"/>
          <w:color w:val="000000"/>
          <w:sz w:val="19"/>
        </w:rPr>
        <w:t xml:space="preserve"> tests preservation, qualification, adapter provenance, role and event mapping, warnings, and refusal.</w:t>
      </w:r>
    </w:p>
    <w:p w14:paraId="766BE722" w14:textId="77777777" w:rsidR="00002650" w:rsidRDefault="00002650" w:rsidP="00002650">
      <w:pPr>
        <w:spacing w:after="60" w:line="240" w:lineRule="auto"/>
        <w:ind w:left="403" w:hanging="403"/>
      </w:pPr>
      <w:r>
        <w:rPr>
          <w:rFonts w:ascii="Times New Roman" w:eastAsia="Times New Roman" w:hAnsi="Times New Roman"/>
          <w:color w:val="000000"/>
          <w:sz w:val="19"/>
        </w:rPr>
        <w:t xml:space="preserve">2. </w:t>
      </w:r>
      <w:r>
        <w:rPr>
          <w:rFonts w:ascii="Times New Roman" w:eastAsia="Times New Roman" w:hAnsi="Times New Roman"/>
          <w:b/>
          <w:color w:val="000000"/>
          <w:sz w:val="19"/>
        </w:rPr>
        <w:t>Computational conformance</w:t>
      </w:r>
      <w:r>
        <w:rPr>
          <w:rFonts w:ascii="Times New Roman" w:eastAsia="Times New Roman" w:hAnsi="Times New Roman"/>
          <w:color w:val="000000"/>
          <w:sz w:val="19"/>
        </w:rPr>
        <w:t xml:space="preserve"> tests method identity, dependencies, parameters, evidence horizons, missingness, equality rules, and temporal leakage.</w:t>
      </w:r>
    </w:p>
    <w:p w14:paraId="248EFF0F" w14:textId="77777777" w:rsidR="00002650" w:rsidRDefault="00002650" w:rsidP="00002650">
      <w:pPr>
        <w:spacing w:after="60" w:line="240" w:lineRule="auto"/>
        <w:ind w:left="403" w:hanging="403"/>
      </w:pPr>
      <w:r>
        <w:rPr>
          <w:rFonts w:ascii="Times New Roman" w:eastAsia="Times New Roman" w:hAnsi="Times New Roman"/>
          <w:color w:val="000000"/>
          <w:sz w:val="19"/>
        </w:rPr>
        <w:t xml:space="preserve">3. </w:t>
      </w:r>
      <w:r>
        <w:rPr>
          <w:rFonts w:ascii="Times New Roman" w:eastAsia="Times New Roman" w:hAnsi="Times New Roman"/>
          <w:b/>
          <w:color w:val="000000"/>
          <w:sz w:val="19"/>
        </w:rPr>
        <w:t>Object conformance</w:t>
      </w:r>
      <w:r>
        <w:rPr>
          <w:rFonts w:ascii="Times New Roman" w:eastAsia="Times New Roman" w:hAnsi="Times New Roman"/>
          <w:color w:val="000000"/>
          <w:sz w:val="19"/>
        </w:rPr>
        <w:t xml:space="preserve"> tests schemas and relationships for events, frames, measurements, markers, regimes, findings, authority objects, and preservation records.</w:t>
      </w:r>
    </w:p>
    <w:p w14:paraId="1CDBB818" w14:textId="77777777" w:rsidR="00002650" w:rsidRDefault="00002650" w:rsidP="00002650">
      <w:pPr>
        <w:spacing w:after="60" w:line="240" w:lineRule="auto"/>
        <w:ind w:left="403" w:hanging="403"/>
      </w:pPr>
      <w:r>
        <w:rPr>
          <w:rFonts w:ascii="Times New Roman" w:eastAsia="Times New Roman" w:hAnsi="Times New Roman"/>
          <w:color w:val="000000"/>
          <w:sz w:val="19"/>
        </w:rPr>
        <w:t xml:space="preserve">4. </w:t>
      </w:r>
      <w:r>
        <w:rPr>
          <w:rFonts w:ascii="Times New Roman" w:eastAsia="Times New Roman" w:hAnsi="Times New Roman"/>
          <w:b/>
          <w:color w:val="000000"/>
          <w:sz w:val="19"/>
        </w:rPr>
        <w:t>Authority conformance</w:t>
      </w:r>
      <w:r>
        <w:rPr>
          <w:rFonts w:ascii="Times New Roman" w:eastAsia="Times New Roman" w:hAnsi="Times New Roman"/>
          <w:color w:val="000000"/>
          <w:sz w:val="19"/>
        </w:rPr>
        <w:t xml:space="preserve"> tests run alignment, projection non-mutation, marker authority, Passport alignment, and claim-boundary references.</w:t>
      </w:r>
    </w:p>
    <w:p w14:paraId="34323BCC" w14:textId="77777777" w:rsidR="00002650" w:rsidRDefault="00002650" w:rsidP="00002650">
      <w:pPr>
        <w:spacing w:after="60" w:line="240" w:lineRule="auto"/>
        <w:ind w:left="403" w:hanging="403"/>
      </w:pPr>
      <w:r>
        <w:rPr>
          <w:rFonts w:ascii="Times New Roman" w:eastAsia="Times New Roman" w:hAnsi="Times New Roman"/>
          <w:color w:val="000000"/>
          <w:sz w:val="19"/>
        </w:rPr>
        <w:t xml:space="preserve">5. </w:t>
      </w:r>
      <w:r>
        <w:rPr>
          <w:rFonts w:ascii="Times New Roman" w:eastAsia="Times New Roman" w:hAnsi="Times New Roman"/>
          <w:b/>
          <w:color w:val="000000"/>
          <w:sz w:val="19"/>
        </w:rPr>
        <w:t>Artifact conformance</w:t>
      </w:r>
      <w:r>
        <w:rPr>
          <w:rFonts w:ascii="Times New Roman" w:eastAsia="Times New Roman" w:hAnsi="Times New Roman"/>
          <w:color w:val="000000"/>
          <w:sz w:val="19"/>
        </w:rPr>
        <w:t xml:space="preserve"> tests manifests, included and excluded objects, identities, hashes, redaction states, replay requirements, and round-trip behavior.</w:t>
      </w:r>
    </w:p>
    <w:p w14:paraId="062CDB1A" w14:textId="77777777" w:rsidR="00002650" w:rsidRDefault="00002650" w:rsidP="00002650">
      <w:pPr>
        <w:spacing w:after="60" w:line="240" w:lineRule="auto"/>
        <w:ind w:left="403" w:hanging="403"/>
      </w:pPr>
      <w:r>
        <w:rPr>
          <w:rFonts w:ascii="Times New Roman" w:eastAsia="Times New Roman" w:hAnsi="Times New Roman"/>
          <w:color w:val="000000"/>
          <w:sz w:val="19"/>
        </w:rPr>
        <w:t xml:space="preserve">6. </w:t>
      </w:r>
      <w:r>
        <w:rPr>
          <w:rFonts w:ascii="Times New Roman" w:eastAsia="Times New Roman" w:hAnsi="Times New Roman"/>
          <w:b/>
          <w:color w:val="000000"/>
          <w:sz w:val="19"/>
        </w:rPr>
        <w:t>Validation conformance</w:t>
      </w:r>
      <w:r>
        <w:rPr>
          <w:rFonts w:ascii="Times New Roman" w:eastAsia="Times New Roman" w:hAnsi="Times New Roman"/>
          <w:color w:val="000000"/>
          <w:sz w:val="19"/>
        </w:rPr>
        <w:t xml:space="preserve"> tests protected fixtures, locked expectations, negative controls, comparison rules, discrepancy classes, and preservation of results.</w:t>
      </w:r>
    </w:p>
    <w:p w14:paraId="01DE2DB2" w14:textId="77777777" w:rsidR="00002650" w:rsidRDefault="00002650" w:rsidP="00002650">
      <w:pPr>
        <w:spacing w:after="94"/>
      </w:pPr>
      <w:r>
        <w:rPr>
          <w:rFonts w:ascii="Times New Roman" w:eastAsia="Times New Roman" w:hAnsi="Times New Roman"/>
          <w:color w:val="000000"/>
          <w:sz w:val="20"/>
        </w:rPr>
        <w:t>Conformance is necessary for trustworthy implementation of the architecture. It does not establish scientific validity, predictive utility, operational value, or source truth.</w:t>
      </w:r>
    </w:p>
    <w:p w14:paraId="438BB073" w14:textId="77777777" w:rsidR="00002650" w:rsidRDefault="00002650" w:rsidP="00002650">
      <w:pPr>
        <w:pStyle w:val="Heading2"/>
      </w:pPr>
      <w:r>
        <w:rPr>
          <w:rFonts w:ascii="Arial" w:eastAsia="Times New Roman" w:hAnsi="Arial"/>
          <w:color w:val="000000"/>
          <w:sz w:val="23"/>
        </w:rPr>
        <w:t>Scientific Validation</w:t>
      </w:r>
    </w:p>
    <w:p w14:paraId="60FCFAC1" w14:textId="77777777" w:rsidR="00002650" w:rsidRDefault="00002650" w:rsidP="00002650">
      <w:pPr>
        <w:keepLines/>
        <w:spacing w:after="94"/>
      </w:pPr>
      <w:r>
        <w:rPr>
          <w:rFonts w:ascii="Times New Roman" w:eastAsia="Times New Roman" w:hAnsi="Times New Roman"/>
          <w:color w:val="000000"/>
          <w:sz w:val="20"/>
        </w:rPr>
        <w:t>Scientific validation asks whether represented measurements and structures correspond to the constructs they name and discriminate relevant conditions under appropriate controls. Different propositions require different evidence:</w:t>
      </w:r>
    </w:p>
    <w:p w14:paraId="642C99D3" w14:textId="77777777" w:rsidR="00002650" w:rsidRDefault="00002650" w:rsidP="00002650">
      <w:pPr>
        <w:keepNext/>
        <w:spacing w:before="140" w:after="80"/>
      </w:pPr>
      <w:r>
        <w:rPr>
          <w:rFonts w:ascii="Times New Roman" w:eastAsia="Times New Roman" w:hAnsi="Times New Roman"/>
          <w:i/>
          <w:color w:val="66717C"/>
          <w:sz w:val="18"/>
        </w:rPr>
        <w:t>Table 11. Four layers of evaluation.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3772"/>
        <w:gridCol w:w="4003"/>
      </w:tblGrid>
      <w:tr w:rsidR="00002650" w14:paraId="58149120" w14:textId="77777777">
        <w:trPr>
          <w:cantSplit/>
          <w:tblHeader/>
          <w:jc w:val="center"/>
        </w:trPr>
        <w:tc>
          <w:tcPr>
            <w:tcW w:w="1944" w:type="dxa"/>
            <w:shd w:val="clear" w:color="auto" w:fill="17324D"/>
            <w:tcMar>
              <w:top w:w="70" w:type="dxa"/>
              <w:left w:w="100" w:type="dxa"/>
              <w:bottom w:w="70" w:type="dxa"/>
              <w:right w:w="100" w:type="dxa"/>
            </w:tcMar>
            <w:vAlign w:val="center"/>
          </w:tcPr>
          <w:p w14:paraId="1E161A15" w14:textId="77777777" w:rsidR="00002650" w:rsidRDefault="00002650" w:rsidP="00F96983">
            <w:pPr>
              <w:spacing w:after="0" w:line="240" w:lineRule="auto"/>
            </w:pPr>
            <w:r>
              <w:rPr>
                <w:rFonts w:ascii="Arial" w:eastAsia="Times New Roman" w:hAnsi="Arial"/>
                <w:b/>
                <w:color w:val="FFFFFF"/>
                <w:sz w:val="17"/>
              </w:rPr>
              <w:t>Evaluation layer</w:t>
            </w:r>
          </w:p>
        </w:tc>
        <w:tc>
          <w:tcPr>
            <w:tcW w:w="3772" w:type="dxa"/>
            <w:shd w:val="clear" w:color="auto" w:fill="17324D"/>
            <w:tcMar>
              <w:top w:w="70" w:type="dxa"/>
              <w:left w:w="100" w:type="dxa"/>
              <w:bottom w:w="70" w:type="dxa"/>
              <w:right w:w="100" w:type="dxa"/>
            </w:tcMar>
            <w:vAlign w:val="center"/>
          </w:tcPr>
          <w:p w14:paraId="50F356B8" w14:textId="77777777" w:rsidR="00002650" w:rsidRDefault="00002650" w:rsidP="00F96983">
            <w:pPr>
              <w:spacing w:after="0" w:line="240" w:lineRule="auto"/>
            </w:pPr>
            <w:r>
              <w:rPr>
                <w:rFonts w:ascii="Arial" w:eastAsia="Times New Roman" w:hAnsi="Arial"/>
                <w:b/>
                <w:color w:val="FFFFFF"/>
                <w:sz w:val="17"/>
              </w:rPr>
              <w:t>Principal question</w:t>
            </w:r>
          </w:p>
        </w:tc>
        <w:tc>
          <w:tcPr>
            <w:tcW w:w="4003" w:type="dxa"/>
            <w:shd w:val="clear" w:color="auto" w:fill="17324D"/>
            <w:tcMar>
              <w:top w:w="70" w:type="dxa"/>
              <w:left w:w="100" w:type="dxa"/>
              <w:bottom w:w="70" w:type="dxa"/>
              <w:right w:w="100" w:type="dxa"/>
            </w:tcMar>
            <w:vAlign w:val="center"/>
          </w:tcPr>
          <w:p w14:paraId="2252A870" w14:textId="77777777" w:rsidR="00002650" w:rsidRDefault="00002650" w:rsidP="00F96983">
            <w:pPr>
              <w:spacing w:after="0" w:line="240" w:lineRule="auto"/>
            </w:pPr>
            <w:r>
              <w:rPr>
                <w:rFonts w:ascii="Arial" w:eastAsia="Times New Roman" w:hAnsi="Arial"/>
                <w:b/>
                <w:color w:val="FFFFFF"/>
                <w:sz w:val="17"/>
              </w:rPr>
              <w:t>Representative evidence</w:t>
            </w:r>
          </w:p>
        </w:tc>
      </w:tr>
      <w:tr w:rsidR="00002650" w14:paraId="4F32A5D3" w14:textId="77777777">
        <w:trPr>
          <w:cantSplit/>
          <w:jc w:val="center"/>
        </w:trPr>
        <w:tc>
          <w:tcPr>
            <w:tcW w:w="1944" w:type="dxa"/>
            <w:shd w:val="clear" w:color="auto" w:fill="FFFFFF"/>
            <w:tcMar>
              <w:top w:w="70" w:type="dxa"/>
              <w:left w:w="100" w:type="dxa"/>
              <w:bottom w:w="70" w:type="dxa"/>
              <w:right w:w="100" w:type="dxa"/>
            </w:tcMar>
            <w:vAlign w:val="center"/>
          </w:tcPr>
          <w:p w14:paraId="28105A8F" w14:textId="77777777" w:rsidR="00002650" w:rsidRDefault="00002650" w:rsidP="00F96983">
            <w:pPr>
              <w:spacing w:after="0" w:line="240" w:lineRule="auto"/>
            </w:pPr>
            <w:r>
              <w:rPr>
                <w:rFonts w:ascii="Times New Roman" w:eastAsia="Times New Roman" w:hAnsi="Times New Roman"/>
                <w:color w:val="000000"/>
                <w:sz w:val="17"/>
              </w:rPr>
              <w:t>Architectural conformance</w:t>
            </w:r>
          </w:p>
        </w:tc>
        <w:tc>
          <w:tcPr>
            <w:tcW w:w="3772" w:type="dxa"/>
            <w:shd w:val="clear" w:color="auto" w:fill="FFFFFF"/>
            <w:tcMar>
              <w:top w:w="70" w:type="dxa"/>
              <w:left w:w="100" w:type="dxa"/>
              <w:bottom w:w="70" w:type="dxa"/>
              <w:right w:w="100" w:type="dxa"/>
            </w:tcMar>
            <w:vAlign w:val="center"/>
          </w:tcPr>
          <w:p w14:paraId="166EE2F0" w14:textId="77777777" w:rsidR="00002650" w:rsidRDefault="00002650" w:rsidP="00F96983">
            <w:pPr>
              <w:spacing w:after="0" w:line="240" w:lineRule="auto"/>
            </w:pPr>
            <w:r>
              <w:rPr>
                <w:rFonts w:ascii="Times New Roman" w:eastAsia="Times New Roman" w:hAnsi="Times New Roman"/>
                <w:color w:val="000000"/>
                <w:sz w:val="17"/>
              </w:rPr>
              <w:t>Does the implementation preserve the declared CBA objects and invariants</w:t>
            </w:r>
          </w:p>
        </w:tc>
        <w:tc>
          <w:tcPr>
            <w:tcW w:w="4003" w:type="dxa"/>
            <w:shd w:val="clear" w:color="auto" w:fill="FFFFFF"/>
            <w:tcMar>
              <w:top w:w="70" w:type="dxa"/>
              <w:left w:w="100" w:type="dxa"/>
              <w:bottom w:w="70" w:type="dxa"/>
              <w:right w:w="100" w:type="dxa"/>
            </w:tcMar>
            <w:vAlign w:val="center"/>
          </w:tcPr>
          <w:p w14:paraId="3704D380" w14:textId="77777777" w:rsidR="00002650" w:rsidRDefault="00002650" w:rsidP="00F96983">
            <w:pPr>
              <w:spacing w:after="0" w:line="240" w:lineRule="auto"/>
            </w:pPr>
            <w:r>
              <w:rPr>
                <w:rFonts w:ascii="Times New Roman" w:eastAsia="Times New Roman" w:hAnsi="Times New Roman"/>
                <w:color w:val="000000"/>
                <w:sz w:val="17"/>
              </w:rPr>
              <w:t>Schema tests, source-span integrity, relation checks, authority alignment, round trips</w:t>
            </w:r>
          </w:p>
        </w:tc>
      </w:tr>
      <w:tr w:rsidR="00002650" w14:paraId="21D69DDD" w14:textId="77777777">
        <w:trPr>
          <w:cantSplit/>
          <w:jc w:val="center"/>
        </w:trPr>
        <w:tc>
          <w:tcPr>
            <w:tcW w:w="1944" w:type="dxa"/>
            <w:shd w:val="clear" w:color="auto" w:fill="F6F9FB"/>
            <w:tcMar>
              <w:top w:w="70" w:type="dxa"/>
              <w:left w:w="100" w:type="dxa"/>
              <w:bottom w:w="70" w:type="dxa"/>
              <w:right w:w="100" w:type="dxa"/>
            </w:tcMar>
            <w:vAlign w:val="center"/>
          </w:tcPr>
          <w:p w14:paraId="65105EB3" w14:textId="77777777" w:rsidR="00002650" w:rsidRDefault="00002650" w:rsidP="00F96983">
            <w:pPr>
              <w:spacing w:after="0" w:line="240" w:lineRule="auto"/>
            </w:pPr>
            <w:r>
              <w:rPr>
                <w:rFonts w:ascii="Times New Roman" w:eastAsia="Times New Roman" w:hAnsi="Times New Roman"/>
                <w:color w:val="000000"/>
                <w:sz w:val="17"/>
              </w:rPr>
              <w:t>Measurement validity</w:t>
            </w:r>
          </w:p>
        </w:tc>
        <w:tc>
          <w:tcPr>
            <w:tcW w:w="3772" w:type="dxa"/>
            <w:shd w:val="clear" w:color="auto" w:fill="F6F9FB"/>
            <w:tcMar>
              <w:top w:w="70" w:type="dxa"/>
              <w:left w:w="100" w:type="dxa"/>
              <w:bottom w:w="70" w:type="dxa"/>
              <w:right w:w="100" w:type="dxa"/>
            </w:tcMar>
            <w:vAlign w:val="center"/>
          </w:tcPr>
          <w:p w14:paraId="400DEB12" w14:textId="77777777" w:rsidR="00002650" w:rsidRDefault="00002650" w:rsidP="00F96983">
            <w:pPr>
              <w:spacing w:after="0" w:line="240" w:lineRule="auto"/>
            </w:pPr>
            <w:r>
              <w:rPr>
                <w:rFonts w:ascii="Times New Roman" w:eastAsia="Times New Roman" w:hAnsi="Times New Roman"/>
                <w:color w:val="000000"/>
                <w:sz w:val="17"/>
              </w:rPr>
              <w:t>Does a signal or classification represent the named construct</w:t>
            </w:r>
          </w:p>
        </w:tc>
        <w:tc>
          <w:tcPr>
            <w:tcW w:w="4003" w:type="dxa"/>
            <w:shd w:val="clear" w:color="auto" w:fill="F6F9FB"/>
            <w:tcMar>
              <w:top w:w="70" w:type="dxa"/>
              <w:left w:w="100" w:type="dxa"/>
              <w:bottom w:w="70" w:type="dxa"/>
              <w:right w:w="100" w:type="dxa"/>
            </w:tcMar>
            <w:vAlign w:val="center"/>
          </w:tcPr>
          <w:p w14:paraId="70FFD68C" w14:textId="77777777" w:rsidR="00002650" w:rsidRDefault="00002650" w:rsidP="00F96983">
            <w:pPr>
              <w:spacing w:after="0" w:line="240" w:lineRule="auto"/>
            </w:pPr>
            <w:r>
              <w:rPr>
                <w:rFonts w:ascii="Times New Roman" w:eastAsia="Times New Roman" w:hAnsi="Times New Roman"/>
                <w:color w:val="000000"/>
                <w:sz w:val="17"/>
              </w:rPr>
              <w:t>Independent annotations, perturbations, baselines, ablations, calibration, sensitivity analysis</w:t>
            </w:r>
          </w:p>
        </w:tc>
      </w:tr>
      <w:tr w:rsidR="00002650" w14:paraId="690571E3" w14:textId="77777777">
        <w:trPr>
          <w:cantSplit/>
          <w:jc w:val="center"/>
        </w:trPr>
        <w:tc>
          <w:tcPr>
            <w:tcW w:w="1944" w:type="dxa"/>
            <w:shd w:val="clear" w:color="auto" w:fill="FFFFFF"/>
            <w:tcMar>
              <w:top w:w="70" w:type="dxa"/>
              <w:left w:w="100" w:type="dxa"/>
              <w:bottom w:w="70" w:type="dxa"/>
              <w:right w:w="100" w:type="dxa"/>
            </w:tcMar>
            <w:vAlign w:val="center"/>
          </w:tcPr>
          <w:p w14:paraId="4172FB6E" w14:textId="77777777" w:rsidR="00002650" w:rsidRDefault="00002650" w:rsidP="00F96983">
            <w:pPr>
              <w:spacing w:after="0" w:line="240" w:lineRule="auto"/>
            </w:pPr>
            <w:r>
              <w:rPr>
                <w:rFonts w:ascii="Times New Roman" w:eastAsia="Times New Roman" w:hAnsi="Times New Roman"/>
                <w:color w:val="000000"/>
                <w:sz w:val="17"/>
              </w:rPr>
              <w:t>Predictive or diagnostic utility</w:t>
            </w:r>
          </w:p>
        </w:tc>
        <w:tc>
          <w:tcPr>
            <w:tcW w:w="3772" w:type="dxa"/>
            <w:shd w:val="clear" w:color="auto" w:fill="FFFFFF"/>
            <w:tcMar>
              <w:top w:w="70" w:type="dxa"/>
              <w:left w:w="100" w:type="dxa"/>
              <w:bottom w:w="70" w:type="dxa"/>
              <w:right w:w="100" w:type="dxa"/>
            </w:tcMar>
            <w:vAlign w:val="center"/>
          </w:tcPr>
          <w:p w14:paraId="7324841F" w14:textId="77777777" w:rsidR="00002650" w:rsidRDefault="00002650" w:rsidP="00F96983">
            <w:pPr>
              <w:spacing w:after="0" w:line="240" w:lineRule="auto"/>
            </w:pPr>
            <w:r>
              <w:rPr>
                <w:rFonts w:ascii="Times New Roman" w:eastAsia="Times New Roman" w:hAnsi="Times New Roman"/>
                <w:color w:val="000000"/>
                <w:sz w:val="17"/>
              </w:rPr>
              <w:t>Does a prospective method distinguish an independently defined outcome</w:t>
            </w:r>
          </w:p>
        </w:tc>
        <w:tc>
          <w:tcPr>
            <w:tcW w:w="4003" w:type="dxa"/>
            <w:shd w:val="clear" w:color="auto" w:fill="FFFFFF"/>
            <w:tcMar>
              <w:top w:w="70" w:type="dxa"/>
              <w:left w:w="100" w:type="dxa"/>
              <w:bottom w:w="70" w:type="dxa"/>
              <w:right w:w="100" w:type="dxa"/>
            </w:tcMar>
            <w:vAlign w:val="center"/>
          </w:tcPr>
          <w:p w14:paraId="5AED9F4F" w14:textId="77777777" w:rsidR="00002650" w:rsidRDefault="00002650" w:rsidP="00F96983">
            <w:pPr>
              <w:spacing w:after="0" w:line="240" w:lineRule="auto"/>
            </w:pPr>
            <w:r>
              <w:rPr>
                <w:rFonts w:ascii="Times New Roman" w:eastAsia="Times New Roman" w:hAnsi="Times New Roman"/>
                <w:color w:val="000000"/>
                <w:sz w:val="17"/>
              </w:rPr>
              <w:t>Held-out cases, prefix-only computation, false alarms, detection delay, uncertainty intervals</w:t>
            </w:r>
          </w:p>
        </w:tc>
      </w:tr>
      <w:tr w:rsidR="00002650" w14:paraId="23B1A63F" w14:textId="77777777">
        <w:trPr>
          <w:cantSplit/>
          <w:jc w:val="center"/>
        </w:trPr>
        <w:tc>
          <w:tcPr>
            <w:tcW w:w="1944" w:type="dxa"/>
            <w:shd w:val="clear" w:color="auto" w:fill="F6F9FB"/>
            <w:tcMar>
              <w:top w:w="70" w:type="dxa"/>
              <w:left w:w="100" w:type="dxa"/>
              <w:bottom w:w="70" w:type="dxa"/>
              <w:right w:w="100" w:type="dxa"/>
            </w:tcMar>
            <w:vAlign w:val="center"/>
          </w:tcPr>
          <w:p w14:paraId="10EF09A7" w14:textId="77777777" w:rsidR="00002650" w:rsidRDefault="00002650" w:rsidP="00F96983">
            <w:pPr>
              <w:spacing w:after="0" w:line="240" w:lineRule="auto"/>
            </w:pPr>
            <w:r>
              <w:rPr>
                <w:rFonts w:ascii="Times New Roman" w:eastAsia="Times New Roman" w:hAnsi="Times New Roman"/>
                <w:color w:val="000000"/>
                <w:sz w:val="17"/>
              </w:rPr>
              <w:t>Operational usefulness</w:t>
            </w:r>
          </w:p>
        </w:tc>
        <w:tc>
          <w:tcPr>
            <w:tcW w:w="3772" w:type="dxa"/>
            <w:shd w:val="clear" w:color="auto" w:fill="F6F9FB"/>
            <w:tcMar>
              <w:top w:w="70" w:type="dxa"/>
              <w:left w:w="100" w:type="dxa"/>
              <w:bottom w:w="70" w:type="dxa"/>
              <w:right w:w="100" w:type="dxa"/>
            </w:tcMar>
            <w:vAlign w:val="center"/>
          </w:tcPr>
          <w:p w14:paraId="3D520CA2" w14:textId="77777777" w:rsidR="00002650" w:rsidRDefault="00002650" w:rsidP="00F96983">
            <w:pPr>
              <w:spacing w:after="0" w:line="240" w:lineRule="auto"/>
            </w:pPr>
            <w:r>
              <w:rPr>
                <w:rFonts w:ascii="Times New Roman" w:eastAsia="Times New Roman" w:hAnsi="Times New Roman"/>
                <w:color w:val="000000"/>
                <w:sz w:val="17"/>
              </w:rPr>
              <w:t>Does the architecture improve investigation or governance</w:t>
            </w:r>
          </w:p>
        </w:tc>
        <w:tc>
          <w:tcPr>
            <w:tcW w:w="4003" w:type="dxa"/>
            <w:shd w:val="clear" w:color="auto" w:fill="F6F9FB"/>
            <w:tcMar>
              <w:top w:w="70" w:type="dxa"/>
              <w:left w:w="100" w:type="dxa"/>
              <w:bottom w:w="70" w:type="dxa"/>
              <w:right w:w="100" w:type="dxa"/>
            </w:tcMar>
            <w:vAlign w:val="center"/>
          </w:tcPr>
          <w:p w14:paraId="0FBB68D6" w14:textId="77777777" w:rsidR="00002650" w:rsidRDefault="00002650" w:rsidP="00F96983">
            <w:pPr>
              <w:spacing w:after="0" w:line="240" w:lineRule="auto"/>
            </w:pPr>
            <w:r>
              <w:rPr>
                <w:rFonts w:ascii="Times New Roman" w:eastAsia="Times New Roman" w:hAnsi="Times New Roman"/>
                <w:color w:val="000000"/>
                <w:sz w:val="17"/>
              </w:rPr>
              <w:t>Independent user studies, time to finding, reproducibility, decision quality, claim-overreach rates</w:t>
            </w:r>
          </w:p>
        </w:tc>
      </w:tr>
    </w:tbl>
    <w:p w14:paraId="714383D1" w14:textId="77777777" w:rsidR="00002650" w:rsidRDefault="00002650" w:rsidP="00002650">
      <w:pPr>
        <w:spacing w:after="20"/>
      </w:pPr>
    </w:p>
    <w:p w14:paraId="4624ED53" w14:textId="77777777" w:rsidR="00002650" w:rsidRDefault="00002650" w:rsidP="00002650">
      <w:pPr>
        <w:pStyle w:val="Heading2"/>
      </w:pPr>
      <w:r>
        <w:rPr>
          <w:rFonts w:ascii="Arial" w:eastAsia="Times New Roman" w:hAnsi="Arial"/>
          <w:color w:val="000000"/>
          <w:sz w:val="23"/>
        </w:rPr>
        <w:t>Current Bounded Status</w:t>
      </w:r>
    </w:p>
    <w:p w14:paraId="11B1617F" w14:textId="77777777" w:rsidR="00002650" w:rsidRDefault="00002650" w:rsidP="00002650">
      <w:pPr>
        <w:keepLines/>
        <w:spacing w:after="94"/>
      </w:pPr>
      <w:r>
        <w:rPr>
          <w:rFonts w:ascii="Times New Roman" w:eastAsia="Times New Roman" w:hAnsi="Times New Roman"/>
          <w:color w:val="000000"/>
          <w:sz w:val="20"/>
        </w:rPr>
        <w:t>Paper II reports two propositions as confirmed within the declared controlled Aperture program [2]. First, eligible replays of the same qualified source, configuration, canonicalization method, and governing versions reproduced the same core evidence identity and Runtime Evidence Record. Second, selected longitudinal measurements distinguished specified transition cases from stable and negative controls better than declared simple baselines.</w:t>
      </w:r>
    </w:p>
    <w:p w14:paraId="5CF5FE88" w14:textId="77777777" w:rsidR="00002650" w:rsidRDefault="00002650" w:rsidP="00002650">
      <w:pPr>
        <w:spacing w:after="94"/>
      </w:pPr>
      <w:r>
        <w:rPr>
          <w:rFonts w:ascii="Times New Roman" w:eastAsia="Times New Roman" w:hAnsi="Times New Roman"/>
          <w:color w:val="000000"/>
          <w:sz w:val="20"/>
        </w:rPr>
        <w:t>Those findings support deterministic formation and controlled discriminative value under the tested conditions. They do not establish universal construct validity, unaffiliated replication, calibrated production prediction, causal explanation, or unrestricted transfer across source families, systems, models, or domains.</w:t>
      </w:r>
    </w:p>
    <w:p w14:paraId="6432867D" w14:textId="77777777" w:rsidR="00002650" w:rsidRDefault="00002650" w:rsidP="00002650">
      <w:pPr>
        <w:spacing w:after="94"/>
      </w:pPr>
      <w:r>
        <w:rPr>
          <w:rFonts w:ascii="Times New Roman" w:eastAsia="Times New Roman" w:hAnsi="Times New Roman"/>
          <w:color w:val="000000"/>
          <w:sz w:val="20"/>
        </w:rPr>
        <w:t>The public evidence state remains incomplete for broader statistical judgment. Complete case-level numerical tables, effect sizes, uncertainty intervals, false-positive and false-negative matrices, full ablation results, frozen executable releases, and independent replication packages must be published when available rather than inferred from summary claims.</w:t>
      </w:r>
    </w:p>
    <w:p w14:paraId="015E5683" w14:textId="77777777" w:rsidR="00002650" w:rsidRDefault="00002650" w:rsidP="00002650">
      <w:pPr>
        <w:pStyle w:val="Heading2"/>
      </w:pPr>
      <w:r>
        <w:rPr>
          <w:rFonts w:ascii="Arial" w:eastAsia="Times New Roman" w:hAnsi="Arial"/>
          <w:color w:val="000000"/>
          <w:sz w:val="23"/>
        </w:rPr>
        <w:t>Minimum Conformance Tests</w:t>
      </w:r>
    </w:p>
    <w:p w14:paraId="1B297EB0" w14:textId="77777777" w:rsidR="00002650" w:rsidRDefault="00002650" w:rsidP="00002650">
      <w:pPr>
        <w:keepLines/>
        <w:spacing w:after="94"/>
      </w:pPr>
      <w:r>
        <w:rPr>
          <w:rFonts w:ascii="Times New Roman" w:eastAsia="Times New Roman" w:hAnsi="Times New Roman"/>
          <w:color w:val="000000"/>
          <w:sz w:val="20"/>
        </w:rPr>
        <w:t>A conforming implementation should test at least:</w:t>
      </w:r>
    </w:p>
    <w:p w14:paraId="21EDE807" w14:textId="77777777" w:rsidR="00002650" w:rsidRDefault="00002650" w:rsidP="00002650">
      <w:pPr>
        <w:pStyle w:val="ListBullet"/>
        <w:tabs>
          <w:tab w:val="num" w:pos="360"/>
        </w:tabs>
      </w:pPr>
      <w:r>
        <w:rPr>
          <w:rFonts w:eastAsia="Times New Roman"/>
          <w:sz w:val="19"/>
        </w:rPr>
        <w:t>identical eligible inputs and versions reproduce the governed core under the equality contract;</w:t>
      </w:r>
    </w:p>
    <w:p w14:paraId="3EEB1B77" w14:textId="77777777" w:rsidR="00002650" w:rsidRDefault="00002650" w:rsidP="00002650">
      <w:pPr>
        <w:pStyle w:val="ListBullet"/>
        <w:tabs>
          <w:tab w:val="num" w:pos="360"/>
        </w:tabs>
      </w:pPr>
      <w:r>
        <w:rPr>
          <w:rFonts w:eastAsia="Times New Roman"/>
          <w:sz w:val="19"/>
        </w:rPr>
        <w:t>source spans survive canonicalization, projection, export, and re-import;</w:t>
      </w:r>
    </w:p>
    <w:p w14:paraId="5C8967ED" w14:textId="77777777" w:rsidR="00002650" w:rsidRDefault="00002650" w:rsidP="00002650">
      <w:pPr>
        <w:pStyle w:val="ListBullet"/>
        <w:tabs>
          <w:tab w:val="num" w:pos="360"/>
        </w:tabs>
      </w:pPr>
      <w:r>
        <w:rPr>
          <w:rFonts w:eastAsia="Times New Roman"/>
          <w:sz w:val="19"/>
        </w:rPr>
        <w:t>role provenance remains typed through every surface;</w:t>
      </w:r>
    </w:p>
    <w:p w14:paraId="1E64E064" w14:textId="77777777" w:rsidR="00002650" w:rsidRDefault="00002650" w:rsidP="00002650">
      <w:pPr>
        <w:pStyle w:val="ListBullet"/>
        <w:tabs>
          <w:tab w:val="num" w:pos="360"/>
        </w:tabs>
      </w:pPr>
      <w:r>
        <w:rPr>
          <w:rFonts w:eastAsia="Times New Roman"/>
          <w:sz w:val="19"/>
        </w:rPr>
        <w:t>incompatible clocks and partial orders remain distinguishable;</w:t>
      </w:r>
    </w:p>
    <w:p w14:paraId="1F012862" w14:textId="77777777" w:rsidR="00002650" w:rsidRDefault="00002650" w:rsidP="00002650">
      <w:pPr>
        <w:pStyle w:val="ListBullet"/>
        <w:tabs>
          <w:tab w:val="num" w:pos="360"/>
        </w:tabs>
      </w:pPr>
      <w:r>
        <w:rPr>
          <w:rFonts w:eastAsia="Times New Roman"/>
          <w:sz w:val="19"/>
        </w:rPr>
        <w:t>prefix-only measurements do not consume future evidence;</w:t>
      </w:r>
    </w:p>
    <w:p w14:paraId="0A76F918" w14:textId="77777777" w:rsidR="00002650" w:rsidRDefault="00002650" w:rsidP="00002650">
      <w:pPr>
        <w:pStyle w:val="ListBullet"/>
        <w:tabs>
          <w:tab w:val="num" w:pos="360"/>
        </w:tabs>
      </w:pPr>
      <w:r>
        <w:rPr>
          <w:rFonts w:eastAsia="Times New Roman"/>
          <w:sz w:val="19"/>
        </w:rPr>
        <w:t>candidate markers cannot be projected as confirmed markers;</w:t>
      </w:r>
    </w:p>
    <w:p w14:paraId="113EB7C2" w14:textId="77777777" w:rsidR="00002650" w:rsidRDefault="00002650" w:rsidP="00002650">
      <w:pPr>
        <w:pStyle w:val="ListBullet"/>
        <w:tabs>
          <w:tab w:val="num" w:pos="360"/>
        </w:tabs>
      </w:pPr>
      <w:r>
        <w:rPr>
          <w:rFonts w:eastAsia="Times New Roman"/>
          <w:sz w:val="19"/>
        </w:rPr>
        <w:t>missing dependencies return unavailable or another declared absence state;</w:t>
      </w:r>
    </w:p>
    <w:p w14:paraId="2E1C3D22" w14:textId="77777777" w:rsidR="00002650" w:rsidRDefault="00002650" w:rsidP="00002650">
      <w:pPr>
        <w:pStyle w:val="ListBullet"/>
        <w:tabs>
          <w:tab w:val="num" w:pos="360"/>
        </w:tabs>
      </w:pPr>
      <w:r>
        <w:rPr>
          <w:rFonts w:eastAsia="Times New Roman"/>
          <w:sz w:val="19"/>
        </w:rPr>
        <w:t>instruments cannot mutate canonical objects;</w:t>
      </w:r>
    </w:p>
    <w:p w14:paraId="0C6208E9" w14:textId="77777777" w:rsidR="00002650" w:rsidRDefault="00002650" w:rsidP="00002650">
      <w:pPr>
        <w:pStyle w:val="ListBullet"/>
        <w:tabs>
          <w:tab w:val="num" w:pos="360"/>
        </w:tabs>
      </w:pPr>
      <w:r>
        <w:rPr>
          <w:rFonts w:eastAsia="Times New Roman"/>
          <w:sz w:val="19"/>
        </w:rPr>
        <w:t>interface preferences do not change evidence identity;</w:t>
      </w:r>
    </w:p>
    <w:p w14:paraId="27FC9808" w14:textId="77777777" w:rsidR="00002650" w:rsidRDefault="00002650" w:rsidP="00002650">
      <w:pPr>
        <w:pStyle w:val="ListBullet"/>
        <w:tabs>
          <w:tab w:val="num" w:pos="360"/>
        </w:tabs>
      </w:pPr>
      <w:r>
        <w:rPr>
          <w:rFonts w:eastAsia="Times New Roman"/>
          <w:sz w:val="19"/>
        </w:rPr>
        <w:t xml:space="preserve">alternative </w:t>
      </w:r>
      <w:proofErr w:type="spellStart"/>
      <w:r>
        <w:rPr>
          <w:rFonts w:eastAsia="Times New Roman"/>
          <w:sz w:val="19"/>
        </w:rPr>
        <w:t>canonicalizations</w:t>
      </w:r>
      <w:proofErr w:type="spellEnd"/>
      <w:r>
        <w:rPr>
          <w:rFonts w:eastAsia="Times New Roman"/>
          <w:sz w:val="19"/>
        </w:rPr>
        <w:t xml:space="preserve"> create distinguishable variants;</w:t>
      </w:r>
    </w:p>
    <w:p w14:paraId="20612607" w14:textId="77777777" w:rsidR="00002650" w:rsidRDefault="00002650" w:rsidP="00002650">
      <w:pPr>
        <w:pStyle w:val="ListBullet"/>
        <w:tabs>
          <w:tab w:val="num" w:pos="360"/>
        </w:tabs>
      </w:pPr>
      <w:r>
        <w:rPr>
          <w:rFonts w:eastAsia="Times New Roman"/>
          <w:sz w:val="19"/>
        </w:rPr>
        <w:t>Passports and artifacts align with the represented run; and</w:t>
      </w:r>
    </w:p>
    <w:p w14:paraId="49FC9A15" w14:textId="77777777" w:rsidR="00002650" w:rsidRDefault="00002650" w:rsidP="00002650">
      <w:pPr>
        <w:pStyle w:val="ListBullet"/>
        <w:tabs>
          <w:tab w:val="num" w:pos="360"/>
        </w:tabs>
      </w:pPr>
      <w:r>
        <w:rPr>
          <w:rFonts w:eastAsia="Times New Roman"/>
          <w:sz w:val="19"/>
        </w:rPr>
        <w:t>preserved artifacts disclose omissions and replay limitations.</w:t>
      </w:r>
    </w:p>
    <w:p w14:paraId="7AAFF2AA" w14:textId="77777777" w:rsidR="00002650" w:rsidRPr="00002650" w:rsidRDefault="00002650" w:rsidP="00002650">
      <w:pPr>
        <w:pStyle w:val="Heading1"/>
        <w:rPr>
          <w:b/>
          <w:bCs/>
          <w:color w:val="4F46E5"/>
        </w:rPr>
      </w:pPr>
      <w:r w:rsidRPr="00002650">
        <w:rPr>
          <w:rFonts w:ascii="Arial" w:eastAsia="Times New Roman" w:hAnsi="Arial"/>
          <w:b/>
          <w:bCs/>
          <w:color w:val="4F46E5"/>
          <w:sz w:val="29"/>
        </w:rPr>
        <w:t>Threat Model and Failure Modes</w:t>
      </w:r>
    </w:p>
    <w:p w14:paraId="4AFD5832" w14:textId="77777777" w:rsidR="00002650" w:rsidRDefault="00002650" w:rsidP="00002650">
      <w:pPr>
        <w:keepLines/>
        <w:spacing w:after="94"/>
      </w:pPr>
      <w:r>
        <w:rPr>
          <w:rFonts w:ascii="Times New Roman" w:eastAsia="Times New Roman" w:hAnsi="Times New Roman"/>
          <w:color w:val="000000"/>
          <w:sz w:val="20"/>
        </w:rPr>
        <w:t>Computational Behavior Architecture operates within an explicit trust model. The source may be incomplete, fabricated, selectively retained, reordered, duplicated, or maliciously constructed. An adapter may segment the source incorrectly. An operator may mislabel a role. A reference asset may change without version separation. A measurement may encode an unsuitable construct. An interface may overstate a finding. An export may omit a dependency.</w:t>
      </w:r>
    </w:p>
    <w:p w14:paraId="742D5A7D" w14:textId="77777777" w:rsidR="00002650" w:rsidRDefault="00002650" w:rsidP="00002650">
      <w:pPr>
        <w:pStyle w:val="Heading2"/>
      </w:pPr>
      <w:r>
        <w:rPr>
          <w:rFonts w:ascii="Arial" w:eastAsia="Times New Roman" w:hAnsi="Arial"/>
          <w:color w:val="000000"/>
          <w:sz w:val="23"/>
        </w:rPr>
        <w:t>Representational Threats</w:t>
      </w:r>
    </w:p>
    <w:p w14:paraId="0AF575EF" w14:textId="77777777" w:rsidR="00002650" w:rsidRDefault="00002650" w:rsidP="00002650">
      <w:pPr>
        <w:keepLines/>
        <w:spacing w:after="94"/>
      </w:pPr>
      <w:r>
        <w:rPr>
          <w:rFonts w:ascii="Times New Roman" w:eastAsia="Times New Roman" w:hAnsi="Times New Roman"/>
          <w:b/>
          <w:color w:val="000000"/>
          <w:sz w:val="20"/>
        </w:rPr>
        <w:t>Source substitution.</w:t>
      </w:r>
      <w:r>
        <w:rPr>
          <w:rFonts w:ascii="Times New Roman" w:eastAsia="Times New Roman" w:hAnsi="Times New Roman"/>
          <w:color w:val="000000"/>
          <w:sz w:val="20"/>
        </w:rPr>
        <w:t xml:space="preserve"> A system computes from material other than the source identified to the operator.</w:t>
      </w:r>
    </w:p>
    <w:p w14:paraId="05BA0381" w14:textId="77777777" w:rsidR="00002650" w:rsidRDefault="00002650" w:rsidP="00002650">
      <w:pPr>
        <w:spacing w:after="94"/>
      </w:pPr>
      <w:r>
        <w:rPr>
          <w:rFonts w:ascii="Times New Roman" w:eastAsia="Times New Roman" w:hAnsi="Times New Roman"/>
          <w:b/>
          <w:color w:val="000000"/>
          <w:sz w:val="20"/>
        </w:rPr>
        <w:t>Segmentation drift.</w:t>
      </w:r>
      <w:r>
        <w:rPr>
          <w:rFonts w:ascii="Times New Roman" w:eastAsia="Times New Roman" w:hAnsi="Times New Roman"/>
          <w:color w:val="000000"/>
          <w:sz w:val="20"/>
        </w:rPr>
        <w:t xml:space="preserve"> Parser changes alter event boundaries without changing canonical identity or version.</w:t>
      </w:r>
    </w:p>
    <w:p w14:paraId="4C252FBF" w14:textId="77777777" w:rsidR="00002650" w:rsidRDefault="00002650" w:rsidP="00002650">
      <w:pPr>
        <w:spacing w:after="94"/>
      </w:pPr>
      <w:r>
        <w:rPr>
          <w:rFonts w:ascii="Times New Roman" w:eastAsia="Times New Roman" w:hAnsi="Times New Roman"/>
          <w:b/>
          <w:color w:val="000000"/>
          <w:sz w:val="20"/>
        </w:rPr>
        <w:t>Order laundering.</w:t>
      </w:r>
      <w:r>
        <w:rPr>
          <w:rFonts w:ascii="Times New Roman" w:eastAsia="Times New Roman" w:hAnsi="Times New Roman"/>
          <w:color w:val="000000"/>
          <w:sz w:val="20"/>
        </w:rPr>
        <w:t xml:space="preserve"> A display order, inferred order, or retrospectively resolved order is presented as source or causal order.</w:t>
      </w:r>
    </w:p>
    <w:p w14:paraId="49A5A1F4" w14:textId="77777777" w:rsidR="00002650" w:rsidRDefault="00002650" w:rsidP="00002650">
      <w:pPr>
        <w:spacing w:after="94"/>
      </w:pPr>
      <w:r>
        <w:rPr>
          <w:rFonts w:ascii="Times New Roman" w:eastAsia="Times New Roman" w:hAnsi="Times New Roman"/>
          <w:b/>
          <w:color w:val="000000"/>
          <w:sz w:val="20"/>
        </w:rPr>
        <w:t>Role laundering.</w:t>
      </w:r>
      <w:r>
        <w:rPr>
          <w:rFonts w:ascii="Times New Roman" w:eastAsia="Times New Roman" w:hAnsi="Times New Roman"/>
          <w:color w:val="000000"/>
          <w:sz w:val="20"/>
        </w:rPr>
        <w:t xml:space="preserve"> Adapter-assigned or operator-declared roles are presented as directly observed.</w:t>
      </w:r>
    </w:p>
    <w:p w14:paraId="7242F93C" w14:textId="77777777" w:rsidR="00002650" w:rsidRDefault="00002650" w:rsidP="00002650">
      <w:pPr>
        <w:spacing w:after="94"/>
      </w:pPr>
      <w:r>
        <w:rPr>
          <w:rFonts w:ascii="Times New Roman" w:eastAsia="Times New Roman" w:hAnsi="Times New Roman"/>
          <w:b/>
          <w:color w:val="000000"/>
          <w:sz w:val="20"/>
        </w:rPr>
        <w:t>Coordinate collapse.</w:t>
      </w:r>
      <w:r>
        <w:rPr>
          <w:rFonts w:ascii="Times New Roman" w:eastAsia="Times New Roman" w:hAnsi="Times New Roman"/>
          <w:color w:val="000000"/>
          <w:sz w:val="20"/>
        </w:rPr>
        <w:t xml:space="preserve"> Wall-clock, event, dependency, turn, and symbolic-time coordinates are merged into one ambiguous timeline.</w:t>
      </w:r>
    </w:p>
    <w:p w14:paraId="0E606CB5" w14:textId="77777777" w:rsidR="00002650" w:rsidRDefault="00002650" w:rsidP="00002650">
      <w:pPr>
        <w:spacing w:after="94"/>
      </w:pPr>
      <w:r>
        <w:rPr>
          <w:rFonts w:ascii="Times New Roman" w:eastAsia="Times New Roman" w:hAnsi="Times New Roman"/>
          <w:b/>
          <w:color w:val="000000"/>
          <w:sz w:val="20"/>
        </w:rPr>
        <w:t>Frame detachment.</w:t>
      </w:r>
      <w:r>
        <w:rPr>
          <w:rFonts w:ascii="Times New Roman" w:eastAsia="Times New Roman" w:hAnsi="Times New Roman"/>
          <w:color w:val="000000"/>
          <w:sz w:val="20"/>
        </w:rPr>
        <w:t xml:space="preserve"> Playback frames or worldline points cannot resolve to events and source spans.</w:t>
      </w:r>
    </w:p>
    <w:p w14:paraId="2437239D" w14:textId="77777777" w:rsidR="00002650" w:rsidRDefault="00002650" w:rsidP="00002650">
      <w:pPr>
        <w:spacing w:after="94"/>
      </w:pPr>
      <w:r>
        <w:rPr>
          <w:rFonts w:ascii="Times New Roman" w:eastAsia="Times New Roman" w:hAnsi="Times New Roman"/>
          <w:b/>
          <w:color w:val="000000"/>
          <w:sz w:val="20"/>
        </w:rPr>
        <w:t>Marker inflation.</w:t>
      </w:r>
      <w:r>
        <w:rPr>
          <w:rFonts w:ascii="Times New Roman" w:eastAsia="Times New Roman" w:hAnsi="Times New Roman"/>
          <w:color w:val="000000"/>
          <w:sz w:val="20"/>
        </w:rPr>
        <w:t xml:space="preserve"> Candidate conditions become confirmed boundaries, precursors become failures, or correction becomes recovery.</w:t>
      </w:r>
    </w:p>
    <w:p w14:paraId="725DF8ED" w14:textId="77777777" w:rsidR="00002650" w:rsidRDefault="00002650" w:rsidP="00002650">
      <w:pPr>
        <w:spacing w:after="94"/>
      </w:pPr>
      <w:r>
        <w:rPr>
          <w:rFonts w:ascii="Times New Roman" w:eastAsia="Times New Roman" w:hAnsi="Times New Roman"/>
          <w:b/>
          <w:color w:val="000000"/>
          <w:sz w:val="20"/>
        </w:rPr>
        <w:t>Projection mutation.</w:t>
      </w:r>
      <w:r>
        <w:rPr>
          <w:rFonts w:ascii="Times New Roman" w:eastAsia="Times New Roman" w:hAnsi="Times New Roman"/>
          <w:color w:val="000000"/>
          <w:sz w:val="20"/>
        </w:rPr>
        <w:t xml:space="preserve"> An instrument or interface changes canonical telemetry, markers, or meanings through local state.</w:t>
      </w:r>
    </w:p>
    <w:p w14:paraId="1A239376" w14:textId="77777777" w:rsidR="00002650" w:rsidRDefault="00002650" w:rsidP="00002650">
      <w:pPr>
        <w:spacing w:after="94"/>
      </w:pPr>
      <w:r>
        <w:rPr>
          <w:rFonts w:ascii="Times New Roman" w:eastAsia="Times New Roman" w:hAnsi="Times New Roman"/>
          <w:b/>
          <w:color w:val="000000"/>
          <w:sz w:val="20"/>
        </w:rPr>
        <w:t>Missingness erasure.</w:t>
      </w:r>
      <w:r>
        <w:rPr>
          <w:rFonts w:ascii="Times New Roman" w:eastAsia="Times New Roman" w:hAnsi="Times New Roman"/>
          <w:color w:val="000000"/>
          <w:sz w:val="20"/>
        </w:rPr>
        <w:t xml:space="preserve"> Unavailable or withheld evidence becomes zero, normal, stable, safe, or not observed.</w:t>
      </w:r>
    </w:p>
    <w:p w14:paraId="61DCD6FA" w14:textId="77777777" w:rsidR="00002650" w:rsidRDefault="00002650" w:rsidP="00002650">
      <w:pPr>
        <w:spacing w:after="94"/>
      </w:pPr>
      <w:r>
        <w:rPr>
          <w:rFonts w:ascii="Times New Roman" w:eastAsia="Times New Roman" w:hAnsi="Times New Roman"/>
          <w:b/>
          <w:color w:val="000000"/>
          <w:sz w:val="20"/>
        </w:rPr>
        <w:t>Narrative substitution.</w:t>
      </w:r>
      <w:r>
        <w:rPr>
          <w:rFonts w:ascii="Times New Roman" w:eastAsia="Times New Roman" w:hAnsi="Times New Roman"/>
          <w:color w:val="000000"/>
          <w:sz w:val="20"/>
        </w:rPr>
        <w:t xml:space="preserve"> A persuasive explanation replaces the structured path from finding to evidence.</w:t>
      </w:r>
    </w:p>
    <w:p w14:paraId="70302F1A" w14:textId="77777777" w:rsidR="00002650" w:rsidRDefault="00002650" w:rsidP="00002650">
      <w:pPr>
        <w:spacing w:after="94"/>
      </w:pPr>
      <w:r>
        <w:rPr>
          <w:rFonts w:ascii="Times New Roman" w:eastAsia="Times New Roman" w:hAnsi="Times New Roman"/>
          <w:b/>
          <w:color w:val="000000"/>
          <w:sz w:val="20"/>
        </w:rPr>
        <w:t>Artifact thinning.</w:t>
      </w:r>
      <w:r>
        <w:rPr>
          <w:rFonts w:ascii="Times New Roman" w:eastAsia="Times New Roman" w:hAnsi="Times New Roman"/>
          <w:color w:val="000000"/>
          <w:sz w:val="20"/>
        </w:rPr>
        <w:t xml:space="preserve"> Export retains conclusions while omitting the sources, methods, versions, or limitations needed to challenge them.</w:t>
      </w:r>
    </w:p>
    <w:p w14:paraId="038BE313" w14:textId="77777777" w:rsidR="00002650" w:rsidRDefault="00002650" w:rsidP="00002650">
      <w:pPr>
        <w:pStyle w:val="Heading2"/>
      </w:pPr>
      <w:r>
        <w:rPr>
          <w:rFonts w:ascii="Arial" w:eastAsia="Times New Roman" w:hAnsi="Arial"/>
          <w:color w:val="000000"/>
          <w:sz w:val="23"/>
        </w:rPr>
        <w:t>Adversarial Source Content</w:t>
      </w:r>
    </w:p>
    <w:p w14:paraId="2892EF4D" w14:textId="77777777" w:rsidR="00002650" w:rsidRDefault="00002650" w:rsidP="00002650">
      <w:pPr>
        <w:keepLines/>
        <w:spacing w:after="94"/>
      </w:pPr>
      <w:r>
        <w:rPr>
          <w:rFonts w:ascii="Times New Roman" w:eastAsia="Times New Roman" w:hAnsi="Times New Roman"/>
          <w:color w:val="000000"/>
          <w:sz w:val="20"/>
        </w:rPr>
        <w:t>Instructions embedded inside logs, transcripts, tool outputs, or incident records remain source data. They must not acquire authority over canonicalization, measurement configuration, instrument behavior, claim rules, or export. Source interpretation and computational control must remain isolated.</w:t>
      </w:r>
    </w:p>
    <w:p w14:paraId="27F31492" w14:textId="77777777" w:rsidR="00002650" w:rsidRDefault="00002650" w:rsidP="00002650">
      <w:pPr>
        <w:pStyle w:val="Heading2"/>
      </w:pPr>
      <w:r>
        <w:rPr>
          <w:rFonts w:ascii="Arial" w:eastAsia="Times New Roman" w:hAnsi="Arial"/>
          <w:color w:val="000000"/>
          <w:sz w:val="23"/>
        </w:rPr>
        <w:t>Scientific Threats</w:t>
      </w:r>
    </w:p>
    <w:p w14:paraId="3368F656" w14:textId="77777777" w:rsidR="00002650" w:rsidRDefault="00002650" w:rsidP="00002650">
      <w:pPr>
        <w:keepLines/>
        <w:spacing w:after="94"/>
      </w:pPr>
      <w:r>
        <w:rPr>
          <w:rFonts w:ascii="Times New Roman" w:eastAsia="Times New Roman" w:hAnsi="Times New Roman"/>
          <w:color w:val="000000"/>
          <w:sz w:val="20"/>
        </w:rPr>
        <w:t>Circular validation occurs when the same signal defines both a case label and the measurement claimed to discriminate it. Ontology drift occurs when one regime, role, marker, or boundary label changes meaning across versions. Construct inflation occurs when a proxy is described as the phenomenon itself. Corroboration inflation occurs when several dependent projections are presented as independent witnesses. Retrospective leakage occurs when future evidence influences a value described as prospective.</w:t>
      </w:r>
    </w:p>
    <w:p w14:paraId="5CBF1E27" w14:textId="77777777" w:rsidR="00002650" w:rsidRDefault="00002650" w:rsidP="00002650">
      <w:pPr>
        <w:spacing w:after="94"/>
      </w:pPr>
      <w:r>
        <w:rPr>
          <w:rFonts w:ascii="Times New Roman" w:eastAsia="Times New Roman" w:hAnsi="Times New Roman"/>
          <w:color w:val="000000"/>
          <w:sz w:val="20"/>
        </w:rPr>
        <w:t>These threats require controls beyond clean representation, including protected labels, independent outcomes, negative cases, ablation, perturbation, sensitivity analysis, held-out evaluation, and external replication.</w:t>
      </w:r>
    </w:p>
    <w:p w14:paraId="2AF4A100" w14:textId="77777777" w:rsidR="00002650" w:rsidRPr="00002650" w:rsidRDefault="00002650" w:rsidP="00002650">
      <w:pPr>
        <w:pStyle w:val="Heading1"/>
        <w:rPr>
          <w:b/>
          <w:bCs/>
          <w:color w:val="4F46E5"/>
        </w:rPr>
      </w:pPr>
      <w:r w:rsidRPr="00002650">
        <w:rPr>
          <w:rFonts w:ascii="Arial" w:eastAsia="Times New Roman" w:hAnsi="Arial"/>
          <w:b/>
          <w:bCs/>
          <w:color w:val="4F46E5"/>
          <w:sz w:val="29"/>
        </w:rPr>
        <w:t>Generality Interoperability and Institutional Use</w:t>
      </w:r>
    </w:p>
    <w:p w14:paraId="05D146E2" w14:textId="77777777" w:rsidR="00002650" w:rsidRDefault="00002650" w:rsidP="00002650">
      <w:pPr>
        <w:keepLines/>
        <w:spacing w:after="94"/>
      </w:pPr>
      <w:r>
        <w:rPr>
          <w:rFonts w:ascii="Times New Roman" w:eastAsia="Times New Roman" w:hAnsi="Times New Roman"/>
          <w:color w:val="000000"/>
          <w:sz w:val="20"/>
        </w:rPr>
        <w:t xml:space="preserve">Computational Behavior Architecture is designed to operate above heterogeneous native record systems. </w:t>
      </w:r>
      <w:proofErr w:type="spellStart"/>
      <w:r>
        <w:rPr>
          <w:rFonts w:ascii="Times New Roman" w:eastAsia="Times New Roman" w:hAnsi="Times New Roman"/>
          <w:color w:val="000000"/>
          <w:sz w:val="20"/>
        </w:rPr>
        <w:t>OpenTelemetry</w:t>
      </w:r>
      <w:proofErr w:type="spellEnd"/>
      <w:r>
        <w:rPr>
          <w:rFonts w:ascii="Times New Roman" w:eastAsia="Times New Roman" w:hAnsi="Times New Roman"/>
          <w:color w:val="000000"/>
          <w:sz w:val="20"/>
        </w:rPr>
        <w:t xml:space="preserve"> or domain-specific traces may supply observations. W3C PROV may express derivation and attribution [9,10]. Process-mining formats may support event-log exchange [7]. Remote-attestation evidence may strengthen specified source or execution-context claims [12]. Assurance cases may consume bounded findings within broader arguments [16].</w:t>
      </w:r>
    </w:p>
    <w:p w14:paraId="48990353" w14:textId="77777777" w:rsidR="00002650" w:rsidRDefault="00002650" w:rsidP="00002650">
      <w:pPr>
        <w:spacing w:after="94"/>
      </w:pPr>
      <w:r>
        <w:rPr>
          <w:rFonts w:ascii="Times New Roman" w:eastAsia="Times New Roman" w:hAnsi="Times New Roman"/>
          <w:color w:val="000000"/>
          <w:sz w:val="20"/>
        </w:rPr>
        <w:t>Interoperability requires mapping rather than semantic collapse. A trace span is not automatically a canonical behavioral frame. A provenance relation does not establish claim sufficiency. An attestation result is not a regime. A Passport is not a legal identity document. A runtime severity posture is not operational impact evidence. The architecture may reference each object while preserving its original trust model.</w:t>
      </w:r>
    </w:p>
    <w:p w14:paraId="31215BF9" w14:textId="77777777" w:rsidR="00002650" w:rsidRDefault="00002650" w:rsidP="00002650">
      <w:pPr>
        <w:spacing w:after="94"/>
      </w:pPr>
      <w:r>
        <w:rPr>
          <w:rFonts w:ascii="Times New Roman" w:eastAsia="Times New Roman" w:hAnsi="Times New Roman"/>
          <w:color w:val="000000"/>
          <w:sz w:val="20"/>
        </w:rPr>
        <w:t>The representation can apply to model-to-model interaction, human-machine workflows, agent and tool systems, software development, infrastructure operations, security investigations, organizational workflows, and other history-bearing computational processes when their records support the required structure.</w:t>
      </w:r>
    </w:p>
    <w:p w14:paraId="67D22A9C" w14:textId="77777777" w:rsidR="00002650" w:rsidRDefault="00002650" w:rsidP="00002650">
      <w:pPr>
        <w:spacing w:after="94"/>
      </w:pPr>
      <w:r>
        <w:rPr>
          <w:rFonts w:ascii="Times New Roman" w:eastAsia="Times New Roman" w:hAnsi="Times New Roman"/>
          <w:color w:val="000000"/>
          <w:sz w:val="20"/>
        </w:rPr>
        <w:t>Architectural portability does not establish measurement validity across domains. A signal developed for an AI workflow cannot automatically be interpreted as a valid measure of human cognition, organizational health, biological behavior, or safety. Each domain requires appropriate constructs, baselines, ethics, calibration, outcome definitions, and independent evaluation.</w:t>
      </w:r>
    </w:p>
    <w:p w14:paraId="04B983A2" w14:textId="77777777" w:rsidR="00002650" w:rsidRDefault="00002650" w:rsidP="00002650">
      <w:pPr>
        <w:spacing w:after="94"/>
      </w:pPr>
      <w:r>
        <w:rPr>
          <w:rFonts w:ascii="Times New Roman" w:eastAsia="Times New Roman" w:hAnsi="Times New Roman"/>
          <w:color w:val="000000"/>
          <w:sz w:val="20"/>
        </w:rPr>
        <w:t>Institutional use also depends on custody, privacy, access control, retention, redaction, appeal, review, correction, and due process. Computational Behavior Architecture can make these relationships inspectable. It cannot supply legal authority, legitimate policy, or professional judgment by itself.</w:t>
      </w:r>
    </w:p>
    <w:p w14:paraId="5BFB92F9" w14:textId="77777777" w:rsidR="00002650" w:rsidRPr="00002650" w:rsidRDefault="00002650" w:rsidP="00002650">
      <w:pPr>
        <w:pStyle w:val="Heading1"/>
        <w:rPr>
          <w:b/>
          <w:bCs/>
          <w:color w:val="4F46E5"/>
        </w:rPr>
      </w:pPr>
      <w:r w:rsidRPr="00002650">
        <w:rPr>
          <w:rFonts w:ascii="Arial" w:eastAsia="Times New Roman" w:hAnsi="Arial"/>
          <w:b/>
          <w:bCs/>
          <w:color w:val="4F46E5"/>
          <w:sz w:val="29"/>
        </w:rPr>
        <w:t>Implications</w:t>
      </w:r>
    </w:p>
    <w:p w14:paraId="5D425257" w14:textId="77777777" w:rsidR="00002650" w:rsidRDefault="00002650" w:rsidP="00002650">
      <w:pPr>
        <w:pStyle w:val="Heading2"/>
      </w:pPr>
      <w:r>
        <w:rPr>
          <w:rFonts w:ascii="Arial" w:eastAsia="Times New Roman" w:hAnsi="Arial"/>
          <w:color w:val="000000"/>
          <w:sz w:val="23"/>
        </w:rPr>
        <w:t>From Event Data to Behavioral Infrastructure</w:t>
      </w:r>
    </w:p>
    <w:p w14:paraId="545DC56C" w14:textId="77777777" w:rsidR="00002650" w:rsidRDefault="00002650" w:rsidP="00002650">
      <w:pPr>
        <w:keepLines/>
        <w:spacing w:after="94"/>
      </w:pPr>
      <w:r>
        <w:rPr>
          <w:rFonts w:ascii="Times New Roman" w:eastAsia="Times New Roman" w:hAnsi="Times New Roman"/>
          <w:color w:val="000000"/>
          <w:sz w:val="20"/>
        </w:rPr>
        <w:t xml:space="preserve">The architecture changes what counts as a usable runtime record. Event volume alone is insufficient. A system may retain millions of logs while lacking stable event identity, role provenance, temporal semantics, source mappings, or </w:t>
      </w:r>
      <w:proofErr w:type="spellStart"/>
      <w:r>
        <w:rPr>
          <w:rFonts w:ascii="Times New Roman" w:eastAsia="Times New Roman" w:hAnsi="Times New Roman"/>
          <w:color w:val="000000"/>
          <w:sz w:val="20"/>
        </w:rPr>
        <w:t>replayable</w:t>
      </w:r>
      <w:proofErr w:type="spellEnd"/>
      <w:r>
        <w:rPr>
          <w:rFonts w:ascii="Times New Roman" w:eastAsia="Times New Roman" w:hAnsi="Times New Roman"/>
          <w:color w:val="000000"/>
          <w:sz w:val="20"/>
        </w:rPr>
        <w:t xml:space="preserve"> behavioral structure. Conversely, a smaller but well-qualified record may support a defensible longitudinal reconstruction.</w:t>
      </w:r>
    </w:p>
    <w:p w14:paraId="2C6B96B4" w14:textId="77777777" w:rsidR="00002650" w:rsidRDefault="00002650" w:rsidP="00002650">
      <w:pPr>
        <w:spacing w:after="94"/>
      </w:pPr>
      <w:r>
        <w:rPr>
          <w:rFonts w:ascii="Times New Roman" w:eastAsia="Times New Roman" w:hAnsi="Times New Roman"/>
          <w:color w:val="000000"/>
          <w:sz w:val="20"/>
        </w:rPr>
        <w:t>This suggests a new infrastructure requirement for long-horizon computational systems: behavioral records should be designed for reconstruction, not only debugging. They should preserve the relations needed to understand how objectives, roles, tools, constraints, corrections, and state changes developed through time.</w:t>
      </w:r>
    </w:p>
    <w:p w14:paraId="36814265" w14:textId="77777777" w:rsidR="00002650" w:rsidRDefault="00002650" w:rsidP="00002650">
      <w:pPr>
        <w:pStyle w:val="Heading2"/>
      </w:pPr>
      <w:r>
        <w:rPr>
          <w:rFonts w:ascii="Arial" w:eastAsia="Times New Roman" w:hAnsi="Arial"/>
          <w:color w:val="000000"/>
          <w:sz w:val="23"/>
        </w:rPr>
        <w:t>Provider Independent Investigation</w:t>
      </w:r>
    </w:p>
    <w:p w14:paraId="17DCEFB7" w14:textId="77777777" w:rsidR="00002650" w:rsidRDefault="00002650" w:rsidP="00002650">
      <w:pPr>
        <w:keepLines/>
        <w:spacing w:after="94"/>
      </w:pPr>
      <w:r>
        <w:rPr>
          <w:rFonts w:ascii="Times New Roman" w:eastAsia="Times New Roman" w:hAnsi="Times New Roman"/>
          <w:color w:val="000000"/>
          <w:sz w:val="20"/>
        </w:rPr>
        <w:t>A source-bound architecture allows investigators to examine observable behavior without requiring access to model weights, activations, gradients, proprietary embeddings, or private reasoning. Provider-generated telemetry can strengthen the record when available, but the architecture does not depend exclusively on the provider's explanation of what occurred.</w:t>
      </w:r>
    </w:p>
    <w:p w14:paraId="11E4FCDA" w14:textId="77777777" w:rsidR="00002650" w:rsidRDefault="00002650" w:rsidP="00002650">
      <w:pPr>
        <w:spacing w:after="94"/>
      </w:pPr>
      <w:r>
        <w:rPr>
          <w:rFonts w:ascii="Times New Roman" w:eastAsia="Times New Roman" w:hAnsi="Times New Roman"/>
          <w:color w:val="000000"/>
          <w:sz w:val="20"/>
        </w:rPr>
        <w:t>This independence is limited. An external record cannot reveal information that was never captured. It cannot prove the authenticity of a source without supporting provenance. It cannot recover hidden mechanism from behavioral similarity. Its value lies in making the observable account inspectable and challengeable.</w:t>
      </w:r>
    </w:p>
    <w:p w14:paraId="18C4E19C" w14:textId="77777777" w:rsidR="00002650" w:rsidRDefault="00002650" w:rsidP="00002650">
      <w:pPr>
        <w:pStyle w:val="Heading2"/>
      </w:pPr>
      <w:r>
        <w:rPr>
          <w:rFonts w:ascii="Arial" w:eastAsia="Times New Roman" w:hAnsi="Arial"/>
          <w:color w:val="000000"/>
          <w:sz w:val="23"/>
        </w:rPr>
        <w:t>Comparative and Cumulative Science</w:t>
      </w:r>
    </w:p>
    <w:p w14:paraId="540FC9CE" w14:textId="77777777" w:rsidR="00002650" w:rsidRDefault="00002650" w:rsidP="00002650">
      <w:pPr>
        <w:keepLines/>
        <w:spacing w:after="94"/>
      </w:pPr>
      <w:r>
        <w:rPr>
          <w:rFonts w:ascii="Times New Roman" w:eastAsia="Times New Roman" w:hAnsi="Times New Roman"/>
          <w:color w:val="000000"/>
          <w:sz w:val="20"/>
        </w:rPr>
        <w:t>Stable runtime objects make comparison possible across cases, releases, source families, and implementations. Researchers can compare trajectory structures, measurement behavior, regime assignments, boundary conditions, role topologies, and recovery patterns while retaining the evidence and methods behind those comparisons.</w:t>
      </w:r>
    </w:p>
    <w:p w14:paraId="7CBDBD26" w14:textId="77777777" w:rsidR="00002650" w:rsidRDefault="00002650" w:rsidP="00002650">
      <w:pPr>
        <w:spacing w:after="94"/>
      </w:pPr>
      <w:r>
        <w:rPr>
          <w:rFonts w:ascii="Times New Roman" w:eastAsia="Times New Roman" w:hAnsi="Times New Roman"/>
          <w:color w:val="000000"/>
          <w:sz w:val="20"/>
        </w:rPr>
        <w:t>Cumulative science requires version distinguishability. When an ontology, threshold, adapter, or signal changes, the new result should not silently replace the old. Preserved variants allow investigators to determine whether later methods improve discrimination, reduce false stability, alter class boundaries, or introduce new failure modes.</w:t>
      </w:r>
    </w:p>
    <w:p w14:paraId="160E486D" w14:textId="77777777" w:rsidR="00002650" w:rsidRDefault="00002650" w:rsidP="00002650">
      <w:pPr>
        <w:pStyle w:val="Heading2"/>
      </w:pPr>
      <w:r>
        <w:rPr>
          <w:rFonts w:ascii="Arial" w:eastAsia="Times New Roman" w:hAnsi="Arial"/>
          <w:color w:val="000000"/>
          <w:sz w:val="23"/>
        </w:rPr>
        <w:t>Accountability Without Automated Judgment</w:t>
      </w:r>
    </w:p>
    <w:p w14:paraId="3CFD4D8C" w14:textId="77777777" w:rsidR="00002650" w:rsidRDefault="00002650" w:rsidP="00002650">
      <w:pPr>
        <w:keepLines/>
        <w:spacing w:after="94"/>
      </w:pPr>
      <w:r>
        <w:rPr>
          <w:rFonts w:ascii="Times New Roman" w:eastAsia="Times New Roman" w:hAnsi="Times New Roman"/>
          <w:color w:val="000000"/>
          <w:sz w:val="20"/>
        </w:rPr>
        <w:t>The architecture can support incident review, audit, assurance, procurement, governance, dispute analysis, and public-interest research. It does so by preserving the path from record to representation and from representation to bounded finding. It does not determine what an institution must decide or do.</w:t>
      </w:r>
    </w:p>
    <w:p w14:paraId="5C94C66E" w14:textId="77777777" w:rsidR="00002650" w:rsidRDefault="00002650" w:rsidP="00002650">
      <w:pPr>
        <w:spacing w:after="94"/>
      </w:pPr>
      <w:r>
        <w:rPr>
          <w:rFonts w:ascii="Times New Roman" w:eastAsia="Times New Roman" w:hAnsi="Times New Roman"/>
          <w:color w:val="000000"/>
          <w:sz w:val="20"/>
        </w:rPr>
        <w:t>Accountability depends on both computational and institutional structures. A well-formed evidence object can expose what a system computed and claimed. Human authorities remain responsible for legal conclusions, operational decisions, remediation, sanctions, and the treatment of affected people.</w:t>
      </w:r>
    </w:p>
    <w:p w14:paraId="528D4A3E" w14:textId="77777777" w:rsidR="00002650" w:rsidRPr="00002650" w:rsidRDefault="00002650" w:rsidP="00002650">
      <w:pPr>
        <w:pStyle w:val="Heading1"/>
        <w:rPr>
          <w:b/>
          <w:bCs/>
          <w:color w:val="4F46E5"/>
        </w:rPr>
      </w:pPr>
      <w:r w:rsidRPr="00002650">
        <w:rPr>
          <w:rFonts w:ascii="Arial" w:eastAsia="Times New Roman" w:hAnsi="Arial"/>
          <w:b/>
          <w:bCs/>
          <w:color w:val="4F46E5"/>
          <w:sz w:val="29"/>
        </w:rPr>
        <w:t>Limitations and Open Research</w:t>
      </w:r>
    </w:p>
    <w:p w14:paraId="11661607" w14:textId="77777777" w:rsidR="00002650" w:rsidRDefault="00002650" w:rsidP="00002650">
      <w:pPr>
        <w:keepLines/>
        <w:spacing w:after="94"/>
      </w:pPr>
      <w:r>
        <w:rPr>
          <w:rFonts w:ascii="Times New Roman" w:eastAsia="Times New Roman" w:hAnsi="Times New Roman"/>
          <w:color w:val="000000"/>
          <w:sz w:val="20"/>
        </w:rPr>
        <w:t>Computational Behavior Architecture is bounded by observability. Missing prompts, inaccessible tool state, redacted content, unrecorded human decisions, provider-controlled internals, clock gaps, and incomplete logs can leave decisive uncertainty. A source-bound reconstruction can be rigorous while remaining partial.</w:t>
      </w:r>
    </w:p>
    <w:p w14:paraId="1467B46E" w14:textId="77777777" w:rsidR="00002650" w:rsidRDefault="00002650" w:rsidP="00002650">
      <w:pPr>
        <w:spacing w:after="94"/>
      </w:pPr>
      <w:r>
        <w:rPr>
          <w:rFonts w:ascii="Times New Roman" w:eastAsia="Times New Roman" w:hAnsi="Times New Roman"/>
          <w:color w:val="000000"/>
          <w:sz w:val="20"/>
        </w:rPr>
        <w:t>Canonicalization introduces choices. Segmentation, normalization, role mapping, ordering, and frame construction may each affect the resulting representation. Deterministic processing makes those choices repeatable; it does not make them uniquely correct. Comparative canonicalization and sensitivity analysis remain important research problems.</w:t>
      </w:r>
    </w:p>
    <w:p w14:paraId="6981A80A" w14:textId="77777777" w:rsidR="00002650" w:rsidRDefault="00002650" w:rsidP="00002650">
      <w:pPr>
        <w:spacing w:after="94"/>
      </w:pPr>
      <w:r>
        <w:rPr>
          <w:rFonts w:ascii="Times New Roman" w:eastAsia="Times New Roman" w:hAnsi="Times New Roman"/>
          <w:color w:val="000000"/>
          <w:sz w:val="20"/>
        </w:rPr>
        <w:t>The graph and object model do not guarantee semantic agreement across implementations. A shared schema can preserve fields while different systems interpret a regime, marker, or role differently. Conformance therefore requires semantic registries, versioned contracts, and discriminating test cases rather than structural validation alone.</w:t>
      </w:r>
    </w:p>
    <w:p w14:paraId="2E187DCC" w14:textId="77777777" w:rsidR="00002650" w:rsidRDefault="00002650" w:rsidP="00002650">
      <w:pPr>
        <w:spacing w:after="94"/>
      </w:pPr>
      <w:r>
        <w:rPr>
          <w:rFonts w:ascii="Times New Roman" w:eastAsia="Times New Roman" w:hAnsi="Times New Roman"/>
          <w:color w:val="000000"/>
          <w:sz w:val="20"/>
        </w:rPr>
        <w:t>Scalability creates tension between complete preservation and usable investigation. Very large runs may require incremental computation, summary-first rendering, progressive replay, sampling, or tiered artifacts. These techniques must retain explicit mappings to the complete governed representation and disclose any operation that changes the claim basis.</w:t>
      </w:r>
    </w:p>
    <w:p w14:paraId="7C9EBFBE" w14:textId="77777777" w:rsidR="00002650" w:rsidRDefault="00002650" w:rsidP="00002650">
      <w:pPr>
        <w:spacing w:after="94"/>
      </w:pPr>
      <w:r>
        <w:rPr>
          <w:rFonts w:ascii="Times New Roman" w:eastAsia="Times New Roman" w:hAnsi="Times New Roman"/>
          <w:color w:val="000000"/>
          <w:sz w:val="20"/>
        </w:rPr>
        <w:t>Privacy and evidentiary completeness may conflict. Preserving source content can expose sensitive information; redaction can weaken replay and challenge. The architecture can represent that tradeoff but cannot decide it universally. Domain-specific governance must define proportionate collection, access, retention, redaction, and disclosure.</w:t>
      </w:r>
    </w:p>
    <w:p w14:paraId="712EC48C" w14:textId="77777777" w:rsidR="00002650" w:rsidRDefault="00002650" w:rsidP="00002650">
      <w:pPr>
        <w:spacing w:after="94"/>
      </w:pPr>
      <w:r>
        <w:rPr>
          <w:rFonts w:ascii="Times New Roman" w:eastAsia="Times New Roman" w:hAnsi="Times New Roman"/>
          <w:color w:val="000000"/>
          <w:sz w:val="20"/>
        </w:rPr>
        <w:t>The current validation program remains bounded. Independent implementations, external datasets, prospective outcome studies, adversarial sources, cross-source-family evaluation, and unaffiliated replication are required. The architecture should also be compared with simpler alternatives to determine when its added structure produces measurable investigative or scientific value.</w:t>
      </w:r>
    </w:p>
    <w:p w14:paraId="2A3717B0" w14:textId="77777777" w:rsidR="00002650" w:rsidRDefault="00002650" w:rsidP="00002650">
      <w:pPr>
        <w:spacing w:after="94"/>
      </w:pPr>
      <w:r>
        <w:rPr>
          <w:rFonts w:ascii="Times New Roman" w:eastAsia="Times New Roman" w:hAnsi="Times New Roman"/>
          <w:color w:val="000000"/>
          <w:sz w:val="20"/>
        </w:rPr>
        <w:t>Open research questions include:</w:t>
      </w:r>
    </w:p>
    <w:p w14:paraId="1E9472E9" w14:textId="77777777" w:rsidR="00002650" w:rsidRDefault="00002650" w:rsidP="00002650">
      <w:pPr>
        <w:pStyle w:val="ListBullet"/>
        <w:tabs>
          <w:tab w:val="num" w:pos="360"/>
        </w:tabs>
      </w:pPr>
      <w:r>
        <w:rPr>
          <w:rFonts w:eastAsia="Times New Roman"/>
          <w:sz w:val="19"/>
        </w:rPr>
        <w:t>Which canonical structures are necessary across source families, and which should remain domain-specific?</w:t>
      </w:r>
    </w:p>
    <w:p w14:paraId="4009226C" w14:textId="77777777" w:rsidR="00002650" w:rsidRDefault="00002650" w:rsidP="00002650">
      <w:pPr>
        <w:pStyle w:val="ListBullet"/>
        <w:tabs>
          <w:tab w:val="num" w:pos="360"/>
        </w:tabs>
      </w:pPr>
      <w:r>
        <w:rPr>
          <w:rFonts w:eastAsia="Times New Roman"/>
          <w:sz w:val="19"/>
        </w:rPr>
        <w:t>How sensitive are longitudinal findings to segmentation, role mapping, and coordinate choice?</w:t>
      </w:r>
    </w:p>
    <w:p w14:paraId="397A518A" w14:textId="77777777" w:rsidR="00002650" w:rsidRDefault="00002650" w:rsidP="00002650">
      <w:pPr>
        <w:pStyle w:val="ListBullet"/>
        <w:tabs>
          <w:tab w:val="num" w:pos="360"/>
        </w:tabs>
      </w:pPr>
      <w:r>
        <w:rPr>
          <w:rFonts w:eastAsia="Times New Roman"/>
          <w:sz w:val="19"/>
        </w:rPr>
        <w:t>Which relation types most improve investigative accuracy and time to finding?</w:t>
      </w:r>
    </w:p>
    <w:p w14:paraId="2496FFD7" w14:textId="77777777" w:rsidR="00002650" w:rsidRDefault="00002650" w:rsidP="00002650">
      <w:pPr>
        <w:pStyle w:val="ListBullet"/>
        <w:tabs>
          <w:tab w:val="num" w:pos="360"/>
        </w:tabs>
      </w:pPr>
      <w:r>
        <w:rPr>
          <w:rFonts w:eastAsia="Times New Roman"/>
          <w:sz w:val="19"/>
        </w:rPr>
        <w:t>How should uncertainty propagate through worldlines, regimes, markers, and findings?</w:t>
      </w:r>
    </w:p>
    <w:p w14:paraId="4FE19360" w14:textId="77777777" w:rsidR="00002650" w:rsidRDefault="00002650" w:rsidP="00002650">
      <w:pPr>
        <w:pStyle w:val="ListBullet"/>
        <w:tabs>
          <w:tab w:val="num" w:pos="360"/>
        </w:tabs>
      </w:pPr>
      <w:r>
        <w:rPr>
          <w:rFonts w:eastAsia="Times New Roman"/>
          <w:sz w:val="19"/>
        </w:rPr>
        <w:t>Which behavioral representations retain validity across models, agents, workflows, and institutions?</w:t>
      </w:r>
    </w:p>
    <w:p w14:paraId="1BDFB387" w14:textId="77777777" w:rsidR="00002650" w:rsidRDefault="00002650" w:rsidP="00002650">
      <w:pPr>
        <w:pStyle w:val="ListBullet"/>
        <w:tabs>
          <w:tab w:val="num" w:pos="360"/>
        </w:tabs>
      </w:pPr>
      <w:r>
        <w:rPr>
          <w:rFonts w:eastAsia="Times New Roman"/>
          <w:sz w:val="19"/>
        </w:rPr>
        <w:t xml:space="preserve">How can privacy-preserving artifacts remain sufficiently </w:t>
      </w:r>
      <w:proofErr w:type="spellStart"/>
      <w:r>
        <w:rPr>
          <w:rFonts w:eastAsia="Times New Roman"/>
          <w:sz w:val="19"/>
        </w:rPr>
        <w:t>replayable</w:t>
      </w:r>
      <w:proofErr w:type="spellEnd"/>
      <w:r>
        <w:rPr>
          <w:rFonts w:eastAsia="Times New Roman"/>
          <w:sz w:val="19"/>
        </w:rPr>
        <w:t xml:space="preserve"> for independent challenge?</w:t>
      </w:r>
    </w:p>
    <w:p w14:paraId="6FF6F9DD" w14:textId="77777777" w:rsidR="00002650" w:rsidRDefault="00002650" w:rsidP="00002650">
      <w:pPr>
        <w:pStyle w:val="ListBullet"/>
        <w:tabs>
          <w:tab w:val="num" w:pos="360"/>
        </w:tabs>
      </w:pPr>
      <w:r>
        <w:rPr>
          <w:rFonts w:eastAsia="Times New Roman"/>
          <w:sz w:val="19"/>
        </w:rPr>
        <w:t>What minimum architecture supports real-time operation without sacrificing prefix integrity?</w:t>
      </w:r>
    </w:p>
    <w:p w14:paraId="70DC797C" w14:textId="77777777" w:rsidR="00002650" w:rsidRDefault="00002650" w:rsidP="00002650">
      <w:pPr>
        <w:pStyle w:val="ListBullet"/>
        <w:tabs>
          <w:tab w:val="num" w:pos="360"/>
        </w:tabs>
      </w:pPr>
      <w:r>
        <w:rPr>
          <w:rFonts w:eastAsia="Times New Roman"/>
          <w:sz w:val="19"/>
        </w:rPr>
        <w:t xml:space="preserve">How should competing </w:t>
      </w:r>
      <w:proofErr w:type="spellStart"/>
      <w:r>
        <w:rPr>
          <w:rFonts w:eastAsia="Times New Roman"/>
          <w:sz w:val="19"/>
        </w:rPr>
        <w:t>canonicalizations</w:t>
      </w:r>
      <w:proofErr w:type="spellEnd"/>
      <w:r>
        <w:rPr>
          <w:rFonts w:eastAsia="Times New Roman"/>
          <w:sz w:val="19"/>
        </w:rPr>
        <w:t xml:space="preserve"> and interpretations coexist within one preserved case lineage?</w:t>
      </w:r>
    </w:p>
    <w:p w14:paraId="552D80F5" w14:textId="77777777" w:rsidR="00002650" w:rsidRPr="00002650" w:rsidRDefault="00002650" w:rsidP="00002650">
      <w:pPr>
        <w:pStyle w:val="Heading1"/>
        <w:rPr>
          <w:b/>
          <w:bCs/>
          <w:color w:val="4F46E5"/>
        </w:rPr>
      </w:pPr>
      <w:r w:rsidRPr="00002650">
        <w:rPr>
          <w:rFonts w:ascii="Arial" w:eastAsia="Times New Roman" w:hAnsi="Arial"/>
          <w:b/>
          <w:bCs/>
          <w:color w:val="4F46E5"/>
          <w:sz w:val="29"/>
        </w:rPr>
        <w:t>Conclusion</w:t>
      </w:r>
    </w:p>
    <w:p w14:paraId="4DB91B08" w14:textId="77777777" w:rsidR="00002650" w:rsidRDefault="00002650" w:rsidP="00002650">
      <w:pPr>
        <w:keepLines/>
        <w:spacing w:after="94"/>
      </w:pPr>
      <w:r>
        <w:rPr>
          <w:rFonts w:ascii="Times New Roman" w:eastAsia="Times New Roman" w:hAnsi="Times New Roman"/>
          <w:color w:val="000000"/>
          <w:sz w:val="20"/>
        </w:rPr>
        <w:t>Long-horizon computational activity produces records, but records do not automatically become an account of behavioral development. Computational Behavior Architecture defines the representational structure required to cross that gap. It binds identifiable source material to a canonical event ledger, plural temporal relations, role and interaction topology, runtime spines, playback frames, worldlines, measurements, markers, regimes, findings, investigation routes, and preservation mappings.</w:t>
      </w:r>
    </w:p>
    <w:p w14:paraId="514EEE8D" w14:textId="77777777" w:rsidR="00002650" w:rsidRDefault="00002650" w:rsidP="00002650">
      <w:pPr>
        <w:spacing w:after="94"/>
      </w:pPr>
      <w:r>
        <w:rPr>
          <w:rFonts w:ascii="Times New Roman" w:eastAsia="Times New Roman" w:hAnsi="Times New Roman"/>
          <w:color w:val="000000"/>
          <w:sz w:val="20"/>
        </w:rPr>
        <w:t>The architecture is deliberately bounded. It does not establish hidden state, private reasoning, consciousness, intent, unique cause, source truth, or universal scientific validity. It does not replace Runtime Evidence or Evidence-Governed Computation. Runtime Evidence supplies the source-bound evidentiary object. Computational Behavior Architecture makes the developing runtime representable and traversable. Evidence-Governed Computation constrains what may be claimed, displayed, explained, and exported from it.</w:t>
      </w:r>
    </w:p>
    <w:p w14:paraId="5C227F99" w14:textId="77777777" w:rsidR="00002650" w:rsidRDefault="00002650" w:rsidP="00002650">
      <w:pPr>
        <w:spacing w:after="94"/>
      </w:pPr>
      <w:r>
        <w:rPr>
          <w:rFonts w:ascii="Times New Roman" w:eastAsia="Times New Roman" w:hAnsi="Times New Roman"/>
          <w:color w:val="000000"/>
          <w:sz w:val="20"/>
        </w:rPr>
        <w:t>SubstrateX Aperture demonstrates that this architecture can be implemented as a working observatory. Its canonical runtime spine, temporal authority, role-aware reconstruction, Runtime Signal Authority, nine instruments, Guided Investigation, Runtime Evidence Passport, Evidence Seal, and preservation conveyor operate as one evidence path. The implementation establishes feasibility and provides a platform for validation. It does not exempt the architecture or its measurements from independent testing.</w:t>
      </w:r>
    </w:p>
    <w:p w14:paraId="3285EB65" w14:textId="77777777" w:rsidR="00002650" w:rsidRDefault="00002650" w:rsidP="00002650">
      <w:pPr>
        <w:spacing w:after="94"/>
      </w:pPr>
      <w:r>
        <w:rPr>
          <w:rFonts w:ascii="Times New Roman" w:eastAsia="Times New Roman" w:hAnsi="Times New Roman"/>
          <w:color w:val="000000"/>
          <w:sz w:val="20"/>
        </w:rPr>
        <w:t>The principal contribution is continuity. A finding remains connected to its measurement. A measurement remains connected to its frame and evidence horizon. A frame remains connected to canonical events. Canonical events remain connected to source spans and declared transformations. The preserved artifact retains those relationships so another investigator can replay, compare, challenge, or supersede the account.</w:t>
      </w:r>
    </w:p>
    <w:p w14:paraId="56A46139" w14:textId="77777777" w:rsidR="00002650" w:rsidRDefault="00002650" w:rsidP="00002650">
      <w:pPr>
        <w:spacing w:before="120"/>
        <w:ind w:left="720" w:right="720"/>
        <w:jc w:val="center"/>
      </w:pPr>
      <w:r>
        <w:rPr>
          <w:rFonts w:ascii="Times New Roman" w:eastAsia="Times New Roman" w:hAnsi="Times New Roman"/>
          <w:b/>
          <w:i/>
          <w:color w:val="17324D"/>
          <w:sz w:val="20"/>
        </w:rPr>
        <w:t>Computational behavior becomes architecturally investigable when its events, coordinates, roles, trajectories, measurements, findings, and source lineage remain distinguishable and traversable within one governed runtime representation.</w:t>
      </w:r>
    </w:p>
    <w:p w14:paraId="7B32B83F" w14:textId="77777777" w:rsidR="00002650" w:rsidRPr="00002650" w:rsidRDefault="00002650" w:rsidP="00002650">
      <w:pPr>
        <w:pStyle w:val="Heading1"/>
        <w:pageBreakBefore/>
        <w:rPr>
          <w:b/>
          <w:bCs/>
          <w:color w:val="4F46E5"/>
        </w:rPr>
      </w:pPr>
      <w:r w:rsidRPr="00002650">
        <w:rPr>
          <w:rFonts w:ascii="Arial" w:eastAsia="Times New Roman" w:hAnsi="Arial"/>
          <w:b/>
          <w:bCs/>
          <w:color w:val="4F46E5"/>
          <w:sz w:val="29"/>
        </w:rPr>
        <w:t>References</w:t>
      </w:r>
    </w:p>
    <w:p w14:paraId="63D34258" w14:textId="77777777" w:rsidR="00002650" w:rsidRDefault="00002650" w:rsidP="00002650">
      <w:pPr>
        <w:spacing w:after="84" w:line="240" w:lineRule="auto"/>
        <w:ind w:left="403" w:hanging="403"/>
      </w:pPr>
      <w:r>
        <w:rPr>
          <w:rFonts w:ascii="Times New Roman" w:eastAsia="Times New Roman" w:hAnsi="Times New Roman"/>
          <w:color w:val="000000"/>
          <w:sz w:val="17"/>
        </w:rPr>
        <w:t xml:space="preserve">1. Asadi A. </w:t>
      </w:r>
      <w:r>
        <w:rPr>
          <w:rFonts w:ascii="Times New Roman" w:eastAsia="Times New Roman" w:hAnsi="Times New Roman"/>
          <w:i/>
          <w:color w:val="000000"/>
          <w:sz w:val="17"/>
        </w:rPr>
        <w:t>Longitudinal Computational Dynamics Foundations for the Study of Computational Organization Across Extended Runtime</w:t>
      </w:r>
      <w:r>
        <w:rPr>
          <w:rFonts w:ascii="Times New Roman" w:eastAsia="Times New Roman" w:hAnsi="Times New Roman"/>
          <w:color w:val="000000"/>
          <w:sz w:val="17"/>
        </w:rPr>
        <w:t>. Version 1.0. SubstrateX; 2026.</w:t>
      </w:r>
    </w:p>
    <w:p w14:paraId="3AA514BE" w14:textId="77777777" w:rsidR="00002650" w:rsidRDefault="00002650" w:rsidP="00002650">
      <w:pPr>
        <w:spacing w:after="84" w:line="240" w:lineRule="auto"/>
        <w:ind w:left="403" w:hanging="403"/>
      </w:pPr>
      <w:r>
        <w:rPr>
          <w:rFonts w:ascii="Times New Roman" w:eastAsia="Times New Roman" w:hAnsi="Times New Roman"/>
          <w:color w:val="000000"/>
          <w:sz w:val="17"/>
        </w:rPr>
        <w:t xml:space="preserve">2. Asadi A. </w:t>
      </w:r>
      <w:r>
        <w:rPr>
          <w:rFonts w:ascii="Times New Roman" w:eastAsia="Times New Roman" w:hAnsi="Times New Roman"/>
          <w:i/>
          <w:color w:val="000000"/>
          <w:sz w:val="17"/>
        </w:rPr>
        <w:t>Validating Longitudinal Computational Dynamics Deterministic Runtime Evidence and Discrimination of Computational Regime Transitions</w:t>
      </w:r>
      <w:r>
        <w:rPr>
          <w:rFonts w:ascii="Times New Roman" w:eastAsia="Times New Roman" w:hAnsi="Times New Roman"/>
          <w:color w:val="000000"/>
          <w:sz w:val="17"/>
        </w:rPr>
        <w:t>. Version 1.0. SubstrateX; 2026.</w:t>
      </w:r>
    </w:p>
    <w:p w14:paraId="6A1990A4" w14:textId="77777777" w:rsidR="00002650" w:rsidRDefault="00002650" w:rsidP="00002650">
      <w:pPr>
        <w:spacing w:after="84" w:line="240" w:lineRule="auto"/>
        <w:ind w:left="403" w:hanging="403"/>
      </w:pPr>
      <w:r>
        <w:rPr>
          <w:rFonts w:ascii="Times New Roman" w:eastAsia="Times New Roman" w:hAnsi="Times New Roman"/>
          <w:color w:val="000000"/>
          <w:sz w:val="17"/>
        </w:rPr>
        <w:t xml:space="preserve">3. Asadi A. </w:t>
      </w:r>
      <w:r>
        <w:rPr>
          <w:rFonts w:ascii="Times New Roman" w:eastAsia="Times New Roman" w:hAnsi="Times New Roman"/>
          <w:i/>
          <w:color w:val="000000"/>
          <w:sz w:val="17"/>
        </w:rPr>
        <w:t>Aperture Methods A Reference Implementation for Evidence Governed Runtime Reconstruction</w:t>
      </w:r>
      <w:r>
        <w:rPr>
          <w:rFonts w:ascii="Times New Roman" w:eastAsia="Times New Roman" w:hAnsi="Times New Roman"/>
          <w:color w:val="000000"/>
          <w:sz w:val="17"/>
        </w:rPr>
        <w:t>. Version 1.0. SubstrateX; 2026.</w:t>
      </w:r>
    </w:p>
    <w:p w14:paraId="71CED8B0" w14:textId="77777777" w:rsidR="00002650" w:rsidRDefault="00002650" w:rsidP="00002650">
      <w:pPr>
        <w:spacing w:after="84" w:line="240" w:lineRule="auto"/>
        <w:ind w:left="403" w:hanging="403"/>
      </w:pPr>
      <w:r>
        <w:rPr>
          <w:rFonts w:ascii="Times New Roman" w:eastAsia="Times New Roman" w:hAnsi="Times New Roman"/>
          <w:color w:val="000000"/>
          <w:sz w:val="17"/>
        </w:rPr>
        <w:t xml:space="preserve">4. Asadi A. </w:t>
      </w:r>
      <w:r>
        <w:rPr>
          <w:rFonts w:ascii="Times New Roman" w:eastAsia="Times New Roman" w:hAnsi="Times New Roman"/>
          <w:i/>
          <w:color w:val="000000"/>
          <w:sz w:val="17"/>
        </w:rPr>
        <w:t>Foundations of Runtime Evidence Source Bound Deterministic and Claim Governed Reconstruction of Longitudinal Computational Behavior</w:t>
      </w:r>
      <w:r>
        <w:rPr>
          <w:rFonts w:ascii="Times New Roman" w:eastAsia="Times New Roman" w:hAnsi="Times New Roman"/>
          <w:color w:val="000000"/>
          <w:sz w:val="17"/>
        </w:rPr>
        <w:t>. Version 2.0. SubstrateX; 2026.</w:t>
      </w:r>
    </w:p>
    <w:p w14:paraId="275BD478" w14:textId="77777777" w:rsidR="00002650" w:rsidRDefault="00002650" w:rsidP="00002650">
      <w:pPr>
        <w:spacing w:after="84" w:line="240" w:lineRule="auto"/>
        <w:ind w:left="403" w:hanging="403"/>
      </w:pPr>
      <w:r>
        <w:rPr>
          <w:rFonts w:ascii="Times New Roman" w:eastAsia="Times New Roman" w:hAnsi="Times New Roman"/>
          <w:color w:val="000000"/>
          <w:sz w:val="17"/>
        </w:rPr>
        <w:t xml:space="preserve">5. Asadi A. </w:t>
      </w:r>
      <w:r>
        <w:rPr>
          <w:rFonts w:ascii="Times New Roman" w:eastAsia="Times New Roman" w:hAnsi="Times New Roman"/>
          <w:i/>
          <w:color w:val="000000"/>
          <w:sz w:val="17"/>
        </w:rPr>
        <w:t>Foundations of Evidence Governed Computation Evidence Authority Claim Admissibility and Bounded Computational Projection</w:t>
      </w:r>
      <w:r>
        <w:rPr>
          <w:rFonts w:ascii="Times New Roman" w:eastAsia="Times New Roman" w:hAnsi="Times New Roman"/>
          <w:color w:val="000000"/>
          <w:sz w:val="17"/>
        </w:rPr>
        <w:t>. Version 2.0. SubstrateX; 2026.</w:t>
      </w:r>
    </w:p>
    <w:p w14:paraId="08F2D53E" w14:textId="77777777" w:rsidR="00002650" w:rsidRDefault="00002650" w:rsidP="00002650">
      <w:pPr>
        <w:spacing w:after="84" w:line="240" w:lineRule="auto"/>
        <w:ind w:left="403" w:hanging="403"/>
      </w:pPr>
      <w:r>
        <w:rPr>
          <w:rFonts w:ascii="Times New Roman" w:eastAsia="Times New Roman" w:hAnsi="Times New Roman"/>
          <w:color w:val="000000"/>
          <w:sz w:val="17"/>
        </w:rPr>
        <w:t xml:space="preserve">6. </w:t>
      </w:r>
      <w:proofErr w:type="spellStart"/>
      <w:r>
        <w:rPr>
          <w:rFonts w:ascii="Times New Roman" w:eastAsia="Times New Roman" w:hAnsi="Times New Roman"/>
          <w:color w:val="000000"/>
          <w:sz w:val="17"/>
        </w:rPr>
        <w:t>Leucker</w:t>
      </w:r>
      <w:proofErr w:type="spellEnd"/>
      <w:r>
        <w:rPr>
          <w:rFonts w:ascii="Times New Roman" w:eastAsia="Times New Roman" w:hAnsi="Times New Roman"/>
          <w:color w:val="000000"/>
          <w:sz w:val="17"/>
        </w:rPr>
        <w:t xml:space="preserve"> M, </w:t>
      </w:r>
      <w:proofErr w:type="spellStart"/>
      <w:r>
        <w:rPr>
          <w:rFonts w:ascii="Times New Roman" w:eastAsia="Times New Roman" w:hAnsi="Times New Roman"/>
          <w:color w:val="000000"/>
          <w:sz w:val="17"/>
        </w:rPr>
        <w:t>Schallhart</w:t>
      </w:r>
      <w:proofErr w:type="spellEnd"/>
      <w:r>
        <w:rPr>
          <w:rFonts w:ascii="Times New Roman" w:eastAsia="Times New Roman" w:hAnsi="Times New Roman"/>
          <w:color w:val="000000"/>
          <w:sz w:val="17"/>
        </w:rPr>
        <w:t xml:space="preserve"> C. A brief account of runtime verification. </w:t>
      </w:r>
      <w:r>
        <w:rPr>
          <w:rFonts w:ascii="Times New Roman" w:eastAsia="Times New Roman" w:hAnsi="Times New Roman"/>
          <w:i/>
          <w:color w:val="000000"/>
          <w:sz w:val="17"/>
        </w:rPr>
        <w:t>The Journal of Logic and Algebraic Programming</w:t>
      </w:r>
      <w:r>
        <w:rPr>
          <w:rFonts w:ascii="Times New Roman" w:eastAsia="Times New Roman" w:hAnsi="Times New Roman"/>
          <w:color w:val="000000"/>
          <w:sz w:val="17"/>
        </w:rPr>
        <w:t xml:space="preserve">. 2009;78(5):293-303. </w:t>
      </w:r>
      <w:hyperlink r:id="rId19">
        <w:r>
          <w:rPr>
            <w:rFonts w:ascii="Times New Roman" w:hAnsi="Times New Roman"/>
            <w:color w:val="2E5D83"/>
            <w:sz w:val="18"/>
            <w:u w:val="single"/>
          </w:rPr>
          <w:t>https://doi.org/10.1016/j.jlap.2008.08.004</w:t>
        </w:r>
      </w:hyperlink>
    </w:p>
    <w:p w14:paraId="66EB503C" w14:textId="77777777" w:rsidR="00002650" w:rsidRDefault="00002650" w:rsidP="00002650">
      <w:pPr>
        <w:spacing w:after="84" w:line="240" w:lineRule="auto"/>
        <w:ind w:left="403" w:hanging="403"/>
      </w:pPr>
      <w:r>
        <w:rPr>
          <w:rFonts w:ascii="Times New Roman" w:eastAsia="Times New Roman" w:hAnsi="Times New Roman"/>
          <w:color w:val="000000"/>
          <w:sz w:val="17"/>
        </w:rPr>
        <w:t xml:space="preserve">7. van der Aalst WMP. </w:t>
      </w:r>
      <w:r>
        <w:rPr>
          <w:rFonts w:ascii="Times New Roman" w:eastAsia="Times New Roman" w:hAnsi="Times New Roman"/>
          <w:i/>
          <w:color w:val="000000"/>
          <w:sz w:val="17"/>
        </w:rPr>
        <w:t>Process Mining Data Science in Action</w:t>
      </w:r>
      <w:r>
        <w:rPr>
          <w:rFonts w:ascii="Times New Roman" w:eastAsia="Times New Roman" w:hAnsi="Times New Roman"/>
          <w:color w:val="000000"/>
          <w:sz w:val="17"/>
        </w:rPr>
        <w:t xml:space="preserve">. 2nd ed. Springer; 2016. </w:t>
      </w:r>
      <w:hyperlink r:id="rId20">
        <w:r>
          <w:rPr>
            <w:rFonts w:ascii="Times New Roman" w:hAnsi="Times New Roman"/>
            <w:color w:val="2E5D83"/>
            <w:sz w:val="18"/>
            <w:u w:val="single"/>
          </w:rPr>
          <w:t>https://doi.org/10.1007/978-3-662-49851-4</w:t>
        </w:r>
      </w:hyperlink>
    </w:p>
    <w:p w14:paraId="6C720E26" w14:textId="77777777" w:rsidR="00002650" w:rsidRDefault="00002650" w:rsidP="00002650">
      <w:pPr>
        <w:spacing w:after="84" w:line="240" w:lineRule="auto"/>
        <w:ind w:left="403" w:hanging="403"/>
      </w:pPr>
      <w:r>
        <w:rPr>
          <w:rFonts w:ascii="Times New Roman" w:eastAsia="Times New Roman" w:hAnsi="Times New Roman"/>
          <w:color w:val="000000"/>
          <w:sz w:val="17"/>
        </w:rPr>
        <w:t xml:space="preserve">8. Lamport L. Time clocks and the ordering of events in a distributed system. </w:t>
      </w:r>
      <w:r>
        <w:rPr>
          <w:rFonts w:ascii="Times New Roman" w:eastAsia="Times New Roman" w:hAnsi="Times New Roman"/>
          <w:i/>
          <w:color w:val="000000"/>
          <w:sz w:val="17"/>
        </w:rPr>
        <w:t>Communications of the ACM</w:t>
      </w:r>
      <w:r>
        <w:rPr>
          <w:rFonts w:ascii="Times New Roman" w:eastAsia="Times New Roman" w:hAnsi="Times New Roman"/>
          <w:color w:val="000000"/>
          <w:sz w:val="17"/>
        </w:rPr>
        <w:t xml:space="preserve">. 1978;21(7):558-565. </w:t>
      </w:r>
      <w:hyperlink r:id="rId21">
        <w:r>
          <w:rPr>
            <w:rFonts w:ascii="Times New Roman" w:hAnsi="Times New Roman"/>
            <w:color w:val="2E5D83"/>
            <w:sz w:val="18"/>
            <w:u w:val="single"/>
          </w:rPr>
          <w:t>https://doi.org/10.1145/359545.359563</w:t>
        </w:r>
      </w:hyperlink>
    </w:p>
    <w:p w14:paraId="6E95A769" w14:textId="77777777" w:rsidR="00002650" w:rsidRDefault="00002650" w:rsidP="00002650">
      <w:pPr>
        <w:spacing w:after="84" w:line="240" w:lineRule="auto"/>
        <w:ind w:left="403" w:hanging="403"/>
      </w:pPr>
      <w:r>
        <w:rPr>
          <w:rFonts w:ascii="Times New Roman" w:eastAsia="Times New Roman" w:hAnsi="Times New Roman"/>
          <w:color w:val="000000"/>
          <w:sz w:val="17"/>
        </w:rPr>
        <w:t xml:space="preserve">9. Moreau L, </w:t>
      </w:r>
      <w:proofErr w:type="spellStart"/>
      <w:r>
        <w:rPr>
          <w:rFonts w:ascii="Times New Roman" w:eastAsia="Times New Roman" w:hAnsi="Times New Roman"/>
          <w:color w:val="000000"/>
          <w:sz w:val="17"/>
        </w:rPr>
        <w:t>Missier</w:t>
      </w:r>
      <w:proofErr w:type="spellEnd"/>
      <w:r>
        <w:rPr>
          <w:rFonts w:ascii="Times New Roman" w:eastAsia="Times New Roman" w:hAnsi="Times New Roman"/>
          <w:color w:val="000000"/>
          <w:sz w:val="17"/>
        </w:rPr>
        <w:t xml:space="preserve"> P, editors. </w:t>
      </w:r>
      <w:r>
        <w:rPr>
          <w:rFonts w:ascii="Times New Roman" w:eastAsia="Times New Roman" w:hAnsi="Times New Roman"/>
          <w:i/>
          <w:color w:val="000000"/>
          <w:sz w:val="17"/>
        </w:rPr>
        <w:t>PROV-DM The PROV Data Model</w:t>
      </w:r>
      <w:r>
        <w:rPr>
          <w:rFonts w:ascii="Times New Roman" w:eastAsia="Times New Roman" w:hAnsi="Times New Roman"/>
          <w:color w:val="000000"/>
          <w:sz w:val="17"/>
        </w:rPr>
        <w:t xml:space="preserve">. W3C Recommendation; 2013. </w:t>
      </w:r>
      <w:hyperlink r:id="rId22">
        <w:r>
          <w:rPr>
            <w:rFonts w:ascii="Times New Roman" w:hAnsi="Times New Roman"/>
            <w:color w:val="2E5D83"/>
            <w:sz w:val="18"/>
            <w:u w:val="single"/>
          </w:rPr>
          <w:t>https://www.w3.org/TR/prov-dm/</w:t>
        </w:r>
      </w:hyperlink>
    </w:p>
    <w:p w14:paraId="7E445EA7" w14:textId="77777777" w:rsidR="00002650" w:rsidRDefault="00002650" w:rsidP="00002650">
      <w:pPr>
        <w:spacing w:after="84" w:line="240" w:lineRule="auto"/>
        <w:ind w:left="403" w:hanging="403"/>
      </w:pPr>
      <w:r>
        <w:rPr>
          <w:rFonts w:ascii="Times New Roman" w:eastAsia="Times New Roman" w:hAnsi="Times New Roman"/>
          <w:color w:val="000000"/>
          <w:sz w:val="17"/>
        </w:rPr>
        <w:t xml:space="preserve">10. Lebo T, Sahoo S, McGuinness D, editors. </w:t>
      </w:r>
      <w:r>
        <w:rPr>
          <w:rFonts w:ascii="Times New Roman" w:eastAsia="Times New Roman" w:hAnsi="Times New Roman"/>
          <w:i/>
          <w:color w:val="000000"/>
          <w:sz w:val="17"/>
        </w:rPr>
        <w:t>PROV-O The PROV Ontology</w:t>
      </w:r>
      <w:r>
        <w:rPr>
          <w:rFonts w:ascii="Times New Roman" w:eastAsia="Times New Roman" w:hAnsi="Times New Roman"/>
          <w:color w:val="000000"/>
          <w:sz w:val="17"/>
        </w:rPr>
        <w:t xml:space="preserve">. W3C Recommendation; 2013. </w:t>
      </w:r>
      <w:hyperlink r:id="rId23">
        <w:r>
          <w:rPr>
            <w:rFonts w:ascii="Times New Roman" w:hAnsi="Times New Roman"/>
            <w:color w:val="2E5D83"/>
            <w:sz w:val="18"/>
            <w:u w:val="single"/>
          </w:rPr>
          <w:t>https://www.w3.org/TR/prov-o/</w:t>
        </w:r>
      </w:hyperlink>
    </w:p>
    <w:p w14:paraId="1FF02215" w14:textId="77777777" w:rsidR="00002650" w:rsidRDefault="00002650" w:rsidP="00002650">
      <w:pPr>
        <w:spacing w:after="84" w:line="240" w:lineRule="auto"/>
        <w:ind w:left="403" w:hanging="403"/>
      </w:pPr>
      <w:r>
        <w:rPr>
          <w:rFonts w:ascii="Times New Roman" w:eastAsia="Times New Roman" w:hAnsi="Times New Roman"/>
          <w:color w:val="000000"/>
          <w:sz w:val="17"/>
        </w:rPr>
        <w:t xml:space="preserve">11. Rundgren A, Jordan B, </w:t>
      </w:r>
      <w:proofErr w:type="spellStart"/>
      <w:r>
        <w:rPr>
          <w:rFonts w:ascii="Times New Roman" w:eastAsia="Times New Roman" w:hAnsi="Times New Roman"/>
          <w:color w:val="000000"/>
          <w:sz w:val="17"/>
        </w:rPr>
        <w:t>Erdtman</w:t>
      </w:r>
      <w:proofErr w:type="spellEnd"/>
      <w:r>
        <w:rPr>
          <w:rFonts w:ascii="Times New Roman" w:eastAsia="Times New Roman" w:hAnsi="Times New Roman"/>
          <w:color w:val="000000"/>
          <w:sz w:val="17"/>
        </w:rPr>
        <w:t xml:space="preserve"> S. </w:t>
      </w:r>
      <w:r>
        <w:rPr>
          <w:rFonts w:ascii="Times New Roman" w:eastAsia="Times New Roman" w:hAnsi="Times New Roman"/>
          <w:i/>
          <w:color w:val="000000"/>
          <w:sz w:val="17"/>
        </w:rPr>
        <w:t>JSON Canonicalization Scheme JCS</w:t>
      </w:r>
      <w:r>
        <w:rPr>
          <w:rFonts w:ascii="Times New Roman" w:eastAsia="Times New Roman" w:hAnsi="Times New Roman"/>
          <w:color w:val="000000"/>
          <w:sz w:val="17"/>
        </w:rPr>
        <w:t xml:space="preserve">. RFC 8785. Internet Engineering Task Force; 2020. </w:t>
      </w:r>
      <w:hyperlink r:id="rId24">
        <w:r>
          <w:rPr>
            <w:rFonts w:ascii="Times New Roman" w:hAnsi="Times New Roman"/>
            <w:color w:val="2E5D83"/>
            <w:sz w:val="18"/>
            <w:u w:val="single"/>
          </w:rPr>
          <w:t>https://doi.org/10.17487/RFC8785</w:t>
        </w:r>
      </w:hyperlink>
    </w:p>
    <w:p w14:paraId="5A584B61" w14:textId="77777777" w:rsidR="00002650" w:rsidRDefault="00002650" w:rsidP="00002650">
      <w:pPr>
        <w:spacing w:after="84" w:line="240" w:lineRule="auto"/>
        <w:ind w:left="403" w:hanging="403"/>
      </w:pPr>
      <w:r>
        <w:rPr>
          <w:rFonts w:ascii="Times New Roman" w:eastAsia="Times New Roman" w:hAnsi="Times New Roman"/>
          <w:color w:val="000000"/>
          <w:sz w:val="17"/>
        </w:rPr>
        <w:t xml:space="preserve">12. Birkholz H, Thaler D, Richardson M, Smith N, Pan W. </w:t>
      </w:r>
      <w:r>
        <w:rPr>
          <w:rFonts w:ascii="Times New Roman" w:eastAsia="Times New Roman" w:hAnsi="Times New Roman"/>
          <w:i/>
          <w:color w:val="000000"/>
          <w:sz w:val="17"/>
        </w:rPr>
        <w:t xml:space="preserve">Remote </w:t>
      </w:r>
      <w:proofErr w:type="spellStart"/>
      <w:r>
        <w:rPr>
          <w:rFonts w:ascii="Times New Roman" w:eastAsia="Times New Roman" w:hAnsi="Times New Roman"/>
          <w:i/>
          <w:color w:val="000000"/>
          <w:sz w:val="17"/>
        </w:rPr>
        <w:t>ATtestation</w:t>
      </w:r>
      <w:proofErr w:type="spellEnd"/>
      <w:r>
        <w:rPr>
          <w:rFonts w:ascii="Times New Roman" w:eastAsia="Times New Roman" w:hAnsi="Times New Roman"/>
          <w:i/>
          <w:color w:val="000000"/>
          <w:sz w:val="17"/>
        </w:rPr>
        <w:t xml:space="preserve"> </w:t>
      </w:r>
      <w:proofErr w:type="spellStart"/>
      <w:r>
        <w:rPr>
          <w:rFonts w:ascii="Times New Roman" w:eastAsia="Times New Roman" w:hAnsi="Times New Roman"/>
          <w:i/>
          <w:color w:val="000000"/>
          <w:sz w:val="17"/>
        </w:rPr>
        <w:t>procedureS</w:t>
      </w:r>
      <w:proofErr w:type="spellEnd"/>
      <w:r>
        <w:rPr>
          <w:rFonts w:ascii="Times New Roman" w:eastAsia="Times New Roman" w:hAnsi="Times New Roman"/>
          <w:i/>
          <w:color w:val="000000"/>
          <w:sz w:val="17"/>
        </w:rPr>
        <w:t xml:space="preserve"> RATS Architecture</w:t>
      </w:r>
      <w:r>
        <w:rPr>
          <w:rFonts w:ascii="Times New Roman" w:eastAsia="Times New Roman" w:hAnsi="Times New Roman"/>
          <w:color w:val="000000"/>
          <w:sz w:val="17"/>
        </w:rPr>
        <w:t xml:space="preserve">. RFC 9334. Internet Engineering Task Force; 2023. </w:t>
      </w:r>
      <w:hyperlink r:id="rId25">
        <w:r>
          <w:rPr>
            <w:rFonts w:ascii="Times New Roman" w:hAnsi="Times New Roman"/>
            <w:color w:val="2E5D83"/>
            <w:sz w:val="18"/>
            <w:u w:val="single"/>
          </w:rPr>
          <w:t>https://doi.org/10.17487/RFC9334</w:t>
        </w:r>
      </w:hyperlink>
    </w:p>
    <w:p w14:paraId="0850BA95" w14:textId="77777777" w:rsidR="00002650" w:rsidRDefault="00002650" w:rsidP="00002650">
      <w:pPr>
        <w:spacing w:after="84" w:line="240" w:lineRule="auto"/>
        <w:ind w:left="403" w:hanging="403"/>
      </w:pPr>
      <w:r>
        <w:rPr>
          <w:rFonts w:ascii="Times New Roman" w:eastAsia="Times New Roman" w:hAnsi="Times New Roman"/>
          <w:color w:val="000000"/>
          <w:sz w:val="17"/>
        </w:rPr>
        <w:t xml:space="preserve">13. National Academies of Sciences Engineering and Medicine. </w:t>
      </w:r>
      <w:r>
        <w:rPr>
          <w:rFonts w:ascii="Times New Roman" w:eastAsia="Times New Roman" w:hAnsi="Times New Roman"/>
          <w:i/>
          <w:color w:val="000000"/>
          <w:sz w:val="17"/>
        </w:rPr>
        <w:t>Reproducibility and Replicability in Science</w:t>
      </w:r>
      <w:r>
        <w:rPr>
          <w:rFonts w:ascii="Times New Roman" w:eastAsia="Times New Roman" w:hAnsi="Times New Roman"/>
          <w:color w:val="000000"/>
          <w:sz w:val="17"/>
        </w:rPr>
        <w:t xml:space="preserve">. The National Academies Press; 2019. </w:t>
      </w:r>
      <w:hyperlink r:id="rId26">
        <w:r>
          <w:rPr>
            <w:rFonts w:ascii="Times New Roman" w:hAnsi="Times New Roman"/>
            <w:color w:val="2E5D83"/>
            <w:sz w:val="18"/>
            <w:u w:val="single"/>
          </w:rPr>
          <w:t>https://doi.org/10.17226/25303</w:t>
        </w:r>
      </w:hyperlink>
    </w:p>
    <w:p w14:paraId="1C12A0A7" w14:textId="77777777" w:rsidR="00002650" w:rsidRDefault="00002650" w:rsidP="00002650">
      <w:pPr>
        <w:spacing w:after="84" w:line="240" w:lineRule="auto"/>
        <w:ind w:left="403" w:hanging="403"/>
      </w:pPr>
      <w:r>
        <w:rPr>
          <w:rFonts w:ascii="Times New Roman" w:eastAsia="Times New Roman" w:hAnsi="Times New Roman"/>
          <w:color w:val="000000"/>
          <w:sz w:val="17"/>
        </w:rPr>
        <w:t xml:space="preserve">14. Singh J, Cobbe J, Norval C. Decision provenance harnessing data flow for accountable systems. </w:t>
      </w:r>
      <w:r>
        <w:rPr>
          <w:rFonts w:ascii="Times New Roman" w:eastAsia="Times New Roman" w:hAnsi="Times New Roman"/>
          <w:i/>
          <w:color w:val="000000"/>
          <w:sz w:val="17"/>
        </w:rPr>
        <w:t>IEEE Access</w:t>
      </w:r>
      <w:r>
        <w:rPr>
          <w:rFonts w:ascii="Times New Roman" w:eastAsia="Times New Roman" w:hAnsi="Times New Roman"/>
          <w:color w:val="000000"/>
          <w:sz w:val="17"/>
        </w:rPr>
        <w:t xml:space="preserve">. 2019;7:6562-6574. </w:t>
      </w:r>
      <w:hyperlink r:id="rId27">
        <w:r>
          <w:rPr>
            <w:rFonts w:ascii="Times New Roman" w:hAnsi="Times New Roman"/>
            <w:color w:val="2E5D83"/>
            <w:sz w:val="18"/>
            <w:u w:val="single"/>
          </w:rPr>
          <w:t>https://doi.org/10.1109/ACCESS.2018.2887201</w:t>
        </w:r>
      </w:hyperlink>
    </w:p>
    <w:p w14:paraId="11A9D4D4" w14:textId="77777777" w:rsidR="00002650" w:rsidRDefault="00002650" w:rsidP="00002650">
      <w:pPr>
        <w:spacing w:after="84" w:line="240" w:lineRule="auto"/>
        <w:ind w:left="403" w:hanging="403"/>
      </w:pPr>
      <w:r>
        <w:rPr>
          <w:rFonts w:ascii="Times New Roman" w:eastAsia="Times New Roman" w:hAnsi="Times New Roman"/>
          <w:color w:val="000000"/>
          <w:sz w:val="17"/>
        </w:rPr>
        <w:t xml:space="preserve">15. Cobbe J, Lee MSA, Singh J. Reviewable automated decision-making a framework for accountable algorithmic systems. In </w:t>
      </w:r>
      <w:r>
        <w:rPr>
          <w:rFonts w:ascii="Times New Roman" w:eastAsia="Times New Roman" w:hAnsi="Times New Roman"/>
          <w:i/>
          <w:color w:val="000000"/>
          <w:sz w:val="17"/>
        </w:rPr>
        <w:t>Proceedings of the 2021 ACM Conference on Fairness Accountability and Transparency</w:t>
      </w:r>
      <w:r>
        <w:rPr>
          <w:rFonts w:ascii="Times New Roman" w:eastAsia="Times New Roman" w:hAnsi="Times New Roman"/>
          <w:color w:val="000000"/>
          <w:sz w:val="17"/>
        </w:rPr>
        <w:t xml:space="preserve">. ACM; 2021:598-609. </w:t>
      </w:r>
      <w:hyperlink r:id="rId28">
        <w:r>
          <w:rPr>
            <w:rFonts w:ascii="Times New Roman" w:hAnsi="Times New Roman"/>
            <w:color w:val="2E5D83"/>
            <w:sz w:val="18"/>
            <w:u w:val="single"/>
          </w:rPr>
          <w:t>https://doi.org/10.1145/3442188.3445921</w:t>
        </w:r>
      </w:hyperlink>
    </w:p>
    <w:p w14:paraId="3B56784C" w14:textId="77777777" w:rsidR="00002650" w:rsidRDefault="00002650" w:rsidP="00002650">
      <w:pPr>
        <w:spacing w:after="84" w:line="240" w:lineRule="auto"/>
        <w:ind w:left="403" w:hanging="403"/>
      </w:pPr>
      <w:r>
        <w:rPr>
          <w:rFonts w:ascii="Times New Roman" w:eastAsia="Times New Roman" w:hAnsi="Times New Roman"/>
          <w:color w:val="000000"/>
          <w:sz w:val="17"/>
        </w:rPr>
        <w:t xml:space="preserve">16. Object Management Group. </w:t>
      </w:r>
      <w:r>
        <w:rPr>
          <w:rFonts w:ascii="Times New Roman" w:eastAsia="Times New Roman" w:hAnsi="Times New Roman"/>
          <w:i/>
          <w:color w:val="000000"/>
          <w:sz w:val="17"/>
        </w:rPr>
        <w:t>Structured Assurance Case Metamodel Version 2.2</w:t>
      </w:r>
      <w:r>
        <w:rPr>
          <w:rFonts w:ascii="Times New Roman" w:eastAsia="Times New Roman" w:hAnsi="Times New Roman"/>
          <w:color w:val="000000"/>
          <w:sz w:val="17"/>
        </w:rPr>
        <w:t xml:space="preserve">. 2021. </w:t>
      </w:r>
      <w:hyperlink r:id="rId29">
        <w:r>
          <w:rPr>
            <w:rFonts w:ascii="Times New Roman" w:hAnsi="Times New Roman"/>
            <w:color w:val="2E5D83"/>
            <w:sz w:val="18"/>
            <w:u w:val="single"/>
          </w:rPr>
          <w:t>https://www.omg.org/spec/SACM/2.2</w:t>
        </w:r>
      </w:hyperlink>
    </w:p>
    <w:p w14:paraId="7F51C6AF" w14:textId="77777777" w:rsidR="00002650" w:rsidRDefault="00002650" w:rsidP="00002650">
      <w:pPr>
        <w:spacing w:after="84" w:line="240" w:lineRule="auto"/>
        <w:ind w:left="403" w:hanging="403"/>
      </w:pPr>
      <w:r>
        <w:rPr>
          <w:rFonts w:ascii="Times New Roman" w:eastAsia="Times New Roman" w:hAnsi="Times New Roman"/>
          <w:color w:val="000000"/>
          <w:sz w:val="17"/>
        </w:rPr>
        <w:t xml:space="preserve">17. National Institute of Standards and Technology. </w:t>
      </w:r>
      <w:r>
        <w:rPr>
          <w:rFonts w:ascii="Times New Roman" w:eastAsia="Times New Roman" w:hAnsi="Times New Roman"/>
          <w:i/>
          <w:color w:val="000000"/>
          <w:sz w:val="17"/>
        </w:rPr>
        <w:t>Artificial Intelligence Risk Management Framework AI RMF 1.0</w:t>
      </w:r>
      <w:r>
        <w:rPr>
          <w:rFonts w:ascii="Times New Roman" w:eastAsia="Times New Roman" w:hAnsi="Times New Roman"/>
          <w:color w:val="000000"/>
          <w:sz w:val="17"/>
        </w:rPr>
        <w:t xml:space="preserve">. NIST AI 100-1; 2023. </w:t>
      </w:r>
      <w:hyperlink r:id="rId30">
        <w:r>
          <w:rPr>
            <w:rFonts w:ascii="Times New Roman" w:hAnsi="Times New Roman"/>
            <w:color w:val="2E5D83"/>
            <w:sz w:val="18"/>
            <w:u w:val="single"/>
          </w:rPr>
          <w:t>https://doi.org/10.6028/NIST.AI.100-1</w:t>
        </w:r>
      </w:hyperlink>
    </w:p>
    <w:p w14:paraId="7F4027EC" w14:textId="77777777" w:rsidR="00002650" w:rsidRPr="00002650" w:rsidRDefault="00002650" w:rsidP="00002650">
      <w:pPr>
        <w:pStyle w:val="Heading1"/>
        <w:pageBreakBefore/>
        <w:rPr>
          <w:b/>
          <w:bCs/>
          <w:color w:val="4F46E5"/>
        </w:rPr>
      </w:pPr>
      <w:r w:rsidRPr="00002650">
        <w:rPr>
          <w:rFonts w:ascii="Arial" w:eastAsia="Times New Roman" w:hAnsi="Arial"/>
          <w:b/>
          <w:bCs/>
          <w:color w:val="4F46E5"/>
          <w:sz w:val="29"/>
        </w:rPr>
        <w:t>Appendix A Minimum Computational Behavior Architecture Object</w:t>
      </w:r>
    </w:p>
    <w:p w14:paraId="5B488EC8" w14:textId="77777777" w:rsidR="00002650" w:rsidRDefault="00002650" w:rsidP="00002650">
      <w:pPr>
        <w:keepNext/>
        <w:spacing w:before="140" w:after="80"/>
      </w:pPr>
      <w:r>
        <w:rPr>
          <w:rFonts w:ascii="Times New Roman" w:eastAsia="Times New Roman" w:hAnsi="Times New Roman"/>
          <w:i/>
          <w:color w:val="66717C"/>
          <w:sz w:val="18"/>
        </w:rPr>
        <w:t>Table 12. Minimum content of a Computational Behavior Architecture object.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7776"/>
      </w:tblGrid>
      <w:tr w:rsidR="00002650" w14:paraId="56EA41FE" w14:textId="77777777">
        <w:trPr>
          <w:cantSplit/>
          <w:tblHeader/>
          <w:jc w:val="center"/>
        </w:trPr>
        <w:tc>
          <w:tcPr>
            <w:tcW w:w="1944" w:type="dxa"/>
            <w:shd w:val="clear" w:color="auto" w:fill="17324D"/>
            <w:tcMar>
              <w:top w:w="70" w:type="dxa"/>
              <w:left w:w="100" w:type="dxa"/>
              <w:bottom w:w="70" w:type="dxa"/>
              <w:right w:w="100" w:type="dxa"/>
            </w:tcMar>
            <w:vAlign w:val="center"/>
          </w:tcPr>
          <w:p w14:paraId="099A66DA" w14:textId="77777777" w:rsidR="00002650" w:rsidRDefault="00002650" w:rsidP="00F96983">
            <w:pPr>
              <w:spacing w:after="0" w:line="240" w:lineRule="auto"/>
            </w:pPr>
            <w:r>
              <w:rPr>
                <w:rFonts w:ascii="Arial" w:eastAsia="Times New Roman" w:hAnsi="Arial"/>
                <w:b/>
                <w:color w:val="FFFFFF"/>
                <w:sz w:val="17"/>
              </w:rPr>
              <w:t>Domain</w:t>
            </w:r>
          </w:p>
        </w:tc>
        <w:tc>
          <w:tcPr>
            <w:tcW w:w="7776" w:type="dxa"/>
            <w:shd w:val="clear" w:color="auto" w:fill="17324D"/>
            <w:tcMar>
              <w:top w:w="70" w:type="dxa"/>
              <w:left w:w="100" w:type="dxa"/>
              <w:bottom w:w="70" w:type="dxa"/>
              <w:right w:w="100" w:type="dxa"/>
            </w:tcMar>
            <w:vAlign w:val="center"/>
          </w:tcPr>
          <w:p w14:paraId="036864A8" w14:textId="77777777" w:rsidR="00002650" w:rsidRDefault="00002650" w:rsidP="00F96983">
            <w:pPr>
              <w:spacing w:after="0" w:line="240" w:lineRule="auto"/>
            </w:pPr>
            <w:r>
              <w:rPr>
                <w:rFonts w:ascii="Arial" w:eastAsia="Times New Roman" w:hAnsi="Arial"/>
                <w:b/>
                <w:color w:val="FFFFFF"/>
                <w:sz w:val="17"/>
              </w:rPr>
              <w:t>Minimum content</w:t>
            </w:r>
          </w:p>
        </w:tc>
      </w:tr>
      <w:tr w:rsidR="00002650" w14:paraId="329436B7" w14:textId="77777777">
        <w:trPr>
          <w:cantSplit/>
          <w:jc w:val="center"/>
        </w:trPr>
        <w:tc>
          <w:tcPr>
            <w:tcW w:w="1944" w:type="dxa"/>
            <w:shd w:val="clear" w:color="auto" w:fill="FFFFFF"/>
            <w:tcMar>
              <w:top w:w="70" w:type="dxa"/>
              <w:left w:w="100" w:type="dxa"/>
              <w:bottom w:w="70" w:type="dxa"/>
              <w:right w:w="100" w:type="dxa"/>
            </w:tcMar>
            <w:vAlign w:val="center"/>
          </w:tcPr>
          <w:p w14:paraId="73F2999E" w14:textId="77777777" w:rsidR="00002650" w:rsidRDefault="00002650" w:rsidP="00F96983">
            <w:pPr>
              <w:spacing w:after="0" w:line="240" w:lineRule="auto"/>
            </w:pPr>
            <w:r>
              <w:rPr>
                <w:rFonts w:ascii="Times New Roman" w:eastAsia="Times New Roman" w:hAnsi="Times New Roman"/>
                <w:color w:val="000000"/>
                <w:sz w:val="17"/>
              </w:rPr>
              <w:t>Identity</w:t>
            </w:r>
          </w:p>
        </w:tc>
        <w:tc>
          <w:tcPr>
            <w:tcW w:w="7776" w:type="dxa"/>
            <w:shd w:val="clear" w:color="auto" w:fill="FFFFFF"/>
            <w:tcMar>
              <w:top w:w="70" w:type="dxa"/>
              <w:left w:w="100" w:type="dxa"/>
              <w:bottom w:w="70" w:type="dxa"/>
              <w:right w:w="100" w:type="dxa"/>
            </w:tcMar>
            <w:vAlign w:val="center"/>
          </w:tcPr>
          <w:p w14:paraId="3CFC3544" w14:textId="77777777" w:rsidR="00002650" w:rsidRDefault="00002650" w:rsidP="00F96983">
            <w:pPr>
              <w:spacing w:after="0" w:line="240" w:lineRule="auto"/>
            </w:pPr>
            <w:r>
              <w:rPr>
                <w:rFonts w:ascii="Times New Roman" w:eastAsia="Times New Roman" w:hAnsi="Times New Roman"/>
                <w:color w:val="000000"/>
                <w:sz w:val="17"/>
              </w:rPr>
              <w:t>Architecture schema, source identity, canonical identity, run identity, evidence-record reference, Passport reference, Evidence Seal reference, artifact references</w:t>
            </w:r>
          </w:p>
        </w:tc>
      </w:tr>
      <w:tr w:rsidR="00002650" w14:paraId="60C93505" w14:textId="77777777">
        <w:trPr>
          <w:cantSplit/>
          <w:jc w:val="center"/>
        </w:trPr>
        <w:tc>
          <w:tcPr>
            <w:tcW w:w="1944" w:type="dxa"/>
            <w:shd w:val="clear" w:color="auto" w:fill="F6F9FB"/>
            <w:tcMar>
              <w:top w:w="70" w:type="dxa"/>
              <w:left w:w="100" w:type="dxa"/>
              <w:bottom w:w="70" w:type="dxa"/>
              <w:right w:w="100" w:type="dxa"/>
            </w:tcMar>
            <w:vAlign w:val="center"/>
          </w:tcPr>
          <w:p w14:paraId="7B03C91E" w14:textId="77777777" w:rsidR="00002650" w:rsidRDefault="00002650" w:rsidP="00F96983">
            <w:pPr>
              <w:spacing w:after="0" w:line="240" w:lineRule="auto"/>
            </w:pPr>
            <w:r>
              <w:rPr>
                <w:rFonts w:ascii="Times New Roman" w:eastAsia="Times New Roman" w:hAnsi="Times New Roman"/>
                <w:color w:val="000000"/>
                <w:sz w:val="17"/>
              </w:rPr>
              <w:t>Source</w:t>
            </w:r>
          </w:p>
        </w:tc>
        <w:tc>
          <w:tcPr>
            <w:tcW w:w="7776" w:type="dxa"/>
            <w:shd w:val="clear" w:color="auto" w:fill="F6F9FB"/>
            <w:tcMar>
              <w:top w:w="70" w:type="dxa"/>
              <w:left w:w="100" w:type="dxa"/>
              <w:bottom w:w="70" w:type="dxa"/>
              <w:right w:w="100" w:type="dxa"/>
            </w:tcMar>
            <w:vAlign w:val="center"/>
          </w:tcPr>
          <w:p w14:paraId="5B477E68" w14:textId="77777777" w:rsidR="00002650" w:rsidRDefault="00002650" w:rsidP="00F96983">
            <w:pPr>
              <w:spacing w:after="0" w:line="240" w:lineRule="auto"/>
            </w:pPr>
            <w:r>
              <w:rPr>
                <w:rFonts w:ascii="Times New Roman" w:eastAsia="Times New Roman" w:hAnsi="Times New Roman"/>
                <w:color w:val="000000"/>
                <w:sz w:val="17"/>
              </w:rPr>
              <w:t>Source package, source spans or stable references, provenance, acquisition context, access and redaction state, permitted-use condition</w:t>
            </w:r>
          </w:p>
        </w:tc>
      </w:tr>
      <w:tr w:rsidR="00002650" w14:paraId="77A9FE15" w14:textId="77777777">
        <w:trPr>
          <w:cantSplit/>
          <w:jc w:val="center"/>
        </w:trPr>
        <w:tc>
          <w:tcPr>
            <w:tcW w:w="1944" w:type="dxa"/>
            <w:shd w:val="clear" w:color="auto" w:fill="FFFFFF"/>
            <w:tcMar>
              <w:top w:w="70" w:type="dxa"/>
              <w:left w:w="100" w:type="dxa"/>
              <w:bottom w:w="70" w:type="dxa"/>
              <w:right w:w="100" w:type="dxa"/>
            </w:tcMar>
            <w:vAlign w:val="center"/>
          </w:tcPr>
          <w:p w14:paraId="2203E778" w14:textId="77777777" w:rsidR="00002650" w:rsidRDefault="00002650" w:rsidP="00F96983">
            <w:pPr>
              <w:spacing w:after="0" w:line="240" w:lineRule="auto"/>
            </w:pPr>
            <w:r>
              <w:rPr>
                <w:rFonts w:ascii="Times New Roman" w:eastAsia="Times New Roman" w:hAnsi="Times New Roman"/>
                <w:color w:val="000000"/>
                <w:sz w:val="17"/>
              </w:rPr>
              <w:t>Qualification</w:t>
            </w:r>
          </w:p>
        </w:tc>
        <w:tc>
          <w:tcPr>
            <w:tcW w:w="7776" w:type="dxa"/>
            <w:shd w:val="clear" w:color="auto" w:fill="FFFFFF"/>
            <w:tcMar>
              <w:top w:w="70" w:type="dxa"/>
              <w:left w:w="100" w:type="dxa"/>
              <w:bottom w:w="70" w:type="dxa"/>
              <w:right w:w="100" w:type="dxa"/>
            </w:tcMar>
            <w:vAlign w:val="center"/>
          </w:tcPr>
          <w:p w14:paraId="0AD3BA98" w14:textId="77777777" w:rsidR="00002650" w:rsidRDefault="00002650" w:rsidP="00F96983">
            <w:pPr>
              <w:spacing w:after="0" w:line="240" w:lineRule="auto"/>
            </w:pPr>
            <w:r>
              <w:rPr>
                <w:rFonts w:ascii="Times New Roman" w:eastAsia="Times New Roman" w:hAnsi="Times New Roman"/>
                <w:color w:val="000000"/>
                <w:sz w:val="17"/>
              </w:rPr>
              <w:t>Source family, adapter and version, structural coverage, ambiguity, warnings, exclusions, operator declarations, refusal state</w:t>
            </w:r>
          </w:p>
        </w:tc>
      </w:tr>
      <w:tr w:rsidR="00002650" w14:paraId="52025368" w14:textId="77777777">
        <w:trPr>
          <w:cantSplit/>
          <w:jc w:val="center"/>
        </w:trPr>
        <w:tc>
          <w:tcPr>
            <w:tcW w:w="1944" w:type="dxa"/>
            <w:shd w:val="clear" w:color="auto" w:fill="F6F9FB"/>
            <w:tcMar>
              <w:top w:w="70" w:type="dxa"/>
              <w:left w:w="100" w:type="dxa"/>
              <w:bottom w:w="70" w:type="dxa"/>
              <w:right w:w="100" w:type="dxa"/>
            </w:tcMar>
            <w:vAlign w:val="center"/>
          </w:tcPr>
          <w:p w14:paraId="4F85538E" w14:textId="77777777" w:rsidR="00002650" w:rsidRDefault="00002650" w:rsidP="00F96983">
            <w:pPr>
              <w:spacing w:after="0" w:line="240" w:lineRule="auto"/>
            </w:pPr>
            <w:r>
              <w:rPr>
                <w:rFonts w:ascii="Times New Roman" w:eastAsia="Times New Roman" w:hAnsi="Times New Roman"/>
                <w:color w:val="000000"/>
                <w:sz w:val="17"/>
              </w:rPr>
              <w:t>Canonical events</w:t>
            </w:r>
          </w:p>
        </w:tc>
        <w:tc>
          <w:tcPr>
            <w:tcW w:w="7776" w:type="dxa"/>
            <w:shd w:val="clear" w:color="auto" w:fill="F6F9FB"/>
            <w:tcMar>
              <w:top w:w="70" w:type="dxa"/>
              <w:left w:w="100" w:type="dxa"/>
              <w:bottom w:w="70" w:type="dxa"/>
              <w:right w:w="100" w:type="dxa"/>
            </w:tcMar>
            <w:vAlign w:val="center"/>
          </w:tcPr>
          <w:p w14:paraId="48E34607" w14:textId="77777777" w:rsidR="00002650" w:rsidRDefault="00002650" w:rsidP="00F96983">
            <w:pPr>
              <w:spacing w:after="0" w:line="240" w:lineRule="auto"/>
            </w:pPr>
            <w:r>
              <w:rPr>
                <w:rFonts w:ascii="Times New Roman" w:eastAsia="Times New Roman" w:hAnsi="Times New Roman"/>
                <w:color w:val="000000"/>
                <w:sz w:val="17"/>
              </w:rPr>
              <w:t>Event identity, source mapping, payload reference, event family, actor and role basis, transformation history</w:t>
            </w:r>
          </w:p>
        </w:tc>
      </w:tr>
      <w:tr w:rsidR="00002650" w14:paraId="3C0B5EE1" w14:textId="77777777">
        <w:trPr>
          <w:cantSplit/>
          <w:jc w:val="center"/>
        </w:trPr>
        <w:tc>
          <w:tcPr>
            <w:tcW w:w="1944" w:type="dxa"/>
            <w:shd w:val="clear" w:color="auto" w:fill="FFFFFF"/>
            <w:tcMar>
              <w:top w:w="70" w:type="dxa"/>
              <w:left w:w="100" w:type="dxa"/>
              <w:bottom w:w="70" w:type="dxa"/>
              <w:right w:w="100" w:type="dxa"/>
            </w:tcMar>
            <w:vAlign w:val="center"/>
          </w:tcPr>
          <w:p w14:paraId="3E46A6F4" w14:textId="77777777" w:rsidR="00002650" w:rsidRDefault="00002650" w:rsidP="00F96983">
            <w:pPr>
              <w:spacing w:after="0" w:line="240" w:lineRule="auto"/>
            </w:pPr>
            <w:r>
              <w:rPr>
                <w:rFonts w:ascii="Times New Roman" w:eastAsia="Times New Roman" w:hAnsi="Times New Roman"/>
                <w:color w:val="000000"/>
                <w:sz w:val="17"/>
              </w:rPr>
              <w:t>Temporal structure</w:t>
            </w:r>
          </w:p>
        </w:tc>
        <w:tc>
          <w:tcPr>
            <w:tcW w:w="7776" w:type="dxa"/>
            <w:shd w:val="clear" w:color="auto" w:fill="FFFFFF"/>
            <w:tcMar>
              <w:top w:w="70" w:type="dxa"/>
              <w:left w:w="100" w:type="dxa"/>
              <w:bottom w:w="70" w:type="dxa"/>
              <w:right w:w="100" w:type="dxa"/>
            </w:tcMar>
            <w:vAlign w:val="center"/>
          </w:tcPr>
          <w:p w14:paraId="377FC73E" w14:textId="77777777" w:rsidR="00002650" w:rsidRDefault="00002650" w:rsidP="00F96983">
            <w:pPr>
              <w:spacing w:after="0" w:line="240" w:lineRule="auto"/>
            </w:pPr>
            <w:r>
              <w:rPr>
                <w:rFonts w:ascii="Times New Roman" w:eastAsia="Times New Roman" w:hAnsi="Times New Roman"/>
                <w:color w:val="000000"/>
                <w:sz w:val="17"/>
              </w:rPr>
              <w:t>Coordinate definitions, source and canonical order, dependency relations, precision, conflict, partial-order and display-order state</w:t>
            </w:r>
          </w:p>
        </w:tc>
      </w:tr>
      <w:tr w:rsidR="00002650" w14:paraId="417923CF" w14:textId="77777777">
        <w:trPr>
          <w:cantSplit/>
          <w:jc w:val="center"/>
        </w:trPr>
        <w:tc>
          <w:tcPr>
            <w:tcW w:w="1944" w:type="dxa"/>
            <w:shd w:val="clear" w:color="auto" w:fill="F6F9FB"/>
            <w:tcMar>
              <w:top w:w="70" w:type="dxa"/>
              <w:left w:w="100" w:type="dxa"/>
              <w:bottom w:w="70" w:type="dxa"/>
              <w:right w:w="100" w:type="dxa"/>
            </w:tcMar>
            <w:vAlign w:val="center"/>
          </w:tcPr>
          <w:p w14:paraId="1B43B0E9" w14:textId="77777777" w:rsidR="00002650" w:rsidRDefault="00002650" w:rsidP="00F96983">
            <w:pPr>
              <w:spacing w:after="0" w:line="240" w:lineRule="auto"/>
            </w:pPr>
            <w:r>
              <w:rPr>
                <w:rFonts w:ascii="Times New Roman" w:eastAsia="Times New Roman" w:hAnsi="Times New Roman"/>
                <w:color w:val="000000"/>
                <w:sz w:val="17"/>
              </w:rPr>
              <w:t>Interaction topology</w:t>
            </w:r>
          </w:p>
        </w:tc>
        <w:tc>
          <w:tcPr>
            <w:tcW w:w="7776" w:type="dxa"/>
            <w:shd w:val="clear" w:color="auto" w:fill="F6F9FB"/>
            <w:tcMar>
              <w:top w:w="70" w:type="dxa"/>
              <w:left w:w="100" w:type="dxa"/>
              <w:bottom w:w="70" w:type="dxa"/>
              <w:right w:w="100" w:type="dxa"/>
            </w:tcMar>
            <w:vAlign w:val="center"/>
          </w:tcPr>
          <w:p w14:paraId="0EE6A5F3" w14:textId="77777777" w:rsidR="00002650" w:rsidRDefault="00002650" w:rsidP="00F96983">
            <w:pPr>
              <w:spacing w:after="0" w:line="240" w:lineRule="auto"/>
            </w:pPr>
            <w:r>
              <w:rPr>
                <w:rFonts w:ascii="Times New Roman" w:eastAsia="Times New Roman" w:hAnsi="Times New Roman"/>
                <w:color w:val="000000"/>
                <w:sz w:val="17"/>
              </w:rPr>
              <w:t>Actors, roles and provenance, tools, objectives, handoffs, authority movement, reply and dependency relationships</w:t>
            </w:r>
          </w:p>
        </w:tc>
      </w:tr>
      <w:tr w:rsidR="00002650" w14:paraId="04E8565A" w14:textId="77777777">
        <w:trPr>
          <w:cantSplit/>
          <w:jc w:val="center"/>
        </w:trPr>
        <w:tc>
          <w:tcPr>
            <w:tcW w:w="1944" w:type="dxa"/>
            <w:shd w:val="clear" w:color="auto" w:fill="FFFFFF"/>
            <w:tcMar>
              <w:top w:w="70" w:type="dxa"/>
              <w:left w:w="100" w:type="dxa"/>
              <w:bottom w:w="70" w:type="dxa"/>
              <w:right w:w="100" w:type="dxa"/>
            </w:tcMar>
            <w:vAlign w:val="center"/>
          </w:tcPr>
          <w:p w14:paraId="5F5F8F71" w14:textId="77777777" w:rsidR="00002650" w:rsidRDefault="00002650" w:rsidP="00F96983">
            <w:pPr>
              <w:spacing w:after="0" w:line="240" w:lineRule="auto"/>
            </w:pPr>
            <w:r>
              <w:rPr>
                <w:rFonts w:ascii="Times New Roman" w:eastAsia="Times New Roman" w:hAnsi="Times New Roman"/>
                <w:color w:val="000000"/>
                <w:sz w:val="17"/>
              </w:rPr>
              <w:t>Runtime structure</w:t>
            </w:r>
          </w:p>
        </w:tc>
        <w:tc>
          <w:tcPr>
            <w:tcW w:w="7776" w:type="dxa"/>
            <w:shd w:val="clear" w:color="auto" w:fill="FFFFFF"/>
            <w:tcMar>
              <w:top w:w="70" w:type="dxa"/>
              <w:left w:w="100" w:type="dxa"/>
              <w:bottom w:w="70" w:type="dxa"/>
              <w:right w:w="100" w:type="dxa"/>
            </w:tcMar>
            <w:vAlign w:val="center"/>
          </w:tcPr>
          <w:p w14:paraId="700EDAAF" w14:textId="77777777" w:rsidR="00002650" w:rsidRDefault="00002650" w:rsidP="00F96983">
            <w:pPr>
              <w:spacing w:after="0" w:line="240" w:lineRule="auto"/>
            </w:pPr>
            <w:r>
              <w:rPr>
                <w:rFonts w:ascii="Times New Roman" w:eastAsia="Times New Roman" w:hAnsi="Times New Roman"/>
                <w:color w:val="000000"/>
                <w:sz w:val="17"/>
              </w:rPr>
              <w:t>Event ledger, runtime spine, playback frames, worldline or trajectory references, frame-construction method</w:t>
            </w:r>
          </w:p>
        </w:tc>
      </w:tr>
      <w:tr w:rsidR="00002650" w14:paraId="6AF49E62" w14:textId="77777777">
        <w:trPr>
          <w:cantSplit/>
          <w:jc w:val="center"/>
        </w:trPr>
        <w:tc>
          <w:tcPr>
            <w:tcW w:w="1944" w:type="dxa"/>
            <w:shd w:val="clear" w:color="auto" w:fill="F6F9FB"/>
            <w:tcMar>
              <w:top w:w="70" w:type="dxa"/>
              <w:left w:w="100" w:type="dxa"/>
              <w:bottom w:w="70" w:type="dxa"/>
              <w:right w:w="100" w:type="dxa"/>
            </w:tcMar>
            <w:vAlign w:val="center"/>
          </w:tcPr>
          <w:p w14:paraId="60456806" w14:textId="77777777" w:rsidR="00002650" w:rsidRDefault="00002650" w:rsidP="00F96983">
            <w:pPr>
              <w:spacing w:after="0" w:line="240" w:lineRule="auto"/>
            </w:pPr>
            <w:r>
              <w:rPr>
                <w:rFonts w:ascii="Times New Roman" w:eastAsia="Times New Roman" w:hAnsi="Times New Roman"/>
                <w:color w:val="000000"/>
                <w:sz w:val="17"/>
              </w:rPr>
              <w:t>Measurements</w:t>
            </w:r>
          </w:p>
        </w:tc>
        <w:tc>
          <w:tcPr>
            <w:tcW w:w="7776" w:type="dxa"/>
            <w:shd w:val="clear" w:color="auto" w:fill="F6F9FB"/>
            <w:tcMar>
              <w:top w:w="70" w:type="dxa"/>
              <w:left w:w="100" w:type="dxa"/>
              <w:bottom w:w="70" w:type="dxa"/>
              <w:right w:w="100" w:type="dxa"/>
            </w:tcMar>
            <w:vAlign w:val="center"/>
          </w:tcPr>
          <w:p w14:paraId="61B4AA42" w14:textId="77777777" w:rsidR="00002650" w:rsidRDefault="00002650" w:rsidP="00F96983">
            <w:pPr>
              <w:spacing w:after="0" w:line="240" w:lineRule="auto"/>
            </w:pPr>
            <w:r>
              <w:rPr>
                <w:rFonts w:ascii="Times New Roman" w:eastAsia="Times New Roman" w:hAnsi="Times New Roman"/>
                <w:color w:val="000000"/>
                <w:sz w:val="17"/>
              </w:rPr>
              <w:t>Signal records, methods, versions, inputs, horizons, units, ranges, legitimacy, missingness, uncertainty</w:t>
            </w:r>
          </w:p>
        </w:tc>
      </w:tr>
      <w:tr w:rsidR="00002650" w14:paraId="57B79527" w14:textId="77777777">
        <w:trPr>
          <w:cantSplit/>
          <w:jc w:val="center"/>
        </w:trPr>
        <w:tc>
          <w:tcPr>
            <w:tcW w:w="1944" w:type="dxa"/>
            <w:shd w:val="clear" w:color="auto" w:fill="FFFFFF"/>
            <w:tcMar>
              <w:top w:w="70" w:type="dxa"/>
              <w:left w:w="100" w:type="dxa"/>
              <w:bottom w:w="70" w:type="dxa"/>
              <w:right w:w="100" w:type="dxa"/>
            </w:tcMar>
            <w:vAlign w:val="center"/>
          </w:tcPr>
          <w:p w14:paraId="456D11D5" w14:textId="77777777" w:rsidR="00002650" w:rsidRDefault="00002650" w:rsidP="00F96983">
            <w:pPr>
              <w:spacing w:after="0" w:line="240" w:lineRule="auto"/>
            </w:pPr>
            <w:r>
              <w:rPr>
                <w:rFonts w:ascii="Times New Roman" w:eastAsia="Times New Roman" w:hAnsi="Times New Roman"/>
                <w:color w:val="000000"/>
                <w:sz w:val="17"/>
              </w:rPr>
              <w:t>Behavioral state</w:t>
            </w:r>
          </w:p>
        </w:tc>
        <w:tc>
          <w:tcPr>
            <w:tcW w:w="7776" w:type="dxa"/>
            <w:shd w:val="clear" w:color="auto" w:fill="FFFFFF"/>
            <w:tcMar>
              <w:top w:w="70" w:type="dxa"/>
              <w:left w:w="100" w:type="dxa"/>
              <w:bottom w:w="70" w:type="dxa"/>
              <w:right w:w="100" w:type="dxa"/>
            </w:tcMar>
            <w:vAlign w:val="center"/>
          </w:tcPr>
          <w:p w14:paraId="0451F884" w14:textId="77777777" w:rsidR="00002650" w:rsidRDefault="00002650" w:rsidP="00F96983">
            <w:pPr>
              <w:spacing w:after="0" w:line="240" w:lineRule="auto"/>
            </w:pPr>
            <w:r>
              <w:rPr>
                <w:rFonts w:ascii="Times New Roman" w:eastAsia="Times New Roman" w:hAnsi="Times New Roman"/>
                <w:color w:val="000000"/>
                <w:sz w:val="17"/>
              </w:rPr>
              <w:t>Regime intervals, candidate and confirmed markers, boundary, failure, recovery, and re-entry structures</w:t>
            </w:r>
          </w:p>
        </w:tc>
      </w:tr>
      <w:tr w:rsidR="00002650" w14:paraId="6F764169" w14:textId="77777777">
        <w:trPr>
          <w:cantSplit/>
          <w:jc w:val="center"/>
        </w:trPr>
        <w:tc>
          <w:tcPr>
            <w:tcW w:w="1944" w:type="dxa"/>
            <w:shd w:val="clear" w:color="auto" w:fill="F6F9FB"/>
            <w:tcMar>
              <w:top w:w="70" w:type="dxa"/>
              <w:left w:w="100" w:type="dxa"/>
              <w:bottom w:w="70" w:type="dxa"/>
              <w:right w:w="100" w:type="dxa"/>
            </w:tcMar>
            <w:vAlign w:val="center"/>
          </w:tcPr>
          <w:p w14:paraId="38E1D1A9" w14:textId="77777777" w:rsidR="00002650" w:rsidRDefault="00002650" w:rsidP="00F96983">
            <w:pPr>
              <w:spacing w:after="0" w:line="240" w:lineRule="auto"/>
            </w:pPr>
            <w:r>
              <w:rPr>
                <w:rFonts w:ascii="Times New Roman" w:eastAsia="Times New Roman" w:hAnsi="Times New Roman"/>
                <w:color w:val="000000"/>
                <w:sz w:val="17"/>
              </w:rPr>
              <w:t>Findings</w:t>
            </w:r>
          </w:p>
        </w:tc>
        <w:tc>
          <w:tcPr>
            <w:tcW w:w="7776" w:type="dxa"/>
            <w:shd w:val="clear" w:color="auto" w:fill="F6F9FB"/>
            <w:tcMar>
              <w:top w:w="70" w:type="dxa"/>
              <w:left w:w="100" w:type="dxa"/>
              <w:bottom w:w="70" w:type="dxa"/>
              <w:right w:w="100" w:type="dxa"/>
            </w:tcMar>
            <w:vAlign w:val="center"/>
          </w:tcPr>
          <w:p w14:paraId="4A3507BA" w14:textId="77777777" w:rsidR="00002650" w:rsidRDefault="00002650" w:rsidP="00F96983">
            <w:pPr>
              <w:spacing w:after="0" w:line="240" w:lineRule="auto"/>
            </w:pPr>
            <w:r>
              <w:rPr>
                <w:rFonts w:ascii="Times New Roman" w:eastAsia="Times New Roman" w:hAnsi="Times New Roman"/>
                <w:color w:val="000000"/>
                <w:sz w:val="17"/>
              </w:rPr>
              <w:t>Instrument and contract identity, contributing measurements, frame and source references, confidence posture, claim limits</w:t>
            </w:r>
          </w:p>
        </w:tc>
      </w:tr>
      <w:tr w:rsidR="00002650" w14:paraId="3392D148" w14:textId="77777777">
        <w:trPr>
          <w:cantSplit/>
          <w:jc w:val="center"/>
        </w:trPr>
        <w:tc>
          <w:tcPr>
            <w:tcW w:w="1944" w:type="dxa"/>
            <w:shd w:val="clear" w:color="auto" w:fill="FFFFFF"/>
            <w:tcMar>
              <w:top w:w="70" w:type="dxa"/>
              <w:left w:w="100" w:type="dxa"/>
              <w:bottom w:w="70" w:type="dxa"/>
              <w:right w:w="100" w:type="dxa"/>
            </w:tcMar>
            <w:vAlign w:val="center"/>
          </w:tcPr>
          <w:p w14:paraId="26B846FE" w14:textId="77777777" w:rsidR="00002650" w:rsidRDefault="00002650" w:rsidP="00F96983">
            <w:pPr>
              <w:spacing w:after="0" w:line="240" w:lineRule="auto"/>
            </w:pPr>
            <w:r>
              <w:rPr>
                <w:rFonts w:ascii="Times New Roman" w:eastAsia="Times New Roman" w:hAnsi="Times New Roman"/>
                <w:color w:val="000000"/>
                <w:sz w:val="17"/>
              </w:rPr>
              <w:t>Investigation</w:t>
            </w:r>
          </w:p>
        </w:tc>
        <w:tc>
          <w:tcPr>
            <w:tcW w:w="7776" w:type="dxa"/>
            <w:shd w:val="clear" w:color="auto" w:fill="FFFFFF"/>
            <w:tcMar>
              <w:top w:w="70" w:type="dxa"/>
              <w:left w:w="100" w:type="dxa"/>
              <w:bottom w:w="70" w:type="dxa"/>
              <w:right w:w="100" w:type="dxa"/>
            </w:tcMar>
            <w:vAlign w:val="center"/>
          </w:tcPr>
          <w:p w14:paraId="06883CD8" w14:textId="77777777" w:rsidR="00002650" w:rsidRDefault="00002650" w:rsidP="00F96983">
            <w:pPr>
              <w:spacing w:after="0" w:line="240" w:lineRule="auto"/>
            </w:pPr>
            <w:r>
              <w:rPr>
                <w:rFonts w:ascii="Times New Roman" w:eastAsia="Times New Roman" w:hAnsi="Times New Roman"/>
                <w:color w:val="000000"/>
                <w:sz w:val="17"/>
              </w:rPr>
              <w:t>Questions, chapter or route state, evidence trails, replay references, operator annotations with provenance</w:t>
            </w:r>
          </w:p>
        </w:tc>
      </w:tr>
      <w:tr w:rsidR="00002650" w14:paraId="2E85AF10" w14:textId="77777777">
        <w:trPr>
          <w:cantSplit/>
          <w:jc w:val="center"/>
        </w:trPr>
        <w:tc>
          <w:tcPr>
            <w:tcW w:w="1944" w:type="dxa"/>
            <w:shd w:val="clear" w:color="auto" w:fill="F6F9FB"/>
            <w:tcMar>
              <w:top w:w="70" w:type="dxa"/>
              <w:left w:w="100" w:type="dxa"/>
              <w:bottom w:w="70" w:type="dxa"/>
              <w:right w:w="100" w:type="dxa"/>
            </w:tcMar>
            <w:vAlign w:val="center"/>
          </w:tcPr>
          <w:p w14:paraId="22739472" w14:textId="77777777" w:rsidR="00002650" w:rsidRDefault="00002650" w:rsidP="00F96983">
            <w:pPr>
              <w:spacing w:after="0" w:line="240" w:lineRule="auto"/>
            </w:pPr>
            <w:r>
              <w:rPr>
                <w:rFonts w:ascii="Times New Roman" w:eastAsia="Times New Roman" w:hAnsi="Times New Roman"/>
                <w:color w:val="000000"/>
                <w:sz w:val="17"/>
              </w:rPr>
              <w:t>Preservation</w:t>
            </w:r>
          </w:p>
        </w:tc>
        <w:tc>
          <w:tcPr>
            <w:tcW w:w="7776" w:type="dxa"/>
            <w:shd w:val="clear" w:color="auto" w:fill="F6F9FB"/>
            <w:tcMar>
              <w:top w:w="70" w:type="dxa"/>
              <w:left w:w="100" w:type="dxa"/>
              <w:bottom w:w="70" w:type="dxa"/>
              <w:right w:w="100" w:type="dxa"/>
            </w:tcMar>
            <w:vAlign w:val="center"/>
          </w:tcPr>
          <w:p w14:paraId="4712925C" w14:textId="77777777" w:rsidR="00002650" w:rsidRDefault="00002650" w:rsidP="00F96983">
            <w:pPr>
              <w:spacing w:after="0" w:line="240" w:lineRule="auto"/>
            </w:pPr>
            <w:r>
              <w:rPr>
                <w:rFonts w:ascii="Times New Roman" w:eastAsia="Times New Roman" w:hAnsi="Times New Roman"/>
                <w:color w:val="000000"/>
                <w:sz w:val="17"/>
              </w:rPr>
              <w:t>Export authority, included and omitted objects, manifests, equality rules, replay requirements, identity and supersession lineage</w:t>
            </w:r>
          </w:p>
        </w:tc>
      </w:tr>
    </w:tbl>
    <w:p w14:paraId="5999B1E8" w14:textId="77777777" w:rsidR="00002650" w:rsidRDefault="00002650" w:rsidP="00002650">
      <w:pPr>
        <w:spacing w:after="20"/>
      </w:pPr>
    </w:p>
    <w:p w14:paraId="784AFADA" w14:textId="77777777" w:rsidR="00002650" w:rsidRPr="00002650" w:rsidRDefault="00002650" w:rsidP="00002650">
      <w:pPr>
        <w:pStyle w:val="Heading1"/>
        <w:rPr>
          <w:b/>
          <w:bCs/>
          <w:color w:val="4F46E5"/>
        </w:rPr>
      </w:pPr>
      <w:r w:rsidRPr="00002650">
        <w:rPr>
          <w:rFonts w:ascii="Arial" w:eastAsia="Times New Roman" w:hAnsi="Arial"/>
          <w:b/>
          <w:bCs/>
          <w:color w:val="4F46E5"/>
          <w:sz w:val="29"/>
        </w:rPr>
        <w:t>Appendix B Minimum Relation Vocabulary</w:t>
      </w:r>
    </w:p>
    <w:p w14:paraId="6F867AC6" w14:textId="77777777" w:rsidR="00002650" w:rsidRDefault="00002650" w:rsidP="00002650">
      <w:pPr>
        <w:keepNext/>
        <w:spacing w:before="140" w:after="80"/>
      </w:pPr>
      <w:r>
        <w:rPr>
          <w:rFonts w:ascii="Times New Roman" w:eastAsia="Times New Roman" w:hAnsi="Times New Roman"/>
          <w:i/>
          <w:color w:val="66717C"/>
          <w:sz w:val="18"/>
        </w:rPr>
        <w:t>Table 13. Minimum relation vocabulary.</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56"/>
        <w:gridCol w:w="3787"/>
        <w:gridCol w:w="4176"/>
      </w:tblGrid>
      <w:tr w:rsidR="00002650" w14:paraId="3F9DB0F3" w14:textId="77777777">
        <w:trPr>
          <w:cantSplit/>
          <w:tblHeader/>
          <w:jc w:val="center"/>
        </w:trPr>
        <w:tc>
          <w:tcPr>
            <w:tcW w:w="1756" w:type="dxa"/>
            <w:shd w:val="clear" w:color="auto" w:fill="17324D"/>
            <w:tcMar>
              <w:top w:w="70" w:type="dxa"/>
              <w:left w:w="100" w:type="dxa"/>
              <w:bottom w:w="70" w:type="dxa"/>
              <w:right w:w="100" w:type="dxa"/>
            </w:tcMar>
            <w:vAlign w:val="center"/>
          </w:tcPr>
          <w:p w14:paraId="1520E842" w14:textId="77777777" w:rsidR="00002650" w:rsidRDefault="00002650" w:rsidP="00F96983">
            <w:pPr>
              <w:spacing w:after="0" w:line="240" w:lineRule="auto"/>
            </w:pPr>
            <w:r>
              <w:rPr>
                <w:rFonts w:ascii="Arial" w:eastAsia="Times New Roman" w:hAnsi="Arial"/>
                <w:b/>
                <w:color w:val="FFFFFF"/>
                <w:sz w:val="17"/>
              </w:rPr>
              <w:t>Relation</w:t>
            </w:r>
          </w:p>
        </w:tc>
        <w:tc>
          <w:tcPr>
            <w:tcW w:w="3787" w:type="dxa"/>
            <w:shd w:val="clear" w:color="auto" w:fill="17324D"/>
            <w:tcMar>
              <w:top w:w="70" w:type="dxa"/>
              <w:left w:w="100" w:type="dxa"/>
              <w:bottom w:w="70" w:type="dxa"/>
              <w:right w:w="100" w:type="dxa"/>
            </w:tcMar>
            <w:vAlign w:val="center"/>
          </w:tcPr>
          <w:p w14:paraId="2A7AD5DD" w14:textId="77777777" w:rsidR="00002650" w:rsidRDefault="00002650" w:rsidP="00F96983">
            <w:pPr>
              <w:spacing w:after="0" w:line="240" w:lineRule="auto"/>
            </w:pPr>
            <w:r>
              <w:rPr>
                <w:rFonts w:ascii="Arial" w:eastAsia="Times New Roman" w:hAnsi="Arial"/>
                <w:b/>
                <w:color w:val="FFFFFF"/>
                <w:sz w:val="17"/>
              </w:rPr>
              <w:t>Meaning</w:t>
            </w:r>
          </w:p>
        </w:tc>
        <w:tc>
          <w:tcPr>
            <w:tcW w:w="4176" w:type="dxa"/>
            <w:shd w:val="clear" w:color="auto" w:fill="17324D"/>
            <w:tcMar>
              <w:top w:w="70" w:type="dxa"/>
              <w:left w:w="100" w:type="dxa"/>
              <w:bottom w:w="70" w:type="dxa"/>
              <w:right w:w="100" w:type="dxa"/>
            </w:tcMar>
            <w:vAlign w:val="center"/>
          </w:tcPr>
          <w:p w14:paraId="456B475E" w14:textId="77777777" w:rsidR="00002650" w:rsidRDefault="00002650" w:rsidP="00F96983">
            <w:pPr>
              <w:spacing w:after="0" w:line="240" w:lineRule="auto"/>
            </w:pPr>
            <w:r>
              <w:rPr>
                <w:rFonts w:ascii="Arial" w:eastAsia="Times New Roman" w:hAnsi="Arial"/>
                <w:b/>
                <w:color w:val="FFFFFF"/>
                <w:sz w:val="17"/>
              </w:rPr>
              <w:t>Required qualification</w:t>
            </w:r>
          </w:p>
        </w:tc>
      </w:tr>
      <w:tr w:rsidR="00002650" w14:paraId="244506F4" w14:textId="77777777">
        <w:trPr>
          <w:cantSplit/>
          <w:jc w:val="center"/>
        </w:trPr>
        <w:tc>
          <w:tcPr>
            <w:tcW w:w="1756" w:type="dxa"/>
            <w:shd w:val="clear" w:color="auto" w:fill="FFFFFF"/>
            <w:tcMar>
              <w:top w:w="70" w:type="dxa"/>
              <w:left w:w="100" w:type="dxa"/>
              <w:bottom w:w="70" w:type="dxa"/>
              <w:right w:w="100" w:type="dxa"/>
            </w:tcMar>
            <w:vAlign w:val="center"/>
          </w:tcPr>
          <w:p w14:paraId="1F9A1EEA" w14:textId="77777777" w:rsidR="00002650" w:rsidRDefault="00002650" w:rsidP="00F96983">
            <w:pPr>
              <w:spacing w:after="0" w:line="240" w:lineRule="auto"/>
            </w:pPr>
            <w:r>
              <w:rPr>
                <w:rFonts w:ascii="Times New Roman" w:eastAsia="Times New Roman" w:hAnsi="Times New Roman"/>
                <w:color w:val="000000"/>
                <w:sz w:val="17"/>
              </w:rPr>
              <w:t>derived from</w:t>
            </w:r>
          </w:p>
        </w:tc>
        <w:tc>
          <w:tcPr>
            <w:tcW w:w="3787" w:type="dxa"/>
            <w:shd w:val="clear" w:color="auto" w:fill="FFFFFF"/>
            <w:tcMar>
              <w:top w:w="70" w:type="dxa"/>
              <w:left w:w="100" w:type="dxa"/>
              <w:bottom w:w="70" w:type="dxa"/>
              <w:right w:w="100" w:type="dxa"/>
            </w:tcMar>
            <w:vAlign w:val="center"/>
          </w:tcPr>
          <w:p w14:paraId="76A0B92B" w14:textId="77777777" w:rsidR="00002650" w:rsidRDefault="00002650" w:rsidP="00F96983">
            <w:pPr>
              <w:spacing w:after="0" w:line="240" w:lineRule="auto"/>
            </w:pPr>
            <w:r>
              <w:rPr>
                <w:rFonts w:ascii="Times New Roman" w:eastAsia="Times New Roman" w:hAnsi="Times New Roman"/>
                <w:color w:val="000000"/>
                <w:sz w:val="17"/>
              </w:rPr>
              <w:t>One object was computed or formed from another</w:t>
            </w:r>
          </w:p>
        </w:tc>
        <w:tc>
          <w:tcPr>
            <w:tcW w:w="4176" w:type="dxa"/>
            <w:shd w:val="clear" w:color="auto" w:fill="FFFFFF"/>
            <w:tcMar>
              <w:top w:w="70" w:type="dxa"/>
              <w:left w:w="100" w:type="dxa"/>
              <w:bottom w:w="70" w:type="dxa"/>
              <w:right w:w="100" w:type="dxa"/>
            </w:tcMar>
            <w:vAlign w:val="center"/>
          </w:tcPr>
          <w:p w14:paraId="0EEC8F60" w14:textId="77777777" w:rsidR="00002650" w:rsidRDefault="00002650" w:rsidP="00F96983">
            <w:pPr>
              <w:spacing w:after="0" w:line="240" w:lineRule="auto"/>
            </w:pPr>
            <w:r>
              <w:rPr>
                <w:rFonts w:ascii="Times New Roman" w:eastAsia="Times New Roman" w:hAnsi="Times New Roman"/>
                <w:color w:val="000000"/>
                <w:sz w:val="17"/>
              </w:rPr>
              <w:t>Method, version, and eligible horizon</w:t>
            </w:r>
          </w:p>
        </w:tc>
      </w:tr>
      <w:tr w:rsidR="00002650" w14:paraId="77993B5D" w14:textId="77777777">
        <w:trPr>
          <w:cantSplit/>
          <w:jc w:val="center"/>
        </w:trPr>
        <w:tc>
          <w:tcPr>
            <w:tcW w:w="1756" w:type="dxa"/>
            <w:shd w:val="clear" w:color="auto" w:fill="F6F9FB"/>
            <w:tcMar>
              <w:top w:w="70" w:type="dxa"/>
              <w:left w:w="100" w:type="dxa"/>
              <w:bottom w:w="70" w:type="dxa"/>
              <w:right w:w="100" w:type="dxa"/>
            </w:tcMar>
            <w:vAlign w:val="center"/>
          </w:tcPr>
          <w:p w14:paraId="07289782" w14:textId="77777777" w:rsidR="00002650" w:rsidRDefault="00002650" w:rsidP="00F96983">
            <w:pPr>
              <w:spacing w:after="0" w:line="240" w:lineRule="auto"/>
            </w:pPr>
            <w:r>
              <w:rPr>
                <w:rFonts w:ascii="Times New Roman" w:eastAsia="Times New Roman" w:hAnsi="Times New Roman"/>
                <w:color w:val="000000"/>
                <w:sz w:val="17"/>
              </w:rPr>
              <w:t>canonicalizes</w:t>
            </w:r>
          </w:p>
        </w:tc>
        <w:tc>
          <w:tcPr>
            <w:tcW w:w="3787" w:type="dxa"/>
            <w:shd w:val="clear" w:color="auto" w:fill="F6F9FB"/>
            <w:tcMar>
              <w:top w:w="70" w:type="dxa"/>
              <w:left w:w="100" w:type="dxa"/>
              <w:bottom w:w="70" w:type="dxa"/>
              <w:right w:w="100" w:type="dxa"/>
            </w:tcMar>
            <w:vAlign w:val="center"/>
          </w:tcPr>
          <w:p w14:paraId="3B491A0A" w14:textId="77777777" w:rsidR="00002650" w:rsidRDefault="00002650" w:rsidP="00F96983">
            <w:pPr>
              <w:spacing w:after="0" w:line="240" w:lineRule="auto"/>
            </w:pPr>
            <w:r>
              <w:rPr>
                <w:rFonts w:ascii="Times New Roman" w:eastAsia="Times New Roman" w:hAnsi="Times New Roman"/>
                <w:color w:val="000000"/>
                <w:sz w:val="17"/>
              </w:rPr>
              <w:t>A canonical object represents a source object or span</w:t>
            </w:r>
          </w:p>
        </w:tc>
        <w:tc>
          <w:tcPr>
            <w:tcW w:w="4176" w:type="dxa"/>
            <w:shd w:val="clear" w:color="auto" w:fill="F6F9FB"/>
            <w:tcMar>
              <w:top w:w="70" w:type="dxa"/>
              <w:left w:w="100" w:type="dxa"/>
              <w:bottom w:w="70" w:type="dxa"/>
              <w:right w:w="100" w:type="dxa"/>
            </w:tcMar>
            <w:vAlign w:val="center"/>
          </w:tcPr>
          <w:p w14:paraId="7E78B3DE" w14:textId="77777777" w:rsidR="00002650" w:rsidRDefault="00002650" w:rsidP="00F96983">
            <w:pPr>
              <w:spacing w:after="0" w:line="240" w:lineRule="auto"/>
            </w:pPr>
            <w:r>
              <w:rPr>
                <w:rFonts w:ascii="Times New Roman" w:eastAsia="Times New Roman" w:hAnsi="Times New Roman"/>
                <w:color w:val="000000"/>
                <w:sz w:val="17"/>
              </w:rPr>
              <w:t>Adapter, transformation, and ambiguity state</w:t>
            </w:r>
          </w:p>
        </w:tc>
      </w:tr>
      <w:tr w:rsidR="00002650" w14:paraId="099996BE" w14:textId="77777777">
        <w:trPr>
          <w:cantSplit/>
          <w:jc w:val="center"/>
        </w:trPr>
        <w:tc>
          <w:tcPr>
            <w:tcW w:w="1756" w:type="dxa"/>
            <w:shd w:val="clear" w:color="auto" w:fill="FFFFFF"/>
            <w:tcMar>
              <w:top w:w="70" w:type="dxa"/>
              <w:left w:w="100" w:type="dxa"/>
              <w:bottom w:w="70" w:type="dxa"/>
              <w:right w:w="100" w:type="dxa"/>
            </w:tcMar>
            <w:vAlign w:val="center"/>
          </w:tcPr>
          <w:p w14:paraId="4C875865" w14:textId="77777777" w:rsidR="00002650" w:rsidRDefault="00002650" w:rsidP="00F96983">
            <w:pPr>
              <w:spacing w:after="0" w:line="240" w:lineRule="auto"/>
            </w:pPr>
            <w:r>
              <w:rPr>
                <w:rFonts w:ascii="Times New Roman" w:eastAsia="Times New Roman" w:hAnsi="Times New Roman"/>
                <w:color w:val="000000"/>
                <w:sz w:val="17"/>
              </w:rPr>
              <w:t>precedes under</w:t>
            </w:r>
          </w:p>
        </w:tc>
        <w:tc>
          <w:tcPr>
            <w:tcW w:w="3787" w:type="dxa"/>
            <w:shd w:val="clear" w:color="auto" w:fill="FFFFFF"/>
            <w:tcMar>
              <w:top w:w="70" w:type="dxa"/>
              <w:left w:w="100" w:type="dxa"/>
              <w:bottom w:w="70" w:type="dxa"/>
              <w:right w:w="100" w:type="dxa"/>
            </w:tcMar>
            <w:vAlign w:val="center"/>
          </w:tcPr>
          <w:p w14:paraId="7F56ED09" w14:textId="77777777" w:rsidR="00002650" w:rsidRDefault="00002650" w:rsidP="00F96983">
            <w:pPr>
              <w:spacing w:after="0" w:line="240" w:lineRule="auto"/>
            </w:pPr>
            <w:r>
              <w:rPr>
                <w:rFonts w:ascii="Times New Roman" w:eastAsia="Times New Roman" w:hAnsi="Times New Roman"/>
                <w:color w:val="000000"/>
                <w:sz w:val="17"/>
              </w:rPr>
              <w:t>One object precedes another in a named coordinate</w:t>
            </w:r>
          </w:p>
        </w:tc>
        <w:tc>
          <w:tcPr>
            <w:tcW w:w="4176" w:type="dxa"/>
            <w:shd w:val="clear" w:color="auto" w:fill="FFFFFF"/>
            <w:tcMar>
              <w:top w:w="70" w:type="dxa"/>
              <w:left w:w="100" w:type="dxa"/>
              <w:bottom w:w="70" w:type="dxa"/>
              <w:right w:w="100" w:type="dxa"/>
            </w:tcMar>
            <w:vAlign w:val="center"/>
          </w:tcPr>
          <w:p w14:paraId="44D06403" w14:textId="77777777" w:rsidR="00002650" w:rsidRDefault="00002650" w:rsidP="00F96983">
            <w:pPr>
              <w:spacing w:after="0" w:line="240" w:lineRule="auto"/>
            </w:pPr>
            <w:r>
              <w:rPr>
                <w:rFonts w:ascii="Times New Roman" w:eastAsia="Times New Roman" w:hAnsi="Times New Roman"/>
                <w:color w:val="000000"/>
                <w:sz w:val="17"/>
              </w:rPr>
              <w:t>Coordinate identity and support</w:t>
            </w:r>
          </w:p>
        </w:tc>
      </w:tr>
      <w:tr w:rsidR="00002650" w14:paraId="25CE08D2" w14:textId="77777777">
        <w:trPr>
          <w:cantSplit/>
          <w:jc w:val="center"/>
        </w:trPr>
        <w:tc>
          <w:tcPr>
            <w:tcW w:w="1756" w:type="dxa"/>
            <w:shd w:val="clear" w:color="auto" w:fill="F6F9FB"/>
            <w:tcMar>
              <w:top w:w="70" w:type="dxa"/>
              <w:left w:w="100" w:type="dxa"/>
              <w:bottom w:w="70" w:type="dxa"/>
              <w:right w:w="100" w:type="dxa"/>
            </w:tcMar>
            <w:vAlign w:val="center"/>
          </w:tcPr>
          <w:p w14:paraId="6438ADB8" w14:textId="77777777" w:rsidR="00002650" w:rsidRDefault="00002650" w:rsidP="00F96983">
            <w:pPr>
              <w:spacing w:after="0" w:line="240" w:lineRule="auto"/>
            </w:pPr>
            <w:r>
              <w:rPr>
                <w:rFonts w:ascii="Times New Roman" w:eastAsia="Times New Roman" w:hAnsi="Times New Roman"/>
                <w:color w:val="000000"/>
                <w:sz w:val="17"/>
              </w:rPr>
              <w:t>depends on</w:t>
            </w:r>
          </w:p>
        </w:tc>
        <w:tc>
          <w:tcPr>
            <w:tcW w:w="3787" w:type="dxa"/>
            <w:shd w:val="clear" w:color="auto" w:fill="F6F9FB"/>
            <w:tcMar>
              <w:top w:w="70" w:type="dxa"/>
              <w:left w:w="100" w:type="dxa"/>
              <w:bottom w:w="70" w:type="dxa"/>
              <w:right w:w="100" w:type="dxa"/>
            </w:tcMar>
            <w:vAlign w:val="center"/>
          </w:tcPr>
          <w:p w14:paraId="6D6D5C9C" w14:textId="77777777" w:rsidR="00002650" w:rsidRDefault="00002650" w:rsidP="00F96983">
            <w:pPr>
              <w:spacing w:after="0" w:line="240" w:lineRule="auto"/>
            </w:pPr>
            <w:r>
              <w:rPr>
                <w:rFonts w:ascii="Times New Roman" w:eastAsia="Times New Roman" w:hAnsi="Times New Roman"/>
                <w:color w:val="000000"/>
                <w:sz w:val="17"/>
              </w:rPr>
              <w:t>One event, method, or finding requires another object</w:t>
            </w:r>
          </w:p>
        </w:tc>
        <w:tc>
          <w:tcPr>
            <w:tcW w:w="4176" w:type="dxa"/>
            <w:shd w:val="clear" w:color="auto" w:fill="F6F9FB"/>
            <w:tcMar>
              <w:top w:w="70" w:type="dxa"/>
              <w:left w:w="100" w:type="dxa"/>
              <w:bottom w:w="70" w:type="dxa"/>
              <w:right w:w="100" w:type="dxa"/>
            </w:tcMar>
            <w:vAlign w:val="center"/>
          </w:tcPr>
          <w:p w14:paraId="1786B4AD" w14:textId="77777777" w:rsidR="00002650" w:rsidRDefault="00002650" w:rsidP="00F96983">
            <w:pPr>
              <w:spacing w:after="0" w:line="240" w:lineRule="auto"/>
            </w:pPr>
            <w:r>
              <w:rPr>
                <w:rFonts w:ascii="Times New Roman" w:eastAsia="Times New Roman" w:hAnsi="Times New Roman"/>
                <w:color w:val="000000"/>
                <w:sz w:val="17"/>
              </w:rPr>
              <w:t>Dependency type and availability</w:t>
            </w:r>
          </w:p>
        </w:tc>
      </w:tr>
      <w:tr w:rsidR="00002650" w14:paraId="6AD89578" w14:textId="77777777">
        <w:trPr>
          <w:cantSplit/>
          <w:jc w:val="center"/>
        </w:trPr>
        <w:tc>
          <w:tcPr>
            <w:tcW w:w="1756" w:type="dxa"/>
            <w:shd w:val="clear" w:color="auto" w:fill="FFFFFF"/>
            <w:tcMar>
              <w:top w:w="70" w:type="dxa"/>
              <w:left w:w="100" w:type="dxa"/>
              <w:bottom w:w="70" w:type="dxa"/>
              <w:right w:w="100" w:type="dxa"/>
            </w:tcMar>
            <w:vAlign w:val="center"/>
          </w:tcPr>
          <w:p w14:paraId="6C352E10" w14:textId="77777777" w:rsidR="00002650" w:rsidRDefault="00002650" w:rsidP="00F96983">
            <w:pPr>
              <w:spacing w:after="0" w:line="240" w:lineRule="auto"/>
            </w:pPr>
            <w:r>
              <w:rPr>
                <w:rFonts w:ascii="Times New Roman" w:eastAsia="Times New Roman" w:hAnsi="Times New Roman"/>
                <w:color w:val="000000"/>
                <w:sz w:val="17"/>
              </w:rPr>
              <w:t>participates in</w:t>
            </w:r>
          </w:p>
        </w:tc>
        <w:tc>
          <w:tcPr>
            <w:tcW w:w="3787" w:type="dxa"/>
            <w:shd w:val="clear" w:color="auto" w:fill="FFFFFF"/>
            <w:tcMar>
              <w:top w:w="70" w:type="dxa"/>
              <w:left w:w="100" w:type="dxa"/>
              <w:bottom w:w="70" w:type="dxa"/>
              <w:right w:w="100" w:type="dxa"/>
            </w:tcMar>
            <w:vAlign w:val="center"/>
          </w:tcPr>
          <w:p w14:paraId="4F350A7B" w14:textId="77777777" w:rsidR="00002650" w:rsidRDefault="00002650" w:rsidP="00F96983">
            <w:pPr>
              <w:spacing w:after="0" w:line="240" w:lineRule="auto"/>
            </w:pPr>
            <w:r>
              <w:rPr>
                <w:rFonts w:ascii="Times New Roman" w:eastAsia="Times New Roman" w:hAnsi="Times New Roman"/>
                <w:color w:val="000000"/>
                <w:sz w:val="17"/>
              </w:rPr>
              <w:t>An actor, role, tool, or event participates in a frame or interaction</w:t>
            </w:r>
          </w:p>
        </w:tc>
        <w:tc>
          <w:tcPr>
            <w:tcW w:w="4176" w:type="dxa"/>
            <w:shd w:val="clear" w:color="auto" w:fill="FFFFFF"/>
            <w:tcMar>
              <w:top w:w="70" w:type="dxa"/>
              <w:left w:w="100" w:type="dxa"/>
              <w:bottom w:w="70" w:type="dxa"/>
              <w:right w:w="100" w:type="dxa"/>
            </w:tcMar>
            <w:vAlign w:val="center"/>
          </w:tcPr>
          <w:p w14:paraId="40DFF576" w14:textId="77777777" w:rsidR="00002650" w:rsidRDefault="00002650" w:rsidP="00F96983">
            <w:pPr>
              <w:spacing w:after="0" w:line="240" w:lineRule="auto"/>
            </w:pPr>
            <w:r>
              <w:rPr>
                <w:rFonts w:ascii="Times New Roman" w:eastAsia="Times New Roman" w:hAnsi="Times New Roman"/>
                <w:color w:val="000000"/>
                <w:sz w:val="17"/>
              </w:rPr>
              <w:t>Participation basis and provenance</w:t>
            </w:r>
          </w:p>
        </w:tc>
      </w:tr>
      <w:tr w:rsidR="00002650" w14:paraId="028F0D72" w14:textId="77777777">
        <w:trPr>
          <w:cantSplit/>
          <w:jc w:val="center"/>
        </w:trPr>
        <w:tc>
          <w:tcPr>
            <w:tcW w:w="1756" w:type="dxa"/>
            <w:shd w:val="clear" w:color="auto" w:fill="F6F9FB"/>
            <w:tcMar>
              <w:top w:w="70" w:type="dxa"/>
              <w:left w:w="100" w:type="dxa"/>
              <w:bottom w:w="70" w:type="dxa"/>
              <w:right w:w="100" w:type="dxa"/>
            </w:tcMar>
            <w:vAlign w:val="center"/>
          </w:tcPr>
          <w:p w14:paraId="11EB0220" w14:textId="77777777" w:rsidR="00002650" w:rsidRDefault="00002650" w:rsidP="00F96983">
            <w:pPr>
              <w:spacing w:after="0" w:line="240" w:lineRule="auto"/>
            </w:pPr>
            <w:r>
              <w:rPr>
                <w:rFonts w:ascii="Times New Roman" w:eastAsia="Times New Roman" w:hAnsi="Times New Roman"/>
                <w:color w:val="000000"/>
                <w:sz w:val="17"/>
              </w:rPr>
              <w:t>measured at</w:t>
            </w:r>
          </w:p>
        </w:tc>
        <w:tc>
          <w:tcPr>
            <w:tcW w:w="3787" w:type="dxa"/>
            <w:shd w:val="clear" w:color="auto" w:fill="F6F9FB"/>
            <w:tcMar>
              <w:top w:w="70" w:type="dxa"/>
              <w:left w:w="100" w:type="dxa"/>
              <w:bottom w:w="70" w:type="dxa"/>
              <w:right w:w="100" w:type="dxa"/>
            </w:tcMar>
            <w:vAlign w:val="center"/>
          </w:tcPr>
          <w:p w14:paraId="7FBD3DE5" w14:textId="77777777" w:rsidR="00002650" w:rsidRDefault="00002650" w:rsidP="00F96983">
            <w:pPr>
              <w:spacing w:after="0" w:line="240" w:lineRule="auto"/>
            </w:pPr>
            <w:r>
              <w:rPr>
                <w:rFonts w:ascii="Times New Roman" w:eastAsia="Times New Roman" w:hAnsi="Times New Roman"/>
                <w:color w:val="000000"/>
                <w:sz w:val="17"/>
              </w:rPr>
              <w:t>A value applies at a declared frame, interval, or coordinate</w:t>
            </w:r>
          </w:p>
        </w:tc>
        <w:tc>
          <w:tcPr>
            <w:tcW w:w="4176" w:type="dxa"/>
            <w:shd w:val="clear" w:color="auto" w:fill="F6F9FB"/>
            <w:tcMar>
              <w:top w:w="70" w:type="dxa"/>
              <w:left w:w="100" w:type="dxa"/>
              <w:bottom w:w="70" w:type="dxa"/>
              <w:right w:w="100" w:type="dxa"/>
            </w:tcMar>
            <w:vAlign w:val="center"/>
          </w:tcPr>
          <w:p w14:paraId="19FC63D8" w14:textId="77777777" w:rsidR="00002650" w:rsidRDefault="00002650" w:rsidP="00F96983">
            <w:pPr>
              <w:spacing w:after="0" w:line="240" w:lineRule="auto"/>
            </w:pPr>
            <w:r>
              <w:rPr>
                <w:rFonts w:ascii="Times New Roman" w:eastAsia="Times New Roman" w:hAnsi="Times New Roman"/>
                <w:color w:val="000000"/>
                <w:sz w:val="17"/>
              </w:rPr>
              <w:t>Method, horizon, and missingness</w:t>
            </w:r>
          </w:p>
        </w:tc>
      </w:tr>
      <w:tr w:rsidR="00002650" w14:paraId="1C18ECB5" w14:textId="77777777">
        <w:trPr>
          <w:cantSplit/>
          <w:jc w:val="center"/>
        </w:trPr>
        <w:tc>
          <w:tcPr>
            <w:tcW w:w="1756" w:type="dxa"/>
            <w:shd w:val="clear" w:color="auto" w:fill="FFFFFF"/>
            <w:tcMar>
              <w:top w:w="70" w:type="dxa"/>
              <w:left w:w="100" w:type="dxa"/>
              <w:bottom w:w="70" w:type="dxa"/>
              <w:right w:w="100" w:type="dxa"/>
            </w:tcMar>
            <w:vAlign w:val="center"/>
          </w:tcPr>
          <w:p w14:paraId="450375D4" w14:textId="77777777" w:rsidR="00002650" w:rsidRDefault="00002650" w:rsidP="00F96983">
            <w:pPr>
              <w:spacing w:after="0" w:line="240" w:lineRule="auto"/>
            </w:pPr>
            <w:r>
              <w:rPr>
                <w:rFonts w:ascii="Times New Roman" w:eastAsia="Times New Roman" w:hAnsi="Times New Roman"/>
                <w:color w:val="000000"/>
                <w:sz w:val="17"/>
              </w:rPr>
              <w:t>satisfies</w:t>
            </w:r>
          </w:p>
        </w:tc>
        <w:tc>
          <w:tcPr>
            <w:tcW w:w="3787" w:type="dxa"/>
            <w:shd w:val="clear" w:color="auto" w:fill="FFFFFF"/>
            <w:tcMar>
              <w:top w:w="70" w:type="dxa"/>
              <w:left w:w="100" w:type="dxa"/>
              <w:bottom w:w="70" w:type="dxa"/>
              <w:right w:w="100" w:type="dxa"/>
            </w:tcMar>
            <w:vAlign w:val="center"/>
          </w:tcPr>
          <w:p w14:paraId="30CC0E53" w14:textId="77777777" w:rsidR="00002650" w:rsidRDefault="00002650" w:rsidP="00F96983">
            <w:pPr>
              <w:spacing w:after="0" w:line="240" w:lineRule="auto"/>
            </w:pPr>
            <w:r>
              <w:rPr>
                <w:rFonts w:ascii="Times New Roman" w:eastAsia="Times New Roman" w:hAnsi="Times New Roman"/>
                <w:color w:val="000000"/>
                <w:sz w:val="17"/>
              </w:rPr>
              <w:t>Evidence satisfies a marker, regime, or conformance rule</w:t>
            </w:r>
          </w:p>
        </w:tc>
        <w:tc>
          <w:tcPr>
            <w:tcW w:w="4176" w:type="dxa"/>
            <w:shd w:val="clear" w:color="auto" w:fill="FFFFFF"/>
            <w:tcMar>
              <w:top w:w="70" w:type="dxa"/>
              <w:left w:w="100" w:type="dxa"/>
              <w:bottom w:w="70" w:type="dxa"/>
              <w:right w:w="100" w:type="dxa"/>
            </w:tcMar>
            <w:vAlign w:val="center"/>
          </w:tcPr>
          <w:p w14:paraId="1F4E5B7F" w14:textId="77777777" w:rsidR="00002650" w:rsidRDefault="00002650" w:rsidP="00F96983">
            <w:pPr>
              <w:spacing w:after="0" w:line="240" w:lineRule="auto"/>
            </w:pPr>
            <w:r>
              <w:rPr>
                <w:rFonts w:ascii="Times New Roman" w:eastAsia="Times New Roman" w:hAnsi="Times New Roman"/>
                <w:color w:val="000000"/>
                <w:sz w:val="17"/>
              </w:rPr>
              <w:t>Rule identity, threshold, and persistence</w:t>
            </w:r>
          </w:p>
        </w:tc>
      </w:tr>
      <w:tr w:rsidR="00002650" w14:paraId="2C15C3C5" w14:textId="77777777">
        <w:trPr>
          <w:cantSplit/>
          <w:jc w:val="center"/>
        </w:trPr>
        <w:tc>
          <w:tcPr>
            <w:tcW w:w="1756" w:type="dxa"/>
            <w:shd w:val="clear" w:color="auto" w:fill="F6F9FB"/>
            <w:tcMar>
              <w:top w:w="70" w:type="dxa"/>
              <w:left w:w="100" w:type="dxa"/>
              <w:bottom w:w="70" w:type="dxa"/>
              <w:right w:w="100" w:type="dxa"/>
            </w:tcMar>
            <w:vAlign w:val="center"/>
          </w:tcPr>
          <w:p w14:paraId="033D9FDE" w14:textId="77777777" w:rsidR="00002650" w:rsidRDefault="00002650" w:rsidP="00F96983">
            <w:pPr>
              <w:spacing w:after="0" w:line="240" w:lineRule="auto"/>
            </w:pPr>
            <w:r>
              <w:rPr>
                <w:rFonts w:ascii="Times New Roman" w:eastAsia="Times New Roman" w:hAnsi="Times New Roman"/>
                <w:color w:val="000000"/>
                <w:sz w:val="17"/>
              </w:rPr>
              <w:t>supports</w:t>
            </w:r>
          </w:p>
        </w:tc>
        <w:tc>
          <w:tcPr>
            <w:tcW w:w="3787" w:type="dxa"/>
            <w:shd w:val="clear" w:color="auto" w:fill="F6F9FB"/>
            <w:tcMar>
              <w:top w:w="70" w:type="dxa"/>
              <w:left w:w="100" w:type="dxa"/>
              <w:bottom w:w="70" w:type="dxa"/>
              <w:right w:w="100" w:type="dxa"/>
            </w:tcMar>
            <w:vAlign w:val="center"/>
          </w:tcPr>
          <w:p w14:paraId="6E2ABF65" w14:textId="77777777" w:rsidR="00002650" w:rsidRDefault="00002650" w:rsidP="00F96983">
            <w:pPr>
              <w:spacing w:after="0" w:line="240" w:lineRule="auto"/>
            </w:pPr>
            <w:r>
              <w:rPr>
                <w:rFonts w:ascii="Times New Roman" w:eastAsia="Times New Roman" w:hAnsi="Times New Roman"/>
                <w:color w:val="000000"/>
                <w:sz w:val="17"/>
              </w:rPr>
              <w:t>Evidence contributes to a finding or claim</w:t>
            </w:r>
          </w:p>
        </w:tc>
        <w:tc>
          <w:tcPr>
            <w:tcW w:w="4176" w:type="dxa"/>
            <w:shd w:val="clear" w:color="auto" w:fill="F6F9FB"/>
            <w:tcMar>
              <w:top w:w="70" w:type="dxa"/>
              <w:left w:w="100" w:type="dxa"/>
              <w:bottom w:w="70" w:type="dxa"/>
              <w:right w:w="100" w:type="dxa"/>
            </w:tcMar>
            <w:vAlign w:val="center"/>
          </w:tcPr>
          <w:p w14:paraId="78FD64ED" w14:textId="77777777" w:rsidR="00002650" w:rsidRDefault="00002650" w:rsidP="00F96983">
            <w:pPr>
              <w:spacing w:after="0" w:line="240" w:lineRule="auto"/>
            </w:pPr>
            <w:r>
              <w:rPr>
                <w:rFonts w:ascii="Times New Roman" w:eastAsia="Times New Roman" w:hAnsi="Times New Roman"/>
                <w:color w:val="000000"/>
                <w:sz w:val="17"/>
              </w:rPr>
              <w:t>Source path, strength or status, and limits</w:t>
            </w:r>
          </w:p>
        </w:tc>
      </w:tr>
      <w:tr w:rsidR="00002650" w14:paraId="3B76ADBC" w14:textId="77777777">
        <w:trPr>
          <w:cantSplit/>
          <w:jc w:val="center"/>
        </w:trPr>
        <w:tc>
          <w:tcPr>
            <w:tcW w:w="1756" w:type="dxa"/>
            <w:shd w:val="clear" w:color="auto" w:fill="FFFFFF"/>
            <w:tcMar>
              <w:top w:w="70" w:type="dxa"/>
              <w:left w:w="100" w:type="dxa"/>
              <w:bottom w:w="70" w:type="dxa"/>
              <w:right w:w="100" w:type="dxa"/>
            </w:tcMar>
            <w:vAlign w:val="center"/>
          </w:tcPr>
          <w:p w14:paraId="5A043727" w14:textId="77777777" w:rsidR="00002650" w:rsidRDefault="00002650" w:rsidP="00F96983">
            <w:pPr>
              <w:spacing w:after="0" w:line="240" w:lineRule="auto"/>
            </w:pPr>
            <w:r>
              <w:rPr>
                <w:rFonts w:ascii="Times New Roman" w:eastAsia="Times New Roman" w:hAnsi="Times New Roman"/>
                <w:color w:val="000000"/>
                <w:sz w:val="17"/>
              </w:rPr>
              <w:t>contradicts</w:t>
            </w:r>
          </w:p>
        </w:tc>
        <w:tc>
          <w:tcPr>
            <w:tcW w:w="3787" w:type="dxa"/>
            <w:shd w:val="clear" w:color="auto" w:fill="FFFFFF"/>
            <w:tcMar>
              <w:top w:w="70" w:type="dxa"/>
              <w:left w:w="100" w:type="dxa"/>
              <w:bottom w:w="70" w:type="dxa"/>
              <w:right w:w="100" w:type="dxa"/>
            </w:tcMar>
            <w:vAlign w:val="center"/>
          </w:tcPr>
          <w:p w14:paraId="6EC4C428" w14:textId="77777777" w:rsidR="00002650" w:rsidRDefault="00002650" w:rsidP="00F96983">
            <w:pPr>
              <w:spacing w:after="0" w:line="240" w:lineRule="auto"/>
            </w:pPr>
            <w:r>
              <w:rPr>
                <w:rFonts w:ascii="Times New Roman" w:eastAsia="Times New Roman" w:hAnsi="Times New Roman"/>
                <w:color w:val="000000"/>
                <w:sz w:val="17"/>
              </w:rPr>
              <w:t>Evidence conflicts with a finding, claim, or other record</w:t>
            </w:r>
          </w:p>
        </w:tc>
        <w:tc>
          <w:tcPr>
            <w:tcW w:w="4176" w:type="dxa"/>
            <w:shd w:val="clear" w:color="auto" w:fill="FFFFFF"/>
            <w:tcMar>
              <w:top w:w="70" w:type="dxa"/>
              <w:left w:w="100" w:type="dxa"/>
              <w:bottom w:w="70" w:type="dxa"/>
              <w:right w:w="100" w:type="dxa"/>
            </w:tcMar>
            <w:vAlign w:val="center"/>
          </w:tcPr>
          <w:p w14:paraId="0DA62F71" w14:textId="77777777" w:rsidR="00002650" w:rsidRDefault="00002650" w:rsidP="00F96983">
            <w:pPr>
              <w:spacing w:after="0" w:line="240" w:lineRule="auto"/>
            </w:pPr>
            <w:r>
              <w:rPr>
                <w:rFonts w:ascii="Times New Roman" w:eastAsia="Times New Roman" w:hAnsi="Times New Roman"/>
                <w:color w:val="000000"/>
                <w:sz w:val="17"/>
              </w:rPr>
              <w:t>Conflict type and unresolved state</w:t>
            </w:r>
          </w:p>
        </w:tc>
      </w:tr>
      <w:tr w:rsidR="00002650" w14:paraId="5A505489" w14:textId="77777777">
        <w:trPr>
          <w:cantSplit/>
          <w:jc w:val="center"/>
        </w:trPr>
        <w:tc>
          <w:tcPr>
            <w:tcW w:w="1756" w:type="dxa"/>
            <w:shd w:val="clear" w:color="auto" w:fill="F6F9FB"/>
            <w:tcMar>
              <w:top w:w="70" w:type="dxa"/>
              <w:left w:w="100" w:type="dxa"/>
              <w:bottom w:w="70" w:type="dxa"/>
              <w:right w:w="100" w:type="dxa"/>
            </w:tcMar>
            <w:vAlign w:val="center"/>
          </w:tcPr>
          <w:p w14:paraId="52F3DB2A" w14:textId="77777777" w:rsidR="00002650" w:rsidRDefault="00002650" w:rsidP="00F96983">
            <w:pPr>
              <w:spacing w:after="0" w:line="240" w:lineRule="auto"/>
            </w:pPr>
            <w:r>
              <w:rPr>
                <w:rFonts w:ascii="Times New Roman" w:eastAsia="Times New Roman" w:hAnsi="Times New Roman"/>
                <w:color w:val="000000"/>
                <w:sz w:val="17"/>
              </w:rPr>
              <w:t>projected by</w:t>
            </w:r>
          </w:p>
        </w:tc>
        <w:tc>
          <w:tcPr>
            <w:tcW w:w="3787" w:type="dxa"/>
            <w:shd w:val="clear" w:color="auto" w:fill="F6F9FB"/>
            <w:tcMar>
              <w:top w:w="70" w:type="dxa"/>
              <w:left w:w="100" w:type="dxa"/>
              <w:bottom w:w="70" w:type="dxa"/>
              <w:right w:w="100" w:type="dxa"/>
            </w:tcMar>
            <w:vAlign w:val="center"/>
          </w:tcPr>
          <w:p w14:paraId="702BBA3D" w14:textId="77777777" w:rsidR="00002650" w:rsidRDefault="00002650" w:rsidP="00F96983">
            <w:pPr>
              <w:spacing w:after="0" w:line="240" w:lineRule="auto"/>
            </w:pPr>
            <w:r>
              <w:rPr>
                <w:rFonts w:ascii="Times New Roman" w:eastAsia="Times New Roman" w:hAnsi="Times New Roman"/>
                <w:color w:val="000000"/>
                <w:sz w:val="17"/>
              </w:rPr>
              <w:t>An instrument or surface presents an authorized view</w:t>
            </w:r>
          </w:p>
        </w:tc>
        <w:tc>
          <w:tcPr>
            <w:tcW w:w="4176" w:type="dxa"/>
            <w:shd w:val="clear" w:color="auto" w:fill="F6F9FB"/>
            <w:tcMar>
              <w:top w:w="70" w:type="dxa"/>
              <w:left w:w="100" w:type="dxa"/>
              <w:bottom w:w="70" w:type="dxa"/>
              <w:right w:w="100" w:type="dxa"/>
            </w:tcMar>
            <w:vAlign w:val="center"/>
          </w:tcPr>
          <w:p w14:paraId="5894AA26" w14:textId="77777777" w:rsidR="00002650" w:rsidRDefault="00002650" w:rsidP="00F96983">
            <w:pPr>
              <w:spacing w:after="0" w:line="240" w:lineRule="auto"/>
            </w:pPr>
            <w:r>
              <w:rPr>
                <w:rFonts w:ascii="Times New Roman" w:eastAsia="Times New Roman" w:hAnsi="Times New Roman"/>
                <w:color w:val="000000"/>
                <w:sz w:val="17"/>
              </w:rPr>
              <w:t>Contract, version, and non-mutation boundary</w:t>
            </w:r>
          </w:p>
        </w:tc>
      </w:tr>
      <w:tr w:rsidR="00002650" w14:paraId="0C0E7B5B" w14:textId="77777777">
        <w:trPr>
          <w:cantSplit/>
          <w:jc w:val="center"/>
        </w:trPr>
        <w:tc>
          <w:tcPr>
            <w:tcW w:w="1756" w:type="dxa"/>
            <w:shd w:val="clear" w:color="auto" w:fill="FFFFFF"/>
            <w:tcMar>
              <w:top w:w="70" w:type="dxa"/>
              <w:left w:w="100" w:type="dxa"/>
              <w:bottom w:w="70" w:type="dxa"/>
              <w:right w:w="100" w:type="dxa"/>
            </w:tcMar>
            <w:vAlign w:val="center"/>
          </w:tcPr>
          <w:p w14:paraId="56C7F8B7" w14:textId="77777777" w:rsidR="00002650" w:rsidRDefault="00002650" w:rsidP="00F96983">
            <w:pPr>
              <w:spacing w:after="0" w:line="240" w:lineRule="auto"/>
            </w:pPr>
            <w:r>
              <w:rPr>
                <w:rFonts w:ascii="Times New Roman" w:eastAsia="Times New Roman" w:hAnsi="Times New Roman"/>
                <w:color w:val="000000"/>
                <w:sz w:val="17"/>
              </w:rPr>
              <w:t>summarized by</w:t>
            </w:r>
          </w:p>
        </w:tc>
        <w:tc>
          <w:tcPr>
            <w:tcW w:w="3787" w:type="dxa"/>
            <w:shd w:val="clear" w:color="auto" w:fill="FFFFFF"/>
            <w:tcMar>
              <w:top w:w="70" w:type="dxa"/>
              <w:left w:w="100" w:type="dxa"/>
              <w:bottom w:w="70" w:type="dxa"/>
              <w:right w:w="100" w:type="dxa"/>
            </w:tcMar>
            <w:vAlign w:val="center"/>
          </w:tcPr>
          <w:p w14:paraId="509D625D" w14:textId="77777777" w:rsidR="00002650" w:rsidRDefault="00002650" w:rsidP="00F96983">
            <w:pPr>
              <w:spacing w:after="0" w:line="240" w:lineRule="auto"/>
            </w:pPr>
            <w:r>
              <w:rPr>
                <w:rFonts w:ascii="Times New Roman" w:eastAsia="Times New Roman" w:hAnsi="Times New Roman"/>
                <w:color w:val="000000"/>
                <w:sz w:val="17"/>
              </w:rPr>
              <w:t>A Human Read or synthesis object translates structured evidence</w:t>
            </w:r>
          </w:p>
        </w:tc>
        <w:tc>
          <w:tcPr>
            <w:tcW w:w="4176" w:type="dxa"/>
            <w:shd w:val="clear" w:color="auto" w:fill="FFFFFF"/>
            <w:tcMar>
              <w:top w:w="70" w:type="dxa"/>
              <w:left w:w="100" w:type="dxa"/>
              <w:bottom w:w="70" w:type="dxa"/>
              <w:right w:w="100" w:type="dxa"/>
            </w:tcMar>
            <w:vAlign w:val="center"/>
          </w:tcPr>
          <w:p w14:paraId="40D37A7A" w14:textId="77777777" w:rsidR="00002650" w:rsidRDefault="00002650" w:rsidP="00F96983">
            <w:pPr>
              <w:spacing w:after="0" w:line="240" w:lineRule="auto"/>
            </w:pPr>
            <w:r>
              <w:rPr>
                <w:rFonts w:ascii="Times New Roman" w:eastAsia="Times New Roman" w:hAnsi="Times New Roman"/>
                <w:color w:val="000000"/>
                <w:sz w:val="17"/>
              </w:rPr>
              <w:t>Proposition references and claim boundary</w:t>
            </w:r>
          </w:p>
        </w:tc>
      </w:tr>
      <w:tr w:rsidR="00002650" w14:paraId="36CE6698" w14:textId="77777777">
        <w:trPr>
          <w:cantSplit/>
          <w:jc w:val="center"/>
        </w:trPr>
        <w:tc>
          <w:tcPr>
            <w:tcW w:w="1756" w:type="dxa"/>
            <w:shd w:val="clear" w:color="auto" w:fill="F6F9FB"/>
            <w:tcMar>
              <w:top w:w="70" w:type="dxa"/>
              <w:left w:w="100" w:type="dxa"/>
              <w:bottom w:w="70" w:type="dxa"/>
              <w:right w:w="100" w:type="dxa"/>
            </w:tcMar>
            <w:vAlign w:val="center"/>
          </w:tcPr>
          <w:p w14:paraId="229F0E27" w14:textId="77777777" w:rsidR="00002650" w:rsidRDefault="00002650" w:rsidP="00F96983">
            <w:pPr>
              <w:spacing w:after="0" w:line="240" w:lineRule="auto"/>
            </w:pPr>
            <w:r>
              <w:rPr>
                <w:rFonts w:ascii="Times New Roman" w:eastAsia="Times New Roman" w:hAnsi="Times New Roman"/>
                <w:color w:val="000000"/>
                <w:sz w:val="17"/>
              </w:rPr>
              <w:t>preserved in</w:t>
            </w:r>
          </w:p>
        </w:tc>
        <w:tc>
          <w:tcPr>
            <w:tcW w:w="3787" w:type="dxa"/>
            <w:shd w:val="clear" w:color="auto" w:fill="F6F9FB"/>
            <w:tcMar>
              <w:top w:w="70" w:type="dxa"/>
              <w:left w:w="100" w:type="dxa"/>
              <w:bottom w:w="70" w:type="dxa"/>
              <w:right w:w="100" w:type="dxa"/>
            </w:tcMar>
            <w:vAlign w:val="center"/>
          </w:tcPr>
          <w:p w14:paraId="4AEEBB92" w14:textId="77777777" w:rsidR="00002650" w:rsidRDefault="00002650" w:rsidP="00F96983">
            <w:pPr>
              <w:spacing w:after="0" w:line="240" w:lineRule="auto"/>
            </w:pPr>
            <w:r>
              <w:rPr>
                <w:rFonts w:ascii="Times New Roman" w:eastAsia="Times New Roman" w:hAnsi="Times New Roman"/>
                <w:color w:val="000000"/>
                <w:sz w:val="17"/>
              </w:rPr>
              <w:t>An object is embedded or referenced by an artifact</w:t>
            </w:r>
          </w:p>
        </w:tc>
        <w:tc>
          <w:tcPr>
            <w:tcW w:w="4176" w:type="dxa"/>
            <w:shd w:val="clear" w:color="auto" w:fill="F6F9FB"/>
            <w:tcMar>
              <w:top w:w="70" w:type="dxa"/>
              <w:left w:w="100" w:type="dxa"/>
              <w:bottom w:w="70" w:type="dxa"/>
              <w:right w:w="100" w:type="dxa"/>
            </w:tcMar>
            <w:vAlign w:val="center"/>
          </w:tcPr>
          <w:p w14:paraId="439E9BDE" w14:textId="77777777" w:rsidR="00002650" w:rsidRDefault="00002650" w:rsidP="00F96983">
            <w:pPr>
              <w:spacing w:after="0" w:line="240" w:lineRule="auto"/>
            </w:pPr>
            <w:r>
              <w:rPr>
                <w:rFonts w:ascii="Times New Roman" w:eastAsia="Times New Roman" w:hAnsi="Times New Roman"/>
                <w:color w:val="000000"/>
                <w:sz w:val="17"/>
              </w:rPr>
              <w:t>Manifest entry, integrity state, and access condition</w:t>
            </w:r>
          </w:p>
        </w:tc>
      </w:tr>
      <w:tr w:rsidR="00002650" w14:paraId="313B96CD" w14:textId="77777777">
        <w:trPr>
          <w:cantSplit/>
          <w:jc w:val="center"/>
        </w:trPr>
        <w:tc>
          <w:tcPr>
            <w:tcW w:w="1756" w:type="dxa"/>
            <w:shd w:val="clear" w:color="auto" w:fill="FFFFFF"/>
            <w:tcMar>
              <w:top w:w="70" w:type="dxa"/>
              <w:left w:w="100" w:type="dxa"/>
              <w:bottom w:w="70" w:type="dxa"/>
              <w:right w:w="100" w:type="dxa"/>
            </w:tcMar>
            <w:vAlign w:val="center"/>
          </w:tcPr>
          <w:p w14:paraId="2742B1FB" w14:textId="77777777" w:rsidR="00002650" w:rsidRDefault="00002650" w:rsidP="00F96983">
            <w:pPr>
              <w:spacing w:after="0" w:line="240" w:lineRule="auto"/>
            </w:pPr>
            <w:r>
              <w:rPr>
                <w:rFonts w:ascii="Times New Roman" w:eastAsia="Times New Roman" w:hAnsi="Times New Roman"/>
                <w:color w:val="000000"/>
                <w:sz w:val="17"/>
              </w:rPr>
              <w:t>supersedes</w:t>
            </w:r>
          </w:p>
        </w:tc>
        <w:tc>
          <w:tcPr>
            <w:tcW w:w="3787" w:type="dxa"/>
            <w:shd w:val="clear" w:color="auto" w:fill="FFFFFF"/>
            <w:tcMar>
              <w:top w:w="70" w:type="dxa"/>
              <w:left w:w="100" w:type="dxa"/>
              <w:bottom w:w="70" w:type="dxa"/>
              <w:right w:w="100" w:type="dxa"/>
            </w:tcMar>
            <w:vAlign w:val="center"/>
          </w:tcPr>
          <w:p w14:paraId="44B2BF14" w14:textId="77777777" w:rsidR="00002650" w:rsidRDefault="00002650" w:rsidP="00F96983">
            <w:pPr>
              <w:spacing w:after="0" w:line="240" w:lineRule="auto"/>
            </w:pPr>
            <w:r>
              <w:rPr>
                <w:rFonts w:ascii="Times New Roman" w:eastAsia="Times New Roman" w:hAnsi="Times New Roman"/>
                <w:color w:val="000000"/>
                <w:sz w:val="17"/>
              </w:rPr>
              <w:t>A later object replaces an earlier object for a declared purpose</w:t>
            </w:r>
          </w:p>
        </w:tc>
        <w:tc>
          <w:tcPr>
            <w:tcW w:w="4176" w:type="dxa"/>
            <w:shd w:val="clear" w:color="auto" w:fill="FFFFFF"/>
            <w:tcMar>
              <w:top w:w="70" w:type="dxa"/>
              <w:left w:w="100" w:type="dxa"/>
              <w:bottom w:w="70" w:type="dxa"/>
              <w:right w:w="100" w:type="dxa"/>
            </w:tcMar>
            <w:vAlign w:val="center"/>
          </w:tcPr>
          <w:p w14:paraId="18593464" w14:textId="77777777" w:rsidR="00002650" w:rsidRDefault="00002650" w:rsidP="00F96983">
            <w:pPr>
              <w:spacing w:after="0" w:line="240" w:lineRule="auto"/>
            </w:pPr>
            <w:r>
              <w:rPr>
                <w:rFonts w:ascii="Times New Roman" w:eastAsia="Times New Roman" w:hAnsi="Times New Roman"/>
                <w:color w:val="000000"/>
                <w:sz w:val="17"/>
              </w:rPr>
              <w:t>Reason, affected scope, and preserved predecessor</w:t>
            </w:r>
          </w:p>
        </w:tc>
      </w:tr>
    </w:tbl>
    <w:p w14:paraId="56151255" w14:textId="77777777" w:rsidR="00002650" w:rsidRDefault="00002650" w:rsidP="00002650">
      <w:pPr>
        <w:spacing w:after="20"/>
      </w:pPr>
    </w:p>
    <w:p w14:paraId="016D3B3F" w14:textId="77777777" w:rsidR="00002650" w:rsidRPr="00002650" w:rsidRDefault="00002650" w:rsidP="00002650">
      <w:pPr>
        <w:pStyle w:val="Heading1"/>
        <w:rPr>
          <w:b/>
          <w:bCs/>
          <w:color w:val="4F46E5"/>
        </w:rPr>
      </w:pPr>
      <w:r w:rsidRPr="00002650">
        <w:rPr>
          <w:rFonts w:ascii="Arial" w:eastAsia="Times New Roman" w:hAnsi="Arial"/>
          <w:b/>
          <w:bCs/>
          <w:color w:val="4F46E5"/>
          <w:sz w:val="29"/>
        </w:rPr>
        <w:t>Appendix C CBA Conformance Checklist</w:t>
      </w:r>
    </w:p>
    <w:p w14:paraId="568696BC" w14:textId="77777777" w:rsidR="00002650" w:rsidRDefault="00002650" w:rsidP="00002650">
      <w:pPr>
        <w:spacing w:after="94" w:line="240" w:lineRule="auto"/>
        <w:ind w:left="346" w:hanging="346"/>
      </w:pPr>
      <w:r>
        <w:rPr>
          <w:rFonts w:ascii="Times New Roman" w:eastAsia="Times New Roman" w:hAnsi="Times New Roman"/>
          <w:color w:val="000000"/>
          <w:sz w:val="17"/>
        </w:rPr>
        <w:t>A conforming implementation should be able to answer yes or disclose a bounded exception for each requirement:</w:t>
      </w:r>
    </w:p>
    <w:p w14:paraId="045182A4" w14:textId="77777777" w:rsidR="00002650" w:rsidRDefault="00002650" w:rsidP="00002650">
      <w:pPr>
        <w:spacing w:after="84" w:line="240" w:lineRule="auto"/>
        <w:ind w:left="403" w:hanging="403"/>
      </w:pPr>
      <w:r>
        <w:rPr>
          <w:rFonts w:ascii="Times New Roman" w:eastAsia="Times New Roman" w:hAnsi="Times New Roman"/>
          <w:color w:val="000000"/>
          <w:sz w:val="17"/>
        </w:rPr>
        <w:t>1. Is the supplied source identifiable and distinguishable from operator context and adapter output?</w:t>
      </w:r>
    </w:p>
    <w:p w14:paraId="460D9270" w14:textId="77777777" w:rsidR="00002650" w:rsidRDefault="00002650" w:rsidP="00002650">
      <w:pPr>
        <w:spacing w:after="84" w:line="240" w:lineRule="auto"/>
        <w:ind w:left="403" w:hanging="403"/>
      </w:pPr>
      <w:r>
        <w:rPr>
          <w:rFonts w:ascii="Times New Roman" w:eastAsia="Times New Roman" w:hAnsi="Times New Roman"/>
          <w:color w:val="000000"/>
          <w:sz w:val="17"/>
        </w:rPr>
        <w:t>2. Does each material canonical event resolve to a source span or declared non-source basis?</w:t>
      </w:r>
    </w:p>
    <w:p w14:paraId="11B7A9C2" w14:textId="77777777" w:rsidR="00002650" w:rsidRDefault="00002650" w:rsidP="00002650">
      <w:pPr>
        <w:spacing w:after="84" w:line="240" w:lineRule="auto"/>
        <w:ind w:left="403" w:hanging="403"/>
      </w:pPr>
      <w:r>
        <w:rPr>
          <w:rFonts w:ascii="Times New Roman" w:eastAsia="Times New Roman" w:hAnsi="Times New Roman"/>
          <w:color w:val="000000"/>
          <w:sz w:val="17"/>
        </w:rPr>
        <w:t>3. Are adapter, segmentation, normalization, role mapping, and exclusion decisions versioned?</w:t>
      </w:r>
    </w:p>
    <w:p w14:paraId="4DF82D80" w14:textId="77777777" w:rsidR="00002650" w:rsidRDefault="00002650" w:rsidP="00002650">
      <w:pPr>
        <w:spacing w:after="84" w:line="240" w:lineRule="auto"/>
        <w:ind w:left="403" w:hanging="403"/>
      </w:pPr>
      <w:r>
        <w:rPr>
          <w:rFonts w:ascii="Times New Roman" w:eastAsia="Times New Roman" w:hAnsi="Times New Roman"/>
          <w:color w:val="000000"/>
          <w:sz w:val="17"/>
        </w:rPr>
        <w:t>4. Does one declared canonical representation govern the active run?</w:t>
      </w:r>
    </w:p>
    <w:p w14:paraId="44F65FEA" w14:textId="77777777" w:rsidR="00002650" w:rsidRDefault="00002650" w:rsidP="00002650">
      <w:pPr>
        <w:spacing w:after="84" w:line="240" w:lineRule="auto"/>
        <w:ind w:left="403" w:hanging="403"/>
      </w:pPr>
      <w:r>
        <w:rPr>
          <w:rFonts w:ascii="Times New Roman" w:eastAsia="Times New Roman" w:hAnsi="Times New Roman"/>
          <w:color w:val="000000"/>
          <w:sz w:val="17"/>
        </w:rPr>
        <w:t>5. Are source, canonical, dependency, wall-clock, symbolic, and marker coordinates distinguishable where applicable?</w:t>
      </w:r>
    </w:p>
    <w:p w14:paraId="3ACA7ABC" w14:textId="77777777" w:rsidR="00002650" w:rsidRDefault="00002650" w:rsidP="00002650">
      <w:pPr>
        <w:spacing w:after="84" w:line="240" w:lineRule="auto"/>
        <w:ind w:left="403" w:hanging="403"/>
      </w:pPr>
      <w:r>
        <w:rPr>
          <w:rFonts w:ascii="Times New Roman" w:eastAsia="Times New Roman" w:hAnsi="Times New Roman"/>
          <w:color w:val="000000"/>
          <w:sz w:val="17"/>
        </w:rPr>
        <w:t>6. Are conflicts, partial orders, precision limits, and display-order conventions explicit?</w:t>
      </w:r>
    </w:p>
    <w:p w14:paraId="04D35944" w14:textId="77777777" w:rsidR="00002650" w:rsidRDefault="00002650" w:rsidP="00002650">
      <w:pPr>
        <w:spacing w:after="84" w:line="240" w:lineRule="auto"/>
        <w:ind w:left="403" w:hanging="403"/>
      </w:pPr>
      <w:r>
        <w:rPr>
          <w:rFonts w:ascii="Times New Roman" w:eastAsia="Times New Roman" w:hAnsi="Times New Roman"/>
          <w:color w:val="000000"/>
          <w:sz w:val="17"/>
        </w:rPr>
        <w:t>7. Do roles retain whether they were source-supplied, inherited, mapped, adapter-assigned, operator-declared, or unresolved?</w:t>
      </w:r>
    </w:p>
    <w:p w14:paraId="3B142673" w14:textId="77777777" w:rsidR="00002650" w:rsidRDefault="00002650" w:rsidP="00002650">
      <w:pPr>
        <w:spacing w:after="84" w:line="240" w:lineRule="auto"/>
        <w:ind w:left="403" w:hanging="403"/>
      </w:pPr>
      <w:r>
        <w:rPr>
          <w:rFonts w:ascii="Times New Roman" w:eastAsia="Times New Roman" w:hAnsi="Times New Roman"/>
          <w:color w:val="000000"/>
          <w:sz w:val="17"/>
        </w:rPr>
        <w:t>8. Do frames retain events, roles, coordinates, measurements, markers, regimes, and source references?</w:t>
      </w:r>
    </w:p>
    <w:p w14:paraId="0F13CBB8" w14:textId="77777777" w:rsidR="00002650" w:rsidRDefault="00002650" w:rsidP="00002650">
      <w:pPr>
        <w:spacing w:after="84" w:line="240" w:lineRule="auto"/>
        <w:ind w:left="403" w:hanging="403"/>
      </w:pPr>
      <w:r>
        <w:rPr>
          <w:rFonts w:ascii="Times New Roman" w:eastAsia="Times New Roman" w:hAnsi="Times New Roman"/>
          <w:color w:val="000000"/>
          <w:sz w:val="17"/>
        </w:rPr>
        <w:t>9. Do measurements retain method, version, inputs, evidence horizon, legitimacy, uncertainty, and missingness?</w:t>
      </w:r>
    </w:p>
    <w:p w14:paraId="057AFF54" w14:textId="77777777" w:rsidR="00002650" w:rsidRDefault="00002650" w:rsidP="00002650">
      <w:pPr>
        <w:spacing w:after="84" w:line="240" w:lineRule="auto"/>
        <w:ind w:left="403" w:hanging="403"/>
      </w:pPr>
      <w:r>
        <w:rPr>
          <w:rFonts w:ascii="Times New Roman" w:eastAsia="Times New Roman" w:hAnsi="Times New Roman"/>
          <w:color w:val="000000"/>
          <w:sz w:val="17"/>
        </w:rPr>
        <w:t>10. Do marker and regime objects preserve candidate, confirmation, failure, recovery, and re-entry distinctions?</w:t>
      </w:r>
    </w:p>
    <w:p w14:paraId="5AA1F6CE" w14:textId="77777777" w:rsidR="00002650" w:rsidRDefault="00002650" w:rsidP="00002650">
      <w:pPr>
        <w:spacing w:after="84" w:line="240" w:lineRule="auto"/>
        <w:ind w:left="403" w:hanging="403"/>
      </w:pPr>
      <w:r>
        <w:rPr>
          <w:rFonts w:ascii="Times New Roman" w:eastAsia="Times New Roman" w:hAnsi="Times New Roman"/>
          <w:color w:val="000000"/>
          <w:sz w:val="17"/>
        </w:rPr>
        <w:t>11. Are instrument and interpretation projections unable to mutate canonical objects?</w:t>
      </w:r>
    </w:p>
    <w:p w14:paraId="12862D02" w14:textId="77777777" w:rsidR="00002650" w:rsidRDefault="00002650" w:rsidP="00002650">
      <w:pPr>
        <w:spacing w:after="84" w:line="240" w:lineRule="auto"/>
        <w:ind w:left="403" w:hanging="403"/>
      </w:pPr>
      <w:r>
        <w:rPr>
          <w:rFonts w:ascii="Times New Roman" w:eastAsia="Times New Roman" w:hAnsi="Times New Roman"/>
          <w:color w:val="000000"/>
          <w:sz w:val="17"/>
        </w:rPr>
        <w:t>12. Can material summaries and findings be traversed back to methods, frames, events, and source evidence?</w:t>
      </w:r>
    </w:p>
    <w:p w14:paraId="407955FB" w14:textId="77777777" w:rsidR="00002650" w:rsidRDefault="00002650" w:rsidP="00002650">
      <w:pPr>
        <w:spacing w:after="84" w:line="240" w:lineRule="auto"/>
        <w:ind w:left="403" w:hanging="403"/>
      </w:pPr>
      <w:r>
        <w:rPr>
          <w:rFonts w:ascii="Times New Roman" w:eastAsia="Times New Roman" w:hAnsi="Times New Roman"/>
          <w:color w:val="000000"/>
          <w:sz w:val="17"/>
        </w:rPr>
        <w:t>13. Do interface preferences and Operational World lenses remain excluded from evidence computation unless explicitly declared otherwise?</w:t>
      </w:r>
    </w:p>
    <w:p w14:paraId="09E45721" w14:textId="77777777" w:rsidR="00002650" w:rsidRDefault="00002650" w:rsidP="00002650">
      <w:pPr>
        <w:spacing w:after="84" w:line="240" w:lineRule="auto"/>
        <w:ind w:left="403" w:hanging="403"/>
      </w:pPr>
      <w:r>
        <w:rPr>
          <w:rFonts w:ascii="Times New Roman" w:eastAsia="Times New Roman" w:hAnsi="Times New Roman"/>
          <w:color w:val="000000"/>
          <w:sz w:val="17"/>
        </w:rPr>
        <w:t>14. Are Current Evidence Run, record, Passport, seal, and artifact identities compatible and distinguishable?</w:t>
      </w:r>
    </w:p>
    <w:p w14:paraId="17EF3168" w14:textId="77777777" w:rsidR="00002650" w:rsidRDefault="00002650" w:rsidP="00002650">
      <w:pPr>
        <w:spacing w:after="84" w:line="240" w:lineRule="auto"/>
        <w:ind w:left="403" w:hanging="403"/>
      </w:pPr>
      <w:r>
        <w:rPr>
          <w:rFonts w:ascii="Times New Roman" w:eastAsia="Times New Roman" w:hAnsi="Times New Roman"/>
          <w:color w:val="000000"/>
          <w:sz w:val="17"/>
        </w:rPr>
        <w:t>15. Does export disclose included, omitted, redacted, withheld, and externally referenced objects?</w:t>
      </w:r>
    </w:p>
    <w:p w14:paraId="4E4720E5" w14:textId="77777777" w:rsidR="00002650" w:rsidRDefault="00002650" w:rsidP="00002650">
      <w:pPr>
        <w:spacing w:after="84" w:line="240" w:lineRule="auto"/>
        <w:ind w:left="403" w:hanging="403"/>
      </w:pPr>
      <w:r>
        <w:rPr>
          <w:rFonts w:ascii="Times New Roman" w:eastAsia="Times New Roman" w:hAnsi="Times New Roman"/>
          <w:color w:val="000000"/>
          <w:sz w:val="17"/>
        </w:rPr>
        <w:t>16. Can the artifact be replayed or can the implementation identify why complete replay is impossible?</w:t>
      </w:r>
    </w:p>
    <w:p w14:paraId="19C5E149" w14:textId="77777777" w:rsidR="00002650" w:rsidRDefault="00002650" w:rsidP="00002650">
      <w:pPr>
        <w:spacing w:after="84" w:line="240" w:lineRule="auto"/>
        <w:ind w:left="403" w:hanging="403"/>
      </w:pPr>
      <w:r>
        <w:rPr>
          <w:rFonts w:ascii="Times New Roman" w:eastAsia="Times New Roman" w:hAnsi="Times New Roman"/>
          <w:color w:val="000000"/>
          <w:sz w:val="17"/>
        </w:rPr>
        <w:t>17. Are corrections, challenges, and supersessions versioned without silently overwriting historical records?</w:t>
      </w:r>
    </w:p>
    <w:p w14:paraId="57607D2B" w14:textId="77777777" w:rsidR="00002650" w:rsidRDefault="00002650" w:rsidP="00002650">
      <w:pPr>
        <w:spacing w:after="84" w:line="240" w:lineRule="auto"/>
        <w:ind w:left="403" w:hanging="403"/>
      </w:pPr>
      <w:r>
        <w:rPr>
          <w:rFonts w:ascii="Times New Roman" w:eastAsia="Times New Roman" w:hAnsi="Times New Roman"/>
          <w:color w:val="000000"/>
          <w:sz w:val="17"/>
        </w:rPr>
        <w:t>18. Are claims of determinism, validity, prediction, causation, generalization, and replication separately qualified?</w:t>
      </w:r>
    </w:p>
    <w:p w14:paraId="2BAEB7AF" w14:textId="77777777" w:rsidR="00002650" w:rsidRPr="00002650" w:rsidRDefault="00002650" w:rsidP="00002650">
      <w:pPr>
        <w:pStyle w:val="Heading1"/>
        <w:rPr>
          <w:b/>
          <w:bCs/>
          <w:color w:val="4F46E5"/>
        </w:rPr>
      </w:pPr>
      <w:r w:rsidRPr="00002650">
        <w:rPr>
          <w:rFonts w:ascii="Arial" w:eastAsia="Times New Roman" w:hAnsi="Arial"/>
          <w:b/>
          <w:bCs/>
          <w:color w:val="4F46E5"/>
          <w:sz w:val="29"/>
        </w:rPr>
        <w:t>Appendix D Claim Boundary</w:t>
      </w:r>
    </w:p>
    <w:p w14:paraId="68C97EFA" w14:textId="77777777" w:rsidR="00002650" w:rsidRDefault="00002650" w:rsidP="00002650">
      <w:pPr>
        <w:spacing w:after="94" w:line="240" w:lineRule="auto"/>
        <w:ind w:left="346" w:hanging="346"/>
      </w:pPr>
      <w:r>
        <w:rPr>
          <w:rFonts w:ascii="Times New Roman" w:eastAsia="Times New Roman" w:hAnsi="Times New Roman"/>
          <w:color w:val="000000"/>
          <w:sz w:val="17"/>
        </w:rPr>
        <w:t>Computational Behavior Architecture may establish, under declared sources and methods:</w:t>
      </w:r>
    </w:p>
    <w:p w14:paraId="151924D3" w14:textId="77777777" w:rsidR="00002650" w:rsidRDefault="00002650" w:rsidP="00002650">
      <w:pPr>
        <w:pStyle w:val="ListBullet"/>
        <w:tabs>
          <w:tab w:val="num" w:pos="360"/>
        </w:tabs>
      </w:pPr>
      <w:r>
        <w:rPr>
          <w:rFonts w:eastAsia="Times New Roman"/>
          <w:sz w:val="19"/>
        </w:rPr>
        <w:t>which source objects and spans were represented;</w:t>
      </w:r>
    </w:p>
    <w:p w14:paraId="00A66AA1" w14:textId="77777777" w:rsidR="00002650" w:rsidRDefault="00002650" w:rsidP="00002650">
      <w:pPr>
        <w:pStyle w:val="ListBullet"/>
        <w:tabs>
          <w:tab w:val="num" w:pos="360"/>
        </w:tabs>
      </w:pPr>
      <w:r>
        <w:rPr>
          <w:rFonts w:eastAsia="Times New Roman"/>
          <w:sz w:val="19"/>
        </w:rPr>
        <w:t>how qualification, canonicalization, segmentation, role mapping, and ordering were performed;</w:t>
      </w:r>
    </w:p>
    <w:p w14:paraId="0B5549E7" w14:textId="77777777" w:rsidR="00002650" w:rsidRDefault="00002650" w:rsidP="00002650">
      <w:pPr>
        <w:pStyle w:val="ListBullet"/>
        <w:tabs>
          <w:tab w:val="num" w:pos="360"/>
        </w:tabs>
      </w:pPr>
      <w:r>
        <w:rPr>
          <w:rFonts w:eastAsia="Times New Roman"/>
          <w:sz w:val="19"/>
        </w:rPr>
        <w:t>which events, roles, tools, objectives, coordinates, frames, and relations formed the runtime representation;</w:t>
      </w:r>
    </w:p>
    <w:p w14:paraId="6200EB39" w14:textId="77777777" w:rsidR="00002650" w:rsidRDefault="00002650" w:rsidP="00002650">
      <w:pPr>
        <w:pStyle w:val="ListBullet"/>
        <w:tabs>
          <w:tab w:val="num" w:pos="360"/>
        </w:tabs>
      </w:pPr>
      <w:r>
        <w:rPr>
          <w:rFonts w:eastAsia="Times New Roman"/>
          <w:sz w:val="19"/>
        </w:rPr>
        <w:t>which measurements, markers, regimes, findings, and investigation paths were attached to that representation;</w:t>
      </w:r>
    </w:p>
    <w:p w14:paraId="584CD9E9" w14:textId="77777777" w:rsidR="00002650" w:rsidRDefault="00002650" w:rsidP="00002650">
      <w:pPr>
        <w:pStyle w:val="ListBullet"/>
        <w:tabs>
          <w:tab w:val="num" w:pos="360"/>
        </w:tabs>
      </w:pPr>
      <w:r>
        <w:rPr>
          <w:rFonts w:eastAsia="Times New Roman"/>
          <w:sz w:val="19"/>
        </w:rPr>
        <w:t>which evidence-authority objects governed the active and preserved state;</w:t>
      </w:r>
    </w:p>
    <w:p w14:paraId="1750ACE5" w14:textId="77777777" w:rsidR="00002650" w:rsidRDefault="00002650" w:rsidP="00002650">
      <w:pPr>
        <w:pStyle w:val="ListBullet"/>
        <w:tabs>
          <w:tab w:val="num" w:pos="360"/>
        </w:tabs>
      </w:pPr>
      <w:r>
        <w:rPr>
          <w:rFonts w:eastAsia="Times New Roman"/>
          <w:sz w:val="19"/>
        </w:rPr>
        <w:t>whether required architectural invariants and conformance checks were satisfied; and</w:t>
      </w:r>
    </w:p>
    <w:p w14:paraId="0D057A3A" w14:textId="77777777" w:rsidR="00002650" w:rsidRDefault="00002650" w:rsidP="00002650">
      <w:pPr>
        <w:pStyle w:val="ListBullet"/>
        <w:tabs>
          <w:tab w:val="num" w:pos="360"/>
        </w:tabs>
      </w:pPr>
      <w:r>
        <w:rPr>
          <w:rFonts w:eastAsia="Times New Roman"/>
          <w:sz w:val="19"/>
        </w:rPr>
        <w:t>which artifact carries which identities, mappings, omissions, and replay conditions.</w:t>
      </w:r>
    </w:p>
    <w:p w14:paraId="262EBCEB" w14:textId="77777777" w:rsidR="00002650" w:rsidRDefault="00002650" w:rsidP="00002650">
      <w:pPr>
        <w:spacing w:after="94" w:line="240" w:lineRule="auto"/>
        <w:ind w:left="346" w:hanging="346"/>
      </w:pPr>
      <w:r>
        <w:rPr>
          <w:rFonts w:ascii="Times New Roman" w:eastAsia="Times New Roman" w:hAnsi="Times New Roman"/>
          <w:color w:val="000000"/>
          <w:sz w:val="17"/>
        </w:rPr>
        <w:t>It does not independently establish:</w:t>
      </w:r>
    </w:p>
    <w:p w14:paraId="6A123F89" w14:textId="77777777" w:rsidR="00002650" w:rsidRDefault="00002650" w:rsidP="00002650">
      <w:pPr>
        <w:pStyle w:val="ListBullet"/>
        <w:tabs>
          <w:tab w:val="num" w:pos="360"/>
        </w:tabs>
      </w:pPr>
      <w:r>
        <w:rPr>
          <w:rFonts w:eastAsia="Times New Roman"/>
          <w:sz w:val="19"/>
        </w:rPr>
        <w:t>the real-world truth, authenticity, or completeness of the source;</w:t>
      </w:r>
    </w:p>
    <w:p w14:paraId="591C6580" w14:textId="77777777" w:rsidR="00002650" w:rsidRDefault="00002650" w:rsidP="00002650">
      <w:pPr>
        <w:pStyle w:val="ListBullet"/>
        <w:tabs>
          <w:tab w:val="num" w:pos="360"/>
        </w:tabs>
      </w:pPr>
      <w:r>
        <w:rPr>
          <w:rFonts w:eastAsia="Times New Roman"/>
          <w:sz w:val="19"/>
        </w:rPr>
        <w:t>hidden model state, private reasoning, consciousness, cognition, intent, agency, selfhood, or identity;</w:t>
      </w:r>
    </w:p>
    <w:p w14:paraId="316ECD92" w14:textId="77777777" w:rsidR="00002650" w:rsidRDefault="00002650" w:rsidP="00002650">
      <w:pPr>
        <w:pStyle w:val="ListBullet"/>
        <w:tabs>
          <w:tab w:val="num" w:pos="360"/>
        </w:tabs>
      </w:pPr>
      <w:r>
        <w:rPr>
          <w:rFonts w:eastAsia="Times New Roman"/>
          <w:sz w:val="19"/>
        </w:rPr>
        <w:t>unique root cause, blame, competence, legal responsibility, or institutional fault;</w:t>
      </w:r>
    </w:p>
    <w:p w14:paraId="02D12D5D" w14:textId="77777777" w:rsidR="00002650" w:rsidRDefault="00002650" w:rsidP="00002650">
      <w:pPr>
        <w:pStyle w:val="ListBullet"/>
        <w:tabs>
          <w:tab w:val="num" w:pos="360"/>
        </w:tabs>
      </w:pPr>
      <w:r>
        <w:rPr>
          <w:rFonts w:eastAsia="Times New Roman"/>
          <w:sz w:val="19"/>
        </w:rPr>
        <w:t>literal internal basins, fields, manifolds, attractors, or physical dynamics;</w:t>
      </w:r>
    </w:p>
    <w:p w14:paraId="2DC5FBAA" w14:textId="77777777" w:rsidR="00002650" w:rsidRDefault="00002650" w:rsidP="00002650">
      <w:pPr>
        <w:pStyle w:val="ListBullet"/>
        <w:tabs>
          <w:tab w:val="num" w:pos="360"/>
        </w:tabs>
      </w:pPr>
      <w:r>
        <w:rPr>
          <w:rFonts w:eastAsia="Times New Roman"/>
          <w:sz w:val="19"/>
        </w:rPr>
        <w:t>calibrated probability unless separately validated and declared;</w:t>
      </w:r>
    </w:p>
    <w:p w14:paraId="1F54690D" w14:textId="77777777" w:rsidR="00002650" w:rsidRDefault="00002650" w:rsidP="00002650">
      <w:pPr>
        <w:pStyle w:val="ListBullet"/>
        <w:tabs>
          <w:tab w:val="num" w:pos="360"/>
        </w:tabs>
      </w:pPr>
      <w:r>
        <w:rPr>
          <w:rFonts w:eastAsia="Times New Roman"/>
          <w:sz w:val="19"/>
        </w:rPr>
        <w:t>prospective prediction from retrospective reconstruction alone;</w:t>
      </w:r>
    </w:p>
    <w:p w14:paraId="044EDC5C" w14:textId="77777777" w:rsidR="00002650" w:rsidRDefault="00002650" w:rsidP="00002650">
      <w:pPr>
        <w:pStyle w:val="ListBullet"/>
        <w:tabs>
          <w:tab w:val="num" w:pos="360"/>
        </w:tabs>
      </w:pPr>
      <w:r>
        <w:rPr>
          <w:rFonts w:eastAsia="Times New Roman"/>
          <w:sz w:val="19"/>
        </w:rPr>
        <w:t>universal safety, deployment readiness, regulatory compliance, or legal admissibility;</w:t>
      </w:r>
    </w:p>
    <w:p w14:paraId="60687795" w14:textId="77777777" w:rsidR="00002650" w:rsidRDefault="00002650" w:rsidP="00002650">
      <w:pPr>
        <w:pStyle w:val="ListBullet"/>
        <w:tabs>
          <w:tab w:val="num" w:pos="360"/>
        </w:tabs>
      </w:pPr>
      <w:r>
        <w:rPr>
          <w:rFonts w:eastAsia="Times New Roman"/>
          <w:sz w:val="19"/>
        </w:rPr>
        <w:t>universal construct validity, external generalization, or independent replication merely because the representation is deterministic; or</w:t>
      </w:r>
    </w:p>
    <w:p w14:paraId="22C077E1" w14:textId="77777777" w:rsidR="00002650" w:rsidRDefault="00002650" w:rsidP="00002650">
      <w:pPr>
        <w:pStyle w:val="ListBullet"/>
        <w:tabs>
          <w:tab w:val="num" w:pos="360"/>
        </w:tabs>
      </w:pPr>
      <w:r>
        <w:rPr>
          <w:rFonts w:eastAsia="Times New Roman"/>
          <w:sz w:val="19"/>
        </w:rPr>
        <w:t>required operational action or automated control authority.</w:t>
      </w:r>
    </w:p>
    <w:p w14:paraId="4CC3CA07" w14:textId="77777777" w:rsidR="00002650" w:rsidRDefault="00002650" w:rsidP="00002650">
      <w:pPr>
        <w:pStyle w:val="Heading2"/>
      </w:pPr>
      <w:r>
        <w:rPr>
          <w:rFonts w:ascii="Arial" w:eastAsia="Times New Roman" w:hAnsi="Arial"/>
          <w:color w:val="000000"/>
          <w:sz w:val="23"/>
        </w:rPr>
        <w:t>Trademark Notice</w:t>
      </w:r>
    </w:p>
    <w:p w14:paraId="0E2A5FD7" w14:textId="77777777" w:rsidR="00002650" w:rsidRDefault="00002650" w:rsidP="00002650">
      <w:pPr>
        <w:spacing w:after="94" w:line="240" w:lineRule="auto"/>
        <w:ind w:left="346" w:hanging="346"/>
      </w:pPr>
      <w:r>
        <w:rPr>
          <w:rFonts w:ascii="Times New Roman" w:eastAsia="Times New Roman" w:hAnsi="Times New Roman"/>
          <w:color w:val="000000"/>
          <w:sz w:val="17"/>
        </w:rPr>
        <w:t>SubstrateX®, Aperture™, Intelligence in Motion™, and Evidence-Governed Computation™ are identifiers used by their respective owner. Longitudinal Computational Dynamics names the proposed scientific field. Computational Behavior Architecture names the representational architecture defined in this paper.</w:t>
      </w:r>
    </w:p>
    <w:p w14:paraId="41973B91" w14:textId="77777777" w:rsidR="00002650" w:rsidRPr="00002650" w:rsidRDefault="00002650" w:rsidP="00002650"/>
    <w:p w14:paraId="36835939" w14:textId="6802AD41" w:rsidR="00080427" w:rsidRDefault="00080427" w:rsidP="000B6C24">
      <w:pPr>
        <w:spacing w:after="100"/>
      </w:pPr>
      <w:r>
        <w:br w:type="page"/>
      </w:r>
      <w:bookmarkEnd w:id="2"/>
      <w:bookmarkEnd w:id="3"/>
      <w:bookmarkEnd w:id="4"/>
      <w:bookmarkEnd w:id="5"/>
    </w:p>
    <w:sectPr w:rsidR="00080427">
      <w:headerReference w:type="default"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B2CBE" w14:textId="77777777" w:rsidR="0040367C" w:rsidRDefault="0040367C" w:rsidP="00710D05">
      <w:pPr>
        <w:spacing w:after="0" w:line="240" w:lineRule="auto"/>
      </w:pPr>
      <w:r>
        <w:separator/>
      </w:r>
    </w:p>
  </w:endnote>
  <w:endnote w:type="continuationSeparator" w:id="0">
    <w:p w14:paraId="57238952" w14:textId="77777777" w:rsidR="0040367C" w:rsidRDefault="0040367C" w:rsidP="00710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825993"/>
      <w:docPartObj>
        <w:docPartGallery w:val="Page Numbers (Bottom of Page)"/>
        <w:docPartUnique/>
      </w:docPartObj>
    </w:sdtPr>
    <w:sdtEndPr>
      <w:rPr>
        <w:noProof/>
      </w:rPr>
    </w:sdtEndPr>
    <w:sdtContent>
      <w:p w14:paraId="3D6C56A5" w14:textId="5AC250DA" w:rsidR="00710D05" w:rsidRPr="00352E37" w:rsidRDefault="00710D05" w:rsidP="00352E37">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51814" w14:textId="77777777" w:rsidR="0040367C" w:rsidRDefault="0040367C" w:rsidP="00710D05">
      <w:pPr>
        <w:spacing w:after="0" w:line="240" w:lineRule="auto"/>
      </w:pPr>
      <w:r>
        <w:separator/>
      </w:r>
    </w:p>
  </w:footnote>
  <w:footnote w:type="continuationSeparator" w:id="0">
    <w:p w14:paraId="6BF0125A" w14:textId="77777777" w:rsidR="0040367C" w:rsidRDefault="0040367C" w:rsidP="00710D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D1755" w14:textId="2DD7A38C" w:rsidR="00352E37" w:rsidRDefault="0027484E" w:rsidP="0027484E">
    <w:pPr>
      <w:pStyle w:val="Header"/>
    </w:pPr>
    <w:r>
      <w:rPr>
        <w:rFonts w:ascii="Segoe UI Emoji" w:hAnsi="Segoe UI Emoji" w:cs="Segoe UI Emoji"/>
        <w:b/>
        <w:bCs/>
        <w:noProof/>
        <w:color w:val="F0B83B"/>
      </w:rPr>
      <w:drawing>
        <wp:anchor distT="0" distB="0" distL="114300" distR="114300" simplePos="0" relativeHeight="251659264" behindDoc="0" locked="0" layoutInCell="1" allowOverlap="1" wp14:anchorId="6D3A4B99" wp14:editId="6AFC01F4">
          <wp:simplePos x="0" y="0"/>
          <wp:positionH relativeFrom="column">
            <wp:posOffset>2814320</wp:posOffset>
          </wp:positionH>
          <wp:positionV relativeFrom="paragraph">
            <wp:posOffset>7620</wp:posOffset>
          </wp:positionV>
          <wp:extent cx="260985" cy="257175"/>
          <wp:effectExtent l="0" t="0" r="5715" b="9525"/>
          <wp:wrapSquare wrapText="bothSides"/>
          <wp:docPr id="60018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85272" name="Picture 1"/>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60985" cy="257175"/>
                  </a:xfrm>
                  <a:prstGeom prst="rect">
                    <a:avLst/>
                  </a:prstGeom>
                </pic:spPr>
              </pic:pic>
            </a:graphicData>
          </a:graphic>
          <wp14:sizeRelH relativeFrom="margin">
            <wp14:pctWidth>0</wp14:pctWidth>
          </wp14:sizeRelH>
          <wp14:sizeRelV relativeFrom="margin">
            <wp14:pctHeight>0</wp14:pctHeight>
          </wp14:sizeRelV>
        </wp:anchor>
      </w:drawing>
    </w:r>
  </w:p>
  <w:p w14:paraId="10CE9FA3" w14:textId="77777777" w:rsidR="0027484E" w:rsidRDefault="0027484E" w:rsidP="002748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D2627CE4"/>
    <w:lvl w:ilvl="0">
      <w:start w:val="1"/>
      <w:numFmt w:val="bullet"/>
      <w:pStyle w:val="ListBullet"/>
      <w:lvlText w:val=""/>
      <w:lvlJc w:val="left"/>
      <w:pPr>
        <w:tabs>
          <w:tab w:val="num" w:pos="360"/>
        </w:tabs>
        <w:ind w:left="360" w:hanging="360"/>
      </w:pPr>
      <w:rPr>
        <w:rFonts w:ascii="Symbol" w:hAnsi="Symbol" w:hint="default"/>
      </w:rPr>
    </w:lvl>
  </w:abstractNum>
  <w:num w:numId="1" w16cid:durableId="199051615">
    <w:abstractNumId w:val="5"/>
  </w:num>
  <w:num w:numId="2" w16cid:durableId="1422677912">
    <w:abstractNumId w:val="3"/>
  </w:num>
  <w:num w:numId="3" w16cid:durableId="573248359">
    <w:abstractNumId w:val="2"/>
  </w:num>
  <w:num w:numId="4" w16cid:durableId="809053917">
    <w:abstractNumId w:val="4"/>
  </w:num>
  <w:num w:numId="5" w16cid:durableId="723144218">
    <w:abstractNumId w:val="1"/>
  </w:num>
  <w:num w:numId="6" w16cid:durableId="441149955">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EF4"/>
    <w:rsid w:val="0000103F"/>
    <w:rsid w:val="00002650"/>
    <w:rsid w:val="00011A5A"/>
    <w:rsid w:val="00013C7B"/>
    <w:rsid w:val="00013EB3"/>
    <w:rsid w:val="00016561"/>
    <w:rsid w:val="00016C74"/>
    <w:rsid w:val="000243B8"/>
    <w:rsid w:val="00037ED4"/>
    <w:rsid w:val="000428F3"/>
    <w:rsid w:val="00055E0C"/>
    <w:rsid w:val="00067A63"/>
    <w:rsid w:val="0007233C"/>
    <w:rsid w:val="000729DC"/>
    <w:rsid w:val="00080427"/>
    <w:rsid w:val="00091A71"/>
    <w:rsid w:val="000B6C24"/>
    <w:rsid w:val="000D61C7"/>
    <w:rsid w:val="000D7428"/>
    <w:rsid w:val="000E30FF"/>
    <w:rsid w:val="000E448D"/>
    <w:rsid w:val="000F5386"/>
    <w:rsid w:val="00112E22"/>
    <w:rsid w:val="00113CCF"/>
    <w:rsid w:val="00127AFE"/>
    <w:rsid w:val="00140694"/>
    <w:rsid w:val="0015293C"/>
    <w:rsid w:val="00154476"/>
    <w:rsid w:val="00166406"/>
    <w:rsid w:val="001831A0"/>
    <w:rsid w:val="001843B4"/>
    <w:rsid w:val="00186399"/>
    <w:rsid w:val="001911CF"/>
    <w:rsid w:val="00197639"/>
    <w:rsid w:val="001A4EF0"/>
    <w:rsid w:val="001A5DD6"/>
    <w:rsid w:val="001D0C0F"/>
    <w:rsid w:val="001D74A6"/>
    <w:rsid w:val="001E7589"/>
    <w:rsid w:val="001F157F"/>
    <w:rsid w:val="0020543F"/>
    <w:rsid w:val="00205D84"/>
    <w:rsid w:val="002077FC"/>
    <w:rsid w:val="00211932"/>
    <w:rsid w:val="00220D48"/>
    <w:rsid w:val="00220EF4"/>
    <w:rsid w:val="00235864"/>
    <w:rsid w:val="00242299"/>
    <w:rsid w:val="0024502A"/>
    <w:rsid w:val="00247223"/>
    <w:rsid w:val="0025500C"/>
    <w:rsid w:val="002558A0"/>
    <w:rsid w:val="00263267"/>
    <w:rsid w:val="00273B76"/>
    <w:rsid w:val="0027484E"/>
    <w:rsid w:val="0027780E"/>
    <w:rsid w:val="00282142"/>
    <w:rsid w:val="002947DA"/>
    <w:rsid w:val="002A5935"/>
    <w:rsid w:val="002A7AA3"/>
    <w:rsid w:val="002C47B4"/>
    <w:rsid w:val="002C769B"/>
    <w:rsid w:val="002D1676"/>
    <w:rsid w:val="002D55FC"/>
    <w:rsid w:val="002D5A58"/>
    <w:rsid w:val="002D5E91"/>
    <w:rsid w:val="002E2F5D"/>
    <w:rsid w:val="002F1008"/>
    <w:rsid w:val="002F6BCC"/>
    <w:rsid w:val="003011E8"/>
    <w:rsid w:val="00303F10"/>
    <w:rsid w:val="00304C4F"/>
    <w:rsid w:val="00306BFD"/>
    <w:rsid w:val="00312278"/>
    <w:rsid w:val="00321165"/>
    <w:rsid w:val="00326425"/>
    <w:rsid w:val="00330277"/>
    <w:rsid w:val="00335593"/>
    <w:rsid w:val="00336FB7"/>
    <w:rsid w:val="00345616"/>
    <w:rsid w:val="00351EAF"/>
    <w:rsid w:val="00352E37"/>
    <w:rsid w:val="003554E1"/>
    <w:rsid w:val="003724D7"/>
    <w:rsid w:val="00382C2D"/>
    <w:rsid w:val="00395870"/>
    <w:rsid w:val="00397D51"/>
    <w:rsid w:val="003A1159"/>
    <w:rsid w:val="003A29B5"/>
    <w:rsid w:val="003B088A"/>
    <w:rsid w:val="003B3D2E"/>
    <w:rsid w:val="003B7293"/>
    <w:rsid w:val="003C2824"/>
    <w:rsid w:val="003C5261"/>
    <w:rsid w:val="003D3E7F"/>
    <w:rsid w:val="003D7529"/>
    <w:rsid w:val="003E1F95"/>
    <w:rsid w:val="003F6AEE"/>
    <w:rsid w:val="0040367C"/>
    <w:rsid w:val="00406135"/>
    <w:rsid w:val="0041250B"/>
    <w:rsid w:val="00424419"/>
    <w:rsid w:val="004244D8"/>
    <w:rsid w:val="00425911"/>
    <w:rsid w:val="00432835"/>
    <w:rsid w:val="004517EA"/>
    <w:rsid w:val="00470F1C"/>
    <w:rsid w:val="004907DD"/>
    <w:rsid w:val="00497FDA"/>
    <w:rsid w:val="004A144A"/>
    <w:rsid w:val="004A3CF3"/>
    <w:rsid w:val="004A4746"/>
    <w:rsid w:val="004A4BF6"/>
    <w:rsid w:val="004B57AF"/>
    <w:rsid w:val="004C4593"/>
    <w:rsid w:val="004C774F"/>
    <w:rsid w:val="004D5CBC"/>
    <w:rsid w:val="004D7564"/>
    <w:rsid w:val="004F0B69"/>
    <w:rsid w:val="004F5238"/>
    <w:rsid w:val="0051007A"/>
    <w:rsid w:val="0051213E"/>
    <w:rsid w:val="00515377"/>
    <w:rsid w:val="00515722"/>
    <w:rsid w:val="00524116"/>
    <w:rsid w:val="00525A00"/>
    <w:rsid w:val="0052616B"/>
    <w:rsid w:val="00531640"/>
    <w:rsid w:val="0053509F"/>
    <w:rsid w:val="00535FFC"/>
    <w:rsid w:val="005432A1"/>
    <w:rsid w:val="005505EA"/>
    <w:rsid w:val="00551658"/>
    <w:rsid w:val="00553B9C"/>
    <w:rsid w:val="005571FA"/>
    <w:rsid w:val="00557A7B"/>
    <w:rsid w:val="005669C2"/>
    <w:rsid w:val="00573388"/>
    <w:rsid w:val="00585E75"/>
    <w:rsid w:val="00586CC9"/>
    <w:rsid w:val="0059351E"/>
    <w:rsid w:val="005A0D17"/>
    <w:rsid w:val="005A38C9"/>
    <w:rsid w:val="005A458C"/>
    <w:rsid w:val="005A7316"/>
    <w:rsid w:val="005B138B"/>
    <w:rsid w:val="005B50E6"/>
    <w:rsid w:val="005B71DB"/>
    <w:rsid w:val="005B7C5B"/>
    <w:rsid w:val="005C5FBA"/>
    <w:rsid w:val="005C7182"/>
    <w:rsid w:val="005F50B0"/>
    <w:rsid w:val="006011CA"/>
    <w:rsid w:val="00606E76"/>
    <w:rsid w:val="00614042"/>
    <w:rsid w:val="00622F87"/>
    <w:rsid w:val="00641F1F"/>
    <w:rsid w:val="00647C51"/>
    <w:rsid w:val="00650164"/>
    <w:rsid w:val="006612E9"/>
    <w:rsid w:val="00675BBE"/>
    <w:rsid w:val="0068779F"/>
    <w:rsid w:val="00691EF2"/>
    <w:rsid w:val="006A0EAF"/>
    <w:rsid w:val="006A24ED"/>
    <w:rsid w:val="006A62AC"/>
    <w:rsid w:val="006B28CA"/>
    <w:rsid w:val="006B392F"/>
    <w:rsid w:val="006C523D"/>
    <w:rsid w:val="006C743A"/>
    <w:rsid w:val="006D176C"/>
    <w:rsid w:val="006F2BF1"/>
    <w:rsid w:val="006F6B82"/>
    <w:rsid w:val="00710D05"/>
    <w:rsid w:val="0071505A"/>
    <w:rsid w:val="00715E52"/>
    <w:rsid w:val="00740CE9"/>
    <w:rsid w:val="00743F2E"/>
    <w:rsid w:val="00754F38"/>
    <w:rsid w:val="0075742E"/>
    <w:rsid w:val="007638A4"/>
    <w:rsid w:val="00777D7B"/>
    <w:rsid w:val="00780B0B"/>
    <w:rsid w:val="007814B7"/>
    <w:rsid w:val="0078499D"/>
    <w:rsid w:val="00785793"/>
    <w:rsid w:val="00796290"/>
    <w:rsid w:val="007A1234"/>
    <w:rsid w:val="007D1D26"/>
    <w:rsid w:val="007D2171"/>
    <w:rsid w:val="007E4893"/>
    <w:rsid w:val="007E4BAF"/>
    <w:rsid w:val="007F7004"/>
    <w:rsid w:val="00807456"/>
    <w:rsid w:val="0081426B"/>
    <w:rsid w:val="00824666"/>
    <w:rsid w:val="00824CBA"/>
    <w:rsid w:val="00832293"/>
    <w:rsid w:val="00833C50"/>
    <w:rsid w:val="008357FC"/>
    <w:rsid w:val="0084320A"/>
    <w:rsid w:val="0087319B"/>
    <w:rsid w:val="0088279C"/>
    <w:rsid w:val="00883ED6"/>
    <w:rsid w:val="008B4C55"/>
    <w:rsid w:val="008B5ECA"/>
    <w:rsid w:val="008C1530"/>
    <w:rsid w:val="008D4ED9"/>
    <w:rsid w:val="008D7244"/>
    <w:rsid w:val="008F000C"/>
    <w:rsid w:val="008F6D2C"/>
    <w:rsid w:val="00901888"/>
    <w:rsid w:val="009043D7"/>
    <w:rsid w:val="00915172"/>
    <w:rsid w:val="00922F35"/>
    <w:rsid w:val="00922F4C"/>
    <w:rsid w:val="00931EF6"/>
    <w:rsid w:val="00937307"/>
    <w:rsid w:val="0093778E"/>
    <w:rsid w:val="00962006"/>
    <w:rsid w:val="00967E16"/>
    <w:rsid w:val="00977961"/>
    <w:rsid w:val="00977B78"/>
    <w:rsid w:val="009A6DEF"/>
    <w:rsid w:val="009A7410"/>
    <w:rsid w:val="009B1F00"/>
    <w:rsid w:val="009B44B7"/>
    <w:rsid w:val="009B597B"/>
    <w:rsid w:val="009C1C7B"/>
    <w:rsid w:val="009D3BE5"/>
    <w:rsid w:val="009F06A6"/>
    <w:rsid w:val="009F10EF"/>
    <w:rsid w:val="009F63A7"/>
    <w:rsid w:val="00A03234"/>
    <w:rsid w:val="00A051A0"/>
    <w:rsid w:val="00A10898"/>
    <w:rsid w:val="00A2221C"/>
    <w:rsid w:val="00A2313E"/>
    <w:rsid w:val="00A25088"/>
    <w:rsid w:val="00A25551"/>
    <w:rsid w:val="00A27158"/>
    <w:rsid w:val="00A27D79"/>
    <w:rsid w:val="00A317EA"/>
    <w:rsid w:val="00A36008"/>
    <w:rsid w:val="00A42D0E"/>
    <w:rsid w:val="00A4560D"/>
    <w:rsid w:val="00A55996"/>
    <w:rsid w:val="00A604F7"/>
    <w:rsid w:val="00A6553F"/>
    <w:rsid w:val="00A7156C"/>
    <w:rsid w:val="00A71BF0"/>
    <w:rsid w:val="00A73942"/>
    <w:rsid w:val="00A97D8C"/>
    <w:rsid w:val="00AA03C9"/>
    <w:rsid w:val="00AA2E54"/>
    <w:rsid w:val="00AC0E45"/>
    <w:rsid w:val="00AD01EE"/>
    <w:rsid w:val="00AD2B64"/>
    <w:rsid w:val="00AE1019"/>
    <w:rsid w:val="00AE1F2E"/>
    <w:rsid w:val="00AE5B90"/>
    <w:rsid w:val="00AF30CE"/>
    <w:rsid w:val="00AF6610"/>
    <w:rsid w:val="00AF6B9C"/>
    <w:rsid w:val="00AF7F3C"/>
    <w:rsid w:val="00B0156E"/>
    <w:rsid w:val="00B07C8B"/>
    <w:rsid w:val="00B07F50"/>
    <w:rsid w:val="00B131D2"/>
    <w:rsid w:val="00B17C7E"/>
    <w:rsid w:val="00B21539"/>
    <w:rsid w:val="00B51323"/>
    <w:rsid w:val="00B54F11"/>
    <w:rsid w:val="00B639DE"/>
    <w:rsid w:val="00B80E66"/>
    <w:rsid w:val="00B838EC"/>
    <w:rsid w:val="00B864F0"/>
    <w:rsid w:val="00BA5FD6"/>
    <w:rsid w:val="00BA7191"/>
    <w:rsid w:val="00BB14B0"/>
    <w:rsid w:val="00BF0770"/>
    <w:rsid w:val="00BF0786"/>
    <w:rsid w:val="00BF2FE8"/>
    <w:rsid w:val="00BF3041"/>
    <w:rsid w:val="00C0175C"/>
    <w:rsid w:val="00C02427"/>
    <w:rsid w:val="00C11370"/>
    <w:rsid w:val="00C207B1"/>
    <w:rsid w:val="00C25848"/>
    <w:rsid w:val="00C31BEF"/>
    <w:rsid w:val="00C363CF"/>
    <w:rsid w:val="00C454E8"/>
    <w:rsid w:val="00C508A3"/>
    <w:rsid w:val="00C5184E"/>
    <w:rsid w:val="00C62506"/>
    <w:rsid w:val="00C90B3E"/>
    <w:rsid w:val="00C92A8A"/>
    <w:rsid w:val="00CB1203"/>
    <w:rsid w:val="00CB2A92"/>
    <w:rsid w:val="00CB71A6"/>
    <w:rsid w:val="00CC08AC"/>
    <w:rsid w:val="00CC09AF"/>
    <w:rsid w:val="00CD05AC"/>
    <w:rsid w:val="00CD1DCA"/>
    <w:rsid w:val="00CD20D2"/>
    <w:rsid w:val="00CD6246"/>
    <w:rsid w:val="00CF0305"/>
    <w:rsid w:val="00CF196F"/>
    <w:rsid w:val="00CF4CCB"/>
    <w:rsid w:val="00CF57A1"/>
    <w:rsid w:val="00D047E8"/>
    <w:rsid w:val="00D10DB3"/>
    <w:rsid w:val="00D12014"/>
    <w:rsid w:val="00D3052B"/>
    <w:rsid w:val="00D41477"/>
    <w:rsid w:val="00D437DB"/>
    <w:rsid w:val="00D476DD"/>
    <w:rsid w:val="00D50459"/>
    <w:rsid w:val="00D52BD7"/>
    <w:rsid w:val="00D607B6"/>
    <w:rsid w:val="00D614D8"/>
    <w:rsid w:val="00D6432B"/>
    <w:rsid w:val="00D67233"/>
    <w:rsid w:val="00D709E7"/>
    <w:rsid w:val="00D73940"/>
    <w:rsid w:val="00D73DC9"/>
    <w:rsid w:val="00D81457"/>
    <w:rsid w:val="00D87A76"/>
    <w:rsid w:val="00D94F2A"/>
    <w:rsid w:val="00DA5364"/>
    <w:rsid w:val="00DB0A7C"/>
    <w:rsid w:val="00DB71F5"/>
    <w:rsid w:val="00DC2A6A"/>
    <w:rsid w:val="00DC70D4"/>
    <w:rsid w:val="00DE2E9A"/>
    <w:rsid w:val="00DE4A03"/>
    <w:rsid w:val="00DF0F06"/>
    <w:rsid w:val="00DF201F"/>
    <w:rsid w:val="00E0136F"/>
    <w:rsid w:val="00E03AA3"/>
    <w:rsid w:val="00E047B7"/>
    <w:rsid w:val="00E311FF"/>
    <w:rsid w:val="00E33B8E"/>
    <w:rsid w:val="00E376F3"/>
    <w:rsid w:val="00E531AD"/>
    <w:rsid w:val="00E5374C"/>
    <w:rsid w:val="00E540EC"/>
    <w:rsid w:val="00E6301D"/>
    <w:rsid w:val="00E70EFC"/>
    <w:rsid w:val="00E820F5"/>
    <w:rsid w:val="00E864B4"/>
    <w:rsid w:val="00E86F15"/>
    <w:rsid w:val="00E879EB"/>
    <w:rsid w:val="00EB5B5B"/>
    <w:rsid w:val="00EC09A3"/>
    <w:rsid w:val="00EC2650"/>
    <w:rsid w:val="00ED5054"/>
    <w:rsid w:val="00EE06F8"/>
    <w:rsid w:val="00EE3B8A"/>
    <w:rsid w:val="00EE618B"/>
    <w:rsid w:val="00F04946"/>
    <w:rsid w:val="00F13305"/>
    <w:rsid w:val="00F16250"/>
    <w:rsid w:val="00F21A1B"/>
    <w:rsid w:val="00F30603"/>
    <w:rsid w:val="00F3622F"/>
    <w:rsid w:val="00F458CC"/>
    <w:rsid w:val="00F551C4"/>
    <w:rsid w:val="00F83462"/>
    <w:rsid w:val="00F90630"/>
    <w:rsid w:val="00F97D46"/>
    <w:rsid w:val="00FB11E0"/>
    <w:rsid w:val="00FB2F71"/>
    <w:rsid w:val="00FB3AB8"/>
    <w:rsid w:val="00FC39AB"/>
    <w:rsid w:val="00FD0B8B"/>
    <w:rsid w:val="00FD29C1"/>
    <w:rsid w:val="00FD4ED5"/>
    <w:rsid w:val="00FD7785"/>
    <w:rsid w:val="00FE3BC3"/>
    <w:rsid w:val="00FF3B22"/>
    <w:rsid w:val="00FF4076"/>
    <w:rsid w:val="00FF67C3"/>
    <w:rsid w:val="00FF7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B638C9"/>
  <w15:chartTrackingRefBased/>
  <w15:docId w15:val="{6B40AD08-EA7E-41F1-8009-F892A83DF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EF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220EF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220EF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20EF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20EF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20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EF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220EF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220EF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20EF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20EF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20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EF4"/>
    <w:rPr>
      <w:rFonts w:eastAsiaTheme="majorEastAsia" w:cstheme="majorBidi"/>
      <w:color w:val="272727" w:themeColor="text1" w:themeTint="D8"/>
    </w:rPr>
  </w:style>
  <w:style w:type="paragraph" w:styleId="Title">
    <w:name w:val="Title"/>
    <w:basedOn w:val="Normal"/>
    <w:next w:val="Normal"/>
    <w:link w:val="TitleChar"/>
    <w:uiPriority w:val="10"/>
    <w:qFormat/>
    <w:rsid w:val="00220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EF4"/>
    <w:pPr>
      <w:spacing w:before="160"/>
      <w:jc w:val="center"/>
    </w:pPr>
    <w:rPr>
      <w:i/>
      <w:iCs/>
      <w:color w:val="404040" w:themeColor="text1" w:themeTint="BF"/>
    </w:rPr>
  </w:style>
  <w:style w:type="character" w:customStyle="1" w:styleId="QuoteChar">
    <w:name w:val="Quote Char"/>
    <w:basedOn w:val="DefaultParagraphFont"/>
    <w:link w:val="Quote"/>
    <w:uiPriority w:val="29"/>
    <w:rsid w:val="00220EF4"/>
    <w:rPr>
      <w:i/>
      <w:iCs/>
      <w:color w:val="404040" w:themeColor="text1" w:themeTint="BF"/>
    </w:rPr>
  </w:style>
  <w:style w:type="paragraph" w:styleId="ListParagraph">
    <w:name w:val="List Paragraph"/>
    <w:basedOn w:val="Normal"/>
    <w:uiPriority w:val="34"/>
    <w:qFormat/>
    <w:rsid w:val="00220EF4"/>
    <w:pPr>
      <w:ind w:left="720"/>
      <w:contextualSpacing/>
    </w:pPr>
  </w:style>
  <w:style w:type="character" w:styleId="IntenseEmphasis">
    <w:name w:val="Intense Emphasis"/>
    <w:basedOn w:val="DefaultParagraphFont"/>
    <w:uiPriority w:val="21"/>
    <w:qFormat/>
    <w:rsid w:val="00220EF4"/>
    <w:rPr>
      <w:i/>
      <w:iCs/>
      <w:color w:val="365F91" w:themeColor="accent1" w:themeShade="BF"/>
    </w:rPr>
  </w:style>
  <w:style w:type="paragraph" w:styleId="IntenseQuote">
    <w:name w:val="Intense Quote"/>
    <w:basedOn w:val="Normal"/>
    <w:next w:val="Normal"/>
    <w:link w:val="IntenseQuoteChar"/>
    <w:uiPriority w:val="30"/>
    <w:qFormat/>
    <w:rsid w:val="00220EF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20EF4"/>
    <w:rPr>
      <w:i/>
      <w:iCs/>
      <w:color w:val="365F91" w:themeColor="accent1" w:themeShade="BF"/>
    </w:rPr>
  </w:style>
  <w:style w:type="character" w:styleId="IntenseReference">
    <w:name w:val="Intense Reference"/>
    <w:basedOn w:val="DefaultParagraphFont"/>
    <w:uiPriority w:val="32"/>
    <w:qFormat/>
    <w:rsid w:val="00220EF4"/>
    <w:rPr>
      <w:b/>
      <w:bCs/>
      <w:smallCaps/>
      <w:color w:val="365F91" w:themeColor="accent1" w:themeShade="BF"/>
      <w:spacing w:val="5"/>
    </w:rPr>
  </w:style>
  <w:style w:type="character" w:styleId="Hyperlink">
    <w:name w:val="Hyperlink"/>
    <w:basedOn w:val="DefaultParagraphFont"/>
    <w:uiPriority w:val="99"/>
    <w:unhideWhenUsed/>
    <w:rsid w:val="00432835"/>
    <w:rPr>
      <w:color w:val="0000FF" w:themeColor="hyperlink"/>
      <w:u w:val="single"/>
    </w:rPr>
  </w:style>
  <w:style w:type="character" w:styleId="UnresolvedMention">
    <w:name w:val="Unresolved Mention"/>
    <w:basedOn w:val="DefaultParagraphFont"/>
    <w:uiPriority w:val="99"/>
    <w:semiHidden/>
    <w:unhideWhenUsed/>
    <w:rsid w:val="00432835"/>
    <w:rPr>
      <w:color w:val="605E5C"/>
      <w:shd w:val="clear" w:color="auto" w:fill="E1DFDD"/>
    </w:rPr>
  </w:style>
  <w:style w:type="table" w:styleId="PlainTable3">
    <w:name w:val="Plain Table 3"/>
    <w:basedOn w:val="TableNormal"/>
    <w:uiPriority w:val="43"/>
    <w:rsid w:val="00E33B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E33B8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710D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D05"/>
  </w:style>
  <w:style w:type="paragraph" w:styleId="Footer">
    <w:name w:val="footer"/>
    <w:basedOn w:val="Normal"/>
    <w:link w:val="FooterChar"/>
    <w:uiPriority w:val="99"/>
    <w:unhideWhenUsed/>
    <w:rsid w:val="00710D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D05"/>
  </w:style>
  <w:style w:type="paragraph" w:styleId="TOCHeading">
    <w:name w:val="TOC Heading"/>
    <w:basedOn w:val="Heading1"/>
    <w:next w:val="Normal"/>
    <w:uiPriority w:val="39"/>
    <w:unhideWhenUsed/>
    <w:qFormat/>
    <w:rsid w:val="00DA536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5364"/>
    <w:pPr>
      <w:spacing w:after="100"/>
    </w:pPr>
  </w:style>
  <w:style w:type="paragraph" w:styleId="TOC2">
    <w:name w:val="toc 2"/>
    <w:basedOn w:val="Normal"/>
    <w:next w:val="Normal"/>
    <w:autoRedefine/>
    <w:uiPriority w:val="39"/>
    <w:unhideWhenUsed/>
    <w:rsid w:val="008B5ECA"/>
    <w:pPr>
      <w:spacing w:after="100"/>
      <w:ind w:left="240"/>
    </w:pPr>
  </w:style>
  <w:style w:type="paragraph" w:styleId="NormalWeb">
    <w:name w:val="Normal (Web)"/>
    <w:basedOn w:val="Normal"/>
    <w:uiPriority w:val="99"/>
    <w:semiHidden/>
    <w:unhideWhenUsed/>
    <w:rsid w:val="00F1625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mathml">
    <w:name w:val="katex-mathml"/>
    <w:basedOn w:val="DefaultParagraphFont"/>
    <w:rsid w:val="00F16250"/>
  </w:style>
  <w:style w:type="character" w:customStyle="1" w:styleId="mord">
    <w:name w:val="mord"/>
    <w:basedOn w:val="DefaultParagraphFont"/>
    <w:rsid w:val="00F16250"/>
  </w:style>
  <w:style w:type="character" w:customStyle="1" w:styleId="mopen">
    <w:name w:val="mopen"/>
    <w:basedOn w:val="DefaultParagraphFont"/>
    <w:rsid w:val="00F16250"/>
  </w:style>
  <w:style w:type="character" w:customStyle="1" w:styleId="mclose">
    <w:name w:val="mclose"/>
    <w:basedOn w:val="DefaultParagraphFont"/>
    <w:rsid w:val="00F16250"/>
  </w:style>
  <w:style w:type="character" w:customStyle="1" w:styleId="mrel">
    <w:name w:val="mrel"/>
    <w:basedOn w:val="DefaultParagraphFont"/>
    <w:rsid w:val="00F16250"/>
  </w:style>
  <w:style w:type="character" w:styleId="Strong">
    <w:name w:val="Strong"/>
    <w:basedOn w:val="DefaultParagraphFont"/>
    <w:uiPriority w:val="22"/>
    <w:qFormat/>
    <w:rsid w:val="00F16250"/>
    <w:rPr>
      <w:b/>
      <w:bCs/>
    </w:rPr>
  </w:style>
  <w:style w:type="character" w:customStyle="1" w:styleId="vlist-s">
    <w:name w:val="vlist-s"/>
    <w:basedOn w:val="DefaultParagraphFont"/>
    <w:rsid w:val="00F16250"/>
  </w:style>
  <w:style w:type="character" w:styleId="Emphasis">
    <w:name w:val="Emphasis"/>
    <w:basedOn w:val="DefaultParagraphFont"/>
    <w:uiPriority w:val="20"/>
    <w:qFormat/>
    <w:rsid w:val="000E448D"/>
    <w:rPr>
      <w:i/>
      <w:iCs/>
    </w:rPr>
  </w:style>
  <w:style w:type="paragraph" w:styleId="TOC3">
    <w:name w:val="toc 3"/>
    <w:basedOn w:val="Normal"/>
    <w:next w:val="Normal"/>
    <w:autoRedefine/>
    <w:uiPriority w:val="39"/>
    <w:unhideWhenUsed/>
    <w:rsid w:val="004517EA"/>
    <w:pPr>
      <w:spacing w:after="100"/>
      <w:ind w:left="480"/>
    </w:pPr>
    <w:rPr>
      <w:rFonts w:eastAsiaTheme="minorEastAsia"/>
    </w:rPr>
  </w:style>
  <w:style w:type="paragraph" w:styleId="TOC4">
    <w:name w:val="toc 4"/>
    <w:basedOn w:val="Normal"/>
    <w:next w:val="Normal"/>
    <w:autoRedefine/>
    <w:uiPriority w:val="39"/>
    <w:unhideWhenUsed/>
    <w:rsid w:val="004517EA"/>
    <w:pPr>
      <w:spacing w:after="100"/>
      <w:ind w:left="720"/>
    </w:pPr>
    <w:rPr>
      <w:rFonts w:eastAsiaTheme="minorEastAsia"/>
    </w:rPr>
  </w:style>
  <w:style w:type="paragraph" w:styleId="TOC5">
    <w:name w:val="toc 5"/>
    <w:basedOn w:val="Normal"/>
    <w:next w:val="Normal"/>
    <w:autoRedefine/>
    <w:uiPriority w:val="39"/>
    <w:unhideWhenUsed/>
    <w:rsid w:val="004517EA"/>
    <w:pPr>
      <w:spacing w:after="100"/>
      <w:ind w:left="960"/>
    </w:pPr>
    <w:rPr>
      <w:rFonts w:eastAsiaTheme="minorEastAsia"/>
    </w:rPr>
  </w:style>
  <w:style w:type="paragraph" w:styleId="TOC6">
    <w:name w:val="toc 6"/>
    <w:basedOn w:val="Normal"/>
    <w:next w:val="Normal"/>
    <w:autoRedefine/>
    <w:uiPriority w:val="39"/>
    <w:unhideWhenUsed/>
    <w:rsid w:val="004517EA"/>
    <w:pPr>
      <w:spacing w:after="100"/>
      <w:ind w:left="1200"/>
    </w:pPr>
    <w:rPr>
      <w:rFonts w:eastAsiaTheme="minorEastAsia"/>
    </w:rPr>
  </w:style>
  <w:style w:type="paragraph" w:styleId="TOC7">
    <w:name w:val="toc 7"/>
    <w:basedOn w:val="Normal"/>
    <w:next w:val="Normal"/>
    <w:autoRedefine/>
    <w:uiPriority w:val="39"/>
    <w:unhideWhenUsed/>
    <w:rsid w:val="004517EA"/>
    <w:pPr>
      <w:spacing w:after="100"/>
      <w:ind w:left="1440"/>
    </w:pPr>
    <w:rPr>
      <w:rFonts w:eastAsiaTheme="minorEastAsia"/>
    </w:rPr>
  </w:style>
  <w:style w:type="paragraph" w:styleId="TOC8">
    <w:name w:val="toc 8"/>
    <w:basedOn w:val="Normal"/>
    <w:next w:val="Normal"/>
    <w:autoRedefine/>
    <w:uiPriority w:val="39"/>
    <w:unhideWhenUsed/>
    <w:rsid w:val="004517EA"/>
    <w:pPr>
      <w:spacing w:after="100"/>
      <w:ind w:left="1680"/>
    </w:pPr>
    <w:rPr>
      <w:rFonts w:eastAsiaTheme="minorEastAsia"/>
    </w:rPr>
  </w:style>
  <w:style w:type="paragraph" w:styleId="TOC9">
    <w:name w:val="toc 9"/>
    <w:basedOn w:val="Normal"/>
    <w:next w:val="Normal"/>
    <w:autoRedefine/>
    <w:uiPriority w:val="39"/>
    <w:unhideWhenUsed/>
    <w:rsid w:val="004517EA"/>
    <w:pPr>
      <w:spacing w:after="100"/>
      <w:ind w:left="1920"/>
    </w:pPr>
    <w:rPr>
      <w:rFonts w:eastAsiaTheme="minorEastAsia"/>
    </w:rPr>
  </w:style>
  <w:style w:type="table" w:styleId="GridTable2-Accent5">
    <w:name w:val="Grid Table 2 Accent 5"/>
    <w:basedOn w:val="TableNormal"/>
    <w:uiPriority w:val="47"/>
    <w:rsid w:val="00321165"/>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
    <w:name w:val="Grid Table 2"/>
    <w:basedOn w:val="TableNormal"/>
    <w:uiPriority w:val="47"/>
    <w:rsid w:val="002077F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Bullet">
    <w:name w:val="List Bullet"/>
    <w:basedOn w:val="Normal"/>
    <w:uiPriority w:val="99"/>
    <w:unhideWhenUsed/>
    <w:rsid w:val="00715E52"/>
    <w:pPr>
      <w:numPr>
        <w:numId w:val="1"/>
      </w:numPr>
      <w:tabs>
        <w:tab w:val="clear" w:pos="360"/>
      </w:tabs>
      <w:spacing w:after="60" w:line="252" w:lineRule="auto"/>
      <w:contextualSpacing/>
    </w:pPr>
    <w:rPr>
      <w:rFonts w:ascii="Times New Roman" w:eastAsiaTheme="minorEastAsia" w:hAnsi="Times New Roman"/>
      <w:color w:val="000000"/>
      <w:kern w:val="0"/>
      <w:sz w:val="21"/>
      <w:szCs w:val="22"/>
      <w14:ligatures w14:val="none"/>
    </w:rPr>
  </w:style>
  <w:style w:type="paragraph" w:styleId="NoSpacing">
    <w:name w:val="No Spacing"/>
    <w:uiPriority w:val="1"/>
    <w:qFormat/>
    <w:rsid w:val="00080427"/>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080427"/>
    <w:pPr>
      <w:spacing w:after="120" w:line="248" w:lineRule="auto"/>
    </w:pPr>
    <w:rPr>
      <w:rFonts w:ascii="Times New Roman" w:eastAsiaTheme="minorEastAsia" w:hAnsi="Times New Roman"/>
      <w:color w:val="000000"/>
      <w:kern w:val="0"/>
      <w:sz w:val="20"/>
      <w:szCs w:val="22"/>
      <w14:ligatures w14:val="none"/>
    </w:rPr>
  </w:style>
  <w:style w:type="character" w:customStyle="1" w:styleId="BodyTextChar">
    <w:name w:val="Body Text Char"/>
    <w:basedOn w:val="DefaultParagraphFont"/>
    <w:link w:val="BodyText"/>
    <w:uiPriority w:val="99"/>
    <w:rsid w:val="00080427"/>
    <w:rPr>
      <w:rFonts w:ascii="Times New Roman" w:eastAsiaTheme="minorEastAsia" w:hAnsi="Times New Roman"/>
      <w:color w:val="000000"/>
      <w:kern w:val="0"/>
      <w:sz w:val="20"/>
      <w:szCs w:val="22"/>
      <w14:ligatures w14:val="none"/>
    </w:rPr>
  </w:style>
  <w:style w:type="paragraph" w:styleId="BodyText2">
    <w:name w:val="Body Text 2"/>
    <w:basedOn w:val="Normal"/>
    <w:link w:val="BodyText2Char"/>
    <w:uiPriority w:val="99"/>
    <w:unhideWhenUsed/>
    <w:rsid w:val="00080427"/>
    <w:pPr>
      <w:spacing w:after="120" w:line="480" w:lineRule="auto"/>
    </w:pPr>
    <w:rPr>
      <w:rFonts w:ascii="Times New Roman" w:eastAsiaTheme="minorEastAsia" w:hAnsi="Times New Roman"/>
      <w:color w:val="000000"/>
      <w:kern w:val="0"/>
      <w:sz w:val="20"/>
      <w:szCs w:val="22"/>
      <w14:ligatures w14:val="none"/>
    </w:rPr>
  </w:style>
  <w:style w:type="character" w:customStyle="1" w:styleId="BodyText2Char">
    <w:name w:val="Body Text 2 Char"/>
    <w:basedOn w:val="DefaultParagraphFont"/>
    <w:link w:val="BodyText2"/>
    <w:uiPriority w:val="99"/>
    <w:rsid w:val="00080427"/>
    <w:rPr>
      <w:rFonts w:ascii="Times New Roman" w:eastAsiaTheme="minorEastAsia" w:hAnsi="Times New Roman"/>
      <w:color w:val="000000"/>
      <w:kern w:val="0"/>
      <w:sz w:val="20"/>
      <w:szCs w:val="22"/>
      <w14:ligatures w14:val="none"/>
    </w:rPr>
  </w:style>
  <w:style w:type="paragraph" w:styleId="BodyText3">
    <w:name w:val="Body Text 3"/>
    <w:basedOn w:val="Normal"/>
    <w:link w:val="BodyText3Char"/>
    <w:uiPriority w:val="99"/>
    <w:unhideWhenUsed/>
    <w:rsid w:val="00080427"/>
    <w:pPr>
      <w:spacing w:after="120" w:line="248" w:lineRule="auto"/>
    </w:pPr>
    <w:rPr>
      <w:rFonts w:ascii="Times New Roman" w:eastAsiaTheme="minorEastAsia" w:hAnsi="Times New Roman"/>
      <w:color w:val="000000"/>
      <w:kern w:val="0"/>
      <w:sz w:val="16"/>
      <w:szCs w:val="16"/>
      <w14:ligatures w14:val="none"/>
    </w:rPr>
  </w:style>
  <w:style w:type="character" w:customStyle="1" w:styleId="BodyText3Char">
    <w:name w:val="Body Text 3 Char"/>
    <w:basedOn w:val="DefaultParagraphFont"/>
    <w:link w:val="BodyText3"/>
    <w:uiPriority w:val="99"/>
    <w:rsid w:val="00080427"/>
    <w:rPr>
      <w:rFonts w:ascii="Times New Roman" w:eastAsiaTheme="minorEastAsia" w:hAnsi="Times New Roman"/>
      <w:color w:val="000000"/>
      <w:kern w:val="0"/>
      <w:sz w:val="16"/>
      <w:szCs w:val="16"/>
      <w14:ligatures w14:val="none"/>
    </w:rPr>
  </w:style>
  <w:style w:type="paragraph" w:styleId="List">
    <w:name w:val="List"/>
    <w:basedOn w:val="Normal"/>
    <w:uiPriority w:val="99"/>
    <w:unhideWhenUsed/>
    <w:rsid w:val="00080427"/>
    <w:pPr>
      <w:spacing w:after="120" w:line="248" w:lineRule="auto"/>
      <w:ind w:left="360" w:hanging="360"/>
      <w:contextualSpacing/>
    </w:pPr>
    <w:rPr>
      <w:rFonts w:ascii="Times New Roman" w:eastAsiaTheme="minorEastAsia" w:hAnsi="Times New Roman"/>
      <w:color w:val="000000"/>
      <w:kern w:val="0"/>
      <w:sz w:val="20"/>
      <w:szCs w:val="22"/>
      <w14:ligatures w14:val="none"/>
    </w:rPr>
  </w:style>
  <w:style w:type="paragraph" w:styleId="List2">
    <w:name w:val="List 2"/>
    <w:basedOn w:val="Normal"/>
    <w:uiPriority w:val="99"/>
    <w:unhideWhenUsed/>
    <w:rsid w:val="00080427"/>
    <w:pPr>
      <w:spacing w:after="120" w:line="248" w:lineRule="auto"/>
      <w:ind w:left="720" w:hanging="360"/>
      <w:contextualSpacing/>
    </w:pPr>
    <w:rPr>
      <w:rFonts w:ascii="Times New Roman" w:eastAsiaTheme="minorEastAsia" w:hAnsi="Times New Roman"/>
      <w:color w:val="000000"/>
      <w:kern w:val="0"/>
      <w:sz w:val="20"/>
      <w:szCs w:val="22"/>
      <w14:ligatures w14:val="none"/>
    </w:rPr>
  </w:style>
  <w:style w:type="paragraph" w:styleId="List3">
    <w:name w:val="List 3"/>
    <w:basedOn w:val="Normal"/>
    <w:uiPriority w:val="99"/>
    <w:unhideWhenUsed/>
    <w:rsid w:val="00080427"/>
    <w:pPr>
      <w:spacing w:after="120" w:line="248" w:lineRule="auto"/>
      <w:ind w:left="1080" w:hanging="360"/>
      <w:contextualSpacing/>
    </w:pPr>
    <w:rPr>
      <w:rFonts w:ascii="Times New Roman" w:eastAsiaTheme="minorEastAsia" w:hAnsi="Times New Roman"/>
      <w:color w:val="000000"/>
      <w:kern w:val="0"/>
      <w:sz w:val="20"/>
      <w:szCs w:val="22"/>
      <w14:ligatures w14:val="none"/>
    </w:rPr>
  </w:style>
  <w:style w:type="paragraph" w:styleId="ListBullet2">
    <w:name w:val="List Bullet 2"/>
    <w:basedOn w:val="Normal"/>
    <w:uiPriority w:val="99"/>
    <w:unhideWhenUsed/>
    <w:rsid w:val="00080427"/>
    <w:pPr>
      <w:numPr>
        <w:numId w:val="2"/>
      </w:numPr>
      <w:tabs>
        <w:tab w:val="clear" w:pos="720"/>
      </w:tabs>
      <w:spacing w:after="120" w:line="248" w:lineRule="auto"/>
      <w:ind w:left="0" w:firstLine="0"/>
      <w:contextualSpacing/>
    </w:pPr>
    <w:rPr>
      <w:rFonts w:ascii="Times New Roman" w:eastAsiaTheme="minorEastAsia" w:hAnsi="Times New Roman"/>
      <w:color w:val="000000"/>
      <w:kern w:val="0"/>
      <w:sz w:val="20"/>
      <w:szCs w:val="22"/>
      <w14:ligatures w14:val="none"/>
    </w:rPr>
  </w:style>
  <w:style w:type="paragraph" w:styleId="ListBullet3">
    <w:name w:val="List Bullet 3"/>
    <w:basedOn w:val="Normal"/>
    <w:uiPriority w:val="99"/>
    <w:unhideWhenUsed/>
    <w:rsid w:val="00080427"/>
    <w:pPr>
      <w:numPr>
        <w:numId w:val="3"/>
      </w:numPr>
      <w:tabs>
        <w:tab w:val="clear" w:pos="1080"/>
      </w:tabs>
      <w:spacing w:after="120" w:line="248" w:lineRule="auto"/>
      <w:ind w:left="0" w:firstLine="0"/>
      <w:contextualSpacing/>
    </w:pPr>
    <w:rPr>
      <w:rFonts w:ascii="Times New Roman" w:eastAsiaTheme="minorEastAsia" w:hAnsi="Times New Roman"/>
      <w:color w:val="000000"/>
      <w:kern w:val="0"/>
      <w:sz w:val="20"/>
      <w:szCs w:val="22"/>
      <w14:ligatures w14:val="none"/>
    </w:rPr>
  </w:style>
  <w:style w:type="paragraph" w:styleId="ListNumber">
    <w:name w:val="List Number"/>
    <w:basedOn w:val="Normal"/>
    <w:uiPriority w:val="99"/>
    <w:unhideWhenUsed/>
    <w:rsid w:val="00080427"/>
    <w:pPr>
      <w:numPr>
        <w:numId w:val="4"/>
      </w:numPr>
      <w:tabs>
        <w:tab w:val="clear" w:pos="360"/>
      </w:tabs>
      <w:spacing w:after="60" w:line="252" w:lineRule="auto"/>
      <w:ind w:left="0" w:firstLine="0"/>
      <w:contextualSpacing/>
    </w:pPr>
    <w:rPr>
      <w:rFonts w:ascii="Times New Roman" w:eastAsiaTheme="minorEastAsia" w:hAnsi="Times New Roman"/>
      <w:color w:val="000000"/>
      <w:kern w:val="0"/>
      <w:sz w:val="21"/>
      <w:szCs w:val="22"/>
      <w14:ligatures w14:val="none"/>
    </w:rPr>
  </w:style>
  <w:style w:type="paragraph" w:styleId="ListNumber2">
    <w:name w:val="List Number 2"/>
    <w:basedOn w:val="Normal"/>
    <w:uiPriority w:val="99"/>
    <w:unhideWhenUsed/>
    <w:rsid w:val="00080427"/>
    <w:pPr>
      <w:numPr>
        <w:numId w:val="5"/>
      </w:numPr>
      <w:tabs>
        <w:tab w:val="clear" w:pos="720"/>
      </w:tabs>
      <w:spacing w:after="120" w:line="248" w:lineRule="auto"/>
      <w:ind w:left="0" w:firstLine="0"/>
      <w:contextualSpacing/>
    </w:pPr>
    <w:rPr>
      <w:rFonts w:ascii="Times New Roman" w:eastAsiaTheme="minorEastAsia" w:hAnsi="Times New Roman"/>
      <w:color w:val="000000"/>
      <w:kern w:val="0"/>
      <w:sz w:val="20"/>
      <w:szCs w:val="22"/>
      <w14:ligatures w14:val="none"/>
    </w:rPr>
  </w:style>
  <w:style w:type="paragraph" w:styleId="ListNumber3">
    <w:name w:val="List Number 3"/>
    <w:basedOn w:val="Normal"/>
    <w:uiPriority w:val="99"/>
    <w:unhideWhenUsed/>
    <w:rsid w:val="00080427"/>
    <w:pPr>
      <w:numPr>
        <w:numId w:val="6"/>
      </w:numPr>
      <w:tabs>
        <w:tab w:val="clear" w:pos="1080"/>
      </w:tabs>
      <w:spacing w:after="120" w:line="248" w:lineRule="auto"/>
      <w:ind w:left="0" w:firstLine="0"/>
      <w:contextualSpacing/>
    </w:pPr>
    <w:rPr>
      <w:rFonts w:ascii="Times New Roman" w:eastAsiaTheme="minorEastAsia" w:hAnsi="Times New Roman"/>
      <w:color w:val="000000"/>
      <w:kern w:val="0"/>
      <w:sz w:val="20"/>
      <w:szCs w:val="22"/>
      <w14:ligatures w14:val="none"/>
    </w:rPr>
  </w:style>
  <w:style w:type="paragraph" w:styleId="ListContinue">
    <w:name w:val="List Continue"/>
    <w:basedOn w:val="Normal"/>
    <w:uiPriority w:val="99"/>
    <w:unhideWhenUsed/>
    <w:rsid w:val="00080427"/>
    <w:pPr>
      <w:spacing w:after="120" w:line="248" w:lineRule="auto"/>
      <w:ind w:left="360"/>
      <w:contextualSpacing/>
    </w:pPr>
    <w:rPr>
      <w:rFonts w:ascii="Times New Roman" w:eastAsiaTheme="minorEastAsia" w:hAnsi="Times New Roman"/>
      <w:color w:val="000000"/>
      <w:kern w:val="0"/>
      <w:sz w:val="20"/>
      <w:szCs w:val="22"/>
      <w14:ligatures w14:val="none"/>
    </w:rPr>
  </w:style>
  <w:style w:type="paragraph" w:styleId="ListContinue2">
    <w:name w:val="List Continue 2"/>
    <w:basedOn w:val="Normal"/>
    <w:uiPriority w:val="99"/>
    <w:unhideWhenUsed/>
    <w:rsid w:val="00080427"/>
    <w:pPr>
      <w:spacing w:after="120" w:line="248" w:lineRule="auto"/>
      <w:ind w:left="720"/>
      <w:contextualSpacing/>
    </w:pPr>
    <w:rPr>
      <w:rFonts w:ascii="Times New Roman" w:eastAsiaTheme="minorEastAsia" w:hAnsi="Times New Roman"/>
      <w:color w:val="000000"/>
      <w:kern w:val="0"/>
      <w:sz w:val="20"/>
      <w:szCs w:val="22"/>
      <w14:ligatures w14:val="none"/>
    </w:rPr>
  </w:style>
  <w:style w:type="paragraph" w:styleId="ListContinue3">
    <w:name w:val="List Continue 3"/>
    <w:basedOn w:val="Normal"/>
    <w:uiPriority w:val="99"/>
    <w:unhideWhenUsed/>
    <w:rsid w:val="00080427"/>
    <w:pPr>
      <w:spacing w:after="120" w:line="248" w:lineRule="auto"/>
      <w:ind w:left="1080"/>
      <w:contextualSpacing/>
    </w:pPr>
    <w:rPr>
      <w:rFonts w:ascii="Times New Roman" w:eastAsiaTheme="minorEastAsia" w:hAnsi="Times New Roman"/>
      <w:color w:val="000000"/>
      <w:kern w:val="0"/>
      <w:sz w:val="20"/>
      <w:szCs w:val="22"/>
      <w14:ligatures w14:val="none"/>
    </w:rPr>
  </w:style>
  <w:style w:type="paragraph" w:styleId="MacroText">
    <w:name w:val="macro"/>
    <w:link w:val="MacroTextChar"/>
    <w:uiPriority w:val="99"/>
    <w:unhideWhenUsed/>
    <w:rsid w:val="000804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080427"/>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080427"/>
    <w:pPr>
      <w:spacing w:after="120" w:line="240" w:lineRule="auto"/>
    </w:pPr>
    <w:rPr>
      <w:rFonts w:ascii="Times New Roman" w:eastAsiaTheme="minorEastAsia" w:hAnsi="Times New Roman"/>
      <w:b/>
      <w:bCs/>
      <w:color w:val="4F81BD" w:themeColor="accent1"/>
      <w:kern w:val="0"/>
      <w:sz w:val="18"/>
      <w:szCs w:val="18"/>
      <w14:ligatures w14:val="none"/>
    </w:rPr>
  </w:style>
  <w:style w:type="character" w:styleId="SubtleEmphasis">
    <w:name w:val="Subtle Emphasis"/>
    <w:basedOn w:val="DefaultParagraphFont"/>
    <w:uiPriority w:val="19"/>
    <w:qFormat/>
    <w:rsid w:val="00080427"/>
    <w:rPr>
      <w:i/>
      <w:iCs/>
      <w:color w:val="808080" w:themeColor="text1" w:themeTint="7F"/>
    </w:rPr>
  </w:style>
  <w:style w:type="character" w:styleId="SubtleReference">
    <w:name w:val="Subtle Reference"/>
    <w:basedOn w:val="DefaultParagraphFont"/>
    <w:uiPriority w:val="31"/>
    <w:qFormat/>
    <w:rsid w:val="00080427"/>
    <w:rPr>
      <w:smallCaps/>
      <w:color w:val="C0504D" w:themeColor="accent2"/>
      <w:u w:val="single"/>
    </w:rPr>
  </w:style>
  <w:style w:type="character" w:styleId="BookTitle">
    <w:name w:val="Book Title"/>
    <w:basedOn w:val="DefaultParagraphFont"/>
    <w:uiPriority w:val="33"/>
    <w:qFormat/>
    <w:rsid w:val="00080427"/>
    <w:rPr>
      <w:b/>
      <w:bCs/>
      <w:smallCaps/>
      <w:spacing w:val="5"/>
    </w:rPr>
  </w:style>
  <w:style w:type="table" w:styleId="TableGrid">
    <w:name w:val="Table Grid"/>
    <w:basedOn w:val="TableNormal"/>
    <w:uiPriority w:val="59"/>
    <w:rsid w:val="00080427"/>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080427"/>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080427"/>
    <w:pPr>
      <w:spacing w:after="0" w:line="240" w:lineRule="auto"/>
    </w:pPr>
    <w:rPr>
      <w:rFonts w:eastAsiaTheme="minorEastAsia"/>
      <w:color w:val="365F91" w:themeColor="accent1" w:themeShade="BF"/>
      <w:kern w:val="0"/>
      <w:sz w:val="22"/>
      <w:szCs w:val="22"/>
      <w14:ligatures w14:val="none"/>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080427"/>
    <w:pPr>
      <w:spacing w:after="0" w:line="240" w:lineRule="auto"/>
    </w:pPr>
    <w:rPr>
      <w:rFonts w:eastAsiaTheme="minorEastAsia"/>
      <w:color w:val="943634" w:themeColor="accent2" w:themeShade="BF"/>
      <w:kern w:val="0"/>
      <w:sz w:val="22"/>
      <w:szCs w:val="22"/>
      <w14:ligatures w14:val="none"/>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080427"/>
    <w:pPr>
      <w:spacing w:after="0" w:line="240" w:lineRule="auto"/>
    </w:pPr>
    <w:rPr>
      <w:rFonts w:eastAsiaTheme="minorEastAsia"/>
      <w:color w:val="76923C" w:themeColor="accent3" w:themeShade="BF"/>
      <w:kern w:val="0"/>
      <w:sz w:val="22"/>
      <w:szCs w:val="22"/>
      <w14:ligatures w14:val="none"/>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080427"/>
    <w:pPr>
      <w:spacing w:after="0" w:line="240" w:lineRule="auto"/>
    </w:pPr>
    <w:rPr>
      <w:rFonts w:eastAsiaTheme="minorEastAsia"/>
      <w:color w:val="5F497A" w:themeColor="accent4" w:themeShade="BF"/>
      <w:kern w:val="0"/>
      <w:sz w:val="22"/>
      <w:szCs w:val="22"/>
      <w14:ligatures w14:val="none"/>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080427"/>
    <w:pPr>
      <w:spacing w:after="0" w:line="240" w:lineRule="auto"/>
    </w:pPr>
    <w:rPr>
      <w:rFonts w:eastAsiaTheme="minorEastAsia"/>
      <w:color w:val="31849B" w:themeColor="accent5" w:themeShade="BF"/>
      <w:kern w:val="0"/>
      <w:sz w:val="22"/>
      <w:szCs w:val="22"/>
      <w14:ligatures w14:val="none"/>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080427"/>
    <w:pPr>
      <w:spacing w:after="0" w:line="240" w:lineRule="auto"/>
    </w:pPr>
    <w:rPr>
      <w:rFonts w:eastAsiaTheme="minorEastAsia"/>
      <w:color w:val="E36C0A" w:themeColor="accent6" w:themeShade="BF"/>
      <w:kern w:val="0"/>
      <w:sz w:val="22"/>
      <w:szCs w:val="22"/>
      <w14:ligatures w14:val="none"/>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sid w:val="00080427"/>
    <w:pPr>
      <w:spacing w:after="200" w:line="276" w:lineRule="auto"/>
    </w:pPr>
    <w:rPr>
      <w:rFonts w:ascii="Times New Roman" w:eastAsiaTheme="minorEastAsia" w:hAnsi="Times New Roman"/>
      <w:i/>
      <w:color w:val="66717C"/>
      <w:kern w:val="0"/>
      <w:sz w:val="1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92972">
      <w:bodyDiv w:val="1"/>
      <w:marLeft w:val="0"/>
      <w:marRight w:val="0"/>
      <w:marTop w:val="0"/>
      <w:marBottom w:val="0"/>
      <w:divBdr>
        <w:top w:val="none" w:sz="0" w:space="0" w:color="auto"/>
        <w:left w:val="none" w:sz="0" w:space="0" w:color="auto"/>
        <w:bottom w:val="none" w:sz="0" w:space="0" w:color="auto"/>
        <w:right w:val="none" w:sz="0" w:space="0" w:color="auto"/>
      </w:divBdr>
      <w:divsChild>
        <w:div w:id="257830453">
          <w:blockQuote w:val="1"/>
          <w:marLeft w:val="720"/>
          <w:marRight w:val="720"/>
          <w:marTop w:val="100"/>
          <w:marBottom w:val="100"/>
          <w:divBdr>
            <w:top w:val="none" w:sz="0" w:space="0" w:color="auto"/>
            <w:left w:val="none" w:sz="0" w:space="0" w:color="auto"/>
            <w:bottom w:val="none" w:sz="0" w:space="0" w:color="auto"/>
            <w:right w:val="none" w:sz="0" w:space="0" w:color="auto"/>
          </w:divBdr>
        </w:div>
        <w:div w:id="858277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38937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769934">
          <w:marLeft w:val="0"/>
          <w:marRight w:val="0"/>
          <w:marTop w:val="0"/>
          <w:marBottom w:val="0"/>
          <w:divBdr>
            <w:top w:val="none" w:sz="0" w:space="0" w:color="auto"/>
            <w:left w:val="none" w:sz="0" w:space="0" w:color="auto"/>
            <w:bottom w:val="none" w:sz="0" w:space="0" w:color="auto"/>
            <w:right w:val="none" w:sz="0" w:space="0" w:color="auto"/>
          </w:divBdr>
          <w:divsChild>
            <w:div w:id="488793645">
              <w:marLeft w:val="0"/>
              <w:marRight w:val="0"/>
              <w:marTop w:val="0"/>
              <w:marBottom w:val="0"/>
              <w:divBdr>
                <w:top w:val="none" w:sz="0" w:space="0" w:color="auto"/>
                <w:left w:val="none" w:sz="0" w:space="0" w:color="auto"/>
                <w:bottom w:val="none" w:sz="0" w:space="0" w:color="auto"/>
                <w:right w:val="none" w:sz="0" w:space="0" w:color="auto"/>
              </w:divBdr>
            </w:div>
          </w:divsChild>
        </w:div>
        <w:div w:id="338579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07425">
      <w:bodyDiv w:val="1"/>
      <w:marLeft w:val="0"/>
      <w:marRight w:val="0"/>
      <w:marTop w:val="0"/>
      <w:marBottom w:val="0"/>
      <w:divBdr>
        <w:top w:val="none" w:sz="0" w:space="0" w:color="auto"/>
        <w:left w:val="none" w:sz="0" w:space="0" w:color="auto"/>
        <w:bottom w:val="none" w:sz="0" w:space="0" w:color="auto"/>
        <w:right w:val="none" w:sz="0" w:space="0" w:color="auto"/>
      </w:divBdr>
      <w:divsChild>
        <w:div w:id="727453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892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953722">
      <w:bodyDiv w:val="1"/>
      <w:marLeft w:val="0"/>
      <w:marRight w:val="0"/>
      <w:marTop w:val="0"/>
      <w:marBottom w:val="0"/>
      <w:divBdr>
        <w:top w:val="none" w:sz="0" w:space="0" w:color="auto"/>
        <w:left w:val="none" w:sz="0" w:space="0" w:color="auto"/>
        <w:bottom w:val="none" w:sz="0" w:space="0" w:color="auto"/>
        <w:right w:val="none" w:sz="0" w:space="0" w:color="auto"/>
      </w:divBdr>
    </w:div>
    <w:div w:id="207962533">
      <w:bodyDiv w:val="1"/>
      <w:marLeft w:val="0"/>
      <w:marRight w:val="0"/>
      <w:marTop w:val="0"/>
      <w:marBottom w:val="0"/>
      <w:divBdr>
        <w:top w:val="none" w:sz="0" w:space="0" w:color="auto"/>
        <w:left w:val="none" w:sz="0" w:space="0" w:color="auto"/>
        <w:bottom w:val="none" w:sz="0" w:space="0" w:color="auto"/>
        <w:right w:val="none" w:sz="0" w:space="0" w:color="auto"/>
      </w:divBdr>
      <w:divsChild>
        <w:div w:id="839278521">
          <w:marLeft w:val="0"/>
          <w:marRight w:val="0"/>
          <w:marTop w:val="0"/>
          <w:marBottom w:val="0"/>
          <w:divBdr>
            <w:top w:val="none" w:sz="0" w:space="0" w:color="auto"/>
            <w:left w:val="none" w:sz="0" w:space="0" w:color="auto"/>
            <w:bottom w:val="none" w:sz="0" w:space="0" w:color="auto"/>
            <w:right w:val="none" w:sz="0" w:space="0" w:color="auto"/>
          </w:divBdr>
          <w:divsChild>
            <w:div w:id="93407225">
              <w:marLeft w:val="0"/>
              <w:marRight w:val="0"/>
              <w:marTop w:val="0"/>
              <w:marBottom w:val="0"/>
              <w:divBdr>
                <w:top w:val="none" w:sz="0" w:space="0" w:color="auto"/>
                <w:left w:val="none" w:sz="0" w:space="0" w:color="auto"/>
                <w:bottom w:val="none" w:sz="0" w:space="0" w:color="auto"/>
                <w:right w:val="none" w:sz="0" w:space="0" w:color="auto"/>
              </w:divBdr>
            </w:div>
          </w:divsChild>
        </w:div>
        <w:div w:id="1628462603">
          <w:marLeft w:val="0"/>
          <w:marRight w:val="0"/>
          <w:marTop w:val="0"/>
          <w:marBottom w:val="0"/>
          <w:divBdr>
            <w:top w:val="none" w:sz="0" w:space="0" w:color="auto"/>
            <w:left w:val="none" w:sz="0" w:space="0" w:color="auto"/>
            <w:bottom w:val="none" w:sz="0" w:space="0" w:color="auto"/>
            <w:right w:val="none" w:sz="0" w:space="0" w:color="auto"/>
          </w:divBdr>
          <w:divsChild>
            <w:div w:id="2032950107">
              <w:marLeft w:val="0"/>
              <w:marRight w:val="0"/>
              <w:marTop w:val="0"/>
              <w:marBottom w:val="0"/>
              <w:divBdr>
                <w:top w:val="none" w:sz="0" w:space="0" w:color="auto"/>
                <w:left w:val="none" w:sz="0" w:space="0" w:color="auto"/>
                <w:bottom w:val="none" w:sz="0" w:space="0" w:color="auto"/>
                <w:right w:val="none" w:sz="0" w:space="0" w:color="auto"/>
              </w:divBdr>
            </w:div>
          </w:divsChild>
        </w:div>
        <w:div w:id="2070493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5702881">
      <w:bodyDiv w:val="1"/>
      <w:marLeft w:val="0"/>
      <w:marRight w:val="0"/>
      <w:marTop w:val="0"/>
      <w:marBottom w:val="0"/>
      <w:divBdr>
        <w:top w:val="none" w:sz="0" w:space="0" w:color="auto"/>
        <w:left w:val="none" w:sz="0" w:space="0" w:color="auto"/>
        <w:bottom w:val="none" w:sz="0" w:space="0" w:color="auto"/>
        <w:right w:val="none" w:sz="0" w:space="0" w:color="auto"/>
      </w:divBdr>
      <w:divsChild>
        <w:div w:id="47800580">
          <w:marLeft w:val="0"/>
          <w:marRight w:val="0"/>
          <w:marTop w:val="0"/>
          <w:marBottom w:val="0"/>
          <w:divBdr>
            <w:top w:val="none" w:sz="0" w:space="0" w:color="auto"/>
            <w:left w:val="none" w:sz="0" w:space="0" w:color="auto"/>
            <w:bottom w:val="none" w:sz="0" w:space="0" w:color="auto"/>
            <w:right w:val="none" w:sz="0" w:space="0" w:color="auto"/>
          </w:divBdr>
          <w:divsChild>
            <w:div w:id="538860871">
              <w:marLeft w:val="0"/>
              <w:marRight w:val="0"/>
              <w:marTop w:val="0"/>
              <w:marBottom w:val="0"/>
              <w:divBdr>
                <w:top w:val="none" w:sz="0" w:space="0" w:color="auto"/>
                <w:left w:val="none" w:sz="0" w:space="0" w:color="auto"/>
                <w:bottom w:val="none" w:sz="0" w:space="0" w:color="auto"/>
                <w:right w:val="none" w:sz="0" w:space="0" w:color="auto"/>
              </w:divBdr>
            </w:div>
          </w:divsChild>
        </w:div>
        <w:div w:id="1801536385">
          <w:marLeft w:val="0"/>
          <w:marRight w:val="0"/>
          <w:marTop w:val="0"/>
          <w:marBottom w:val="0"/>
          <w:divBdr>
            <w:top w:val="none" w:sz="0" w:space="0" w:color="auto"/>
            <w:left w:val="none" w:sz="0" w:space="0" w:color="auto"/>
            <w:bottom w:val="none" w:sz="0" w:space="0" w:color="auto"/>
            <w:right w:val="none" w:sz="0" w:space="0" w:color="auto"/>
          </w:divBdr>
          <w:divsChild>
            <w:div w:id="143813068">
              <w:marLeft w:val="0"/>
              <w:marRight w:val="0"/>
              <w:marTop w:val="0"/>
              <w:marBottom w:val="0"/>
              <w:divBdr>
                <w:top w:val="none" w:sz="0" w:space="0" w:color="auto"/>
                <w:left w:val="none" w:sz="0" w:space="0" w:color="auto"/>
                <w:bottom w:val="none" w:sz="0" w:space="0" w:color="auto"/>
                <w:right w:val="none" w:sz="0" w:space="0" w:color="auto"/>
              </w:divBdr>
            </w:div>
          </w:divsChild>
        </w:div>
        <w:div w:id="995380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520403">
      <w:bodyDiv w:val="1"/>
      <w:marLeft w:val="0"/>
      <w:marRight w:val="0"/>
      <w:marTop w:val="0"/>
      <w:marBottom w:val="0"/>
      <w:divBdr>
        <w:top w:val="none" w:sz="0" w:space="0" w:color="auto"/>
        <w:left w:val="none" w:sz="0" w:space="0" w:color="auto"/>
        <w:bottom w:val="none" w:sz="0" w:space="0" w:color="auto"/>
        <w:right w:val="none" w:sz="0" w:space="0" w:color="auto"/>
      </w:divBdr>
      <w:divsChild>
        <w:div w:id="1162039623">
          <w:marLeft w:val="0"/>
          <w:marRight w:val="0"/>
          <w:marTop w:val="0"/>
          <w:marBottom w:val="0"/>
          <w:divBdr>
            <w:top w:val="none" w:sz="0" w:space="0" w:color="auto"/>
            <w:left w:val="none" w:sz="0" w:space="0" w:color="auto"/>
            <w:bottom w:val="none" w:sz="0" w:space="0" w:color="auto"/>
            <w:right w:val="none" w:sz="0" w:space="0" w:color="auto"/>
          </w:divBdr>
          <w:divsChild>
            <w:div w:id="2007509273">
              <w:marLeft w:val="0"/>
              <w:marRight w:val="0"/>
              <w:marTop w:val="0"/>
              <w:marBottom w:val="0"/>
              <w:divBdr>
                <w:top w:val="none" w:sz="0" w:space="0" w:color="auto"/>
                <w:left w:val="none" w:sz="0" w:space="0" w:color="auto"/>
                <w:bottom w:val="none" w:sz="0" w:space="0" w:color="auto"/>
                <w:right w:val="none" w:sz="0" w:space="0" w:color="auto"/>
              </w:divBdr>
            </w:div>
          </w:divsChild>
        </w:div>
        <w:div w:id="2102027105">
          <w:marLeft w:val="0"/>
          <w:marRight w:val="0"/>
          <w:marTop w:val="0"/>
          <w:marBottom w:val="0"/>
          <w:divBdr>
            <w:top w:val="none" w:sz="0" w:space="0" w:color="auto"/>
            <w:left w:val="none" w:sz="0" w:space="0" w:color="auto"/>
            <w:bottom w:val="none" w:sz="0" w:space="0" w:color="auto"/>
            <w:right w:val="none" w:sz="0" w:space="0" w:color="auto"/>
          </w:divBdr>
          <w:divsChild>
            <w:div w:id="1947957923">
              <w:marLeft w:val="0"/>
              <w:marRight w:val="0"/>
              <w:marTop w:val="0"/>
              <w:marBottom w:val="0"/>
              <w:divBdr>
                <w:top w:val="none" w:sz="0" w:space="0" w:color="auto"/>
                <w:left w:val="none" w:sz="0" w:space="0" w:color="auto"/>
                <w:bottom w:val="none" w:sz="0" w:space="0" w:color="auto"/>
                <w:right w:val="none" w:sz="0" w:space="0" w:color="auto"/>
              </w:divBdr>
            </w:div>
          </w:divsChild>
        </w:div>
        <w:div w:id="509178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7055760">
      <w:bodyDiv w:val="1"/>
      <w:marLeft w:val="0"/>
      <w:marRight w:val="0"/>
      <w:marTop w:val="0"/>
      <w:marBottom w:val="0"/>
      <w:divBdr>
        <w:top w:val="none" w:sz="0" w:space="0" w:color="auto"/>
        <w:left w:val="none" w:sz="0" w:space="0" w:color="auto"/>
        <w:bottom w:val="none" w:sz="0" w:space="0" w:color="auto"/>
        <w:right w:val="none" w:sz="0" w:space="0" w:color="auto"/>
      </w:divBdr>
      <w:divsChild>
        <w:div w:id="147598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256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9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8559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903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418837">
          <w:marLeft w:val="0"/>
          <w:marRight w:val="0"/>
          <w:marTop w:val="0"/>
          <w:marBottom w:val="0"/>
          <w:divBdr>
            <w:top w:val="none" w:sz="0" w:space="0" w:color="auto"/>
            <w:left w:val="none" w:sz="0" w:space="0" w:color="auto"/>
            <w:bottom w:val="none" w:sz="0" w:space="0" w:color="auto"/>
            <w:right w:val="none" w:sz="0" w:space="0" w:color="auto"/>
          </w:divBdr>
          <w:divsChild>
            <w:div w:id="1990549653">
              <w:marLeft w:val="0"/>
              <w:marRight w:val="0"/>
              <w:marTop w:val="0"/>
              <w:marBottom w:val="0"/>
              <w:divBdr>
                <w:top w:val="none" w:sz="0" w:space="0" w:color="auto"/>
                <w:left w:val="none" w:sz="0" w:space="0" w:color="auto"/>
                <w:bottom w:val="none" w:sz="0" w:space="0" w:color="auto"/>
                <w:right w:val="none" w:sz="0" w:space="0" w:color="auto"/>
              </w:divBdr>
            </w:div>
          </w:divsChild>
        </w:div>
        <w:div w:id="699404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2976947">
      <w:bodyDiv w:val="1"/>
      <w:marLeft w:val="0"/>
      <w:marRight w:val="0"/>
      <w:marTop w:val="0"/>
      <w:marBottom w:val="0"/>
      <w:divBdr>
        <w:top w:val="none" w:sz="0" w:space="0" w:color="auto"/>
        <w:left w:val="none" w:sz="0" w:space="0" w:color="auto"/>
        <w:bottom w:val="none" w:sz="0" w:space="0" w:color="auto"/>
        <w:right w:val="none" w:sz="0" w:space="0" w:color="auto"/>
      </w:divBdr>
    </w:div>
    <w:div w:id="362753489">
      <w:bodyDiv w:val="1"/>
      <w:marLeft w:val="0"/>
      <w:marRight w:val="0"/>
      <w:marTop w:val="0"/>
      <w:marBottom w:val="0"/>
      <w:divBdr>
        <w:top w:val="none" w:sz="0" w:space="0" w:color="auto"/>
        <w:left w:val="none" w:sz="0" w:space="0" w:color="auto"/>
        <w:bottom w:val="none" w:sz="0" w:space="0" w:color="auto"/>
        <w:right w:val="none" w:sz="0" w:space="0" w:color="auto"/>
      </w:divBdr>
      <w:divsChild>
        <w:div w:id="2059745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039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583030">
      <w:bodyDiv w:val="1"/>
      <w:marLeft w:val="0"/>
      <w:marRight w:val="0"/>
      <w:marTop w:val="0"/>
      <w:marBottom w:val="0"/>
      <w:divBdr>
        <w:top w:val="none" w:sz="0" w:space="0" w:color="auto"/>
        <w:left w:val="none" w:sz="0" w:space="0" w:color="auto"/>
        <w:bottom w:val="none" w:sz="0" w:space="0" w:color="auto"/>
        <w:right w:val="none" w:sz="0" w:space="0" w:color="auto"/>
      </w:divBdr>
      <w:divsChild>
        <w:div w:id="1342119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038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931486">
      <w:bodyDiv w:val="1"/>
      <w:marLeft w:val="0"/>
      <w:marRight w:val="0"/>
      <w:marTop w:val="0"/>
      <w:marBottom w:val="0"/>
      <w:divBdr>
        <w:top w:val="none" w:sz="0" w:space="0" w:color="auto"/>
        <w:left w:val="none" w:sz="0" w:space="0" w:color="auto"/>
        <w:bottom w:val="none" w:sz="0" w:space="0" w:color="auto"/>
        <w:right w:val="none" w:sz="0" w:space="0" w:color="auto"/>
      </w:divBdr>
      <w:divsChild>
        <w:div w:id="634411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963120">
      <w:bodyDiv w:val="1"/>
      <w:marLeft w:val="0"/>
      <w:marRight w:val="0"/>
      <w:marTop w:val="0"/>
      <w:marBottom w:val="0"/>
      <w:divBdr>
        <w:top w:val="none" w:sz="0" w:space="0" w:color="auto"/>
        <w:left w:val="none" w:sz="0" w:space="0" w:color="auto"/>
        <w:bottom w:val="none" w:sz="0" w:space="0" w:color="auto"/>
        <w:right w:val="none" w:sz="0" w:space="0" w:color="auto"/>
      </w:divBdr>
      <w:divsChild>
        <w:div w:id="1426727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359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456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8650937">
      <w:bodyDiv w:val="1"/>
      <w:marLeft w:val="0"/>
      <w:marRight w:val="0"/>
      <w:marTop w:val="0"/>
      <w:marBottom w:val="0"/>
      <w:divBdr>
        <w:top w:val="none" w:sz="0" w:space="0" w:color="auto"/>
        <w:left w:val="none" w:sz="0" w:space="0" w:color="auto"/>
        <w:bottom w:val="none" w:sz="0" w:space="0" w:color="auto"/>
        <w:right w:val="none" w:sz="0" w:space="0" w:color="auto"/>
      </w:divBdr>
      <w:divsChild>
        <w:div w:id="1294100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152829">
      <w:bodyDiv w:val="1"/>
      <w:marLeft w:val="0"/>
      <w:marRight w:val="0"/>
      <w:marTop w:val="0"/>
      <w:marBottom w:val="0"/>
      <w:divBdr>
        <w:top w:val="none" w:sz="0" w:space="0" w:color="auto"/>
        <w:left w:val="none" w:sz="0" w:space="0" w:color="auto"/>
        <w:bottom w:val="none" w:sz="0" w:space="0" w:color="auto"/>
        <w:right w:val="none" w:sz="0" w:space="0" w:color="auto"/>
      </w:divBdr>
      <w:divsChild>
        <w:div w:id="1574241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22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8087695">
      <w:bodyDiv w:val="1"/>
      <w:marLeft w:val="0"/>
      <w:marRight w:val="0"/>
      <w:marTop w:val="0"/>
      <w:marBottom w:val="0"/>
      <w:divBdr>
        <w:top w:val="none" w:sz="0" w:space="0" w:color="auto"/>
        <w:left w:val="none" w:sz="0" w:space="0" w:color="auto"/>
        <w:bottom w:val="none" w:sz="0" w:space="0" w:color="auto"/>
        <w:right w:val="none" w:sz="0" w:space="0" w:color="auto"/>
      </w:divBdr>
      <w:divsChild>
        <w:div w:id="1590578669">
          <w:blockQuote w:val="1"/>
          <w:marLeft w:val="720"/>
          <w:marRight w:val="720"/>
          <w:marTop w:val="100"/>
          <w:marBottom w:val="100"/>
          <w:divBdr>
            <w:top w:val="none" w:sz="0" w:space="0" w:color="auto"/>
            <w:left w:val="none" w:sz="0" w:space="0" w:color="auto"/>
            <w:bottom w:val="none" w:sz="0" w:space="0" w:color="auto"/>
            <w:right w:val="none" w:sz="0" w:space="0" w:color="auto"/>
          </w:divBdr>
        </w:div>
        <w:div w:id="354771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297174">
      <w:bodyDiv w:val="1"/>
      <w:marLeft w:val="0"/>
      <w:marRight w:val="0"/>
      <w:marTop w:val="0"/>
      <w:marBottom w:val="0"/>
      <w:divBdr>
        <w:top w:val="none" w:sz="0" w:space="0" w:color="auto"/>
        <w:left w:val="none" w:sz="0" w:space="0" w:color="auto"/>
        <w:bottom w:val="none" w:sz="0" w:space="0" w:color="auto"/>
        <w:right w:val="none" w:sz="0" w:space="0" w:color="auto"/>
      </w:divBdr>
      <w:divsChild>
        <w:div w:id="78002683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727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196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670648">
          <w:blockQuote w:val="1"/>
          <w:marLeft w:val="720"/>
          <w:marRight w:val="720"/>
          <w:marTop w:val="100"/>
          <w:marBottom w:val="100"/>
          <w:divBdr>
            <w:top w:val="none" w:sz="0" w:space="0" w:color="auto"/>
            <w:left w:val="none" w:sz="0" w:space="0" w:color="auto"/>
            <w:bottom w:val="none" w:sz="0" w:space="0" w:color="auto"/>
            <w:right w:val="none" w:sz="0" w:space="0" w:color="auto"/>
          </w:divBdr>
        </w:div>
        <w:div w:id="545869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034616">
          <w:marLeft w:val="0"/>
          <w:marRight w:val="0"/>
          <w:marTop w:val="0"/>
          <w:marBottom w:val="0"/>
          <w:divBdr>
            <w:top w:val="none" w:sz="0" w:space="0" w:color="auto"/>
            <w:left w:val="none" w:sz="0" w:space="0" w:color="auto"/>
            <w:bottom w:val="none" w:sz="0" w:space="0" w:color="auto"/>
            <w:right w:val="none" w:sz="0" w:space="0" w:color="auto"/>
          </w:divBdr>
          <w:divsChild>
            <w:div w:id="405541208">
              <w:marLeft w:val="0"/>
              <w:marRight w:val="0"/>
              <w:marTop w:val="0"/>
              <w:marBottom w:val="0"/>
              <w:divBdr>
                <w:top w:val="none" w:sz="0" w:space="0" w:color="auto"/>
                <w:left w:val="none" w:sz="0" w:space="0" w:color="auto"/>
                <w:bottom w:val="none" w:sz="0" w:space="0" w:color="auto"/>
                <w:right w:val="none" w:sz="0" w:space="0" w:color="auto"/>
              </w:divBdr>
            </w:div>
          </w:divsChild>
        </w:div>
        <w:div w:id="146553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3031917">
      <w:bodyDiv w:val="1"/>
      <w:marLeft w:val="0"/>
      <w:marRight w:val="0"/>
      <w:marTop w:val="0"/>
      <w:marBottom w:val="0"/>
      <w:divBdr>
        <w:top w:val="none" w:sz="0" w:space="0" w:color="auto"/>
        <w:left w:val="none" w:sz="0" w:space="0" w:color="auto"/>
        <w:bottom w:val="none" w:sz="0" w:space="0" w:color="auto"/>
        <w:right w:val="none" w:sz="0" w:space="0" w:color="auto"/>
      </w:divBdr>
      <w:divsChild>
        <w:div w:id="1019698748">
          <w:marLeft w:val="0"/>
          <w:marRight w:val="0"/>
          <w:marTop w:val="0"/>
          <w:marBottom w:val="0"/>
          <w:divBdr>
            <w:top w:val="none" w:sz="0" w:space="0" w:color="auto"/>
            <w:left w:val="none" w:sz="0" w:space="0" w:color="auto"/>
            <w:bottom w:val="none" w:sz="0" w:space="0" w:color="auto"/>
            <w:right w:val="none" w:sz="0" w:space="0" w:color="auto"/>
          </w:divBdr>
          <w:divsChild>
            <w:div w:id="1096171079">
              <w:marLeft w:val="0"/>
              <w:marRight w:val="0"/>
              <w:marTop w:val="0"/>
              <w:marBottom w:val="0"/>
              <w:divBdr>
                <w:top w:val="none" w:sz="0" w:space="0" w:color="auto"/>
                <w:left w:val="none" w:sz="0" w:space="0" w:color="auto"/>
                <w:bottom w:val="none" w:sz="0" w:space="0" w:color="auto"/>
                <w:right w:val="none" w:sz="0" w:space="0" w:color="auto"/>
              </w:divBdr>
            </w:div>
          </w:divsChild>
        </w:div>
        <w:div w:id="1786727012">
          <w:marLeft w:val="0"/>
          <w:marRight w:val="0"/>
          <w:marTop w:val="0"/>
          <w:marBottom w:val="0"/>
          <w:divBdr>
            <w:top w:val="none" w:sz="0" w:space="0" w:color="auto"/>
            <w:left w:val="none" w:sz="0" w:space="0" w:color="auto"/>
            <w:bottom w:val="none" w:sz="0" w:space="0" w:color="auto"/>
            <w:right w:val="none" w:sz="0" w:space="0" w:color="auto"/>
          </w:divBdr>
          <w:divsChild>
            <w:div w:id="58871636">
              <w:marLeft w:val="0"/>
              <w:marRight w:val="0"/>
              <w:marTop w:val="0"/>
              <w:marBottom w:val="0"/>
              <w:divBdr>
                <w:top w:val="none" w:sz="0" w:space="0" w:color="auto"/>
                <w:left w:val="none" w:sz="0" w:space="0" w:color="auto"/>
                <w:bottom w:val="none" w:sz="0" w:space="0" w:color="auto"/>
                <w:right w:val="none" w:sz="0" w:space="0" w:color="auto"/>
              </w:divBdr>
            </w:div>
          </w:divsChild>
        </w:div>
        <w:div w:id="211879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7229814">
      <w:bodyDiv w:val="1"/>
      <w:marLeft w:val="0"/>
      <w:marRight w:val="0"/>
      <w:marTop w:val="0"/>
      <w:marBottom w:val="0"/>
      <w:divBdr>
        <w:top w:val="none" w:sz="0" w:space="0" w:color="auto"/>
        <w:left w:val="none" w:sz="0" w:space="0" w:color="auto"/>
        <w:bottom w:val="none" w:sz="0" w:space="0" w:color="auto"/>
        <w:right w:val="none" w:sz="0" w:space="0" w:color="auto"/>
      </w:divBdr>
      <w:divsChild>
        <w:div w:id="1402362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827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3870375">
      <w:bodyDiv w:val="1"/>
      <w:marLeft w:val="0"/>
      <w:marRight w:val="0"/>
      <w:marTop w:val="0"/>
      <w:marBottom w:val="0"/>
      <w:divBdr>
        <w:top w:val="none" w:sz="0" w:space="0" w:color="auto"/>
        <w:left w:val="none" w:sz="0" w:space="0" w:color="auto"/>
        <w:bottom w:val="none" w:sz="0" w:space="0" w:color="auto"/>
        <w:right w:val="none" w:sz="0" w:space="0" w:color="auto"/>
      </w:divBdr>
      <w:divsChild>
        <w:div w:id="1206063848">
          <w:marLeft w:val="0"/>
          <w:marRight w:val="0"/>
          <w:marTop w:val="0"/>
          <w:marBottom w:val="0"/>
          <w:divBdr>
            <w:top w:val="none" w:sz="0" w:space="0" w:color="auto"/>
            <w:left w:val="none" w:sz="0" w:space="0" w:color="auto"/>
            <w:bottom w:val="none" w:sz="0" w:space="0" w:color="auto"/>
            <w:right w:val="none" w:sz="0" w:space="0" w:color="auto"/>
          </w:divBdr>
          <w:divsChild>
            <w:div w:id="1451242094">
              <w:marLeft w:val="0"/>
              <w:marRight w:val="0"/>
              <w:marTop w:val="0"/>
              <w:marBottom w:val="0"/>
              <w:divBdr>
                <w:top w:val="none" w:sz="0" w:space="0" w:color="auto"/>
                <w:left w:val="none" w:sz="0" w:space="0" w:color="auto"/>
                <w:bottom w:val="none" w:sz="0" w:space="0" w:color="auto"/>
                <w:right w:val="none" w:sz="0" w:space="0" w:color="auto"/>
              </w:divBdr>
            </w:div>
          </w:divsChild>
        </w:div>
        <w:div w:id="228032371">
          <w:marLeft w:val="0"/>
          <w:marRight w:val="0"/>
          <w:marTop w:val="0"/>
          <w:marBottom w:val="0"/>
          <w:divBdr>
            <w:top w:val="none" w:sz="0" w:space="0" w:color="auto"/>
            <w:left w:val="none" w:sz="0" w:space="0" w:color="auto"/>
            <w:bottom w:val="none" w:sz="0" w:space="0" w:color="auto"/>
            <w:right w:val="none" w:sz="0" w:space="0" w:color="auto"/>
          </w:divBdr>
          <w:divsChild>
            <w:div w:id="1362634124">
              <w:marLeft w:val="0"/>
              <w:marRight w:val="0"/>
              <w:marTop w:val="0"/>
              <w:marBottom w:val="0"/>
              <w:divBdr>
                <w:top w:val="none" w:sz="0" w:space="0" w:color="auto"/>
                <w:left w:val="none" w:sz="0" w:space="0" w:color="auto"/>
                <w:bottom w:val="none" w:sz="0" w:space="0" w:color="auto"/>
                <w:right w:val="none" w:sz="0" w:space="0" w:color="auto"/>
              </w:divBdr>
            </w:div>
          </w:divsChild>
        </w:div>
        <w:div w:id="96947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443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0273916">
      <w:bodyDiv w:val="1"/>
      <w:marLeft w:val="0"/>
      <w:marRight w:val="0"/>
      <w:marTop w:val="0"/>
      <w:marBottom w:val="0"/>
      <w:divBdr>
        <w:top w:val="none" w:sz="0" w:space="0" w:color="auto"/>
        <w:left w:val="none" w:sz="0" w:space="0" w:color="auto"/>
        <w:bottom w:val="none" w:sz="0" w:space="0" w:color="auto"/>
        <w:right w:val="none" w:sz="0" w:space="0" w:color="auto"/>
      </w:divBdr>
      <w:divsChild>
        <w:div w:id="8200765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111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606419">
      <w:bodyDiv w:val="1"/>
      <w:marLeft w:val="0"/>
      <w:marRight w:val="0"/>
      <w:marTop w:val="0"/>
      <w:marBottom w:val="0"/>
      <w:divBdr>
        <w:top w:val="none" w:sz="0" w:space="0" w:color="auto"/>
        <w:left w:val="none" w:sz="0" w:space="0" w:color="auto"/>
        <w:bottom w:val="none" w:sz="0" w:space="0" w:color="auto"/>
        <w:right w:val="none" w:sz="0" w:space="0" w:color="auto"/>
      </w:divBdr>
      <w:divsChild>
        <w:div w:id="1933737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937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1088563">
      <w:bodyDiv w:val="1"/>
      <w:marLeft w:val="0"/>
      <w:marRight w:val="0"/>
      <w:marTop w:val="0"/>
      <w:marBottom w:val="0"/>
      <w:divBdr>
        <w:top w:val="none" w:sz="0" w:space="0" w:color="auto"/>
        <w:left w:val="none" w:sz="0" w:space="0" w:color="auto"/>
        <w:bottom w:val="none" w:sz="0" w:space="0" w:color="auto"/>
        <w:right w:val="none" w:sz="0" w:space="0" w:color="auto"/>
      </w:divBdr>
    </w:div>
    <w:div w:id="1246955057">
      <w:bodyDiv w:val="1"/>
      <w:marLeft w:val="0"/>
      <w:marRight w:val="0"/>
      <w:marTop w:val="0"/>
      <w:marBottom w:val="0"/>
      <w:divBdr>
        <w:top w:val="none" w:sz="0" w:space="0" w:color="auto"/>
        <w:left w:val="none" w:sz="0" w:space="0" w:color="auto"/>
        <w:bottom w:val="none" w:sz="0" w:space="0" w:color="auto"/>
        <w:right w:val="none" w:sz="0" w:space="0" w:color="auto"/>
      </w:divBdr>
      <w:divsChild>
        <w:div w:id="1394504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49195">
          <w:blockQuote w:val="1"/>
          <w:marLeft w:val="720"/>
          <w:marRight w:val="720"/>
          <w:marTop w:val="100"/>
          <w:marBottom w:val="100"/>
          <w:divBdr>
            <w:top w:val="none" w:sz="0" w:space="0" w:color="auto"/>
            <w:left w:val="none" w:sz="0" w:space="0" w:color="auto"/>
            <w:bottom w:val="none" w:sz="0" w:space="0" w:color="auto"/>
            <w:right w:val="none" w:sz="0" w:space="0" w:color="auto"/>
          </w:divBdr>
        </w:div>
        <w:div w:id="478421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179050">
          <w:marLeft w:val="0"/>
          <w:marRight w:val="0"/>
          <w:marTop w:val="0"/>
          <w:marBottom w:val="0"/>
          <w:divBdr>
            <w:top w:val="none" w:sz="0" w:space="0" w:color="auto"/>
            <w:left w:val="none" w:sz="0" w:space="0" w:color="auto"/>
            <w:bottom w:val="none" w:sz="0" w:space="0" w:color="auto"/>
            <w:right w:val="none" w:sz="0" w:space="0" w:color="auto"/>
          </w:divBdr>
          <w:divsChild>
            <w:div w:id="1139151652">
              <w:marLeft w:val="0"/>
              <w:marRight w:val="0"/>
              <w:marTop w:val="0"/>
              <w:marBottom w:val="0"/>
              <w:divBdr>
                <w:top w:val="none" w:sz="0" w:space="0" w:color="auto"/>
                <w:left w:val="none" w:sz="0" w:space="0" w:color="auto"/>
                <w:bottom w:val="none" w:sz="0" w:space="0" w:color="auto"/>
                <w:right w:val="none" w:sz="0" w:space="0" w:color="auto"/>
              </w:divBdr>
            </w:div>
          </w:divsChild>
        </w:div>
        <w:div w:id="641496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057504">
      <w:bodyDiv w:val="1"/>
      <w:marLeft w:val="0"/>
      <w:marRight w:val="0"/>
      <w:marTop w:val="0"/>
      <w:marBottom w:val="0"/>
      <w:divBdr>
        <w:top w:val="none" w:sz="0" w:space="0" w:color="auto"/>
        <w:left w:val="none" w:sz="0" w:space="0" w:color="auto"/>
        <w:bottom w:val="none" w:sz="0" w:space="0" w:color="auto"/>
        <w:right w:val="none" w:sz="0" w:space="0" w:color="auto"/>
      </w:divBdr>
      <w:divsChild>
        <w:div w:id="1238906011">
          <w:marLeft w:val="0"/>
          <w:marRight w:val="0"/>
          <w:marTop w:val="0"/>
          <w:marBottom w:val="0"/>
          <w:divBdr>
            <w:top w:val="none" w:sz="0" w:space="0" w:color="auto"/>
            <w:left w:val="none" w:sz="0" w:space="0" w:color="auto"/>
            <w:bottom w:val="none" w:sz="0" w:space="0" w:color="auto"/>
            <w:right w:val="none" w:sz="0" w:space="0" w:color="auto"/>
          </w:divBdr>
          <w:divsChild>
            <w:div w:id="1318463623">
              <w:marLeft w:val="0"/>
              <w:marRight w:val="0"/>
              <w:marTop w:val="0"/>
              <w:marBottom w:val="0"/>
              <w:divBdr>
                <w:top w:val="none" w:sz="0" w:space="0" w:color="auto"/>
                <w:left w:val="none" w:sz="0" w:space="0" w:color="auto"/>
                <w:bottom w:val="none" w:sz="0" w:space="0" w:color="auto"/>
                <w:right w:val="none" w:sz="0" w:space="0" w:color="auto"/>
              </w:divBdr>
            </w:div>
          </w:divsChild>
        </w:div>
        <w:div w:id="742723003">
          <w:marLeft w:val="0"/>
          <w:marRight w:val="0"/>
          <w:marTop w:val="0"/>
          <w:marBottom w:val="0"/>
          <w:divBdr>
            <w:top w:val="none" w:sz="0" w:space="0" w:color="auto"/>
            <w:left w:val="none" w:sz="0" w:space="0" w:color="auto"/>
            <w:bottom w:val="none" w:sz="0" w:space="0" w:color="auto"/>
            <w:right w:val="none" w:sz="0" w:space="0" w:color="auto"/>
          </w:divBdr>
          <w:divsChild>
            <w:div w:id="1620792173">
              <w:marLeft w:val="0"/>
              <w:marRight w:val="0"/>
              <w:marTop w:val="0"/>
              <w:marBottom w:val="0"/>
              <w:divBdr>
                <w:top w:val="none" w:sz="0" w:space="0" w:color="auto"/>
                <w:left w:val="none" w:sz="0" w:space="0" w:color="auto"/>
                <w:bottom w:val="none" w:sz="0" w:space="0" w:color="auto"/>
                <w:right w:val="none" w:sz="0" w:space="0" w:color="auto"/>
              </w:divBdr>
            </w:div>
          </w:divsChild>
        </w:div>
        <w:div w:id="1452553050">
          <w:blockQuote w:val="1"/>
          <w:marLeft w:val="720"/>
          <w:marRight w:val="720"/>
          <w:marTop w:val="100"/>
          <w:marBottom w:val="100"/>
          <w:divBdr>
            <w:top w:val="none" w:sz="0" w:space="0" w:color="auto"/>
            <w:left w:val="none" w:sz="0" w:space="0" w:color="auto"/>
            <w:bottom w:val="none" w:sz="0" w:space="0" w:color="auto"/>
            <w:right w:val="none" w:sz="0" w:space="0" w:color="auto"/>
          </w:divBdr>
        </w:div>
        <w:div w:id="362438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771590">
      <w:bodyDiv w:val="1"/>
      <w:marLeft w:val="0"/>
      <w:marRight w:val="0"/>
      <w:marTop w:val="0"/>
      <w:marBottom w:val="0"/>
      <w:divBdr>
        <w:top w:val="none" w:sz="0" w:space="0" w:color="auto"/>
        <w:left w:val="none" w:sz="0" w:space="0" w:color="auto"/>
        <w:bottom w:val="none" w:sz="0" w:space="0" w:color="auto"/>
        <w:right w:val="none" w:sz="0" w:space="0" w:color="auto"/>
      </w:divBdr>
      <w:divsChild>
        <w:div w:id="657343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473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4969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259970">
      <w:bodyDiv w:val="1"/>
      <w:marLeft w:val="0"/>
      <w:marRight w:val="0"/>
      <w:marTop w:val="0"/>
      <w:marBottom w:val="0"/>
      <w:divBdr>
        <w:top w:val="none" w:sz="0" w:space="0" w:color="auto"/>
        <w:left w:val="none" w:sz="0" w:space="0" w:color="auto"/>
        <w:bottom w:val="none" w:sz="0" w:space="0" w:color="auto"/>
        <w:right w:val="none" w:sz="0" w:space="0" w:color="auto"/>
      </w:divBdr>
      <w:divsChild>
        <w:div w:id="39018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415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590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142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32541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0958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735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635259">
      <w:bodyDiv w:val="1"/>
      <w:marLeft w:val="0"/>
      <w:marRight w:val="0"/>
      <w:marTop w:val="0"/>
      <w:marBottom w:val="0"/>
      <w:divBdr>
        <w:top w:val="none" w:sz="0" w:space="0" w:color="auto"/>
        <w:left w:val="none" w:sz="0" w:space="0" w:color="auto"/>
        <w:bottom w:val="none" w:sz="0" w:space="0" w:color="auto"/>
        <w:right w:val="none" w:sz="0" w:space="0" w:color="auto"/>
      </w:divBdr>
    </w:div>
    <w:div w:id="1813597102">
      <w:bodyDiv w:val="1"/>
      <w:marLeft w:val="0"/>
      <w:marRight w:val="0"/>
      <w:marTop w:val="0"/>
      <w:marBottom w:val="0"/>
      <w:divBdr>
        <w:top w:val="none" w:sz="0" w:space="0" w:color="auto"/>
        <w:left w:val="none" w:sz="0" w:space="0" w:color="auto"/>
        <w:bottom w:val="none" w:sz="0" w:space="0" w:color="auto"/>
        <w:right w:val="none" w:sz="0" w:space="0" w:color="auto"/>
      </w:divBdr>
      <w:divsChild>
        <w:div w:id="209853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10341">
      <w:bodyDiv w:val="1"/>
      <w:marLeft w:val="0"/>
      <w:marRight w:val="0"/>
      <w:marTop w:val="0"/>
      <w:marBottom w:val="0"/>
      <w:divBdr>
        <w:top w:val="none" w:sz="0" w:space="0" w:color="auto"/>
        <w:left w:val="none" w:sz="0" w:space="0" w:color="auto"/>
        <w:bottom w:val="none" w:sz="0" w:space="0" w:color="auto"/>
        <w:right w:val="none" w:sz="0" w:space="0" w:color="auto"/>
      </w:divBdr>
      <w:divsChild>
        <w:div w:id="323290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846992">
      <w:bodyDiv w:val="1"/>
      <w:marLeft w:val="0"/>
      <w:marRight w:val="0"/>
      <w:marTop w:val="0"/>
      <w:marBottom w:val="0"/>
      <w:divBdr>
        <w:top w:val="none" w:sz="0" w:space="0" w:color="auto"/>
        <w:left w:val="none" w:sz="0" w:space="0" w:color="auto"/>
        <w:bottom w:val="none" w:sz="0" w:space="0" w:color="auto"/>
        <w:right w:val="none" w:sz="0" w:space="0" w:color="auto"/>
      </w:divBdr>
      <w:divsChild>
        <w:div w:id="1579705539">
          <w:blockQuote w:val="1"/>
          <w:marLeft w:val="720"/>
          <w:marRight w:val="720"/>
          <w:marTop w:val="100"/>
          <w:marBottom w:val="100"/>
          <w:divBdr>
            <w:top w:val="none" w:sz="0" w:space="0" w:color="auto"/>
            <w:left w:val="none" w:sz="0" w:space="0" w:color="auto"/>
            <w:bottom w:val="none" w:sz="0" w:space="0" w:color="auto"/>
            <w:right w:val="none" w:sz="0" w:space="0" w:color="auto"/>
          </w:divBdr>
        </w:div>
        <w:div w:id="816262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960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57159">
          <w:blockQuote w:val="1"/>
          <w:marLeft w:val="720"/>
          <w:marRight w:val="720"/>
          <w:marTop w:val="100"/>
          <w:marBottom w:val="100"/>
          <w:divBdr>
            <w:top w:val="none" w:sz="0" w:space="0" w:color="auto"/>
            <w:left w:val="none" w:sz="0" w:space="0" w:color="auto"/>
            <w:bottom w:val="none" w:sz="0" w:space="0" w:color="auto"/>
            <w:right w:val="none" w:sz="0" w:space="0" w:color="auto"/>
          </w:divBdr>
        </w:div>
        <w:div w:id="926307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94391">
          <w:blockQuote w:val="1"/>
          <w:marLeft w:val="720"/>
          <w:marRight w:val="720"/>
          <w:marTop w:val="100"/>
          <w:marBottom w:val="100"/>
          <w:divBdr>
            <w:top w:val="none" w:sz="0" w:space="0" w:color="auto"/>
            <w:left w:val="none" w:sz="0" w:space="0" w:color="auto"/>
            <w:bottom w:val="none" w:sz="0" w:space="0" w:color="auto"/>
            <w:right w:val="none" w:sz="0" w:space="0" w:color="auto"/>
          </w:divBdr>
        </w:div>
        <w:div w:id="743599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3194844">
      <w:bodyDiv w:val="1"/>
      <w:marLeft w:val="0"/>
      <w:marRight w:val="0"/>
      <w:marTop w:val="0"/>
      <w:marBottom w:val="0"/>
      <w:divBdr>
        <w:top w:val="none" w:sz="0" w:space="0" w:color="auto"/>
        <w:left w:val="none" w:sz="0" w:space="0" w:color="auto"/>
        <w:bottom w:val="none" w:sz="0" w:space="0" w:color="auto"/>
        <w:right w:val="none" w:sz="0" w:space="0" w:color="auto"/>
      </w:divBdr>
    </w:div>
    <w:div w:id="212835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17226/25303" TargetMode="External"/><Relationship Id="rId3" Type="http://schemas.openxmlformats.org/officeDocument/2006/relationships/styles" Target="styles.xml"/><Relationship Id="rId21" Type="http://schemas.openxmlformats.org/officeDocument/2006/relationships/hyperlink" Target="https://doi.org/10.1145/359545.359563"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7487/RFC9334"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oi.org/10.1007/978-3-662-49851-4" TargetMode="External"/><Relationship Id="rId29" Type="http://schemas.openxmlformats.org/officeDocument/2006/relationships/hyperlink" Target="https://www.omg.org/spec/SACM/2.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17487/RFC8785"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w3.org/TR/prov-o/" TargetMode="External"/><Relationship Id="rId28" Type="http://schemas.openxmlformats.org/officeDocument/2006/relationships/hyperlink" Target="https://doi.org/10.1145/3442188.3445921" TargetMode="External"/><Relationship Id="rId10" Type="http://schemas.openxmlformats.org/officeDocument/2006/relationships/hyperlink" Target="http://www.arjayasadi.com" TargetMode="External"/><Relationship Id="rId19" Type="http://schemas.openxmlformats.org/officeDocument/2006/relationships/hyperlink" Target="https://doi.org/10.1016/j.jlap.2008.08.004"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rjay.asadi@substratex.ai" TargetMode="External"/><Relationship Id="rId14" Type="http://schemas.openxmlformats.org/officeDocument/2006/relationships/image" Target="media/image5.png"/><Relationship Id="rId22" Type="http://schemas.openxmlformats.org/officeDocument/2006/relationships/hyperlink" Target="https://www.w3.org/TR/prov-dm/" TargetMode="External"/><Relationship Id="rId27" Type="http://schemas.openxmlformats.org/officeDocument/2006/relationships/hyperlink" Target="https://doi.org/10.1109/ACCESS.2018.2887201" TargetMode="External"/><Relationship Id="rId30" Type="http://schemas.openxmlformats.org/officeDocument/2006/relationships/hyperlink" Target="https://doi.org/10.6028/NIST.AI.100-1" TargetMode="Externa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20B5B8-D055-495E-8D98-72F1F0C78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13085</Words>
  <Characters>74585</Characters>
  <Application>Microsoft Office Word</Application>
  <DocSecurity>0</DocSecurity>
  <Lines>621</Lines>
  <Paragraphs>174</Paragraphs>
  <ScaleCrop>false</ScaleCrop>
  <HeadingPairs>
    <vt:vector size="4" baseType="variant">
      <vt:variant>
        <vt:lpstr>Title</vt:lpstr>
      </vt:variant>
      <vt:variant>
        <vt:i4>1</vt:i4>
      </vt:variant>
      <vt:variant>
        <vt:lpstr>Headings</vt:lpstr>
      </vt:variant>
      <vt:variant>
        <vt:i4>65</vt:i4>
      </vt:variant>
    </vt:vector>
  </HeadingPairs>
  <TitlesOfParts>
    <vt:vector size="66" baseType="lpstr">
      <vt:lpstr>Constructive Inference Computing</vt:lpstr>
      <vt:lpstr>Table of Content</vt:lpstr>
      <vt:lpstr>    Abstract</vt:lpstr>
      <vt:lpstr>    Research Status and Scope</vt:lpstr>
      <vt:lpstr>    Version 2.0 Release Note</vt:lpstr>
      <vt:lpstr>    Contributions</vt:lpstr>
      <vt:lpstr>Introduction</vt:lpstr>
      <vt:lpstr>Operational Records and Runtime Evidence</vt:lpstr>
      <vt:lpstr>    Runtime Evidence as Object</vt:lpstr>
      <vt:lpstr>    Qualification Is Claim Specific</vt:lpstr>
      <vt:lpstr>Scientific and Architectural Position</vt:lpstr>
      <vt:lpstr>    Scientific Hierarchy</vt:lpstr>
      <vt:lpstr>    Established Lineages</vt:lpstr>
      <vt:lpstr>    Distinctive Scope</vt:lpstr>
      <vt:lpstr>Definition and Formal Model</vt:lpstr>
      <vt:lpstr>    Canonical Formation Sequence</vt:lpstr>
      <vt:lpstr>    Evidence Core and Variable Envelope</vt:lpstr>
      <vt:lpstr>Source Binding Qualification and Coverage</vt:lpstr>
      <vt:lpstr>    Evidence and Legitimacy States</vt:lpstr>
      <vt:lpstr>    Contradiction and Absence</vt:lpstr>
      <vt:lpstr>Canonical Longitudinal Reconstruction</vt:lpstr>
      <vt:lpstr>    Ledger Spine Frames and Worldline</vt:lpstr>
      <vt:lpstr>    Temporal Authority</vt:lpstr>
      <vt:lpstr>    Evidence Horizons</vt:lpstr>
      <vt:lpstr>Measurement Legitimacy and Behavioral Representation</vt:lpstr>
      <vt:lpstr>    Runtime Signal Authority and Metric Legitimacy</vt:lpstr>
      <vt:lpstr>    Regimes Boundaries Collapse and Recovery</vt:lpstr>
      <vt:lpstr>    Formal Lead Time</vt:lpstr>
      <vt:lpstr>Evidence Authority Lifecycle</vt:lpstr>
      <vt:lpstr>    Current Evidence Run</vt:lpstr>
      <vt:lpstr>    Runtime Evidence Record and Certification</vt:lpstr>
      <vt:lpstr>    Runtime Evidence Passport</vt:lpstr>
      <vt:lpstr>    Evidence Seal</vt:lpstr>
      <vt:lpstr>    Preservation Artifact</vt:lpstr>
      <vt:lpstr>Deterministic Identity and Reproducibility</vt:lpstr>
      <vt:lpstr>    Identity Layers</vt:lpstr>
      <vt:lpstr>    What Reproducibility Establishes</vt:lpstr>
      <vt:lpstr>Claim Lineage and Evidence Governed Computation</vt:lpstr>
      <vt:lpstr>    Claim Specific Limits</vt:lpstr>
      <vt:lpstr>Instruments Interpretation and Human Read</vt:lpstr>
      <vt:lpstr>Conformance Issuance Export and Preservation</vt:lpstr>
      <vt:lpstr>    Six Conformance Surfaces</vt:lpstr>
      <vt:lpstr>    Certification Scope and Non Certifications</vt:lpstr>
      <vt:lpstr>    Export Authority and Preservation Readiness</vt:lpstr>
      <vt:lpstr>Architectural Invariants</vt:lpstr>
      <vt:lpstr>SubstrateX Aperture as the Reference Implementation</vt:lpstr>
      <vt:lpstr>    Controlled Validation</vt:lpstr>
      <vt:lpstr>    Implementation and Theory</vt:lpstr>
      <vt:lpstr>Trust Model Threats and Failure Modes</vt:lpstr>
      <vt:lpstr>    Threat Summary</vt:lpstr>
      <vt:lpstr>Conformance and Scientific Validation</vt:lpstr>
      <vt:lpstr>    Four Evaluation Layers</vt:lpstr>
      <vt:lpstr>    Bounded Validation Status</vt:lpstr>
      <vt:lpstr>    Validation Maturity</vt:lpstr>
      <vt:lpstr>Interoperability and Institutional Use</vt:lpstr>
      <vt:lpstr>Implications</vt:lpstr>
      <vt:lpstr>    From Observability to Evidence</vt:lpstr>
      <vt:lpstr>    Behavioral Science Without Hidden State</vt:lpstr>
      <vt:lpstr>    Evidence Objects as Infrastructure</vt:lpstr>
      <vt:lpstr>Limitations</vt:lpstr>
      <vt:lpstr>Conclusion</vt:lpstr>
      <vt:lpstr>References</vt:lpstr>
      <vt:lpstr>Appendix A Minimum Runtime Evidence Record</vt:lpstr>
      <vt:lpstr>Appendix B Authority Object Definitions</vt:lpstr>
      <vt:lpstr>Appendix C Claim Boundary</vt:lpstr>
      <vt:lpstr>    Trademark Notice</vt:lpstr>
    </vt:vector>
  </TitlesOfParts>
  <Company>Recursive Science Foundation</Company>
  <LinksUpToDate>false</LinksUpToDate>
  <CharactersWithSpaces>87496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Constructive Inference Computing</dc:title>
  <dc:subject/>
  <dc:creator>Arjay Asadi</dc:creator>
  <cp:keywords/>
  <dc:description/>
  <cp:lastModifiedBy>Arjay Asadi</cp:lastModifiedBy>
  <cp:revision>3</cp:revision>
  <dcterms:created xsi:type="dcterms:W3CDTF">2026-10-10T22:47:00Z</dcterms:created>
  <dcterms:modified xsi:type="dcterms:W3CDTF">2026-10-10T22:50:00Z</dcterms:modified>
  <cp:category/>
</cp:coreProperties>
</file>