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0B6C24">
      <w:pPr>
        <w:spacing w:after="10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0B6C24">
      <w:pPr>
        <w:spacing w:after="10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0B6C24">
      <w:pPr>
        <w:spacing w:after="100"/>
        <w:ind w:left="720"/>
        <w:rPr>
          <w:rFonts w:cstheme="minorHAnsi"/>
          <w:b/>
          <w:bCs/>
          <w:color w:val="F0B83B"/>
        </w:rPr>
      </w:pPr>
    </w:p>
    <w:p w14:paraId="2027FB5B" w14:textId="77777777" w:rsidR="00A2313E" w:rsidRPr="00715E52" w:rsidRDefault="00A2313E" w:rsidP="000B6C24">
      <w:pPr>
        <w:spacing w:after="100"/>
        <w:rPr>
          <w:rFonts w:cstheme="minorHAnsi"/>
          <w:b/>
          <w:bCs/>
          <w:sz w:val="45"/>
          <w:szCs w:val="45"/>
        </w:rPr>
      </w:pPr>
    </w:p>
    <w:p w14:paraId="7350CF94" w14:textId="3E781770" w:rsidR="00A2313E" w:rsidRPr="00715E52" w:rsidRDefault="008B4C55" w:rsidP="000B6C24">
      <w:pPr>
        <w:spacing w:after="10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0B6C24">
      <w:pPr>
        <w:spacing w:after="10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0B6C24">
      <w:pPr>
        <w:spacing w:after="100"/>
        <w:rPr>
          <w:rFonts w:cstheme="minorHAnsi"/>
          <w:i/>
          <w:iCs/>
          <w:color w:val="D9D9D9" w:themeColor="background1" w:themeShade="D9"/>
        </w:rPr>
      </w:pPr>
    </w:p>
    <w:p w14:paraId="06A27710" w14:textId="5A4CD2AA" w:rsidR="00220D48" w:rsidRPr="00715E52" w:rsidRDefault="00220D48" w:rsidP="000B6C24">
      <w:pPr>
        <w:spacing w:after="10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0B6C24">
      <w:pPr>
        <w:spacing w:after="100"/>
        <w:rPr>
          <w:rFonts w:cstheme="minorHAnsi"/>
          <w:i/>
          <w:iCs/>
          <w:color w:val="D9D9D9" w:themeColor="background1" w:themeShade="D9"/>
        </w:rPr>
      </w:pPr>
    </w:p>
    <w:bookmarkEnd w:id="1"/>
    <w:p w14:paraId="0525D826" w14:textId="77777777" w:rsidR="00DD60C8" w:rsidRDefault="00DD60C8" w:rsidP="00DD60C8">
      <w:pPr>
        <w:spacing w:after="560"/>
        <w:rPr>
          <w:rFonts w:cstheme="minorHAnsi"/>
          <w:sz w:val="44"/>
          <w:szCs w:val="44"/>
        </w:rPr>
      </w:pPr>
      <w:r w:rsidRPr="00DD60C8">
        <w:rPr>
          <w:rFonts w:eastAsia="Arial" w:cstheme="minorHAnsi"/>
          <w:b/>
          <w:color w:val="000000"/>
          <w:sz w:val="44"/>
          <w:szCs w:val="44"/>
        </w:rPr>
        <w:t>Foundations of Evidence-Governed Computation</w:t>
      </w:r>
      <w:r w:rsidR="00220D48" w:rsidRPr="00DD60C8">
        <w:rPr>
          <w:rFonts w:eastAsia="Arial" w:cstheme="minorHAnsi"/>
          <w:color w:val="000000" w:themeColor="text1"/>
          <w:sz w:val="44"/>
          <w:szCs w:val="44"/>
        </w:rPr>
        <w:t xml:space="preserve">: </w:t>
      </w:r>
      <w:r w:rsidRPr="00DD60C8">
        <w:rPr>
          <w:rFonts w:eastAsia="Arial" w:cstheme="minorHAnsi"/>
          <w:color w:val="000000"/>
          <w:sz w:val="44"/>
          <w:szCs w:val="44"/>
        </w:rPr>
        <w:t>Evidence Authority, Claim Admissibility, and Bounded Computational Projection</w:t>
      </w:r>
    </w:p>
    <w:p w14:paraId="663D1478" w14:textId="4B187AA5" w:rsidR="00002650" w:rsidRPr="00DD60C8" w:rsidRDefault="002A5935" w:rsidP="00DD60C8">
      <w:pPr>
        <w:spacing w:after="560"/>
        <w:rPr>
          <w:rFonts w:cstheme="minorHAnsi"/>
          <w:sz w:val="44"/>
          <w:szCs w:val="44"/>
        </w:rPr>
      </w:pPr>
      <w:r w:rsidRPr="00715E52">
        <w:t>SubstrateX</w:t>
      </w:r>
      <w:r w:rsidRPr="00715E52">
        <w:rPr>
          <w:color w:val="D9D9D9" w:themeColor="background1" w:themeShade="D9"/>
        </w:rPr>
        <w:t>®</w:t>
      </w:r>
      <w:r w:rsidRPr="00715E52">
        <w:t xml:space="preserve"> Longitudinal Computational Dynamics Series · </w:t>
      </w:r>
      <w:r w:rsidRPr="00715E52">
        <w:br/>
      </w:r>
      <w:r w:rsidRPr="00715E52">
        <w:t>Paper</w:t>
      </w:r>
      <w:r w:rsidR="00002650">
        <w:t xml:space="preserve"> 4</w:t>
      </w:r>
      <w:r w:rsidRPr="00715E52">
        <w:t xml:space="preserve"> · Version 1.0 · October 2026</w:t>
      </w:r>
    </w:p>
    <w:p w14:paraId="64023446" w14:textId="50473275" w:rsidR="00016C74" w:rsidRPr="00002650" w:rsidRDefault="00016C74" w:rsidP="00002650">
      <w:pPr>
        <w:spacing w:after="0"/>
        <w:rPr>
          <w:rFonts w:cstheme="majorBidi"/>
          <w:sz w:val="44"/>
          <w:szCs w:val="44"/>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Default="00220D48" w:rsidP="00002650">
      <w:pPr>
        <w:spacing w:after="0"/>
        <w:rPr>
          <w:rFonts w:cstheme="minorHAnsi"/>
          <w:i/>
          <w:iCs/>
          <w:color w:val="D9D9D9" w:themeColor="background1" w:themeShade="D9"/>
        </w:rPr>
      </w:pPr>
    </w:p>
    <w:p w14:paraId="6B7D167D" w14:textId="77777777" w:rsidR="00002650" w:rsidRPr="00715E52" w:rsidRDefault="00002650" w:rsidP="00002650">
      <w:pPr>
        <w:spacing w:after="0"/>
        <w:rPr>
          <w:rFonts w:cstheme="minorHAnsi"/>
          <w:i/>
          <w:iCs/>
          <w:color w:val="D9D9D9" w:themeColor="background1" w:themeShade="D9"/>
        </w:rPr>
      </w:pPr>
    </w:p>
    <w:p w14:paraId="10118919" w14:textId="3FBDDD0B" w:rsidR="00FF3B22" w:rsidRPr="00715E52" w:rsidRDefault="00220D48" w:rsidP="00002650">
      <w:pPr>
        <w:spacing w:after="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3AC38DFC" w14:textId="65E3EBF8" w:rsidR="00080427" w:rsidRDefault="002A5935" w:rsidP="00002650">
      <w:pPr>
        <w:spacing w:after="0"/>
        <w:rPr>
          <w:rFonts w:eastAsiaTheme="majorEastAsia" w:cstheme="minorHAnsi"/>
          <w:b/>
          <w:bCs/>
          <w:color w:val="4F46E5"/>
          <w:sz w:val="28"/>
          <w:szCs w:val="28"/>
        </w:rPr>
      </w:pPr>
      <w:r w:rsidRPr="00715E52">
        <w:rPr>
          <w:rFonts w:cstheme="minorHAnsi"/>
        </w:rPr>
        <w:t>© 2026 Arjay Asadi. All Rights Reserved.</w:t>
      </w:r>
      <w:r w:rsidRPr="00715E52">
        <w:rPr>
          <w:rFonts w:cstheme="minorHAnsi"/>
        </w:rPr>
        <w:br/>
        <w:t>Research Access: Non-Commercial Research &amp; Intellectual Exchange Only.</w:t>
      </w:r>
      <w:r w:rsidR="00080427">
        <w:rPr>
          <w:rFonts w:cstheme="minorHAnsi"/>
          <w:b/>
          <w:bCs/>
          <w:color w:val="4F46E5"/>
          <w:sz w:val="28"/>
          <w:szCs w:val="28"/>
        </w:rPr>
        <w:br w:type="page"/>
      </w:r>
    </w:p>
    <w:p w14:paraId="687A8B8B" w14:textId="7E052B69" w:rsidR="00DD60C8" w:rsidRDefault="00CD05AC" w:rsidP="000B6C24">
      <w:pPr>
        <w:pStyle w:val="Heading1"/>
        <w:spacing w:after="100"/>
        <w:rPr>
          <w:rFonts w:asciiTheme="minorHAnsi" w:hAnsiTheme="minorHAnsi" w:cstheme="minorHAnsi"/>
          <w:b/>
          <w:bCs/>
          <w:color w:val="4F46E5"/>
          <w:sz w:val="28"/>
          <w:szCs w:val="28"/>
        </w:rPr>
      </w:pPr>
      <w:r w:rsidRPr="00002650">
        <w:rPr>
          <w:rFonts w:asciiTheme="minorHAnsi" w:hAnsiTheme="minorHAnsi" w:cstheme="minorHAnsi"/>
          <w:b/>
          <w:bCs/>
          <w:color w:val="4F46E5"/>
          <w:sz w:val="28"/>
          <w:szCs w:val="28"/>
        </w:rPr>
        <w:lastRenderedPageBreak/>
        <w:t>Table of Content</w:t>
      </w:r>
      <w:bookmarkStart w:id="2" w:name="_Toc215992921"/>
      <w:bookmarkStart w:id="3" w:name="_Toc216168537"/>
      <w:bookmarkStart w:id="4" w:name="_Toc217392331"/>
      <w:bookmarkStart w:id="5" w:name="_Toc220585161"/>
    </w:p>
    <w:p w14:paraId="275F65C4" w14:textId="77777777" w:rsidR="00DD60C8" w:rsidRPr="00DD60C8" w:rsidRDefault="00DD60C8">
      <w:pPr>
        <w:rPr>
          <w:rFonts w:eastAsiaTheme="majorEastAsia" w:cstheme="minorHAnsi"/>
          <w:b/>
          <w:bCs/>
          <w:color w:val="4F46E5"/>
          <w:sz w:val="28"/>
          <w:szCs w:val="28"/>
        </w:rPr>
      </w:pPr>
      <w:r>
        <w:rPr>
          <w:rFonts w:cstheme="minorHAnsi"/>
          <w:b/>
          <w:bCs/>
          <w:color w:val="4F46E5"/>
          <w:sz w:val="28"/>
          <w:szCs w:val="28"/>
        </w:rPr>
        <w:br w:type="page"/>
      </w:r>
    </w:p>
    <w:p w14:paraId="295BBC21" w14:textId="77777777" w:rsidR="00DD60C8" w:rsidRPr="00DD60C8" w:rsidRDefault="00DD60C8" w:rsidP="00DD60C8">
      <w:pPr>
        <w:pStyle w:val="Heading2"/>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Abstract</w:t>
      </w:r>
    </w:p>
    <w:p w14:paraId="3F4D18BA" w14:textId="77777777" w:rsidR="00DD60C8" w:rsidRDefault="00DD60C8" w:rsidP="00DD60C8">
      <w:pPr>
        <w:keepLines/>
        <w:spacing w:after="94"/>
      </w:pPr>
      <w:r>
        <w:rPr>
          <w:rFonts w:ascii="Times New Roman" w:eastAsia="Times New Roman" w:hAnsi="Times New Roman"/>
          <w:color w:val="000000"/>
          <w:sz w:val="20"/>
        </w:rPr>
        <w:t>Computational systems increasingly transform records into consequential outputs: measurements, classifications, dashboards, explanations, recommendations, alerts, and preserved artifacts. Provenance can describe where data came from; reproducible computation can show that a result can be generated again; cryptographic integrity can reveal whether an artifact changed; and review procedures can support oversight. None of these properties, individually, determines whether a system was entitled to make a particular claim, whether a visualization broadened the claim beyond its evidence, or whether an exported report preserved the same authority as the computation from which it was produced.</w:t>
      </w:r>
    </w:p>
    <w:p w14:paraId="0BBA7024" w14:textId="77777777" w:rsidR="00DD60C8" w:rsidRDefault="00DD60C8" w:rsidP="00DD60C8">
      <w:pPr>
        <w:spacing w:after="94"/>
      </w:pPr>
      <w:r>
        <w:rPr>
          <w:rFonts w:ascii="Times New Roman" w:eastAsia="Times New Roman" w:hAnsi="Times New Roman"/>
          <w:color w:val="000000"/>
          <w:sz w:val="20"/>
        </w:rPr>
        <w:t xml:space="preserve">This paper establishes </w:t>
      </w:r>
      <w:r>
        <w:rPr>
          <w:rFonts w:ascii="Times New Roman" w:eastAsia="Times New Roman" w:hAnsi="Times New Roman"/>
          <w:b/>
          <w:color w:val="000000"/>
          <w:sz w:val="20"/>
        </w:rPr>
        <w:t>Evidence-Governed Computation (EGC)</w:t>
      </w:r>
      <w:r>
        <w:rPr>
          <w:rFonts w:ascii="Times New Roman" w:eastAsia="Times New Roman" w:hAnsi="Times New Roman"/>
          <w:color w:val="000000"/>
          <w:sz w:val="20"/>
        </w:rPr>
        <w:t xml:space="preserve"> as a general computational discipline in which evidence constrains the claims and actions of the system that operates upon it. EGC treats evidence authority, claim admissibility, method identity, bounded projection, surface binding, missingness, revision, and preservation as executable architectural properties rather than editorial intentions. An evidence-governed system does not permit an instrument, interface, generated narrative, or export to create authority locally. Every authoritative output resolves to an identified evidence object, a declared computation contract, a typed claim, and an inspectable derivation path. Unsupported, unavailable, conditional, disputed, and superseded states remain first-class outcomes.</w:t>
      </w:r>
    </w:p>
    <w:p w14:paraId="0A6CBD05" w14:textId="77777777" w:rsidR="00DD60C8" w:rsidRDefault="00DD60C8" w:rsidP="00DD60C8">
      <w:pPr>
        <w:spacing w:after="94"/>
      </w:pPr>
      <w:r>
        <w:rPr>
          <w:rFonts w:ascii="Times New Roman" w:eastAsia="Times New Roman" w:hAnsi="Times New Roman"/>
          <w:color w:val="000000"/>
          <w:sz w:val="20"/>
        </w:rPr>
        <w:t xml:space="preserve">The paper contributes a formal system model; a typed claim and admissibility relation; computation, instrument, and projection contracts; the principles of authority non-creation, bounded projection, surface binding, and egress closure; an export and preservation model; a challenge-and-revision protocol; twelve architectural invariants; and a conformance and validation program. It distinguishes procedural authority from truth, deterministic recomputation from scientific validity, provenance from authenticity and completeness, and evidence support from execution authority. The </w:t>
      </w:r>
      <w:r>
        <w:rPr>
          <w:rFonts w:ascii="Times New Roman" w:eastAsia="Times New Roman" w:hAnsi="Times New Roman"/>
          <w:b/>
          <w:color w:val="000000"/>
          <w:sz w:val="20"/>
        </w:rPr>
        <w:t>Evidence-Governed Computation Reference Architecture</w:t>
      </w:r>
      <w:r>
        <w:rPr>
          <w:rFonts w:ascii="Times New Roman" w:eastAsia="Times New Roman" w:hAnsi="Times New Roman"/>
          <w:color w:val="000000"/>
          <w:sz w:val="20"/>
        </w:rPr>
        <w:t xml:space="preserve"> presents an implementation-neutral structure for these requirements. </w:t>
      </w:r>
      <w:r>
        <w:rPr>
          <w:rFonts w:ascii="Times New Roman" w:eastAsia="Times New Roman" w:hAnsi="Times New Roman"/>
          <w:b/>
          <w:color w:val="000000"/>
          <w:sz w:val="20"/>
        </w:rPr>
        <w:t>SubstrateX Aperture™</w:t>
      </w:r>
      <w:r>
        <w:rPr>
          <w:rFonts w:ascii="Times New Roman" w:eastAsia="Times New Roman" w:hAnsi="Times New Roman"/>
          <w:color w:val="000000"/>
          <w:sz w:val="20"/>
        </w:rPr>
        <w:t xml:space="preserve"> is examined as the integrated reference implementation for longitudinal runtime evidence.</w:t>
      </w:r>
    </w:p>
    <w:p w14:paraId="089C152D" w14:textId="77777777" w:rsidR="00DD60C8" w:rsidRDefault="00DD60C8" w:rsidP="00DD60C8">
      <w:pPr>
        <w:spacing w:after="94"/>
      </w:pPr>
      <w:r>
        <w:rPr>
          <w:rFonts w:ascii="Times New Roman" w:eastAsia="Times New Roman" w:hAnsi="Times New Roman"/>
          <w:color w:val="000000"/>
          <w:sz w:val="20"/>
        </w:rPr>
        <w:t>The revised architecture distinguishes the Current Evidence Run, Runtime Evidence Record, Certified Runtime Evidence Record, Runtime Evidence Passport, Evidence Seal, and preservation artifact. It also incorporates the bounded validation status reported in Paper II: under declared controlled conditions, the same qualified source and governing versions reproduced the same core evidence record, and selected longitudinal measurements distinguished specified transition cases from stable and negative controls better than declared simple baselines. These findings do not establish universal validity, independent replication, production prediction, causal explanation, or cross-domain generalization.</w:t>
      </w:r>
    </w:p>
    <w:p w14:paraId="66E52734" w14:textId="77777777" w:rsidR="00DD60C8" w:rsidRDefault="00DD60C8" w:rsidP="00DD60C8">
      <w:pPr>
        <w:spacing w:after="94"/>
      </w:pPr>
      <w:r>
        <w:rPr>
          <w:rFonts w:ascii="Times New Roman" w:eastAsia="Times New Roman" w:hAnsi="Times New Roman"/>
          <w:color w:val="000000"/>
          <w:sz w:val="20"/>
        </w:rPr>
        <w:t>The central proposition is constitutional: a computational result becomes authoritative not because it is displayed, repeated, signed, or produced by an advanced model, but because the system can demonstrate the evidence, method, scope, boundary, and lineage under which the result is admissible.</w:t>
      </w:r>
    </w:p>
    <w:p w14:paraId="001DD727" w14:textId="77777777" w:rsidR="00DD60C8" w:rsidRDefault="00DD60C8" w:rsidP="00DD60C8">
      <w:pPr>
        <w:spacing w:after="94"/>
      </w:pPr>
      <w:r>
        <w:rPr>
          <w:rFonts w:ascii="Times New Roman" w:eastAsia="Times New Roman" w:hAnsi="Times New Roman"/>
          <w:b/>
          <w:color w:val="000000"/>
          <w:sz w:val="20"/>
        </w:rPr>
        <w:t>Keywords:</w:t>
      </w:r>
      <w:r>
        <w:rPr>
          <w:rFonts w:ascii="Times New Roman" w:eastAsia="Times New Roman" w:hAnsi="Times New Roman"/>
          <w:color w:val="000000"/>
          <w:sz w:val="20"/>
        </w:rPr>
        <w:t xml:space="preserve"> </w:t>
      </w:r>
      <w:r>
        <w:rPr>
          <w:rFonts w:ascii="Times New Roman" w:eastAsia="Times New Roman" w:hAnsi="Times New Roman"/>
          <w:i/>
          <w:color w:val="000000"/>
          <w:sz w:val="20"/>
        </w:rPr>
        <w:t>Evidence-Governed Computation; evidence authority; claim admissibility; bounded projection; provenance; surface binding; computational accountability; Runtime Evidence; Longitudinal Computational Dynamics; SubstrateX Aperture</w:t>
      </w:r>
    </w:p>
    <w:p w14:paraId="13D39DCE" w14:textId="77777777" w:rsidR="00DD60C8" w:rsidRPr="00DD60C8" w:rsidRDefault="00DD60C8" w:rsidP="00DD60C8">
      <w:pPr>
        <w:pStyle w:val="Heading2"/>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Research Status and Scope</w:t>
      </w:r>
    </w:p>
    <w:p w14:paraId="3859A8E0" w14:textId="77777777" w:rsidR="00DD60C8" w:rsidRDefault="00DD60C8" w:rsidP="00DD60C8">
      <w:pPr>
        <w:keepLines/>
        <w:spacing w:after="94"/>
      </w:pPr>
      <w:r>
        <w:rPr>
          <w:rFonts w:ascii="Times New Roman" w:eastAsia="Times New Roman" w:hAnsi="Times New Roman"/>
          <w:color w:val="000000"/>
          <w:sz w:val="20"/>
        </w:rPr>
        <w:t>This manuscript is Paper VI in the Longitudinal Computational Dynamics publication series and the current formal statement of Evidence-Governed Computation. It is a foundational and normative paper. The theory is implementation-independent; SubstrateX Aperture provides the principal reference architecture through which the discipline has been operationalized. Detailed implementation methods remain documented in Paper III rather than repeated here.</w:t>
      </w:r>
    </w:p>
    <w:p w14:paraId="62B074B1" w14:textId="77777777" w:rsidR="00DD60C8" w:rsidRDefault="00DD60C8" w:rsidP="00DD60C8">
      <w:pPr>
        <w:spacing w:after="94"/>
      </w:pPr>
      <w:r>
        <w:rPr>
          <w:rFonts w:ascii="Times New Roman" w:eastAsia="Times New Roman" w:hAnsi="Times New Roman"/>
          <w:color w:val="000000"/>
          <w:sz w:val="20"/>
        </w:rPr>
        <w:t xml:space="preserve">The scientific hierarchy is now explicit. </w:t>
      </w:r>
      <w:r>
        <w:rPr>
          <w:rFonts w:ascii="Times New Roman" w:eastAsia="Times New Roman" w:hAnsi="Times New Roman"/>
          <w:b/>
          <w:color w:val="000000"/>
          <w:sz w:val="20"/>
        </w:rPr>
        <w:t>Intelligence in Motion™</w:t>
      </w:r>
      <w:r>
        <w:rPr>
          <w:rFonts w:ascii="Times New Roman" w:eastAsia="Times New Roman" w:hAnsi="Times New Roman"/>
          <w:color w:val="000000"/>
          <w:sz w:val="20"/>
        </w:rPr>
        <w:t xml:space="preserve"> is the governing scientific idea. </w:t>
      </w:r>
      <w:r>
        <w:rPr>
          <w:rFonts w:ascii="Times New Roman" w:eastAsia="Times New Roman" w:hAnsi="Times New Roman"/>
          <w:b/>
          <w:color w:val="000000"/>
          <w:sz w:val="20"/>
        </w:rPr>
        <w:t>Longitudinal Computational Dynamics</w:t>
      </w:r>
      <w:r>
        <w:rPr>
          <w:rFonts w:ascii="Times New Roman" w:eastAsia="Times New Roman" w:hAnsi="Times New Roman"/>
          <w:color w:val="000000"/>
          <w:sz w:val="20"/>
        </w:rPr>
        <w:t xml:space="preserve"> is the scientific field. </w:t>
      </w:r>
      <w:r>
        <w:rPr>
          <w:rFonts w:ascii="Times New Roman" w:eastAsia="Times New Roman" w:hAnsi="Times New Roman"/>
          <w:b/>
          <w:color w:val="000000"/>
          <w:sz w:val="20"/>
        </w:rPr>
        <w:t>Longitudinal Computational Behavior</w:t>
      </w:r>
      <w:r>
        <w:rPr>
          <w:rFonts w:ascii="Times New Roman" w:eastAsia="Times New Roman" w:hAnsi="Times New Roman"/>
          <w:color w:val="000000"/>
          <w:sz w:val="20"/>
        </w:rPr>
        <w:t xml:space="preserve"> is its empirical object. </w:t>
      </w:r>
      <w:r>
        <w:rPr>
          <w:rFonts w:ascii="Times New Roman" w:eastAsia="Times New Roman" w:hAnsi="Times New Roman"/>
          <w:b/>
          <w:color w:val="000000"/>
          <w:sz w:val="20"/>
        </w:rPr>
        <w:t>Runtime Evidence</w:t>
      </w:r>
      <w:r>
        <w:rPr>
          <w:rFonts w:ascii="Times New Roman" w:eastAsia="Times New Roman" w:hAnsi="Times New Roman"/>
          <w:color w:val="000000"/>
          <w:sz w:val="20"/>
        </w:rPr>
        <w:t xml:space="preserve"> is the source-bound evidentiary object through which that behavior can be reconstructed. </w:t>
      </w:r>
      <w:r>
        <w:rPr>
          <w:rFonts w:ascii="Times New Roman" w:eastAsia="Times New Roman" w:hAnsi="Times New Roman"/>
          <w:b/>
          <w:color w:val="000000"/>
          <w:sz w:val="20"/>
        </w:rPr>
        <w:t>Evidence-Governed Computation™</w:t>
      </w:r>
      <w:r>
        <w:rPr>
          <w:rFonts w:ascii="Times New Roman" w:eastAsia="Times New Roman" w:hAnsi="Times New Roman"/>
          <w:color w:val="000000"/>
          <w:sz w:val="20"/>
        </w:rPr>
        <w:t xml:space="preserve"> is the architectural discipline that limits computational claims to the authority of their supporting evidence. </w:t>
      </w:r>
      <w:r>
        <w:rPr>
          <w:rFonts w:ascii="Times New Roman" w:eastAsia="Times New Roman" w:hAnsi="Times New Roman"/>
          <w:b/>
          <w:color w:val="000000"/>
          <w:sz w:val="20"/>
        </w:rPr>
        <w:t>SubstrateX Aperture™</w:t>
      </w:r>
      <w:r>
        <w:rPr>
          <w:rFonts w:ascii="Times New Roman" w:eastAsia="Times New Roman" w:hAnsi="Times New Roman"/>
          <w:color w:val="000000"/>
          <w:sz w:val="20"/>
        </w:rPr>
        <w:t xml:space="preserve"> is the implemented observatory and reference architecture.</w:t>
      </w:r>
    </w:p>
    <w:p w14:paraId="26799C1E" w14:textId="77777777" w:rsidR="00DD60C8" w:rsidRDefault="00DD60C8" w:rsidP="00DD60C8">
      <w:pPr>
        <w:spacing w:after="94"/>
      </w:pPr>
      <w:r>
        <w:rPr>
          <w:rFonts w:ascii="Times New Roman" w:eastAsia="Times New Roman" w:hAnsi="Times New Roman"/>
          <w:color w:val="000000"/>
          <w:sz w:val="20"/>
        </w:rPr>
        <w:t xml:space="preserve">The paper does not claim invention of evidence, provenance, audit trails, policy enforcement, assurance cases, information-flow control, runtime verification, digital signatures, or reproducible computation. Each has an established literature and technical lineage. Nor does it claim that the phrase </w:t>
      </w:r>
      <w:r>
        <w:rPr>
          <w:rFonts w:ascii="Times New Roman" w:eastAsia="Times New Roman" w:hAnsi="Times New Roman"/>
          <w:i/>
          <w:color w:val="000000"/>
          <w:sz w:val="20"/>
        </w:rPr>
        <w:t>evidence-governed</w:t>
      </w:r>
      <w:r>
        <w:rPr>
          <w:rFonts w:ascii="Times New Roman" w:eastAsia="Times New Roman" w:hAnsi="Times New Roman"/>
          <w:color w:val="000000"/>
          <w:sz w:val="20"/>
        </w:rPr>
        <w:t xml:space="preserve"> can belong exclusively to one field. The contribution is narrower and testable: the integration of an identified evidence authority, typed claim admissibility, declared method contracts, bounded computational projections, surface-level authority binding, egress-wide enforcement, challengeable lineage, and preservation within one externally inspectable computational architecture.</w:t>
      </w:r>
    </w:p>
    <w:p w14:paraId="2267015E" w14:textId="77777777" w:rsidR="00DD60C8" w:rsidRDefault="00DD60C8" w:rsidP="00DD60C8">
      <w:pPr>
        <w:spacing w:after="94"/>
      </w:pPr>
      <w:r>
        <w:rPr>
          <w:rFonts w:ascii="Times New Roman" w:eastAsia="Times New Roman" w:hAnsi="Times New Roman"/>
          <w:color w:val="000000"/>
          <w:sz w:val="20"/>
        </w:rPr>
        <w:t>Evidence authority is not truth. A system may faithfully preserve false source statements, incomplete observations, biased measurements, or an invalid scientific construct. Evidence governance can expose those dependencies and prevent the system from silently asserting more than its materials and rules permit. Architecture alone cannot guarantee that the world was correctly observed, that a metric measures its intended construct, or that an institution will use the result responsibly.</w:t>
      </w:r>
    </w:p>
    <w:p w14:paraId="64AC3E26" w14:textId="77777777" w:rsidR="00DD60C8" w:rsidRDefault="00DD60C8" w:rsidP="00DD60C8">
      <w:pPr>
        <w:spacing w:after="94"/>
      </w:pPr>
      <w:r>
        <w:rPr>
          <w:rFonts w:ascii="Times New Roman" w:eastAsia="Times New Roman" w:hAnsi="Times New Roman"/>
          <w:color w:val="000000"/>
          <w:sz w:val="20"/>
        </w:rPr>
        <w:t xml:space="preserve">The term </w:t>
      </w:r>
      <w:r>
        <w:rPr>
          <w:rFonts w:ascii="Times New Roman" w:eastAsia="Times New Roman" w:hAnsi="Times New Roman"/>
          <w:b/>
          <w:color w:val="000000"/>
          <w:sz w:val="20"/>
        </w:rPr>
        <w:t>authoritative output</w:t>
      </w:r>
      <w:r>
        <w:rPr>
          <w:rFonts w:ascii="Times New Roman" w:eastAsia="Times New Roman" w:hAnsi="Times New Roman"/>
          <w:color w:val="000000"/>
          <w:sz w:val="20"/>
        </w:rPr>
        <w:t xml:space="preserve"> has a deliberately limited meaning: an output that the system presents as supported under a stated evidence and computation contract. It does not mean legally binding, institutionally certified, scientifically true, or morally legitimate unless those additional authorities are separately established.</w:t>
      </w:r>
    </w:p>
    <w:p w14:paraId="3ED93130" w14:textId="77777777" w:rsidR="00DD60C8" w:rsidRDefault="00DD60C8" w:rsidP="00DD60C8">
      <w:pPr>
        <w:spacing w:after="94"/>
      </w:pPr>
      <w:r>
        <w:rPr>
          <w:rFonts w:ascii="Times New Roman" w:eastAsia="Times New Roman" w:hAnsi="Times New Roman"/>
          <w:color w:val="000000"/>
          <w:sz w:val="20"/>
        </w:rPr>
        <w:t>The validation status is also bounded. Paper II reports two propositions as confirmed within the declared controlled Aperture program: deterministic reproduction of the core evidence record under fixed qualified source and governing versions, and discrimination of specified transition cases from stable and negative controls by selected longitudinal measurements relative to declared simple baselines. The public record does not yet establish universal construct validity, independent replication, production predictive performance, causal explanation, or unrestricted transfer across source families.</w:t>
      </w:r>
    </w:p>
    <w:p w14:paraId="2D40E22B" w14:textId="77777777" w:rsidR="00DD60C8" w:rsidRPr="00DD60C8" w:rsidRDefault="00DD60C8" w:rsidP="00DD60C8">
      <w:pPr>
        <w:pStyle w:val="Heading2"/>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Version 2.0 Release Note</w:t>
      </w:r>
    </w:p>
    <w:p w14:paraId="2D315C65" w14:textId="77777777" w:rsidR="00DD60C8" w:rsidRDefault="00DD60C8" w:rsidP="00DD60C8">
      <w:pPr>
        <w:keepLines/>
        <w:spacing w:after="94"/>
      </w:pPr>
      <w:r>
        <w:rPr>
          <w:rFonts w:ascii="Times New Roman" w:eastAsia="Times New Roman" w:hAnsi="Times New Roman"/>
          <w:color w:val="000000"/>
          <w:sz w:val="20"/>
        </w:rPr>
        <w:t>Version 2.0 supersedes Version 1.0 as the current edition while preserving Version 1.0 as a historical publication. This revision updates the scientific hierarchy; replaces Fieldglass with SubstrateX Aperture as the reference implementation; distinguishes the 25-entry active runtime registry from the 28-contract research-facing architecture; aligns the evidence lifecycle, Passport, Evidence Seal, conformance, validation, and preservation terminology; incorporates the Papers I through III publication sequence; and retains the original EGC theory and normative architecture.</w:t>
      </w:r>
    </w:p>
    <w:p w14:paraId="59B26130" w14:textId="77777777" w:rsidR="00DD60C8" w:rsidRPr="00DD60C8" w:rsidRDefault="00DD60C8" w:rsidP="00DD60C8">
      <w:pPr>
        <w:pStyle w:val="Heading2"/>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Contributions</w:t>
      </w:r>
    </w:p>
    <w:p w14:paraId="2B4747C1" w14:textId="77777777" w:rsidR="00DD60C8" w:rsidRDefault="00DD60C8" w:rsidP="00DD60C8">
      <w:pPr>
        <w:keepLines/>
        <w:spacing w:after="94"/>
      </w:pPr>
      <w:r>
        <w:rPr>
          <w:rFonts w:ascii="Times New Roman" w:eastAsia="Times New Roman" w:hAnsi="Times New Roman"/>
          <w:color w:val="000000"/>
          <w:sz w:val="20"/>
        </w:rPr>
        <w:t>This paper makes nine principal contributions:</w:t>
      </w:r>
    </w:p>
    <w:p w14:paraId="68987E5E" w14:textId="77777777" w:rsidR="00DD60C8" w:rsidRDefault="00DD60C8" w:rsidP="00DD60C8">
      <w:pPr>
        <w:spacing w:after="60"/>
        <w:ind w:left="432" w:right="230" w:hanging="173"/>
      </w:pPr>
      <w:r>
        <w:rPr>
          <w:rFonts w:ascii="Times New Roman" w:eastAsia="Times New Roman" w:hAnsi="Times New Roman"/>
          <w:b/>
          <w:color w:val="000000"/>
          <w:sz w:val="19"/>
        </w:rPr>
        <w:t>1.</w:t>
      </w:r>
      <w:r>
        <w:rPr>
          <w:rFonts w:ascii="Times New Roman" w:eastAsia="Times New Roman" w:hAnsi="Times New Roman"/>
          <w:color w:val="000000"/>
          <w:sz w:val="19"/>
        </w:rPr>
        <w:t xml:space="preserve"> It defines Evidence-Governed Computation as a general discipline rather than a feature of a particular product or evidence domain.</w:t>
      </w:r>
    </w:p>
    <w:p w14:paraId="3D34D263" w14:textId="77777777" w:rsidR="00DD60C8" w:rsidRDefault="00DD60C8" w:rsidP="00DD60C8">
      <w:pPr>
        <w:spacing w:after="60"/>
        <w:ind w:left="432" w:right="230" w:hanging="173"/>
      </w:pPr>
      <w:r>
        <w:rPr>
          <w:rFonts w:ascii="Times New Roman" w:eastAsia="Times New Roman" w:hAnsi="Times New Roman"/>
          <w:b/>
          <w:color w:val="000000"/>
          <w:sz w:val="19"/>
        </w:rPr>
        <w:t>2.</w:t>
      </w:r>
      <w:r>
        <w:rPr>
          <w:rFonts w:ascii="Times New Roman" w:eastAsia="Times New Roman" w:hAnsi="Times New Roman"/>
          <w:color w:val="000000"/>
          <w:sz w:val="19"/>
        </w:rPr>
        <w:t xml:space="preserve"> It specifies evidence authority as scoped computational permission, not as truth, and separates source authority, method authority, claim authority, presentation authority, recommendation authority, and preservation authority.</w:t>
      </w:r>
    </w:p>
    <w:p w14:paraId="2E77EB92" w14:textId="77777777" w:rsidR="00DD60C8" w:rsidRDefault="00DD60C8" w:rsidP="00DD60C8">
      <w:pPr>
        <w:spacing w:after="60"/>
        <w:ind w:left="432" w:right="230" w:hanging="173"/>
      </w:pPr>
      <w:r>
        <w:rPr>
          <w:rFonts w:ascii="Times New Roman" w:eastAsia="Times New Roman" w:hAnsi="Times New Roman"/>
          <w:b/>
          <w:color w:val="000000"/>
          <w:sz w:val="19"/>
        </w:rPr>
        <w:t>3.</w:t>
      </w:r>
      <w:r>
        <w:rPr>
          <w:rFonts w:ascii="Times New Roman" w:eastAsia="Times New Roman" w:hAnsi="Times New Roman"/>
          <w:color w:val="000000"/>
          <w:sz w:val="19"/>
        </w:rPr>
        <w:t xml:space="preserve"> It introduces a typed claim object and an admissibility relation that make scope, assumptions, uncertainty, limitations, status, and derivation executable.</w:t>
      </w:r>
    </w:p>
    <w:p w14:paraId="4994FE14" w14:textId="77777777" w:rsidR="00DD60C8" w:rsidRDefault="00DD60C8" w:rsidP="00DD60C8">
      <w:pPr>
        <w:spacing w:after="60"/>
        <w:ind w:left="432" w:right="230" w:hanging="173"/>
      </w:pPr>
      <w:r>
        <w:rPr>
          <w:rFonts w:ascii="Times New Roman" w:eastAsia="Times New Roman" w:hAnsi="Times New Roman"/>
          <w:b/>
          <w:color w:val="000000"/>
          <w:sz w:val="19"/>
        </w:rPr>
        <w:t>4.</w:t>
      </w:r>
      <w:r>
        <w:rPr>
          <w:rFonts w:ascii="Times New Roman" w:eastAsia="Times New Roman" w:hAnsi="Times New Roman"/>
          <w:color w:val="000000"/>
          <w:sz w:val="19"/>
        </w:rPr>
        <w:t xml:space="preserve"> It generalizes metric governance into a </w:t>
      </w:r>
      <w:r>
        <w:rPr>
          <w:rFonts w:ascii="Times New Roman" w:eastAsia="Times New Roman" w:hAnsi="Times New Roman"/>
          <w:b/>
          <w:color w:val="000000"/>
          <w:sz w:val="19"/>
        </w:rPr>
        <w:t>Claim Legitimacy Registry</w:t>
      </w:r>
      <w:r>
        <w:rPr>
          <w:rFonts w:ascii="Times New Roman" w:eastAsia="Times New Roman" w:hAnsi="Times New Roman"/>
          <w:color w:val="000000"/>
          <w:sz w:val="19"/>
        </w:rPr>
        <w:t xml:space="preserve"> governing measurements, classifications, interpretations, explanations, recommendations, and exports.</w:t>
      </w:r>
    </w:p>
    <w:p w14:paraId="73E42E63" w14:textId="77777777" w:rsidR="00DD60C8" w:rsidRDefault="00DD60C8" w:rsidP="00DD60C8">
      <w:pPr>
        <w:spacing w:after="60"/>
        <w:ind w:left="432" w:right="230" w:hanging="173"/>
      </w:pPr>
      <w:r>
        <w:rPr>
          <w:rFonts w:ascii="Times New Roman" w:eastAsia="Times New Roman" w:hAnsi="Times New Roman"/>
          <w:b/>
          <w:color w:val="000000"/>
          <w:sz w:val="19"/>
        </w:rPr>
        <w:t>5.</w:t>
      </w:r>
      <w:r>
        <w:rPr>
          <w:rFonts w:ascii="Times New Roman" w:eastAsia="Times New Roman" w:hAnsi="Times New Roman"/>
          <w:color w:val="000000"/>
          <w:sz w:val="19"/>
        </w:rPr>
        <w:t xml:space="preserve"> It defines instrument contracts and bounded projections so analytical surfaces may expose or translate authorized claims without manufacturing new authority.</w:t>
      </w:r>
    </w:p>
    <w:p w14:paraId="13D4861A" w14:textId="77777777" w:rsidR="00DD60C8" w:rsidRDefault="00DD60C8" w:rsidP="00DD60C8">
      <w:pPr>
        <w:spacing w:after="60"/>
        <w:ind w:left="432" w:right="230" w:hanging="173"/>
      </w:pPr>
      <w:r>
        <w:rPr>
          <w:rFonts w:ascii="Times New Roman" w:eastAsia="Times New Roman" w:hAnsi="Times New Roman"/>
          <w:b/>
          <w:color w:val="000000"/>
          <w:sz w:val="19"/>
        </w:rPr>
        <w:t>6.</w:t>
      </w:r>
      <w:r>
        <w:rPr>
          <w:rFonts w:ascii="Times New Roman" w:eastAsia="Times New Roman" w:hAnsi="Times New Roman"/>
          <w:color w:val="000000"/>
          <w:sz w:val="19"/>
        </w:rPr>
        <w:t xml:space="preserve"> It formalizes </w:t>
      </w:r>
      <w:r>
        <w:rPr>
          <w:rFonts w:ascii="Times New Roman" w:eastAsia="Times New Roman" w:hAnsi="Times New Roman"/>
          <w:b/>
          <w:color w:val="000000"/>
          <w:sz w:val="19"/>
        </w:rPr>
        <w:t>surface binding</w:t>
      </w:r>
      <w:r>
        <w:rPr>
          <w:rFonts w:ascii="Times New Roman" w:eastAsia="Times New Roman" w:hAnsi="Times New Roman"/>
          <w:color w:val="000000"/>
          <w:sz w:val="19"/>
        </w:rPr>
        <w:t xml:space="preserve"> and </w:t>
      </w:r>
      <w:r>
        <w:rPr>
          <w:rFonts w:ascii="Times New Roman" w:eastAsia="Times New Roman" w:hAnsi="Times New Roman"/>
          <w:b/>
          <w:color w:val="000000"/>
          <w:sz w:val="19"/>
        </w:rPr>
        <w:t>egress closure</w:t>
      </w:r>
      <w:r>
        <w:rPr>
          <w:rFonts w:ascii="Times New Roman" w:eastAsia="Times New Roman" w:hAnsi="Times New Roman"/>
          <w:color w:val="000000"/>
          <w:sz w:val="19"/>
        </w:rPr>
        <w:t>, requiring every public output channel to resolve to the same evidence and claim authority.</w:t>
      </w:r>
    </w:p>
    <w:p w14:paraId="5B2949EB" w14:textId="77777777" w:rsidR="00DD60C8" w:rsidRDefault="00DD60C8" w:rsidP="00DD60C8">
      <w:pPr>
        <w:spacing w:after="60"/>
        <w:ind w:left="432" w:right="230" w:hanging="173"/>
      </w:pPr>
      <w:r>
        <w:rPr>
          <w:rFonts w:ascii="Times New Roman" w:eastAsia="Times New Roman" w:hAnsi="Times New Roman"/>
          <w:b/>
          <w:color w:val="000000"/>
          <w:sz w:val="19"/>
        </w:rPr>
        <w:t>7.</w:t>
      </w:r>
      <w:r>
        <w:rPr>
          <w:rFonts w:ascii="Times New Roman" w:eastAsia="Times New Roman" w:hAnsi="Times New Roman"/>
          <w:color w:val="000000"/>
          <w:sz w:val="19"/>
        </w:rPr>
        <w:t xml:space="preserve"> It specifies export authority, redaction disclosure, round-trip preservation, challenge, counterevidence, and non-destructive revision.</w:t>
      </w:r>
    </w:p>
    <w:p w14:paraId="5A05983B" w14:textId="77777777" w:rsidR="00DD60C8" w:rsidRDefault="00DD60C8" w:rsidP="00DD60C8">
      <w:pPr>
        <w:spacing w:after="60"/>
        <w:ind w:left="432" w:right="230" w:hanging="173"/>
      </w:pPr>
      <w:r>
        <w:rPr>
          <w:rFonts w:ascii="Times New Roman" w:eastAsia="Times New Roman" w:hAnsi="Times New Roman"/>
          <w:b/>
          <w:color w:val="000000"/>
          <w:sz w:val="19"/>
        </w:rPr>
        <w:t>8.</w:t>
      </w:r>
      <w:r>
        <w:rPr>
          <w:rFonts w:ascii="Times New Roman" w:eastAsia="Times New Roman" w:hAnsi="Times New Roman"/>
          <w:color w:val="000000"/>
          <w:sz w:val="19"/>
        </w:rPr>
        <w:t xml:space="preserve"> It provides twelve architectural invariants and a conformance and validation program that separates evaluation type from implementation surface.</w:t>
      </w:r>
    </w:p>
    <w:p w14:paraId="23AE03CD" w14:textId="77777777" w:rsidR="00DD60C8" w:rsidRDefault="00DD60C8" w:rsidP="00DD60C8">
      <w:pPr>
        <w:spacing w:after="60"/>
        <w:ind w:left="432" w:right="230" w:hanging="173"/>
      </w:pPr>
      <w:r>
        <w:rPr>
          <w:rFonts w:ascii="Times New Roman" w:eastAsia="Times New Roman" w:hAnsi="Times New Roman"/>
          <w:b/>
          <w:color w:val="000000"/>
          <w:sz w:val="19"/>
        </w:rPr>
        <w:t>9.</w:t>
      </w:r>
      <w:r>
        <w:rPr>
          <w:rFonts w:ascii="Times New Roman" w:eastAsia="Times New Roman" w:hAnsi="Times New Roman"/>
          <w:color w:val="000000"/>
          <w:sz w:val="19"/>
        </w:rPr>
        <w:t xml:space="preserve"> It positions EGC between Runtime Evidence and SubstrateX Aperture, defines an implementation-neutral EGC reference architecture, and maps that architecture to the current Aperture evidence lifecycle without making the implementation the definition of the discipline.</w:t>
      </w:r>
    </w:p>
    <w:p w14:paraId="65D48651"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 Introduction</w:t>
      </w:r>
    </w:p>
    <w:p w14:paraId="2531D022" w14:textId="77777777" w:rsidR="00DD60C8" w:rsidRDefault="00DD60C8" w:rsidP="00DD60C8">
      <w:pPr>
        <w:keepLines/>
        <w:spacing w:after="94"/>
      </w:pPr>
      <w:r>
        <w:rPr>
          <w:rFonts w:ascii="Times New Roman" w:eastAsia="Times New Roman" w:hAnsi="Times New Roman"/>
          <w:color w:val="000000"/>
          <w:sz w:val="20"/>
        </w:rPr>
        <w:t>Modern computational systems do more than calculate. They transform heterogeneous records into representations that people and other systems rely upon. A monitoring service assigns severity. A forensic tool identifies a boundary. An AI assistant explains why an incident occurred. A workflow platform recommends an intervention. A report generator exports conclusions for audit or governance. At each stage, a computational surface can appear authoritative even when the basis of its claim is difficult to inspect.</w:t>
      </w:r>
    </w:p>
    <w:p w14:paraId="030A61C0" w14:textId="77777777" w:rsidR="00DD60C8" w:rsidRDefault="00DD60C8" w:rsidP="00DD60C8">
      <w:pPr>
        <w:spacing w:after="94"/>
      </w:pPr>
      <w:r>
        <w:rPr>
          <w:rFonts w:ascii="Times New Roman" w:eastAsia="Times New Roman" w:hAnsi="Times New Roman"/>
          <w:color w:val="000000"/>
          <w:sz w:val="20"/>
        </w:rPr>
        <w:t>The central failure is often not the absence of data. It is the absence of a binding relationship between evidence and assertion. A dashboard may display a value whose source is unclear. Two instruments may assign different labels to the same event because they use independent local thresholds. A generated explanation may introduce causal language absent from the underlying record. An export may preserve screenshots while omitting source spans, method versions, or negative findings. An alert may be issued from mutable interface state rather than the canonical run. In each case, the system produces a result without preserving the complete authority path by which that result became admissible.</w:t>
      </w:r>
    </w:p>
    <w:p w14:paraId="4054BB79" w14:textId="77777777" w:rsidR="00DD60C8" w:rsidRDefault="00DD60C8" w:rsidP="00DD60C8">
      <w:pPr>
        <w:spacing w:after="94"/>
      </w:pPr>
      <w:r>
        <w:rPr>
          <w:rFonts w:ascii="Times New Roman" w:eastAsia="Times New Roman" w:hAnsi="Times New Roman"/>
          <w:color w:val="000000"/>
          <w:sz w:val="20"/>
        </w:rPr>
        <w:t xml:space="preserve">Conventional safeguards address portions of this problem. Data provenance represents derivation. Runtime verification evaluates traces against specified properties. Information-flow control restricts where information may travel. Attestation appraises claims about computing environments. Cryptographic manifests bind assertions to artifacts. Assurance cases connect claims, arguments, and evidence. Reproducible workflows preserve computational procedures. Reviewability asks which records are needed to examine socio-technical decisions. These lineages are necessary, but they do not by themselves impose one rule across every analytical and communicative surface of a computational system: </w:t>
      </w:r>
      <w:r>
        <w:rPr>
          <w:rFonts w:ascii="Times New Roman" w:eastAsia="Times New Roman" w:hAnsi="Times New Roman"/>
          <w:b/>
          <w:color w:val="000000"/>
          <w:sz w:val="20"/>
        </w:rPr>
        <w:t>no authoritative output may exceed the authority of its evidence.</w:t>
      </w:r>
    </w:p>
    <w:p w14:paraId="0DA8D7B2" w14:textId="77777777" w:rsidR="00DD60C8" w:rsidRDefault="00DD60C8" w:rsidP="00DD60C8">
      <w:pPr>
        <w:spacing w:after="94"/>
      </w:pPr>
      <w:r>
        <w:rPr>
          <w:rFonts w:ascii="Times New Roman" w:eastAsia="Times New Roman" w:hAnsi="Times New Roman"/>
          <w:color w:val="000000"/>
          <w:sz w:val="20"/>
        </w:rPr>
        <w:t>Evidence-Governed Computation makes that rule architectural. Evidence is not an attachment consulted after computation. It is a first-class object from which computational authority is derived. Claims are not free-form sentences generated wherever an interface needs copy. They are typed, scoped, status-bearing objects admitted under declared rules. Instruments do not become independent truth authorities. They are bounded projections that read specified evidence fields, apply versioned transformations, and emit only admissible outputs. Exports do not flatten the result into presentation. They preserve the evidence identity, methods, claims, limitations, and lineage needed for later inspection and challenge.</w:t>
      </w:r>
    </w:p>
    <w:p w14:paraId="21677DC4" w14:textId="77777777" w:rsidR="00DD60C8" w:rsidRDefault="00DD60C8" w:rsidP="00DD60C8">
      <w:pPr>
        <w:spacing w:after="94"/>
      </w:pPr>
      <w:r>
        <w:rPr>
          <w:rFonts w:ascii="Times New Roman" w:eastAsia="Times New Roman" w:hAnsi="Times New Roman"/>
          <w:color w:val="000000"/>
          <w:sz w:val="20"/>
        </w:rPr>
        <w:t xml:space="preserve">This changes the role of computation. In ordinary analytical software, computation is principally a transformation from input to output. In an evidence-governed system, it is also an accountable passage from evidence to claim. The system must be able to answer not only </w:t>
      </w:r>
      <w:r>
        <w:rPr>
          <w:rFonts w:ascii="Times New Roman" w:eastAsia="Times New Roman" w:hAnsi="Times New Roman"/>
          <w:i/>
          <w:color w:val="000000"/>
          <w:sz w:val="20"/>
        </w:rPr>
        <w:t>What did you compute?</w:t>
      </w:r>
      <w:r>
        <w:rPr>
          <w:rFonts w:ascii="Times New Roman" w:eastAsia="Times New Roman" w:hAnsi="Times New Roman"/>
          <w:color w:val="000000"/>
          <w:sz w:val="20"/>
        </w:rPr>
        <w:t xml:space="preserve"> but also:</w:t>
      </w:r>
    </w:p>
    <w:p w14:paraId="1A50813A" w14:textId="77777777" w:rsidR="00DD60C8" w:rsidRDefault="00DD60C8" w:rsidP="00DD60C8">
      <w:pPr>
        <w:spacing w:after="60"/>
        <w:ind w:left="432" w:right="230" w:hanging="173"/>
      </w:pPr>
      <w:r>
        <w:rPr>
          <w:rFonts w:ascii="Times New Roman" w:eastAsia="Times New Roman" w:hAnsi="Times New Roman"/>
          <w:color w:val="000000"/>
          <w:sz w:val="19"/>
        </w:rPr>
        <w:t>• Which evidence object authorized this output?</w:t>
      </w:r>
    </w:p>
    <w:p w14:paraId="1D7A4A51" w14:textId="77777777" w:rsidR="00DD60C8" w:rsidRDefault="00DD60C8" w:rsidP="00DD60C8">
      <w:pPr>
        <w:spacing w:after="60"/>
        <w:ind w:left="432" w:right="230" w:hanging="173"/>
      </w:pPr>
      <w:r>
        <w:rPr>
          <w:rFonts w:ascii="Times New Roman" w:eastAsia="Times New Roman" w:hAnsi="Times New Roman"/>
          <w:color w:val="000000"/>
          <w:sz w:val="19"/>
        </w:rPr>
        <w:t>• Which source spans and derived fields does it depend upon?</w:t>
      </w:r>
    </w:p>
    <w:p w14:paraId="7781BA66" w14:textId="77777777" w:rsidR="00DD60C8" w:rsidRDefault="00DD60C8" w:rsidP="00DD60C8">
      <w:pPr>
        <w:spacing w:after="60"/>
        <w:ind w:left="432" w:right="230" w:hanging="173"/>
      </w:pPr>
      <w:r>
        <w:rPr>
          <w:rFonts w:ascii="Times New Roman" w:eastAsia="Times New Roman" w:hAnsi="Times New Roman"/>
          <w:color w:val="000000"/>
          <w:sz w:val="19"/>
        </w:rPr>
        <w:t>• Which method and version produced it?</w:t>
      </w:r>
    </w:p>
    <w:p w14:paraId="46D8C501" w14:textId="77777777" w:rsidR="00DD60C8" w:rsidRDefault="00DD60C8" w:rsidP="00DD60C8">
      <w:pPr>
        <w:spacing w:after="60"/>
        <w:ind w:left="432" w:right="230" w:hanging="173"/>
      </w:pPr>
      <w:r>
        <w:rPr>
          <w:rFonts w:ascii="Times New Roman" w:eastAsia="Times New Roman" w:hAnsi="Times New Roman"/>
          <w:color w:val="000000"/>
          <w:sz w:val="19"/>
        </w:rPr>
        <w:t>• What kind of claim is it?</w:t>
      </w:r>
    </w:p>
    <w:p w14:paraId="050A8B36" w14:textId="77777777" w:rsidR="00DD60C8" w:rsidRDefault="00DD60C8" w:rsidP="00DD60C8">
      <w:pPr>
        <w:spacing w:after="60"/>
        <w:ind w:left="432" w:right="230" w:hanging="173"/>
      </w:pPr>
      <w:r>
        <w:rPr>
          <w:rFonts w:ascii="Times New Roman" w:eastAsia="Times New Roman" w:hAnsi="Times New Roman"/>
          <w:color w:val="000000"/>
          <w:sz w:val="19"/>
        </w:rPr>
        <w:t>• What temporal and operational scope does it cover?</w:t>
      </w:r>
    </w:p>
    <w:p w14:paraId="008B53EA" w14:textId="77777777" w:rsidR="00DD60C8" w:rsidRDefault="00DD60C8" w:rsidP="00DD60C8">
      <w:pPr>
        <w:spacing w:after="60"/>
        <w:ind w:left="432" w:right="230" w:hanging="173"/>
      </w:pPr>
      <w:r>
        <w:rPr>
          <w:rFonts w:ascii="Times New Roman" w:eastAsia="Times New Roman" w:hAnsi="Times New Roman"/>
          <w:color w:val="000000"/>
          <w:sz w:val="19"/>
        </w:rPr>
        <w:t>• Which assumptions and uncertainty conditions apply?</w:t>
      </w:r>
    </w:p>
    <w:p w14:paraId="7C1EDB72" w14:textId="77777777" w:rsidR="00DD60C8" w:rsidRDefault="00DD60C8" w:rsidP="00DD60C8">
      <w:pPr>
        <w:spacing w:after="60"/>
        <w:ind w:left="432" w:right="230" w:hanging="173"/>
      </w:pPr>
      <w:r>
        <w:rPr>
          <w:rFonts w:ascii="Times New Roman" w:eastAsia="Times New Roman" w:hAnsi="Times New Roman"/>
          <w:color w:val="000000"/>
          <w:sz w:val="19"/>
        </w:rPr>
        <w:t>• What stronger claims are prohibited?</w:t>
      </w:r>
    </w:p>
    <w:p w14:paraId="46D5A165" w14:textId="77777777" w:rsidR="00DD60C8" w:rsidRDefault="00DD60C8" w:rsidP="00DD60C8">
      <w:pPr>
        <w:spacing w:after="60"/>
        <w:ind w:left="432" w:right="230" w:hanging="173"/>
      </w:pPr>
      <w:r>
        <w:rPr>
          <w:rFonts w:ascii="Times New Roman" w:eastAsia="Times New Roman" w:hAnsi="Times New Roman"/>
          <w:color w:val="000000"/>
          <w:sz w:val="19"/>
        </w:rPr>
        <w:t>• What happens when required evidence is absent?</w:t>
      </w:r>
    </w:p>
    <w:p w14:paraId="0C9D842C" w14:textId="77777777" w:rsidR="00DD60C8" w:rsidRDefault="00DD60C8" w:rsidP="00DD60C8">
      <w:pPr>
        <w:spacing w:after="60"/>
        <w:ind w:left="432" w:right="230" w:hanging="173"/>
      </w:pPr>
      <w:r>
        <w:rPr>
          <w:rFonts w:ascii="Times New Roman" w:eastAsia="Times New Roman" w:hAnsi="Times New Roman"/>
          <w:color w:val="000000"/>
          <w:sz w:val="19"/>
        </w:rPr>
        <w:t>• Can the result be reproduced, exported, disputed, revised, and preserved without losing those boundaries?</w:t>
      </w:r>
    </w:p>
    <w:p w14:paraId="11E455B8" w14:textId="77777777" w:rsidR="00DD60C8" w:rsidRDefault="00DD60C8" w:rsidP="00DD60C8">
      <w:pPr>
        <w:spacing w:after="94"/>
      </w:pPr>
      <w:r>
        <w:rPr>
          <w:rFonts w:ascii="Times New Roman" w:eastAsia="Times New Roman" w:hAnsi="Times New Roman"/>
          <w:color w:val="000000"/>
          <w:sz w:val="20"/>
        </w:rPr>
        <w:t>These questions are particularly urgent for long-horizon AI and agentic systems, where behavior develops across events, roles, tools, and time. Yet EGC is not restricted to AI. The same constitutional problem appears wherever software converts records into authoritative interpretations: observability, scientific instrumentation, compliance, public administration, safety engineering, incident response, intelligence analysis, and decision support.</w:t>
      </w:r>
    </w:p>
    <w:p w14:paraId="7FB91D20" w14:textId="77777777" w:rsidR="00DD60C8" w:rsidRDefault="00DD60C8" w:rsidP="00DD60C8">
      <w:pPr>
        <w:spacing w:before="120"/>
        <w:ind w:left="720" w:right="720"/>
        <w:jc w:val="center"/>
      </w:pPr>
      <w:r>
        <w:rPr>
          <w:rFonts w:ascii="Times New Roman" w:eastAsia="Times New Roman" w:hAnsi="Times New Roman"/>
          <w:i/>
          <w:color w:val="17324D"/>
          <w:sz w:val="20"/>
        </w:rPr>
        <w:t>*</w:t>
      </w:r>
      <w:r>
        <w:rPr>
          <w:rFonts w:ascii="Times New Roman" w:eastAsia="Times New Roman" w:hAnsi="Times New Roman"/>
          <w:b/>
          <w:i/>
          <w:color w:val="17324D"/>
          <w:sz w:val="20"/>
        </w:rPr>
        <w:t>Evidence-Governed Computation is the discipline of ensuring that computational authority remains continuously accountable to evidence authority.</w:t>
      </w:r>
      <w:r>
        <w:rPr>
          <w:rFonts w:ascii="Times New Roman" w:eastAsia="Times New Roman" w:hAnsi="Times New Roman"/>
          <w:i/>
          <w:color w:val="17324D"/>
          <w:sz w:val="20"/>
        </w:rPr>
        <w:t>*</w:t>
      </w:r>
    </w:p>
    <w:p w14:paraId="7B9F580C"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2. The Constitutional Gap in Computational Systems</w:t>
      </w:r>
    </w:p>
    <w:p w14:paraId="2B01B547" w14:textId="77777777" w:rsidR="00DD60C8" w:rsidRDefault="00DD60C8" w:rsidP="00DD60C8">
      <w:pPr>
        <w:pStyle w:val="Heading2"/>
      </w:pPr>
      <w:r>
        <w:rPr>
          <w:rFonts w:ascii="Arial" w:eastAsia="Times New Roman" w:hAnsi="Arial"/>
          <w:color w:val="000000"/>
          <w:sz w:val="23"/>
        </w:rPr>
        <w:t>From correct execution to legitimate assertion</w:t>
      </w:r>
    </w:p>
    <w:p w14:paraId="7B943470" w14:textId="77777777" w:rsidR="00DD60C8" w:rsidRDefault="00DD60C8" w:rsidP="00DD60C8">
      <w:pPr>
        <w:keepLines/>
        <w:spacing w:after="94"/>
      </w:pPr>
      <w:r>
        <w:rPr>
          <w:rFonts w:ascii="Times New Roman" w:eastAsia="Times New Roman" w:hAnsi="Times New Roman"/>
          <w:color w:val="000000"/>
          <w:sz w:val="20"/>
        </w:rPr>
        <w:t>A program can execute correctly and still produce an inadmissible claim. The code may apply its documented threshold without error, but the required input may be absent. A classifier may return the same result on every run, but the category may be unsupported outside its calibration domain. A visualization may faithfully plot a value while its title implies causation rather than association. A language model may accurately paraphrase the available findings and then add an unsupported explanation. Computational correctness is therefore necessary but insufficient for evidentiary legitimacy.</w:t>
      </w:r>
    </w:p>
    <w:p w14:paraId="7FACB01C" w14:textId="77777777" w:rsidR="00DD60C8" w:rsidRDefault="00DD60C8" w:rsidP="00DD60C8">
      <w:pPr>
        <w:spacing w:after="94"/>
      </w:pPr>
      <w:r>
        <w:rPr>
          <w:rFonts w:ascii="Times New Roman" w:eastAsia="Times New Roman" w:hAnsi="Times New Roman"/>
          <w:color w:val="000000"/>
          <w:sz w:val="20"/>
        </w:rPr>
        <w:t xml:space="preserve">This paper calls the resulting separation the </w:t>
      </w:r>
      <w:r>
        <w:rPr>
          <w:rFonts w:ascii="Times New Roman" w:eastAsia="Times New Roman" w:hAnsi="Times New Roman"/>
          <w:b/>
          <w:color w:val="000000"/>
          <w:sz w:val="20"/>
        </w:rPr>
        <w:t>constitutional gap</w:t>
      </w:r>
      <w:r>
        <w:rPr>
          <w:rFonts w:ascii="Times New Roman" w:eastAsia="Times New Roman" w:hAnsi="Times New Roman"/>
          <w:color w:val="000000"/>
          <w:sz w:val="20"/>
        </w:rPr>
        <w:t>: the difference between what a computational component is technically capable of emitting and what the complete system is authorized to assert from the available evidence. Most systems govern capability through code paths and access controls. Far fewer govern epistemic authority—the entitlement to state that a measurement, label, explanation, recommendation, or report is supported.</w:t>
      </w:r>
    </w:p>
    <w:p w14:paraId="1EED1317" w14:textId="77777777" w:rsidR="00DD60C8" w:rsidRDefault="00DD60C8" w:rsidP="00DD60C8">
      <w:pPr>
        <w:spacing w:after="94"/>
      </w:pPr>
      <w:r>
        <w:rPr>
          <w:rFonts w:ascii="Times New Roman" w:eastAsia="Times New Roman" w:hAnsi="Times New Roman"/>
          <w:color w:val="000000"/>
          <w:sz w:val="20"/>
        </w:rPr>
        <w:t>The gap widens as systems become modular. Separate pipelines calculate metrics, render charts, compose narratives, trigger alerts, and generate exports. Each component may contain its own thresholds, labels, fallback behavior, and error handling. Even when every component is individually reasonable, their combined outputs can diverge because there is no single evidence authority or executable claim boundary. The interface becomes a federation of local interpretations.</w:t>
      </w:r>
    </w:p>
    <w:p w14:paraId="08022902" w14:textId="77777777" w:rsidR="00DD60C8" w:rsidRDefault="00DD60C8" w:rsidP="00DD60C8">
      <w:pPr>
        <w:pStyle w:val="Heading2"/>
      </w:pPr>
      <w:r>
        <w:rPr>
          <w:rFonts w:ascii="Arial" w:eastAsia="Times New Roman" w:hAnsi="Arial"/>
          <w:color w:val="000000"/>
          <w:sz w:val="23"/>
        </w:rPr>
        <w:t>Why more telemetry does not resolve the gap</w:t>
      </w:r>
    </w:p>
    <w:p w14:paraId="55EBE86C" w14:textId="77777777" w:rsidR="00DD60C8" w:rsidRDefault="00DD60C8" w:rsidP="00DD60C8">
      <w:pPr>
        <w:keepLines/>
        <w:spacing w:after="94"/>
      </w:pPr>
      <w:r>
        <w:rPr>
          <w:rFonts w:ascii="Times New Roman" w:eastAsia="Times New Roman" w:hAnsi="Times New Roman"/>
          <w:color w:val="000000"/>
          <w:sz w:val="20"/>
        </w:rPr>
        <w:t>Greater data volume can improve observation, but it cannot decide which propositions the record supports. A million events can remain temporally ambiguous. A high-resolution trace can still omit a role change recorded in another system. More metrics can create the appearance of corroboration even when they are mathematical transformations of the same source field. A complete application log may be incomplete evidence of the external process it represents.</w:t>
      </w:r>
    </w:p>
    <w:p w14:paraId="56406800" w14:textId="77777777" w:rsidR="00DD60C8" w:rsidRDefault="00DD60C8" w:rsidP="00DD60C8">
      <w:pPr>
        <w:spacing w:after="94"/>
      </w:pPr>
      <w:r>
        <w:rPr>
          <w:rFonts w:ascii="Times New Roman" w:eastAsia="Times New Roman" w:hAnsi="Times New Roman"/>
          <w:color w:val="000000"/>
          <w:sz w:val="20"/>
        </w:rPr>
        <w:t xml:space="preserve">The governing problem is relational. Evidence is evidence </w:t>
      </w:r>
      <w:r>
        <w:rPr>
          <w:rFonts w:ascii="Times New Roman" w:eastAsia="Times New Roman" w:hAnsi="Times New Roman"/>
          <w:i/>
          <w:color w:val="000000"/>
          <w:sz w:val="20"/>
        </w:rPr>
        <w:t>for a claim</w:t>
      </w:r>
      <w:r>
        <w:rPr>
          <w:rFonts w:ascii="Times New Roman" w:eastAsia="Times New Roman" w:hAnsi="Times New Roman"/>
          <w:color w:val="000000"/>
          <w:sz w:val="20"/>
        </w:rPr>
        <w:t>, under a method, within a scope. The same record may directly establish that a message was logged, support a derived measurement of response delay, conditionally support a classification of coordination breakdown, and provide no basis at all for an assertion about intent. An evidence-governed architecture must preserve these differences.</w:t>
      </w:r>
    </w:p>
    <w:p w14:paraId="7FE2AFFF" w14:textId="77777777" w:rsidR="00DD60C8" w:rsidRDefault="00DD60C8" w:rsidP="00DD60C8">
      <w:pPr>
        <w:pStyle w:val="Heading2"/>
      </w:pPr>
      <w:r>
        <w:rPr>
          <w:rFonts w:ascii="Arial" w:eastAsia="Times New Roman" w:hAnsi="Arial"/>
          <w:color w:val="000000"/>
          <w:sz w:val="23"/>
        </w:rPr>
        <w:t>Why presentation is part of computation</w:t>
      </w:r>
    </w:p>
    <w:p w14:paraId="3686CE56" w14:textId="77777777" w:rsidR="00DD60C8" w:rsidRDefault="00DD60C8" w:rsidP="00DD60C8">
      <w:pPr>
        <w:keepLines/>
        <w:spacing w:after="94"/>
      </w:pPr>
      <w:r>
        <w:rPr>
          <w:rFonts w:ascii="Times New Roman" w:eastAsia="Times New Roman" w:hAnsi="Times New Roman"/>
          <w:color w:val="000000"/>
          <w:sz w:val="20"/>
        </w:rPr>
        <w:t xml:space="preserve">Presentation is often treated as a downstream concern. In practice, a title, color, label, aggregation, omission, or generated sentence can materially change the proposition received by the user. A chart labeled </w:t>
      </w:r>
      <w:r>
        <w:rPr>
          <w:rFonts w:ascii="Times New Roman" w:eastAsia="Times New Roman" w:hAnsi="Times New Roman"/>
          <w:i/>
          <w:color w:val="000000"/>
          <w:sz w:val="20"/>
        </w:rPr>
        <w:t>failure onset</w:t>
      </w:r>
      <w:r>
        <w:rPr>
          <w:rFonts w:ascii="Times New Roman" w:eastAsia="Times New Roman" w:hAnsi="Times New Roman"/>
          <w:color w:val="000000"/>
          <w:sz w:val="20"/>
        </w:rPr>
        <w:t xml:space="preserve"> asserts more than an identical chart labeled </w:t>
      </w:r>
      <w:r>
        <w:rPr>
          <w:rFonts w:ascii="Times New Roman" w:eastAsia="Times New Roman" w:hAnsi="Times New Roman"/>
          <w:i/>
          <w:color w:val="000000"/>
          <w:sz w:val="20"/>
        </w:rPr>
        <w:t>first threshold crossing</w:t>
      </w:r>
      <w:r>
        <w:rPr>
          <w:rFonts w:ascii="Times New Roman" w:eastAsia="Times New Roman" w:hAnsi="Times New Roman"/>
          <w:color w:val="000000"/>
          <w:sz w:val="20"/>
        </w:rPr>
        <w:t xml:space="preserve">. A red alert implies a decision rule. A summary that omits missing context may appear more certain than the record permits. A report that converts </w:t>
      </w:r>
      <w:r>
        <w:rPr>
          <w:rFonts w:ascii="Times New Roman" w:eastAsia="Times New Roman" w:hAnsi="Times New Roman"/>
          <w:i/>
          <w:color w:val="000000"/>
          <w:sz w:val="20"/>
        </w:rPr>
        <w:t>candidate boundary</w:t>
      </w:r>
      <w:r>
        <w:rPr>
          <w:rFonts w:ascii="Times New Roman" w:eastAsia="Times New Roman" w:hAnsi="Times New Roman"/>
          <w:color w:val="000000"/>
          <w:sz w:val="20"/>
        </w:rPr>
        <w:t xml:space="preserve"> into </w:t>
      </w:r>
      <w:r>
        <w:rPr>
          <w:rFonts w:ascii="Times New Roman" w:eastAsia="Times New Roman" w:hAnsi="Times New Roman"/>
          <w:i/>
          <w:color w:val="000000"/>
          <w:sz w:val="20"/>
        </w:rPr>
        <w:t>confirmed cause</w:t>
      </w:r>
      <w:r>
        <w:rPr>
          <w:rFonts w:ascii="Times New Roman" w:eastAsia="Times New Roman" w:hAnsi="Times New Roman"/>
          <w:color w:val="000000"/>
          <w:sz w:val="20"/>
        </w:rPr>
        <w:t xml:space="preserve"> has changed the claim, even if the underlying numerical values remain untouched.</w:t>
      </w:r>
    </w:p>
    <w:p w14:paraId="6CA68717" w14:textId="77777777" w:rsidR="00DD60C8" w:rsidRDefault="00DD60C8" w:rsidP="00DD60C8">
      <w:pPr>
        <w:spacing w:after="94"/>
      </w:pPr>
      <w:r>
        <w:rPr>
          <w:rFonts w:ascii="Times New Roman" w:eastAsia="Times New Roman" w:hAnsi="Times New Roman"/>
          <w:color w:val="000000"/>
          <w:sz w:val="20"/>
        </w:rPr>
        <w:t>For this reason, EGC includes visualizations, explanations, recommendations, alerts, APIs, and exports within the governed computational perimeter. The system is not evidence-governed if the analytical core is bounded but its public surfaces can broaden, erase, or invent claims.</w:t>
      </w:r>
    </w:p>
    <w:p w14:paraId="4B9972FE"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3. Related Foundations and the Boundary of the Contribution</w:t>
      </w:r>
    </w:p>
    <w:p w14:paraId="58DD5B01" w14:textId="77777777" w:rsidR="00DD60C8" w:rsidRDefault="00DD60C8" w:rsidP="00DD60C8">
      <w:pPr>
        <w:pStyle w:val="Heading2"/>
      </w:pPr>
      <w:r>
        <w:rPr>
          <w:rFonts w:ascii="Arial" w:eastAsia="Times New Roman" w:hAnsi="Arial"/>
          <w:color w:val="000000"/>
          <w:sz w:val="23"/>
        </w:rPr>
        <w:t>Provenance and lineage</w:t>
      </w:r>
    </w:p>
    <w:p w14:paraId="3EF9224F" w14:textId="77777777" w:rsidR="00DD60C8" w:rsidRDefault="00DD60C8" w:rsidP="00DD60C8">
      <w:pPr>
        <w:keepLines/>
        <w:spacing w:after="94"/>
      </w:pPr>
      <w:r>
        <w:rPr>
          <w:rFonts w:ascii="Times New Roman" w:eastAsia="Times New Roman" w:hAnsi="Times New Roman"/>
          <w:color w:val="000000"/>
          <w:sz w:val="20"/>
        </w:rPr>
        <w:t>The W3C PROV family provides a general model for representing entities, activities, agents, generation, use, attribution, and derivation (W3C, 2013a; 2013b). It establishes a powerful interoperability foundation for answering where an information object came from and how it was transformed. EGC depends on these capabilities and can express portions of its lineage graph in PROV-compatible form.</w:t>
      </w:r>
    </w:p>
    <w:p w14:paraId="76A60E95" w14:textId="77777777" w:rsidR="00DD60C8" w:rsidRDefault="00DD60C8" w:rsidP="00DD60C8">
      <w:pPr>
        <w:spacing w:after="94"/>
      </w:pPr>
      <w:r>
        <w:rPr>
          <w:rFonts w:ascii="Times New Roman" w:eastAsia="Times New Roman" w:hAnsi="Times New Roman"/>
          <w:color w:val="000000"/>
          <w:sz w:val="20"/>
        </w:rPr>
        <w:t>Provenance does not, by itself, decide whether a particular claim is sufficiently supported. A complete derivation chain can terminate in inadequate evidence or an invalid method. EGC therefore adds typed claim requirements, method authority, scope checks, boundary rules, absence behavior, and output-surface enforcement to provenance.</w:t>
      </w:r>
    </w:p>
    <w:p w14:paraId="5B8A5AD2" w14:textId="77777777" w:rsidR="00DD60C8" w:rsidRDefault="00DD60C8" w:rsidP="00DD60C8">
      <w:pPr>
        <w:pStyle w:val="Heading2"/>
      </w:pPr>
      <w:r>
        <w:rPr>
          <w:rFonts w:ascii="Arial" w:eastAsia="Times New Roman" w:hAnsi="Arial"/>
          <w:color w:val="000000"/>
          <w:sz w:val="23"/>
        </w:rPr>
        <w:t>Runtime verification, trace analysis, and process reconstruction</w:t>
      </w:r>
    </w:p>
    <w:p w14:paraId="65CB0B52" w14:textId="77777777" w:rsidR="00DD60C8" w:rsidRDefault="00DD60C8" w:rsidP="00DD60C8">
      <w:pPr>
        <w:keepLines/>
        <w:spacing w:after="94"/>
      </w:pPr>
      <w:r>
        <w:rPr>
          <w:rFonts w:ascii="Times New Roman" w:eastAsia="Times New Roman" w:hAnsi="Times New Roman"/>
          <w:color w:val="000000"/>
          <w:sz w:val="20"/>
        </w:rPr>
        <w:t>Runtime verification evaluates observed executions against specified properties, commonly through monitors over traces (Leucker and Schallhart, 2009). Process mining reconstructs, discovers, and checks processes from event logs (van der Aalst, 2016). These fields establish that execution records can support rigorous temporal analysis.</w:t>
      </w:r>
    </w:p>
    <w:p w14:paraId="397E2B3F" w14:textId="77777777" w:rsidR="00DD60C8" w:rsidRDefault="00DD60C8" w:rsidP="00DD60C8">
      <w:pPr>
        <w:spacing w:after="94"/>
      </w:pPr>
      <w:r>
        <w:rPr>
          <w:rFonts w:ascii="Times New Roman" w:eastAsia="Times New Roman" w:hAnsi="Times New Roman"/>
          <w:color w:val="000000"/>
          <w:sz w:val="20"/>
        </w:rPr>
        <w:t>EGC addresses a different but complementary question: after a trace, measurement, or reconstruction has been computed, what may the surrounding system legitimately claim about it, and how must that authority travel through instruments, interfaces, narratives, and exports? A runtime monitor can become an evidence-governed instrument when its input eligibility, property specification, output semantics, missingness behavior, lineage, and claim boundary are explicit.</w:t>
      </w:r>
    </w:p>
    <w:p w14:paraId="384DDD4A" w14:textId="77777777" w:rsidR="00DD60C8" w:rsidRDefault="00DD60C8" w:rsidP="00DD60C8">
      <w:pPr>
        <w:pStyle w:val="Heading2"/>
      </w:pPr>
      <w:r>
        <w:rPr>
          <w:rFonts w:ascii="Arial" w:eastAsia="Times New Roman" w:hAnsi="Arial"/>
          <w:color w:val="000000"/>
          <w:sz w:val="23"/>
        </w:rPr>
        <w:t>Information-flow control and proof-bearing systems</w:t>
      </w:r>
    </w:p>
    <w:p w14:paraId="1E2F2BB6" w14:textId="77777777" w:rsidR="00DD60C8" w:rsidRDefault="00DD60C8" w:rsidP="00DD60C8">
      <w:pPr>
        <w:keepLines/>
        <w:spacing w:after="94"/>
      </w:pPr>
      <w:r>
        <w:rPr>
          <w:rFonts w:ascii="Times New Roman" w:eastAsia="Times New Roman" w:hAnsi="Times New Roman"/>
          <w:color w:val="000000"/>
          <w:sz w:val="20"/>
        </w:rPr>
        <w:t>Information-flow control constrains how information at different security levels may propagate through a system (Denning, 1976). Proof-carrying code requires a producer to supply evidence that executable code satisfies a safety policy, which a consumer can verify before execution (Necula, 1997). These traditions demonstrate that policies can be made computationally enforceable rather than left to convention.</w:t>
      </w:r>
    </w:p>
    <w:p w14:paraId="12ACB811" w14:textId="77777777" w:rsidR="00DD60C8" w:rsidRDefault="00DD60C8" w:rsidP="00DD60C8">
      <w:pPr>
        <w:spacing w:after="94"/>
      </w:pPr>
      <w:r>
        <w:rPr>
          <w:rFonts w:ascii="Times New Roman" w:eastAsia="Times New Roman" w:hAnsi="Times New Roman"/>
          <w:color w:val="000000"/>
          <w:sz w:val="20"/>
        </w:rPr>
        <w:t>EGC applies a related logic to epistemic output. The controlled property is not only where bytes may travel, but what propositions may be asserted from them. A low-authority or incomplete source must not be transformed into a high-authority claim merely by passing through a sophisticated instrument. The analogy is useful, but EGC is not a security lattice and an admissible claim is not a mathematical proof of truth.</w:t>
      </w:r>
    </w:p>
    <w:p w14:paraId="071E1A94" w14:textId="77777777" w:rsidR="00DD60C8" w:rsidRDefault="00DD60C8" w:rsidP="00DD60C8">
      <w:pPr>
        <w:pStyle w:val="Heading2"/>
      </w:pPr>
      <w:r>
        <w:rPr>
          <w:rFonts w:ascii="Arial" w:eastAsia="Times New Roman" w:hAnsi="Arial"/>
          <w:color w:val="000000"/>
          <w:sz w:val="23"/>
        </w:rPr>
        <w:t>Attestation, content provenance, and integrity</w:t>
      </w:r>
    </w:p>
    <w:p w14:paraId="28EE4E4C" w14:textId="77777777" w:rsidR="00DD60C8" w:rsidRDefault="00DD60C8" w:rsidP="00DD60C8">
      <w:pPr>
        <w:keepLines/>
        <w:spacing w:after="94"/>
      </w:pPr>
      <w:r>
        <w:rPr>
          <w:rFonts w:ascii="Times New Roman" w:eastAsia="Times New Roman" w:hAnsi="Times New Roman"/>
          <w:color w:val="000000"/>
          <w:sz w:val="20"/>
        </w:rPr>
        <w:t>The IETF RATS architecture separates attestation evidence, claims, appraisal policy, verifier, attestation results, and relying party (Birkholz et al., 2023). C2PA binds assertions and signed claims to digital assets through manifests and content bindings. Importantly, the C2PA specification states that validation should not be treated as a value judgment about whether provenance is good or bad, only whether assertions are correctly associated, formed, and free from tampering (C2PA, 2026).</w:t>
      </w:r>
    </w:p>
    <w:p w14:paraId="593E8BBB" w14:textId="77777777" w:rsidR="00DD60C8" w:rsidRDefault="00DD60C8" w:rsidP="00DD60C8">
      <w:pPr>
        <w:spacing w:after="94"/>
      </w:pPr>
      <w:r>
        <w:rPr>
          <w:rFonts w:ascii="Times New Roman" w:eastAsia="Times New Roman" w:hAnsi="Times New Roman"/>
          <w:color w:val="000000"/>
          <w:sz w:val="20"/>
        </w:rPr>
        <w:t>EGC preserves the same restraint. Hashes, signatures, timestamps, and attestations can strengthen integrity, identity, and trust in a source. They do not establish the semantic truth, completeness, or relevance of every claim derived from that source. EGC integrates such assurances as typed evidence rather than allowing them to collapse all trust questions into a single badge.</w:t>
      </w:r>
    </w:p>
    <w:p w14:paraId="4F8361C5" w14:textId="77777777" w:rsidR="00DD60C8" w:rsidRDefault="00DD60C8" w:rsidP="00DD60C8">
      <w:pPr>
        <w:pStyle w:val="Heading2"/>
      </w:pPr>
      <w:r>
        <w:rPr>
          <w:rFonts w:ascii="Arial" w:eastAsia="Times New Roman" w:hAnsi="Arial"/>
          <w:color w:val="000000"/>
          <w:sz w:val="23"/>
        </w:rPr>
        <w:t>Decision provenance, reviewability, and assurance cases</w:t>
      </w:r>
    </w:p>
    <w:p w14:paraId="7E4A9E6D" w14:textId="77777777" w:rsidR="00DD60C8" w:rsidRDefault="00DD60C8" w:rsidP="00DD60C8">
      <w:pPr>
        <w:keepLines/>
        <w:spacing w:after="94"/>
      </w:pPr>
      <w:r>
        <w:rPr>
          <w:rFonts w:ascii="Times New Roman" w:eastAsia="Times New Roman" w:hAnsi="Times New Roman"/>
          <w:color w:val="000000"/>
          <w:sz w:val="20"/>
        </w:rPr>
        <w:t>Decision provenance exposes data flows and decision pipelines across technical and organizational boundaries to support accountability (Singh, Cobbe, and Norval, 2019). Reviewable automated decision-making extends attention beyond model explanation toward the socio-technical records required for meaningful review (Cobbe, Lee, and Singh, 2021). Structured assurance cases organize claims, arguments, and evidence for system assurance (OMG, 2021).</w:t>
      </w:r>
    </w:p>
    <w:p w14:paraId="0FACAFF7" w14:textId="77777777" w:rsidR="00DD60C8" w:rsidRDefault="00DD60C8" w:rsidP="00DD60C8">
      <w:pPr>
        <w:spacing w:after="94"/>
      </w:pPr>
      <w:r>
        <w:rPr>
          <w:rFonts w:ascii="Times New Roman" w:eastAsia="Times New Roman" w:hAnsi="Times New Roman"/>
          <w:color w:val="000000"/>
          <w:sz w:val="20"/>
        </w:rPr>
        <w:t>EGC is aligned with these programs while concentrating on the live computational architecture that generates and publishes evidentiary claims. It asks how evidence and claim boundaries can govern every instrument and surface during computation, not only how a reviewer later reconstructs the decision or how an assurance argument is documented.</w:t>
      </w:r>
    </w:p>
    <w:p w14:paraId="6EE74DA6" w14:textId="77777777" w:rsidR="00DD60C8" w:rsidRDefault="00DD60C8" w:rsidP="00DD60C8">
      <w:pPr>
        <w:pStyle w:val="Heading2"/>
      </w:pPr>
      <w:r>
        <w:rPr>
          <w:rFonts w:ascii="Arial" w:eastAsia="Times New Roman" w:hAnsi="Arial"/>
          <w:color w:val="000000"/>
          <w:sz w:val="23"/>
        </w:rPr>
        <w:t>Reproducibility and AI risk governance</w:t>
      </w:r>
    </w:p>
    <w:p w14:paraId="3A9ADEFA" w14:textId="77777777" w:rsidR="00DD60C8" w:rsidRDefault="00DD60C8" w:rsidP="00DD60C8">
      <w:pPr>
        <w:keepLines/>
        <w:spacing w:after="94"/>
      </w:pPr>
      <w:r>
        <w:rPr>
          <w:rFonts w:ascii="Times New Roman" w:eastAsia="Times New Roman" w:hAnsi="Times New Roman"/>
          <w:color w:val="000000"/>
          <w:sz w:val="20"/>
        </w:rPr>
        <w:t>Reproducibility concerns obtaining consistent computational results using the same data, methods, code, and conditions, while replicability concerns obtaining consistent results across studies addressing the same question with new evidence (National Academies, 2019). EGC requires reproducibility of its deterministic core but does not treat reproducibility as construct validity or replicability.</w:t>
      </w:r>
    </w:p>
    <w:p w14:paraId="6268F875" w14:textId="77777777" w:rsidR="00DD60C8" w:rsidRDefault="00DD60C8" w:rsidP="00DD60C8">
      <w:pPr>
        <w:spacing w:after="94"/>
      </w:pPr>
      <w:r>
        <w:rPr>
          <w:rFonts w:ascii="Times New Roman" w:eastAsia="Times New Roman" w:hAnsi="Times New Roman"/>
          <w:color w:val="000000"/>
          <w:sz w:val="20"/>
        </w:rPr>
        <w:t>The NIST AI Risk Management Framework organizes governance around the functions Govern, Map, Measure, and Manage and emphasizes documentation, transparency, and accountability (NIST, 2023). EGC can operate as a technical mechanism within such governance programs. It does not replace risk assessment, legal obligations, institutional review, or domain expertise.</w:t>
      </w:r>
    </w:p>
    <w:p w14:paraId="70107FF6" w14:textId="77777777" w:rsidR="00DD60C8" w:rsidRDefault="00DD60C8" w:rsidP="00DD60C8">
      <w:pPr>
        <w:pStyle w:val="Heading2"/>
      </w:pPr>
      <w:r>
        <w:rPr>
          <w:rFonts w:ascii="Arial" w:eastAsia="Times New Roman" w:hAnsi="Arial"/>
          <w:color w:val="000000"/>
          <w:sz w:val="23"/>
        </w:rPr>
        <w:t>The distinctive integration</w:t>
      </w:r>
    </w:p>
    <w:p w14:paraId="4409E9F1" w14:textId="77777777" w:rsidR="00DD60C8" w:rsidRDefault="00DD60C8" w:rsidP="00DD60C8">
      <w:pPr>
        <w:keepLines/>
        <w:spacing w:after="94"/>
      </w:pPr>
      <w:r>
        <w:rPr>
          <w:rFonts w:ascii="Times New Roman" w:eastAsia="Times New Roman" w:hAnsi="Times New Roman"/>
          <w:color w:val="000000"/>
          <w:sz w:val="20"/>
        </w:rPr>
        <w:t>The originality claim of this paper is therefore a conjunction rather than a claim to isolated primitives. EGC joins the following requirements in one architecture:</w:t>
      </w:r>
    </w:p>
    <w:p w14:paraId="4B6099D8" w14:textId="77777777" w:rsidR="00DD60C8" w:rsidRDefault="00DD60C8" w:rsidP="00DD60C8">
      <w:pPr>
        <w:spacing w:after="60"/>
        <w:ind w:left="432" w:right="230" w:hanging="173"/>
      </w:pPr>
      <w:r>
        <w:rPr>
          <w:rFonts w:ascii="Times New Roman" w:eastAsia="Times New Roman" w:hAnsi="Times New Roman"/>
          <w:color w:val="000000"/>
          <w:sz w:val="19"/>
        </w:rPr>
        <w:t>• an identified evidence object as the source of computational authority;</w:t>
      </w:r>
    </w:p>
    <w:p w14:paraId="53FABE65" w14:textId="77777777" w:rsidR="00DD60C8" w:rsidRDefault="00DD60C8" w:rsidP="00DD60C8">
      <w:pPr>
        <w:spacing w:after="60"/>
        <w:ind w:left="432" w:right="230" w:hanging="173"/>
      </w:pPr>
      <w:r>
        <w:rPr>
          <w:rFonts w:ascii="Times New Roman" w:eastAsia="Times New Roman" w:hAnsi="Times New Roman"/>
          <w:color w:val="000000"/>
          <w:sz w:val="19"/>
        </w:rPr>
        <w:t>• typed claims with executable admissibility conditions;</w:t>
      </w:r>
    </w:p>
    <w:p w14:paraId="55671B1B" w14:textId="77777777" w:rsidR="00DD60C8" w:rsidRDefault="00DD60C8" w:rsidP="00DD60C8">
      <w:pPr>
        <w:spacing w:after="60"/>
        <w:ind w:left="432" w:right="230" w:hanging="173"/>
      </w:pPr>
      <w:r>
        <w:rPr>
          <w:rFonts w:ascii="Times New Roman" w:eastAsia="Times New Roman" w:hAnsi="Times New Roman"/>
          <w:color w:val="000000"/>
          <w:sz w:val="19"/>
        </w:rPr>
        <w:t>• declared and versioned method and instrument contracts;</w:t>
      </w:r>
    </w:p>
    <w:p w14:paraId="6F87C2A8" w14:textId="77777777" w:rsidR="00DD60C8" w:rsidRDefault="00DD60C8" w:rsidP="00DD60C8">
      <w:pPr>
        <w:spacing w:after="60"/>
        <w:ind w:left="432" w:right="230" w:hanging="173"/>
      </w:pPr>
      <w:r>
        <w:rPr>
          <w:rFonts w:ascii="Times New Roman" w:eastAsia="Times New Roman" w:hAnsi="Times New Roman"/>
          <w:color w:val="000000"/>
          <w:sz w:val="19"/>
        </w:rPr>
        <w:t>• bounded projections that cannot create stronger claims than their inputs authorize;</w:t>
      </w:r>
    </w:p>
    <w:p w14:paraId="46439DCB" w14:textId="77777777" w:rsidR="00DD60C8" w:rsidRDefault="00DD60C8" w:rsidP="00DD60C8">
      <w:pPr>
        <w:spacing w:after="60"/>
        <w:ind w:left="432" w:right="230" w:hanging="173"/>
      </w:pPr>
      <w:r>
        <w:rPr>
          <w:rFonts w:ascii="Times New Roman" w:eastAsia="Times New Roman" w:hAnsi="Times New Roman"/>
          <w:color w:val="000000"/>
          <w:sz w:val="19"/>
        </w:rPr>
        <w:t>• surface bindings connecting visible outputs to evidence, methods, and claim status;</w:t>
      </w:r>
    </w:p>
    <w:p w14:paraId="2B094AD7" w14:textId="77777777" w:rsidR="00DD60C8" w:rsidRDefault="00DD60C8" w:rsidP="00DD60C8">
      <w:pPr>
        <w:spacing w:after="60"/>
        <w:ind w:left="432" w:right="230" w:hanging="173"/>
      </w:pPr>
      <w:r>
        <w:rPr>
          <w:rFonts w:ascii="Times New Roman" w:eastAsia="Times New Roman" w:hAnsi="Times New Roman"/>
          <w:color w:val="000000"/>
          <w:sz w:val="19"/>
        </w:rPr>
        <w:t>• egress closure across user interfaces, APIs, generated narratives, alerts, and exports;</w:t>
      </w:r>
    </w:p>
    <w:p w14:paraId="1E88E8A2" w14:textId="77777777" w:rsidR="00DD60C8" w:rsidRDefault="00DD60C8" w:rsidP="00DD60C8">
      <w:pPr>
        <w:spacing w:after="60"/>
        <w:ind w:left="432" w:right="230" w:hanging="173"/>
      </w:pPr>
      <w:r>
        <w:rPr>
          <w:rFonts w:ascii="Times New Roman" w:eastAsia="Times New Roman" w:hAnsi="Times New Roman"/>
          <w:color w:val="000000"/>
          <w:sz w:val="19"/>
        </w:rPr>
        <w:t>• explicit missingness, uncertainty, conflict, and prohibited-claim states;</w:t>
      </w:r>
    </w:p>
    <w:p w14:paraId="0551501E" w14:textId="77777777" w:rsidR="00DD60C8" w:rsidRDefault="00DD60C8" w:rsidP="00DD60C8">
      <w:pPr>
        <w:spacing w:after="60"/>
        <w:ind w:left="432" w:right="230" w:hanging="173"/>
      </w:pPr>
      <w:r>
        <w:rPr>
          <w:rFonts w:ascii="Times New Roman" w:eastAsia="Times New Roman" w:hAnsi="Times New Roman"/>
          <w:color w:val="000000"/>
          <w:sz w:val="19"/>
        </w:rPr>
        <w:t>• challenge, counterevidence, versioning, and non-destructive revision;</w:t>
      </w:r>
    </w:p>
    <w:p w14:paraId="1B7B4A65" w14:textId="77777777" w:rsidR="00DD60C8" w:rsidRDefault="00DD60C8" w:rsidP="00DD60C8">
      <w:pPr>
        <w:spacing w:after="60"/>
        <w:ind w:left="432" w:right="230" w:hanging="173"/>
      </w:pPr>
      <w:r>
        <w:rPr>
          <w:rFonts w:ascii="Times New Roman" w:eastAsia="Times New Roman" w:hAnsi="Times New Roman"/>
          <w:color w:val="000000"/>
          <w:sz w:val="19"/>
        </w:rPr>
        <w:t>• preservation of identity, lineage, boundaries, and redactions across export and re-import.</w:t>
      </w:r>
    </w:p>
    <w:p w14:paraId="63E1C0B5" w14:textId="77777777" w:rsidR="00DD60C8" w:rsidRDefault="00DD60C8" w:rsidP="00DD60C8">
      <w:pPr>
        <w:spacing w:after="94"/>
      </w:pPr>
      <w:r>
        <w:rPr>
          <w:rFonts w:ascii="Times New Roman" w:eastAsia="Times New Roman" w:hAnsi="Times New Roman"/>
          <w:color w:val="000000"/>
          <w:sz w:val="20"/>
        </w:rPr>
        <w:t>Each element has precedents. Their treatment as a single constitutional architecture for computational assertion is the contribution advanced here.</w:t>
      </w:r>
    </w:p>
    <w:p w14:paraId="66AACC8C"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4. Canonical Position Within the Research Program</w:t>
      </w:r>
    </w:p>
    <w:p w14:paraId="41760D2C" w14:textId="77777777" w:rsidR="00DD60C8" w:rsidRDefault="00DD60C8" w:rsidP="00DD60C8">
      <w:pPr>
        <w:keepLines/>
        <w:spacing w:after="94"/>
      </w:pPr>
      <w:r>
        <w:rPr>
          <w:rFonts w:ascii="Times New Roman" w:eastAsia="Times New Roman" w:hAnsi="Times New Roman"/>
          <w:color w:val="000000"/>
          <w:sz w:val="20"/>
        </w:rPr>
        <w:t>Evidence-Governed Computation occupies a specific position in the current research program. It does not replace the science beneath it, and it is not equivalent to the software through which it is implemented.</w:t>
      </w:r>
    </w:p>
    <w:p w14:paraId="68E4238E" w14:textId="77777777" w:rsidR="00DD60C8" w:rsidRDefault="00DD60C8" w:rsidP="00DD60C8">
      <w:pPr>
        <w:keepNext/>
        <w:spacing w:before="140" w:after="80"/>
      </w:pPr>
      <w:r>
        <w:rPr>
          <w:rFonts w:ascii="Times New Roman" w:eastAsia="Times New Roman" w:hAnsi="Times New Roman"/>
          <w:i/>
          <w:color w:val="66717C"/>
          <w:sz w:val="18"/>
        </w:rPr>
        <w:t>Table 1. Current position of Evidence-Governed Computation within the research program.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2520"/>
        <w:gridCol w:w="4824"/>
      </w:tblGrid>
      <w:tr w:rsidR="00DD60C8" w14:paraId="18C48F3F" w14:textId="77777777">
        <w:trPr>
          <w:cantSplit/>
          <w:tblHeader/>
          <w:jc w:val="center"/>
        </w:trPr>
        <w:tc>
          <w:tcPr>
            <w:tcW w:w="2376" w:type="dxa"/>
            <w:shd w:val="clear" w:color="auto" w:fill="17324D"/>
            <w:tcMar>
              <w:top w:w="70" w:type="dxa"/>
              <w:left w:w="100" w:type="dxa"/>
              <w:bottom w:w="70" w:type="dxa"/>
              <w:right w:w="100" w:type="dxa"/>
            </w:tcMar>
            <w:vAlign w:val="center"/>
          </w:tcPr>
          <w:p w14:paraId="1334DEDF" w14:textId="77777777" w:rsidR="00DD60C8" w:rsidRDefault="00DD60C8" w:rsidP="00F96983">
            <w:pPr>
              <w:spacing w:after="0" w:line="240" w:lineRule="auto"/>
            </w:pPr>
            <w:r>
              <w:rPr>
                <w:rFonts w:ascii="Arial" w:eastAsia="Times New Roman" w:hAnsi="Arial"/>
                <w:b/>
                <w:color w:val="FFFFFF"/>
                <w:sz w:val="17"/>
              </w:rPr>
              <w:t>Layer</w:t>
            </w:r>
          </w:p>
        </w:tc>
        <w:tc>
          <w:tcPr>
            <w:tcW w:w="2520" w:type="dxa"/>
            <w:shd w:val="clear" w:color="auto" w:fill="17324D"/>
            <w:tcMar>
              <w:top w:w="70" w:type="dxa"/>
              <w:left w:w="100" w:type="dxa"/>
              <w:bottom w:w="70" w:type="dxa"/>
              <w:right w:w="100" w:type="dxa"/>
            </w:tcMar>
            <w:vAlign w:val="center"/>
          </w:tcPr>
          <w:p w14:paraId="6E56D425" w14:textId="77777777" w:rsidR="00DD60C8" w:rsidRDefault="00DD60C8" w:rsidP="00F96983">
            <w:pPr>
              <w:spacing w:after="0" w:line="240" w:lineRule="auto"/>
            </w:pPr>
            <w:r>
              <w:rPr>
                <w:rFonts w:ascii="Arial" w:eastAsia="Times New Roman" w:hAnsi="Arial"/>
                <w:b/>
                <w:color w:val="FFFFFF"/>
                <w:sz w:val="17"/>
              </w:rPr>
              <w:t>Current role</w:t>
            </w:r>
          </w:p>
        </w:tc>
        <w:tc>
          <w:tcPr>
            <w:tcW w:w="4824" w:type="dxa"/>
            <w:shd w:val="clear" w:color="auto" w:fill="17324D"/>
            <w:tcMar>
              <w:top w:w="70" w:type="dxa"/>
              <w:left w:w="100" w:type="dxa"/>
              <w:bottom w:w="70" w:type="dxa"/>
              <w:right w:w="100" w:type="dxa"/>
            </w:tcMar>
            <w:vAlign w:val="center"/>
          </w:tcPr>
          <w:p w14:paraId="1415860E" w14:textId="77777777" w:rsidR="00DD60C8" w:rsidRDefault="00DD60C8" w:rsidP="00F96983">
            <w:pPr>
              <w:spacing w:after="0" w:line="240" w:lineRule="auto"/>
            </w:pPr>
            <w:r>
              <w:rPr>
                <w:rFonts w:ascii="Arial" w:eastAsia="Times New Roman" w:hAnsi="Arial"/>
                <w:b/>
                <w:color w:val="FFFFFF"/>
                <w:sz w:val="17"/>
              </w:rPr>
              <w:t>Governing question</w:t>
            </w:r>
          </w:p>
        </w:tc>
      </w:tr>
      <w:tr w:rsidR="00DD60C8" w14:paraId="2574801B" w14:textId="77777777">
        <w:trPr>
          <w:cantSplit/>
          <w:jc w:val="center"/>
        </w:trPr>
        <w:tc>
          <w:tcPr>
            <w:tcW w:w="2376" w:type="dxa"/>
            <w:shd w:val="clear" w:color="auto" w:fill="FFFFFF"/>
            <w:tcMar>
              <w:top w:w="70" w:type="dxa"/>
              <w:left w:w="100" w:type="dxa"/>
              <w:bottom w:w="70" w:type="dxa"/>
              <w:right w:w="100" w:type="dxa"/>
            </w:tcMar>
            <w:vAlign w:val="center"/>
          </w:tcPr>
          <w:p w14:paraId="47B8144A" w14:textId="77777777" w:rsidR="00DD60C8" w:rsidRDefault="00DD60C8" w:rsidP="00F96983">
            <w:pPr>
              <w:spacing w:after="0" w:line="240" w:lineRule="auto"/>
            </w:pPr>
            <w:r>
              <w:rPr>
                <w:rFonts w:ascii="Times New Roman" w:eastAsia="Times New Roman" w:hAnsi="Times New Roman"/>
                <w:color w:val="000000"/>
                <w:sz w:val="17"/>
              </w:rPr>
              <w:t>Intelligence in Motion™</w:t>
            </w:r>
          </w:p>
        </w:tc>
        <w:tc>
          <w:tcPr>
            <w:tcW w:w="2520" w:type="dxa"/>
            <w:shd w:val="clear" w:color="auto" w:fill="FFFFFF"/>
            <w:tcMar>
              <w:top w:w="70" w:type="dxa"/>
              <w:left w:w="100" w:type="dxa"/>
              <w:bottom w:w="70" w:type="dxa"/>
              <w:right w:w="100" w:type="dxa"/>
            </w:tcMar>
            <w:vAlign w:val="center"/>
          </w:tcPr>
          <w:p w14:paraId="7BEF41C2" w14:textId="77777777" w:rsidR="00DD60C8" w:rsidRDefault="00DD60C8" w:rsidP="00F96983">
            <w:pPr>
              <w:spacing w:after="0" w:line="240" w:lineRule="auto"/>
            </w:pPr>
            <w:r>
              <w:rPr>
                <w:rFonts w:ascii="Times New Roman" w:eastAsia="Times New Roman" w:hAnsi="Times New Roman"/>
                <w:color w:val="000000"/>
                <w:sz w:val="17"/>
              </w:rPr>
              <w:t>Governing scientific idea</w:t>
            </w:r>
          </w:p>
        </w:tc>
        <w:tc>
          <w:tcPr>
            <w:tcW w:w="4824" w:type="dxa"/>
            <w:shd w:val="clear" w:color="auto" w:fill="FFFFFF"/>
            <w:tcMar>
              <w:top w:w="70" w:type="dxa"/>
              <w:left w:w="100" w:type="dxa"/>
              <w:bottom w:w="70" w:type="dxa"/>
              <w:right w:w="100" w:type="dxa"/>
            </w:tcMar>
            <w:vAlign w:val="center"/>
          </w:tcPr>
          <w:p w14:paraId="24BA9861" w14:textId="77777777" w:rsidR="00DD60C8" w:rsidRDefault="00DD60C8" w:rsidP="00F96983">
            <w:pPr>
              <w:spacing w:after="0" w:line="240" w:lineRule="auto"/>
            </w:pPr>
            <w:r>
              <w:rPr>
                <w:rFonts w:ascii="Times New Roman" w:eastAsia="Times New Roman" w:hAnsi="Times New Roman"/>
                <w:color w:val="000000"/>
                <w:sz w:val="17"/>
              </w:rPr>
              <w:t>How can intelligence be studied as organization that forms and changes through runtime?</w:t>
            </w:r>
          </w:p>
        </w:tc>
      </w:tr>
      <w:tr w:rsidR="00DD60C8" w14:paraId="193D24A7" w14:textId="77777777">
        <w:trPr>
          <w:cantSplit/>
          <w:jc w:val="center"/>
        </w:trPr>
        <w:tc>
          <w:tcPr>
            <w:tcW w:w="2376" w:type="dxa"/>
            <w:shd w:val="clear" w:color="auto" w:fill="F6F9FB"/>
            <w:tcMar>
              <w:top w:w="70" w:type="dxa"/>
              <w:left w:w="100" w:type="dxa"/>
              <w:bottom w:w="70" w:type="dxa"/>
              <w:right w:w="100" w:type="dxa"/>
            </w:tcMar>
            <w:vAlign w:val="center"/>
          </w:tcPr>
          <w:p w14:paraId="01634E80" w14:textId="77777777" w:rsidR="00DD60C8" w:rsidRDefault="00DD60C8" w:rsidP="00F96983">
            <w:pPr>
              <w:spacing w:after="0" w:line="240" w:lineRule="auto"/>
            </w:pPr>
            <w:r>
              <w:rPr>
                <w:rFonts w:ascii="Times New Roman" w:eastAsia="Times New Roman" w:hAnsi="Times New Roman"/>
                <w:color w:val="000000"/>
                <w:sz w:val="17"/>
              </w:rPr>
              <w:t>Longitudinal Computational Dynamics</w:t>
            </w:r>
          </w:p>
        </w:tc>
        <w:tc>
          <w:tcPr>
            <w:tcW w:w="2520" w:type="dxa"/>
            <w:shd w:val="clear" w:color="auto" w:fill="F6F9FB"/>
            <w:tcMar>
              <w:top w:w="70" w:type="dxa"/>
              <w:left w:w="100" w:type="dxa"/>
              <w:bottom w:w="70" w:type="dxa"/>
              <w:right w:w="100" w:type="dxa"/>
            </w:tcMar>
            <w:vAlign w:val="center"/>
          </w:tcPr>
          <w:p w14:paraId="59C72AF0" w14:textId="77777777" w:rsidR="00DD60C8" w:rsidRDefault="00DD60C8" w:rsidP="00F96983">
            <w:pPr>
              <w:spacing w:after="0" w:line="240" w:lineRule="auto"/>
            </w:pPr>
            <w:r>
              <w:rPr>
                <w:rFonts w:ascii="Times New Roman" w:eastAsia="Times New Roman" w:hAnsi="Times New Roman"/>
                <w:color w:val="000000"/>
                <w:sz w:val="17"/>
              </w:rPr>
              <w:t>Scientific field</w:t>
            </w:r>
          </w:p>
        </w:tc>
        <w:tc>
          <w:tcPr>
            <w:tcW w:w="4824" w:type="dxa"/>
            <w:shd w:val="clear" w:color="auto" w:fill="F6F9FB"/>
            <w:tcMar>
              <w:top w:w="70" w:type="dxa"/>
              <w:left w:w="100" w:type="dxa"/>
              <w:bottom w:w="70" w:type="dxa"/>
              <w:right w:w="100" w:type="dxa"/>
            </w:tcMar>
            <w:vAlign w:val="center"/>
          </w:tcPr>
          <w:p w14:paraId="48C719FF" w14:textId="77777777" w:rsidR="00DD60C8" w:rsidRDefault="00DD60C8" w:rsidP="00F96983">
            <w:pPr>
              <w:spacing w:after="0" w:line="240" w:lineRule="auto"/>
            </w:pPr>
            <w:r>
              <w:rPr>
                <w:rFonts w:ascii="Times New Roman" w:eastAsia="Times New Roman" w:hAnsi="Times New Roman"/>
                <w:color w:val="000000"/>
                <w:sz w:val="17"/>
              </w:rPr>
              <w:t>What structures and dynamics characterize observable computational behavior across time?</w:t>
            </w:r>
          </w:p>
        </w:tc>
      </w:tr>
      <w:tr w:rsidR="00DD60C8" w14:paraId="68AABC3D" w14:textId="77777777">
        <w:trPr>
          <w:cantSplit/>
          <w:jc w:val="center"/>
        </w:trPr>
        <w:tc>
          <w:tcPr>
            <w:tcW w:w="2376" w:type="dxa"/>
            <w:shd w:val="clear" w:color="auto" w:fill="FFFFFF"/>
            <w:tcMar>
              <w:top w:w="70" w:type="dxa"/>
              <w:left w:w="100" w:type="dxa"/>
              <w:bottom w:w="70" w:type="dxa"/>
              <w:right w:w="100" w:type="dxa"/>
            </w:tcMar>
            <w:vAlign w:val="center"/>
          </w:tcPr>
          <w:p w14:paraId="59B3EC6A" w14:textId="77777777" w:rsidR="00DD60C8" w:rsidRDefault="00DD60C8" w:rsidP="00F96983">
            <w:pPr>
              <w:spacing w:after="0" w:line="240" w:lineRule="auto"/>
            </w:pPr>
            <w:r>
              <w:rPr>
                <w:rFonts w:ascii="Times New Roman" w:eastAsia="Times New Roman" w:hAnsi="Times New Roman"/>
                <w:color w:val="000000"/>
                <w:sz w:val="17"/>
              </w:rPr>
              <w:t>Longitudinal Computational Behavior</w:t>
            </w:r>
          </w:p>
        </w:tc>
        <w:tc>
          <w:tcPr>
            <w:tcW w:w="2520" w:type="dxa"/>
            <w:shd w:val="clear" w:color="auto" w:fill="FFFFFF"/>
            <w:tcMar>
              <w:top w:w="70" w:type="dxa"/>
              <w:left w:w="100" w:type="dxa"/>
              <w:bottom w:w="70" w:type="dxa"/>
              <w:right w:w="100" w:type="dxa"/>
            </w:tcMar>
            <w:vAlign w:val="center"/>
          </w:tcPr>
          <w:p w14:paraId="66817EDD" w14:textId="77777777" w:rsidR="00DD60C8" w:rsidRDefault="00DD60C8" w:rsidP="00F96983">
            <w:pPr>
              <w:spacing w:after="0" w:line="240" w:lineRule="auto"/>
            </w:pPr>
            <w:r>
              <w:rPr>
                <w:rFonts w:ascii="Times New Roman" w:eastAsia="Times New Roman" w:hAnsi="Times New Roman"/>
                <w:color w:val="000000"/>
                <w:sz w:val="17"/>
              </w:rPr>
              <w:t>Empirical object</w:t>
            </w:r>
          </w:p>
        </w:tc>
        <w:tc>
          <w:tcPr>
            <w:tcW w:w="4824" w:type="dxa"/>
            <w:shd w:val="clear" w:color="auto" w:fill="FFFFFF"/>
            <w:tcMar>
              <w:top w:w="70" w:type="dxa"/>
              <w:left w:w="100" w:type="dxa"/>
              <w:bottom w:w="70" w:type="dxa"/>
              <w:right w:w="100" w:type="dxa"/>
            </w:tcMar>
            <w:vAlign w:val="center"/>
          </w:tcPr>
          <w:p w14:paraId="10ECD4C1" w14:textId="77777777" w:rsidR="00DD60C8" w:rsidRDefault="00DD60C8" w:rsidP="00F96983">
            <w:pPr>
              <w:spacing w:after="0" w:line="240" w:lineRule="auto"/>
            </w:pPr>
            <w:r>
              <w:rPr>
                <w:rFonts w:ascii="Times New Roman" w:eastAsia="Times New Roman" w:hAnsi="Times New Roman"/>
                <w:color w:val="000000"/>
                <w:sz w:val="17"/>
              </w:rPr>
              <w:t>What source-bound trajectory of formation, motion, regimes, boundaries, and recovery developed?</w:t>
            </w:r>
          </w:p>
        </w:tc>
      </w:tr>
      <w:tr w:rsidR="00DD60C8" w14:paraId="2690261E" w14:textId="77777777">
        <w:trPr>
          <w:cantSplit/>
          <w:jc w:val="center"/>
        </w:trPr>
        <w:tc>
          <w:tcPr>
            <w:tcW w:w="2376" w:type="dxa"/>
            <w:shd w:val="clear" w:color="auto" w:fill="F6F9FB"/>
            <w:tcMar>
              <w:top w:w="70" w:type="dxa"/>
              <w:left w:w="100" w:type="dxa"/>
              <w:bottom w:w="70" w:type="dxa"/>
              <w:right w:w="100" w:type="dxa"/>
            </w:tcMar>
            <w:vAlign w:val="center"/>
          </w:tcPr>
          <w:p w14:paraId="79045EFA" w14:textId="77777777" w:rsidR="00DD60C8" w:rsidRDefault="00DD60C8" w:rsidP="00F96983">
            <w:pPr>
              <w:spacing w:after="0" w:line="240" w:lineRule="auto"/>
            </w:pPr>
            <w:r>
              <w:rPr>
                <w:rFonts w:ascii="Times New Roman" w:eastAsia="Times New Roman" w:hAnsi="Times New Roman"/>
                <w:color w:val="000000"/>
                <w:sz w:val="17"/>
              </w:rPr>
              <w:t>Runtime Evidence</w:t>
            </w:r>
          </w:p>
        </w:tc>
        <w:tc>
          <w:tcPr>
            <w:tcW w:w="2520" w:type="dxa"/>
            <w:shd w:val="clear" w:color="auto" w:fill="F6F9FB"/>
            <w:tcMar>
              <w:top w:w="70" w:type="dxa"/>
              <w:left w:w="100" w:type="dxa"/>
              <w:bottom w:w="70" w:type="dxa"/>
              <w:right w:w="100" w:type="dxa"/>
            </w:tcMar>
            <w:vAlign w:val="center"/>
          </w:tcPr>
          <w:p w14:paraId="37BC8F76" w14:textId="77777777" w:rsidR="00DD60C8" w:rsidRDefault="00DD60C8" w:rsidP="00F96983">
            <w:pPr>
              <w:spacing w:after="0" w:line="240" w:lineRule="auto"/>
            </w:pPr>
            <w:r>
              <w:rPr>
                <w:rFonts w:ascii="Times New Roman" w:eastAsia="Times New Roman" w:hAnsi="Times New Roman"/>
                <w:color w:val="000000"/>
                <w:sz w:val="17"/>
              </w:rPr>
              <w:t>Source-bound evidentiary object</w:t>
            </w:r>
          </w:p>
        </w:tc>
        <w:tc>
          <w:tcPr>
            <w:tcW w:w="4824" w:type="dxa"/>
            <w:shd w:val="clear" w:color="auto" w:fill="F6F9FB"/>
            <w:tcMar>
              <w:top w:w="70" w:type="dxa"/>
              <w:left w:w="100" w:type="dxa"/>
              <w:bottom w:w="70" w:type="dxa"/>
              <w:right w:w="100" w:type="dxa"/>
            </w:tcMar>
            <w:vAlign w:val="center"/>
          </w:tcPr>
          <w:p w14:paraId="57D87869" w14:textId="77777777" w:rsidR="00DD60C8" w:rsidRDefault="00DD60C8" w:rsidP="00F96983">
            <w:pPr>
              <w:spacing w:after="0" w:line="240" w:lineRule="auto"/>
            </w:pPr>
            <w:r>
              <w:rPr>
                <w:rFonts w:ascii="Times New Roman" w:eastAsia="Times New Roman" w:hAnsi="Times New Roman"/>
                <w:color w:val="000000"/>
                <w:sz w:val="17"/>
              </w:rPr>
              <w:t>What qualified record and declared methods support an inspectable reconstruction and its findings?</w:t>
            </w:r>
          </w:p>
        </w:tc>
      </w:tr>
      <w:tr w:rsidR="00DD60C8" w14:paraId="4411FEB1" w14:textId="77777777">
        <w:trPr>
          <w:cantSplit/>
          <w:jc w:val="center"/>
        </w:trPr>
        <w:tc>
          <w:tcPr>
            <w:tcW w:w="2376" w:type="dxa"/>
            <w:shd w:val="clear" w:color="auto" w:fill="FFFFFF"/>
            <w:tcMar>
              <w:top w:w="70" w:type="dxa"/>
              <w:left w:w="100" w:type="dxa"/>
              <w:bottom w:w="70" w:type="dxa"/>
              <w:right w:w="100" w:type="dxa"/>
            </w:tcMar>
            <w:vAlign w:val="center"/>
          </w:tcPr>
          <w:p w14:paraId="03131BCD" w14:textId="77777777" w:rsidR="00DD60C8" w:rsidRDefault="00DD60C8" w:rsidP="00F96983">
            <w:pPr>
              <w:spacing w:after="0" w:line="240" w:lineRule="auto"/>
            </w:pPr>
            <w:r>
              <w:rPr>
                <w:rFonts w:ascii="Times New Roman" w:eastAsia="Times New Roman" w:hAnsi="Times New Roman"/>
                <w:color w:val="000000"/>
                <w:sz w:val="17"/>
              </w:rPr>
              <w:t>Evidence-Governed Computation™</w:t>
            </w:r>
          </w:p>
        </w:tc>
        <w:tc>
          <w:tcPr>
            <w:tcW w:w="2520" w:type="dxa"/>
            <w:shd w:val="clear" w:color="auto" w:fill="FFFFFF"/>
            <w:tcMar>
              <w:top w:w="70" w:type="dxa"/>
              <w:left w:w="100" w:type="dxa"/>
              <w:bottom w:w="70" w:type="dxa"/>
              <w:right w:w="100" w:type="dxa"/>
            </w:tcMar>
            <w:vAlign w:val="center"/>
          </w:tcPr>
          <w:p w14:paraId="0F1E4538" w14:textId="77777777" w:rsidR="00DD60C8" w:rsidRDefault="00DD60C8" w:rsidP="00F96983">
            <w:pPr>
              <w:spacing w:after="0" w:line="240" w:lineRule="auto"/>
            </w:pPr>
            <w:r>
              <w:rPr>
                <w:rFonts w:ascii="Times New Roman" w:eastAsia="Times New Roman" w:hAnsi="Times New Roman"/>
                <w:color w:val="000000"/>
                <w:sz w:val="17"/>
              </w:rPr>
              <w:t>Architectural discipline</w:t>
            </w:r>
          </w:p>
        </w:tc>
        <w:tc>
          <w:tcPr>
            <w:tcW w:w="4824" w:type="dxa"/>
            <w:shd w:val="clear" w:color="auto" w:fill="FFFFFF"/>
            <w:tcMar>
              <w:top w:w="70" w:type="dxa"/>
              <w:left w:w="100" w:type="dxa"/>
              <w:bottom w:w="70" w:type="dxa"/>
              <w:right w:w="100" w:type="dxa"/>
            </w:tcMar>
            <w:vAlign w:val="center"/>
          </w:tcPr>
          <w:p w14:paraId="17521C3D" w14:textId="77777777" w:rsidR="00DD60C8" w:rsidRDefault="00DD60C8" w:rsidP="00F96983">
            <w:pPr>
              <w:spacing w:after="0" w:line="240" w:lineRule="auto"/>
            </w:pPr>
            <w:r>
              <w:rPr>
                <w:rFonts w:ascii="Times New Roman" w:eastAsia="Times New Roman" w:hAnsi="Times New Roman"/>
                <w:color w:val="000000"/>
                <w:sz w:val="17"/>
              </w:rPr>
              <w:t>What may the system legitimately compute, present, recommend, export, and preserve from that evidence?</w:t>
            </w:r>
          </w:p>
        </w:tc>
      </w:tr>
      <w:tr w:rsidR="00DD60C8" w14:paraId="4AE860EB" w14:textId="77777777">
        <w:trPr>
          <w:cantSplit/>
          <w:jc w:val="center"/>
        </w:trPr>
        <w:tc>
          <w:tcPr>
            <w:tcW w:w="2376" w:type="dxa"/>
            <w:shd w:val="clear" w:color="auto" w:fill="F6F9FB"/>
            <w:tcMar>
              <w:top w:w="70" w:type="dxa"/>
              <w:left w:w="100" w:type="dxa"/>
              <w:bottom w:w="70" w:type="dxa"/>
              <w:right w:w="100" w:type="dxa"/>
            </w:tcMar>
            <w:vAlign w:val="center"/>
          </w:tcPr>
          <w:p w14:paraId="01649E6D" w14:textId="77777777" w:rsidR="00DD60C8" w:rsidRDefault="00DD60C8" w:rsidP="00F96983">
            <w:pPr>
              <w:spacing w:after="0" w:line="240" w:lineRule="auto"/>
            </w:pPr>
            <w:r>
              <w:rPr>
                <w:rFonts w:ascii="Times New Roman" w:eastAsia="Times New Roman" w:hAnsi="Times New Roman"/>
                <w:color w:val="000000"/>
                <w:sz w:val="17"/>
              </w:rPr>
              <w:t>SubstrateX Aperture™</w:t>
            </w:r>
          </w:p>
        </w:tc>
        <w:tc>
          <w:tcPr>
            <w:tcW w:w="2520" w:type="dxa"/>
            <w:shd w:val="clear" w:color="auto" w:fill="F6F9FB"/>
            <w:tcMar>
              <w:top w:w="70" w:type="dxa"/>
              <w:left w:w="100" w:type="dxa"/>
              <w:bottom w:w="70" w:type="dxa"/>
              <w:right w:w="100" w:type="dxa"/>
            </w:tcMar>
            <w:vAlign w:val="center"/>
          </w:tcPr>
          <w:p w14:paraId="0C1E7213" w14:textId="77777777" w:rsidR="00DD60C8" w:rsidRDefault="00DD60C8" w:rsidP="00F96983">
            <w:pPr>
              <w:spacing w:after="0" w:line="240" w:lineRule="auto"/>
            </w:pPr>
            <w:r>
              <w:rPr>
                <w:rFonts w:ascii="Times New Roman" w:eastAsia="Times New Roman" w:hAnsi="Times New Roman"/>
                <w:color w:val="000000"/>
                <w:sz w:val="17"/>
              </w:rPr>
              <w:t>Implemented observatory and reference architecture</w:t>
            </w:r>
          </w:p>
        </w:tc>
        <w:tc>
          <w:tcPr>
            <w:tcW w:w="4824" w:type="dxa"/>
            <w:shd w:val="clear" w:color="auto" w:fill="F6F9FB"/>
            <w:tcMar>
              <w:top w:w="70" w:type="dxa"/>
              <w:left w:w="100" w:type="dxa"/>
              <w:bottom w:w="70" w:type="dxa"/>
              <w:right w:w="100" w:type="dxa"/>
            </w:tcMar>
            <w:vAlign w:val="center"/>
          </w:tcPr>
          <w:p w14:paraId="070AF868" w14:textId="77777777" w:rsidR="00DD60C8" w:rsidRDefault="00DD60C8" w:rsidP="00F96983">
            <w:pPr>
              <w:spacing w:after="0" w:line="240" w:lineRule="auto"/>
            </w:pPr>
            <w:r>
              <w:rPr>
                <w:rFonts w:ascii="Times New Roman" w:eastAsia="Times New Roman" w:hAnsi="Times New Roman"/>
                <w:color w:val="000000"/>
                <w:sz w:val="17"/>
              </w:rPr>
              <w:t>How can the scientific and evidentiary commitments operate in a working runtime evidence system?</w:t>
            </w:r>
          </w:p>
        </w:tc>
      </w:tr>
    </w:tbl>
    <w:p w14:paraId="4FDB033B" w14:textId="77777777" w:rsidR="00DD60C8" w:rsidRDefault="00DD60C8" w:rsidP="00DD60C8">
      <w:pPr>
        <w:spacing w:after="20"/>
      </w:pPr>
    </w:p>
    <w:p w14:paraId="2017C727" w14:textId="77777777" w:rsidR="00DD60C8" w:rsidRDefault="00DD60C8" w:rsidP="00DD60C8">
      <w:pPr>
        <w:spacing w:after="94"/>
      </w:pPr>
      <w:r>
        <w:rPr>
          <w:rFonts w:ascii="Times New Roman" w:eastAsia="Times New Roman" w:hAnsi="Times New Roman"/>
          <w:color w:val="000000"/>
          <w:sz w:val="20"/>
        </w:rPr>
        <w:t>The dependency is asymmetric. Longitudinal Computational Dynamics motivates the study of trajectories, regimes, boundary formation, and recovery, but EGC can govern other evidentiary domains. Runtime Evidence provides the principal evidence object for Aperture, but another domain may define a different qualified evidence object. Aperture demonstrates one integrated implementation of EGC; it does not define the limits of the discipline or validate every scientific construct merely by executing it.</w:t>
      </w:r>
    </w:p>
    <w:p w14:paraId="4B3FD90B" w14:textId="77777777" w:rsidR="00DD60C8" w:rsidRDefault="00DD60C8" w:rsidP="00DD60C8">
      <w:pPr>
        <w:spacing w:after="94"/>
      </w:pPr>
      <w:r>
        <w:rPr>
          <w:rFonts w:ascii="Times New Roman" w:eastAsia="Times New Roman" w:hAnsi="Times New Roman"/>
          <w:color w:val="000000"/>
          <w:sz w:val="20"/>
        </w:rPr>
        <w:t>The relationship can be stated compactly:</w:t>
      </w:r>
    </w:p>
    <w:p w14:paraId="6B764579" w14:textId="77777777" w:rsidR="00DD60C8" w:rsidRDefault="00DD60C8" w:rsidP="00DD60C8">
      <w:pPr>
        <w:spacing w:before="120"/>
        <w:ind w:left="720" w:right="720"/>
        <w:jc w:val="center"/>
      </w:pPr>
      <w:r>
        <w:rPr>
          <w:rFonts w:ascii="Times New Roman" w:eastAsia="Times New Roman" w:hAnsi="Times New Roman"/>
          <w:b/>
          <w:i/>
          <w:color w:val="17324D"/>
          <w:sz w:val="20"/>
        </w:rPr>
        <w:t>Intelligence in Motion™ → Longitudinal Computational Dynamics → Longitudinal Computational Behavior → Runtime Evidence → Evidence-Governed Computation™ → SubstrateX Aperture™</w:t>
      </w:r>
    </w:p>
    <w:p w14:paraId="335421ED"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5. Definitions and System Model</w:t>
      </w:r>
    </w:p>
    <w:p w14:paraId="3DA65B63" w14:textId="77777777" w:rsidR="00DD60C8" w:rsidRDefault="00DD60C8" w:rsidP="00DD60C8">
      <w:pPr>
        <w:pStyle w:val="Heading2"/>
      </w:pPr>
      <w:r>
        <w:rPr>
          <w:rFonts w:ascii="Arial" w:eastAsia="Times New Roman" w:hAnsi="Arial"/>
          <w:color w:val="000000"/>
          <w:sz w:val="23"/>
        </w:rPr>
        <w:t>Core definitions</w:t>
      </w:r>
    </w:p>
    <w:p w14:paraId="320CBA16" w14:textId="77777777" w:rsidR="00DD60C8" w:rsidRDefault="00DD60C8" w:rsidP="00DD60C8">
      <w:pPr>
        <w:keepLines/>
        <w:spacing w:after="94"/>
      </w:pPr>
      <w:r>
        <w:rPr>
          <w:rFonts w:ascii="Times New Roman" w:eastAsia="Times New Roman" w:hAnsi="Times New Roman"/>
          <w:b/>
          <w:color w:val="000000"/>
          <w:sz w:val="20"/>
        </w:rPr>
        <w:t>Evidence object.</w:t>
      </w:r>
      <w:r>
        <w:rPr>
          <w:rFonts w:ascii="Times New Roman" w:eastAsia="Times New Roman" w:hAnsi="Times New Roman"/>
          <w:color w:val="000000"/>
          <w:sz w:val="20"/>
        </w:rPr>
        <w:t xml:space="preserve"> An identified, versioned object containing or referencing qualified source material, canonical representations, provenance, method dependencies, missingness, and preservation state. Its authority is scoped to what those elements can support.</w:t>
      </w:r>
    </w:p>
    <w:p w14:paraId="2D4B9EA8" w14:textId="77777777" w:rsidR="00DD60C8" w:rsidRDefault="00DD60C8" w:rsidP="00DD60C8">
      <w:pPr>
        <w:spacing w:after="94"/>
      </w:pPr>
      <w:r>
        <w:rPr>
          <w:rFonts w:ascii="Times New Roman" w:eastAsia="Times New Roman" w:hAnsi="Times New Roman"/>
          <w:b/>
          <w:color w:val="000000"/>
          <w:sz w:val="20"/>
        </w:rPr>
        <w:t>Evidence authority.</w:t>
      </w:r>
      <w:r>
        <w:rPr>
          <w:rFonts w:ascii="Times New Roman" w:eastAsia="Times New Roman" w:hAnsi="Times New Roman"/>
          <w:color w:val="000000"/>
          <w:sz w:val="20"/>
        </w:rPr>
        <w:t xml:space="preserve"> The scoped computational permission to use an evidence object, under a declared contract, to support specified classes of claims. Evidence authority does not equal truth or institutional legitimacy.</w:t>
      </w:r>
    </w:p>
    <w:p w14:paraId="49126381" w14:textId="77777777" w:rsidR="00DD60C8" w:rsidRDefault="00DD60C8" w:rsidP="00DD60C8">
      <w:pPr>
        <w:spacing w:after="94"/>
      </w:pPr>
      <w:r>
        <w:rPr>
          <w:rFonts w:ascii="Times New Roman" w:eastAsia="Times New Roman" w:hAnsi="Times New Roman"/>
          <w:b/>
          <w:color w:val="000000"/>
          <w:sz w:val="20"/>
        </w:rPr>
        <w:t>Claim.</w:t>
      </w:r>
      <w:r>
        <w:rPr>
          <w:rFonts w:ascii="Times New Roman" w:eastAsia="Times New Roman" w:hAnsi="Times New Roman"/>
          <w:color w:val="000000"/>
          <w:sz w:val="20"/>
        </w:rPr>
        <w:t xml:space="preserve"> A normalized proposition presented or made available by the system as having an evidentiary status. Numerical measurements, categorical labels, chart titles, narrative statements, recommendations, and export assertions may all instantiate claims.</w:t>
      </w:r>
    </w:p>
    <w:p w14:paraId="618028D9" w14:textId="77777777" w:rsidR="00DD60C8" w:rsidRDefault="00DD60C8" w:rsidP="00DD60C8">
      <w:pPr>
        <w:spacing w:after="94"/>
      </w:pPr>
      <w:r>
        <w:rPr>
          <w:rFonts w:ascii="Times New Roman" w:eastAsia="Times New Roman" w:hAnsi="Times New Roman"/>
          <w:b/>
          <w:color w:val="000000"/>
          <w:sz w:val="20"/>
        </w:rPr>
        <w:t>Claim admissibility.</w:t>
      </w:r>
      <w:r>
        <w:rPr>
          <w:rFonts w:ascii="Times New Roman" w:eastAsia="Times New Roman" w:hAnsi="Times New Roman"/>
          <w:color w:val="000000"/>
          <w:sz w:val="20"/>
        </w:rPr>
        <w:t xml:space="preserve"> The result of evaluating whether a claim satisfies its source, qualification, method, scope, boundary, uncertainty, and lineage requirements under a computation contract.</w:t>
      </w:r>
    </w:p>
    <w:p w14:paraId="0CABF6A2" w14:textId="77777777" w:rsidR="00DD60C8" w:rsidRDefault="00DD60C8" w:rsidP="00DD60C8">
      <w:pPr>
        <w:spacing w:after="94"/>
      </w:pPr>
      <w:r>
        <w:rPr>
          <w:rFonts w:ascii="Times New Roman" w:eastAsia="Times New Roman" w:hAnsi="Times New Roman"/>
          <w:b/>
          <w:color w:val="000000"/>
          <w:sz w:val="20"/>
        </w:rPr>
        <w:t>Authoritative output.</w:t>
      </w:r>
      <w:r>
        <w:rPr>
          <w:rFonts w:ascii="Times New Roman" w:eastAsia="Times New Roman" w:hAnsi="Times New Roman"/>
          <w:color w:val="000000"/>
          <w:sz w:val="20"/>
        </w:rPr>
        <w:t xml:space="preserve"> Any output a system presents as evidence-supported or permits a downstream consumer to treat as such. Decorative, exploratory, or operator-authored material is not authoritative unless explicitly promoted through the admissibility process.</w:t>
      </w:r>
    </w:p>
    <w:p w14:paraId="3C216A9C" w14:textId="77777777" w:rsidR="00DD60C8" w:rsidRDefault="00DD60C8" w:rsidP="00DD60C8">
      <w:pPr>
        <w:spacing w:after="94"/>
      </w:pPr>
      <w:r>
        <w:rPr>
          <w:rFonts w:ascii="Times New Roman" w:eastAsia="Times New Roman" w:hAnsi="Times New Roman"/>
          <w:b/>
          <w:color w:val="000000"/>
          <w:sz w:val="20"/>
        </w:rPr>
        <w:t>Computation contract.</w:t>
      </w:r>
      <w:r>
        <w:rPr>
          <w:rFonts w:ascii="Times New Roman" w:eastAsia="Times New Roman" w:hAnsi="Times New Roman"/>
          <w:color w:val="000000"/>
          <w:sz w:val="20"/>
        </w:rPr>
        <w:t xml:space="preserve"> The versioned specification of canonicalization, eligible inputs, transformations, thresholds, dependencies, claim rules, missingness behavior, deterministic scope, and export obligations governing a computation.</w:t>
      </w:r>
    </w:p>
    <w:p w14:paraId="6903C0A1" w14:textId="77777777" w:rsidR="00DD60C8" w:rsidRDefault="00DD60C8" w:rsidP="00DD60C8">
      <w:pPr>
        <w:spacing w:after="94"/>
      </w:pPr>
      <w:r>
        <w:rPr>
          <w:rFonts w:ascii="Times New Roman" w:eastAsia="Times New Roman" w:hAnsi="Times New Roman"/>
          <w:b/>
          <w:color w:val="000000"/>
          <w:sz w:val="20"/>
        </w:rPr>
        <w:t>Instrument.</w:t>
      </w:r>
      <w:r>
        <w:rPr>
          <w:rFonts w:ascii="Times New Roman" w:eastAsia="Times New Roman" w:hAnsi="Times New Roman"/>
          <w:color w:val="000000"/>
          <w:sz w:val="20"/>
        </w:rPr>
        <w:t xml:space="preserve"> A bounded computational component that reads declared fields, performs declared transformations, and emits typed outputs under an instrument contract.</w:t>
      </w:r>
    </w:p>
    <w:p w14:paraId="5001D826" w14:textId="77777777" w:rsidR="00DD60C8" w:rsidRDefault="00DD60C8" w:rsidP="00DD60C8">
      <w:pPr>
        <w:spacing w:after="94"/>
      </w:pPr>
      <w:r>
        <w:rPr>
          <w:rFonts w:ascii="Times New Roman" w:eastAsia="Times New Roman" w:hAnsi="Times New Roman"/>
          <w:b/>
          <w:color w:val="000000"/>
          <w:sz w:val="20"/>
        </w:rPr>
        <w:t>Projection.</w:t>
      </w:r>
      <w:r>
        <w:rPr>
          <w:rFonts w:ascii="Times New Roman" w:eastAsia="Times New Roman" w:hAnsi="Times New Roman"/>
          <w:color w:val="000000"/>
          <w:sz w:val="20"/>
        </w:rPr>
        <w:t xml:space="preserve"> A view, transformation, or representation of authorized evidence and claims for a defined analytical or operational purpose.</w:t>
      </w:r>
    </w:p>
    <w:p w14:paraId="71CE06B7" w14:textId="77777777" w:rsidR="00DD60C8" w:rsidRDefault="00DD60C8" w:rsidP="00DD60C8">
      <w:pPr>
        <w:spacing w:after="94"/>
      </w:pPr>
      <w:r>
        <w:rPr>
          <w:rFonts w:ascii="Times New Roman" w:eastAsia="Times New Roman" w:hAnsi="Times New Roman"/>
          <w:b/>
          <w:color w:val="000000"/>
          <w:sz w:val="20"/>
        </w:rPr>
        <w:t>Surface.</w:t>
      </w:r>
      <w:r>
        <w:rPr>
          <w:rFonts w:ascii="Times New Roman" w:eastAsia="Times New Roman" w:hAnsi="Times New Roman"/>
          <w:color w:val="000000"/>
          <w:sz w:val="20"/>
        </w:rPr>
        <w:t xml:space="preserve"> Any location through which a claim can leave the governed core, including a user interface, chart, API response, alert, generated narrative, report, or export.</w:t>
      </w:r>
    </w:p>
    <w:p w14:paraId="07E47D51" w14:textId="77777777" w:rsidR="00DD60C8" w:rsidRDefault="00DD60C8" w:rsidP="00DD60C8">
      <w:pPr>
        <w:spacing w:after="94"/>
      </w:pPr>
      <w:r>
        <w:rPr>
          <w:rFonts w:ascii="Times New Roman" w:eastAsia="Times New Roman" w:hAnsi="Times New Roman"/>
          <w:b/>
          <w:color w:val="000000"/>
          <w:sz w:val="20"/>
        </w:rPr>
        <w:t>Claim boundary.</w:t>
      </w:r>
      <w:r>
        <w:rPr>
          <w:rFonts w:ascii="Times New Roman" w:eastAsia="Times New Roman" w:hAnsi="Times New Roman"/>
          <w:color w:val="000000"/>
          <w:sz w:val="20"/>
        </w:rPr>
        <w:t xml:space="preserve"> The executable limit specifying what a claim may and may not assert, including its temporal scope, operational scope, evidence class, uncertainty, exclusions, and prohibited interpretations.</w:t>
      </w:r>
    </w:p>
    <w:p w14:paraId="63A83004" w14:textId="77777777" w:rsidR="00DD60C8" w:rsidRDefault="00DD60C8" w:rsidP="00DD60C8">
      <w:pPr>
        <w:spacing w:after="94"/>
      </w:pPr>
      <w:r>
        <w:rPr>
          <w:rFonts w:ascii="Times New Roman" w:eastAsia="Times New Roman" w:hAnsi="Times New Roman"/>
          <w:b/>
          <w:color w:val="000000"/>
          <w:sz w:val="20"/>
        </w:rPr>
        <w:t>Challenge.</w:t>
      </w:r>
      <w:r>
        <w:rPr>
          <w:rFonts w:ascii="Times New Roman" w:eastAsia="Times New Roman" w:hAnsi="Times New Roman"/>
          <w:color w:val="000000"/>
          <w:sz w:val="20"/>
        </w:rPr>
        <w:t xml:space="preserve"> A preserved objection to a claim, method, source, scope, or status, supported by a reason and optionally by counterevidence.</w:t>
      </w:r>
    </w:p>
    <w:p w14:paraId="4646EE02" w14:textId="77777777" w:rsidR="00DD60C8" w:rsidRDefault="00DD60C8" w:rsidP="00DD60C8">
      <w:pPr>
        <w:pStyle w:val="Heading2"/>
      </w:pPr>
      <w:r>
        <w:rPr>
          <w:rFonts w:ascii="Arial" w:eastAsia="Times New Roman" w:hAnsi="Arial"/>
          <w:color w:val="000000"/>
          <w:sz w:val="23"/>
        </w:rPr>
        <w:t>Formal system</w:t>
      </w:r>
    </w:p>
    <w:p w14:paraId="2A25936D" w14:textId="77777777" w:rsidR="00DD60C8" w:rsidRDefault="00DD60C8" w:rsidP="00DD60C8">
      <w:pPr>
        <w:keepLines/>
        <w:spacing w:after="94"/>
      </w:pPr>
      <w:r>
        <w:rPr>
          <w:rFonts w:ascii="Times New Roman" w:eastAsia="Times New Roman" w:hAnsi="Times New Roman"/>
          <w:color w:val="000000"/>
          <w:sz w:val="20"/>
        </w:rPr>
        <w:t>An evidence-governed system is represented as:</w:t>
      </w:r>
    </w:p>
    <w:p w14:paraId="7E95881F" w14:textId="77777777" w:rsidR="00DD60C8" w:rsidRDefault="00DD60C8" w:rsidP="00DD60C8">
      <w:pPr>
        <w:spacing w:after="94"/>
      </w:pPr>
      <w:r>
        <w:rPr>
          <w:rFonts w:ascii="Times New Roman" w:eastAsia="Times New Roman" w:hAnsi="Times New Roman"/>
          <w:color w:val="000000"/>
          <w:sz w:val="20"/>
        </w:rPr>
        <w:t>ΣEGC = (E, C, A, I, Π, G, X)</w:t>
      </w:r>
    </w:p>
    <w:p w14:paraId="4994110F" w14:textId="77777777" w:rsidR="00DD60C8" w:rsidRDefault="00DD60C8" w:rsidP="00DD60C8">
      <w:pPr>
        <w:spacing w:after="94"/>
      </w:pPr>
      <w:r>
        <w:rPr>
          <w:rFonts w:ascii="Times New Roman" w:eastAsia="Times New Roman" w:hAnsi="Times New Roman"/>
          <w:color w:val="000000"/>
          <w:sz w:val="20"/>
        </w:rPr>
        <w:t>where:</w:t>
      </w:r>
    </w:p>
    <w:p w14:paraId="505F59C5"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E</w:t>
      </w:r>
      <w:r>
        <w:rPr>
          <w:rFonts w:ascii="Times New Roman" w:eastAsia="Times New Roman" w:hAnsi="Times New Roman"/>
          <w:color w:val="000000"/>
          <w:sz w:val="19"/>
        </w:rPr>
        <w:t xml:space="preserve"> is the active evidence object or evidence set;</w:t>
      </w:r>
    </w:p>
    <w:p w14:paraId="7503B4ED"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C</w:t>
      </w:r>
      <w:r>
        <w:rPr>
          <w:rFonts w:ascii="Times New Roman" w:eastAsia="Times New Roman" w:hAnsi="Times New Roman"/>
          <w:color w:val="000000"/>
          <w:sz w:val="19"/>
        </w:rPr>
        <w:t xml:space="preserve"> is the computation contract;</w:t>
      </w:r>
    </w:p>
    <w:p w14:paraId="2A40EA8D"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A</w:t>
      </w:r>
      <w:r>
        <w:rPr>
          <w:rFonts w:ascii="Times New Roman" w:eastAsia="Times New Roman" w:hAnsi="Times New Roman"/>
          <w:color w:val="000000"/>
          <w:sz w:val="19"/>
        </w:rPr>
        <w:t xml:space="preserve"> is the authority and admissibility policy;</w:t>
      </w:r>
    </w:p>
    <w:p w14:paraId="1772DFD8"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I</w:t>
      </w:r>
      <w:r>
        <w:rPr>
          <w:rFonts w:ascii="Times New Roman" w:eastAsia="Times New Roman" w:hAnsi="Times New Roman"/>
          <w:color w:val="000000"/>
          <w:sz w:val="19"/>
        </w:rPr>
        <w:t xml:space="preserve"> is the set of instrument contracts;</w:t>
      </w:r>
    </w:p>
    <w:p w14:paraId="2D0212EC"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Π</w:t>
      </w:r>
      <w:r>
        <w:rPr>
          <w:rFonts w:ascii="Times New Roman" w:eastAsia="Times New Roman" w:hAnsi="Times New Roman"/>
          <w:color w:val="000000"/>
          <w:sz w:val="19"/>
        </w:rPr>
        <w:t xml:space="preserve"> is the set of bounded projections;</w:t>
      </w:r>
    </w:p>
    <w:p w14:paraId="439CBD14"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G</w:t>
      </w:r>
      <w:r>
        <w:rPr>
          <w:rFonts w:ascii="Times New Roman" w:eastAsia="Times New Roman" w:hAnsi="Times New Roman"/>
          <w:color w:val="000000"/>
          <w:sz w:val="19"/>
        </w:rPr>
        <w:t xml:space="preserve"> is the set of governed egress surfaces; and</w:t>
      </w:r>
    </w:p>
    <w:p w14:paraId="6F0E7DD5"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X</w:t>
      </w:r>
      <w:r>
        <w:rPr>
          <w:rFonts w:ascii="Times New Roman" w:eastAsia="Times New Roman" w:hAnsi="Times New Roman"/>
          <w:color w:val="000000"/>
          <w:sz w:val="19"/>
        </w:rPr>
        <w:t xml:space="preserve"> is the export, preservation, and challenge subsystem.</w:t>
      </w:r>
    </w:p>
    <w:p w14:paraId="19FE3EDB" w14:textId="77777777" w:rsidR="00DD60C8" w:rsidRDefault="00DD60C8" w:rsidP="00DD60C8">
      <w:pPr>
        <w:spacing w:after="94"/>
      </w:pPr>
      <w:r>
        <w:rPr>
          <w:rFonts w:ascii="Times New Roman" w:eastAsia="Times New Roman" w:hAnsi="Times New Roman"/>
          <w:color w:val="000000"/>
          <w:sz w:val="20"/>
        </w:rPr>
        <w:t xml:space="preserve">Let </w:t>
      </w:r>
      <w:r>
        <w:rPr>
          <w:rFonts w:ascii="Times New Roman" w:eastAsia="Times New Roman" w:hAnsi="Times New Roman"/>
          <w:b/>
          <w:color w:val="000000"/>
          <w:sz w:val="20"/>
        </w:rPr>
        <w:t>Oauth</w:t>
      </w:r>
      <w:r>
        <w:rPr>
          <w:rFonts w:ascii="Times New Roman" w:eastAsia="Times New Roman" w:hAnsi="Times New Roman"/>
          <w:color w:val="000000"/>
          <w:sz w:val="20"/>
        </w:rPr>
        <w:t xml:space="preserve"> be the set of outputs that the system presents as authoritative. The system is evidence-governed under contract </w:t>
      </w:r>
      <w:r>
        <w:rPr>
          <w:rFonts w:ascii="Times New Roman" w:eastAsia="Times New Roman" w:hAnsi="Times New Roman"/>
          <w:b/>
          <w:color w:val="000000"/>
          <w:sz w:val="20"/>
        </w:rPr>
        <w:t>C</w:t>
      </w:r>
      <w:r>
        <w:rPr>
          <w:rFonts w:ascii="Times New Roman" w:eastAsia="Times New Roman" w:hAnsi="Times New Roman"/>
          <w:color w:val="000000"/>
          <w:sz w:val="20"/>
        </w:rPr>
        <w:t xml:space="preserve"> when every such output is traceable, bounded, status-bearing, and preservable:</w:t>
      </w:r>
    </w:p>
    <w:p w14:paraId="49BE0F61" w14:textId="77777777" w:rsidR="00DD60C8" w:rsidRDefault="00DD60C8" w:rsidP="00DD60C8">
      <w:pPr>
        <w:spacing w:after="94"/>
      </w:pPr>
      <w:r>
        <w:rPr>
          <w:rFonts w:ascii="Times New Roman" w:eastAsia="Times New Roman" w:hAnsi="Times New Roman"/>
          <w:color w:val="000000"/>
          <w:sz w:val="20"/>
        </w:rPr>
        <w:t>EG(C; Σ,E) ⇔ ∀ o ∈ Oauth : Trace\[C\](o,E) ∧ Bound\[C\](o) ∧ Status\[C\](o) ∧ Preserve\[C\](o)</w:t>
      </w:r>
    </w:p>
    <w:p w14:paraId="1B60E271" w14:textId="77777777" w:rsidR="00DD60C8" w:rsidRDefault="00DD60C8" w:rsidP="00DD60C8">
      <w:pPr>
        <w:spacing w:after="94"/>
      </w:pPr>
      <w:r>
        <w:rPr>
          <w:rFonts w:ascii="Times New Roman" w:eastAsia="Times New Roman" w:hAnsi="Times New Roman"/>
          <w:color w:val="000000"/>
          <w:sz w:val="20"/>
        </w:rPr>
        <w:t>This condition is architectural, not metaphysical. It establishes whether the system maintains an inspectable authority path. It does not establish that every admitted proposition is true.</w:t>
      </w:r>
    </w:p>
    <w:p w14:paraId="6EDBD999" w14:textId="77777777" w:rsidR="00DD60C8" w:rsidRDefault="00DD60C8" w:rsidP="00DD60C8">
      <w:pPr>
        <w:pStyle w:val="Heading2"/>
      </w:pPr>
      <w:r>
        <w:rPr>
          <w:rFonts w:ascii="Arial" w:eastAsia="Times New Roman" w:hAnsi="Arial"/>
          <w:color w:val="000000"/>
          <w:sz w:val="23"/>
        </w:rPr>
        <w:t>Evidence authority and lifecycle objects</w:t>
      </w:r>
    </w:p>
    <w:p w14:paraId="0337A68A" w14:textId="77777777" w:rsidR="00DD60C8" w:rsidRDefault="00DD60C8" w:rsidP="00DD60C8">
      <w:pPr>
        <w:keepLines/>
        <w:spacing w:after="94"/>
      </w:pPr>
      <w:r>
        <w:rPr>
          <w:rFonts w:ascii="Times New Roman" w:eastAsia="Times New Roman" w:hAnsi="Times New Roman"/>
          <w:color w:val="000000"/>
          <w:sz w:val="20"/>
        </w:rPr>
        <w:t>The implementation-neutral evidence authority may be modeled as:</w:t>
      </w:r>
    </w:p>
    <w:p w14:paraId="08FCBB9A" w14:textId="77777777" w:rsidR="00DD60C8" w:rsidRDefault="00DD60C8" w:rsidP="00DD60C8">
      <w:pPr>
        <w:spacing w:after="94"/>
      </w:pPr>
      <w:r>
        <w:rPr>
          <w:rFonts w:ascii="Times New Roman" w:eastAsia="Times New Roman" w:hAnsi="Times New Roman"/>
          <w:color w:val="000000"/>
          <w:sz w:val="20"/>
        </w:rPr>
        <w:t>E = (ι, S, Q, R, P, M, K, V)</w:t>
      </w:r>
    </w:p>
    <w:p w14:paraId="62B5B0A7" w14:textId="77777777" w:rsidR="00DD60C8" w:rsidRDefault="00DD60C8" w:rsidP="00DD60C8">
      <w:pPr>
        <w:spacing w:after="94"/>
      </w:pPr>
      <w:r>
        <w:rPr>
          <w:rFonts w:ascii="Times New Roman" w:eastAsia="Times New Roman" w:hAnsi="Times New Roman"/>
          <w:color w:val="000000"/>
          <w:sz w:val="20"/>
        </w:rPr>
        <w:t xml:space="preserve">where </w:t>
      </w:r>
      <w:r>
        <w:rPr>
          <w:rFonts w:ascii="Times New Roman" w:eastAsia="Times New Roman" w:hAnsi="Times New Roman"/>
          <w:b/>
          <w:color w:val="000000"/>
          <w:sz w:val="20"/>
        </w:rPr>
        <w:t>ι</w:t>
      </w:r>
      <w:r>
        <w:rPr>
          <w:rFonts w:ascii="Times New Roman" w:eastAsia="Times New Roman" w:hAnsi="Times New Roman"/>
          <w:color w:val="000000"/>
          <w:sz w:val="20"/>
        </w:rPr>
        <w:t xml:space="preserve"> is canonical identity; </w:t>
      </w:r>
      <w:r>
        <w:rPr>
          <w:rFonts w:ascii="Times New Roman" w:eastAsia="Times New Roman" w:hAnsi="Times New Roman"/>
          <w:b/>
          <w:color w:val="000000"/>
          <w:sz w:val="20"/>
        </w:rPr>
        <w:t>S</w:t>
      </w:r>
      <w:r>
        <w:rPr>
          <w:rFonts w:ascii="Times New Roman" w:eastAsia="Times New Roman" w:hAnsi="Times New Roman"/>
          <w:color w:val="000000"/>
          <w:sz w:val="20"/>
        </w:rPr>
        <w:t xml:space="preserve"> is the preserved source package; </w:t>
      </w:r>
      <w:r>
        <w:rPr>
          <w:rFonts w:ascii="Times New Roman" w:eastAsia="Times New Roman" w:hAnsi="Times New Roman"/>
          <w:b/>
          <w:color w:val="000000"/>
          <w:sz w:val="20"/>
        </w:rPr>
        <w:t>Q</w:t>
      </w:r>
      <w:r>
        <w:rPr>
          <w:rFonts w:ascii="Times New Roman" w:eastAsia="Times New Roman" w:hAnsi="Times New Roman"/>
          <w:color w:val="000000"/>
          <w:sz w:val="20"/>
        </w:rPr>
        <w:t xml:space="preserve"> is qualification state; </w:t>
      </w:r>
      <w:r>
        <w:rPr>
          <w:rFonts w:ascii="Times New Roman" w:eastAsia="Times New Roman" w:hAnsi="Times New Roman"/>
          <w:b/>
          <w:color w:val="000000"/>
          <w:sz w:val="20"/>
        </w:rPr>
        <w:t>R</w:t>
      </w:r>
      <w:r>
        <w:rPr>
          <w:rFonts w:ascii="Times New Roman" w:eastAsia="Times New Roman" w:hAnsi="Times New Roman"/>
          <w:color w:val="000000"/>
          <w:sz w:val="20"/>
        </w:rPr>
        <w:t xml:space="preserve"> is the canonical record; </w:t>
      </w:r>
      <w:r>
        <w:rPr>
          <w:rFonts w:ascii="Times New Roman" w:eastAsia="Times New Roman" w:hAnsi="Times New Roman"/>
          <w:b/>
          <w:color w:val="000000"/>
          <w:sz w:val="20"/>
        </w:rPr>
        <w:t>P</w:t>
      </w:r>
      <w:r>
        <w:rPr>
          <w:rFonts w:ascii="Times New Roman" w:eastAsia="Times New Roman" w:hAnsi="Times New Roman"/>
          <w:color w:val="000000"/>
          <w:sz w:val="20"/>
        </w:rPr>
        <w:t xml:space="preserve"> is the provenance and derivation graph; </w:t>
      </w:r>
      <w:r>
        <w:rPr>
          <w:rFonts w:ascii="Times New Roman" w:eastAsia="Times New Roman" w:hAnsi="Times New Roman"/>
          <w:b/>
          <w:color w:val="000000"/>
          <w:sz w:val="20"/>
        </w:rPr>
        <w:t>M</w:t>
      </w:r>
      <w:r>
        <w:rPr>
          <w:rFonts w:ascii="Times New Roman" w:eastAsia="Times New Roman" w:hAnsi="Times New Roman"/>
          <w:color w:val="000000"/>
          <w:sz w:val="20"/>
        </w:rPr>
        <w:t xml:space="preserve"> is missingness, ambiguity, and uncertainty metadata; </w:t>
      </w:r>
      <w:r>
        <w:rPr>
          <w:rFonts w:ascii="Times New Roman" w:eastAsia="Times New Roman" w:hAnsi="Times New Roman"/>
          <w:b/>
          <w:color w:val="000000"/>
          <w:sz w:val="20"/>
        </w:rPr>
        <w:t>K</w:t>
      </w:r>
      <w:r>
        <w:rPr>
          <w:rFonts w:ascii="Times New Roman" w:eastAsia="Times New Roman" w:hAnsi="Times New Roman"/>
          <w:color w:val="000000"/>
          <w:sz w:val="20"/>
        </w:rPr>
        <w:t xml:space="preserve"> identifies the computation contract and required dependencies; and </w:t>
      </w:r>
      <w:r>
        <w:rPr>
          <w:rFonts w:ascii="Times New Roman" w:eastAsia="Times New Roman" w:hAnsi="Times New Roman"/>
          <w:b/>
          <w:color w:val="000000"/>
          <w:sz w:val="20"/>
        </w:rPr>
        <w:t>V</w:t>
      </w:r>
      <w:r>
        <w:rPr>
          <w:rFonts w:ascii="Times New Roman" w:eastAsia="Times New Roman" w:hAnsi="Times New Roman"/>
          <w:color w:val="000000"/>
          <w:sz w:val="20"/>
        </w:rPr>
        <w:t xml:space="preserve"> is version and preservation state.</w:t>
      </w:r>
    </w:p>
    <w:p w14:paraId="6F46DFDB" w14:textId="77777777" w:rsidR="00DD60C8" w:rsidRDefault="00DD60C8" w:rsidP="00DD60C8">
      <w:pPr>
        <w:spacing w:after="94"/>
      </w:pPr>
      <w:r>
        <w:rPr>
          <w:rFonts w:ascii="Times New Roman" w:eastAsia="Times New Roman" w:hAnsi="Times New Roman"/>
          <w:color w:val="000000"/>
          <w:sz w:val="20"/>
        </w:rPr>
        <w:t>The evidence object need not imply that all included materials agree. It may contain conflicting timestamps, competing role declarations, incomplete spans, or contradictory source statements. A single evidence authority is not a single story. It is one governed object within which conflict, absence, and competing interpretations remain explicit.</w:t>
      </w:r>
    </w:p>
    <w:p w14:paraId="0D06C661" w14:textId="77777777" w:rsidR="00DD60C8" w:rsidRDefault="00DD60C8" w:rsidP="00DD60C8">
      <w:pPr>
        <w:spacing w:after="94"/>
      </w:pPr>
      <w:r>
        <w:rPr>
          <w:rFonts w:ascii="Times New Roman" w:eastAsia="Times New Roman" w:hAnsi="Times New Roman"/>
          <w:color w:val="000000"/>
          <w:sz w:val="20"/>
        </w:rPr>
        <w:t>An implementation may realize this authority through several lifecycle objects. Aperture uses the following distinctions:</w:t>
      </w:r>
    </w:p>
    <w:p w14:paraId="57F5276B" w14:textId="77777777" w:rsidR="00DD60C8" w:rsidRDefault="00DD60C8" w:rsidP="00DD60C8">
      <w:pPr>
        <w:keepNext/>
        <w:spacing w:before="140" w:after="80"/>
      </w:pPr>
      <w:r>
        <w:rPr>
          <w:rFonts w:ascii="Times New Roman" w:eastAsia="Times New Roman" w:hAnsi="Times New Roman"/>
          <w:i/>
          <w:color w:val="66717C"/>
          <w:sz w:val="18"/>
        </w:rPr>
        <w:t>Table 2. Evidence authority lifecycle objects and their boundaries.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3528"/>
        <w:gridCol w:w="3960"/>
      </w:tblGrid>
      <w:tr w:rsidR="00DD60C8" w14:paraId="4A69AABC" w14:textId="77777777">
        <w:trPr>
          <w:cantSplit/>
          <w:tblHeader/>
          <w:jc w:val="center"/>
        </w:trPr>
        <w:tc>
          <w:tcPr>
            <w:tcW w:w="2232" w:type="dxa"/>
            <w:shd w:val="clear" w:color="auto" w:fill="17324D"/>
            <w:tcMar>
              <w:top w:w="70" w:type="dxa"/>
              <w:left w:w="100" w:type="dxa"/>
              <w:bottom w:w="70" w:type="dxa"/>
              <w:right w:w="100" w:type="dxa"/>
            </w:tcMar>
            <w:vAlign w:val="center"/>
          </w:tcPr>
          <w:p w14:paraId="72F605D7" w14:textId="77777777" w:rsidR="00DD60C8" w:rsidRDefault="00DD60C8" w:rsidP="00F96983">
            <w:pPr>
              <w:spacing w:after="0" w:line="240" w:lineRule="auto"/>
            </w:pPr>
            <w:r>
              <w:rPr>
                <w:rFonts w:ascii="Arial" w:eastAsia="Times New Roman" w:hAnsi="Arial"/>
                <w:b/>
                <w:color w:val="FFFFFF"/>
                <w:sz w:val="17"/>
              </w:rPr>
              <w:t>Object</w:t>
            </w:r>
          </w:p>
        </w:tc>
        <w:tc>
          <w:tcPr>
            <w:tcW w:w="3528" w:type="dxa"/>
            <w:shd w:val="clear" w:color="auto" w:fill="17324D"/>
            <w:tcMar>
              <w:top w:w="70" w:type="dxa"/>
              <w:left w:w="100" w:type="dxa"/>
              <w:bottom w:w="70" w:type="dxa"/>
              <w:right w:w="100" w:type="dxa"/>
            </w:tcMar>
            <w:vAlign w:val="center"/>
          </w:tcPr>
          <w:p w14:paraId="634AFE5E" w14:textId="77777777" w:rsidR="00DD60C8" w:rsidRDefault="00DD60C8" w:rsidP="00F96983">
            <w:pPr>
              <w:spacing w:after="0" w:line="240" w:lineRule="auto"/>
            </w:pPr>
            <w:r>
              <w:rPr>
                <w:rFonts w:ascii="Arial" w:eastAsia="Times New Roman" w:hAnsi="Arial"/>
                <w:b/>
                <w:color w:val="FFFFFF"/>
                <w:sz w:val="17"/>
              </w:rPr>
              <w:t>Responsibility</w:t>
            </w:r>
          </w:p>
        </w:tc>
        <w:tc>
          <w:tcPr>
            <w:tcW w:w="3960" w:type="dxa"/>
            <w:shd w:val="clear" w:color="auto" w:fill="17324D"/>
            <w:tcMar>
              <w:top w:w="70" w:type="dxa"/>
              <w:left w:w="100" w:type="dxa"/>
              <w:bottom w:w="70" w:type="dxa"/>
              <w:right w:w="100" w:type="dxa"/>
            </w:tcMar>
            <w:vAlign w:val="center"/>
          </w:tcPr>
          <w:p w14:paraId="4F0D4054" w14:textId="77777777" w:rsidR="00DD60C8" w:rsidRDefault="00DD60C8" w:rsidP="00F96983">
            <w:pPr>
              <w:spacing w:after="0" w:line="240" w:lineRule="auto"/>
            </w:pPr>
            <w:r>
              <w:rPr>
                <w:rFonts w:ascii="Arial" w:eastAsia="Times New Roman" w:hAnsi="Arial"/>
                <w:b/>
                <w:color w:val="FFFFFF"/>
                <w:sz w:val="17"/>
              </w:rPr>
              <w:t>Authority boundary</w:t>
            </w:r>
          </w:p>
        </w:tc>
      </w:tr>
      <w:tr w:rsidR="00DD60C8" w14:paraId="3652CD51" w14:textId="77777777">
        <w:trPr>
          <w:cantSplit/>
          <w:jc w:val="center"/>
        </w:trPr>
        <w:tc>
          <w:tcPr>
            <w:tcW w:w="2232" w:type="dxa"/>
            <w:shd w:val="clear" w:color="auto" w:fill="FFFFFF"/>
            <w:tcMar>
              <w:top w:w="70" w:type="dxa"/>
              <w:left w:w="100" w:type="dxa"/>
              <w:bottom w:w="70" w:type="dxa"/>
              <w:right w:w="100" w:type="dxa"/>
            </w:tcMar>
            <w:vAlign w:val="center"/>
          </w:tcPr>
          <w:p w14:paraId="52C7CE6E" w14:textId="77777777" w:rsidR="00DD60C8" w:rsidRDefault="00DD60C8" w:rsidP="00F96983">
            <w:pPr>
              <w:spacing w:after="0" w:line="240" w:lineRule="auto"/>
            </w:pPr>
            <w:r>
              <w:rPr>
                <w:rFonts w:ascii="Times New Roman" w:eastAsia="Times New Roman" w:hAnsi="Times New Roman"/>
                <w:color w:val="000000"/>
                <w:sz w:val="17"/>
              </w:rPr>
              <w:t>Current Evidence Run</w:t>
            </w:r>
          </w:p>
        </w:tc>
        <w:tc>
          <w:tcPr>
            <w:tcW w:w="3528" w:type="dxa"/>
            <w:shd w:val="clear" w:color="auto" w:fill="FFFFFF"/>
            <w:tcMar>
              <w:top w:w="70" w:type="dxa"/>
              <w:left w:w="100" w:type="dxa"/>
              <w:bottom w:w="70" w:type="dxa"/>
              <w:right w:w="100" w:type="dxa"/>
            </w:tcMar>
            <w:vAlign w:val="center"/>
          </w:tcPr>
          <w:p w14:paraId="56472D86" w14:textId="77777777" w:rsidR="00DD60C8" w:rsidRDefault="00DD60C8" w:rsidP="00F96983">
            <w:pPr>
              <w:spacing w:after="0" w:line="240" w:lineRule="auto"/>
            </w:pPr>
            <w:r>
              <w:rPr>
                <w:rFonts w:ascii="Times New Roman" w:eastAsia="Times New Roman" w:hAnsi="Times New Roman"/>
                <w:color w:val="000000"/>
                <w:sz w:val="17"/>
              </w:rPr>
              <w:t>Active computational authority during formation, measurement, reconstruction, interpretation, and investigation</w:t>
            </w:r>
          </w:p>
        </w:tc>
        <w:tc>
          <w:tcPr>
            <w:tcW w:w="3960" w:type="dxa"/>
            <w:shd w:val="clear" w:color="auto" w:fill="FFFFFF"/>
            <w:tcMar>
              <w:top w:w="70" w:type="dxa"/>
              <w:left w:w="100" w:type="dxa"/>
              <w:bottom w:w="70" w:type="dxa"/>
              <w:right w:w="100" w:type="dxa"/>
            </w:tcMar>
            <w:vAlign w:val="center"/>
          </w:tcPr>
          <w:p w14:paraId="03AA462D" w14:textId="77777777" w:rsidR="00DD60C8" w:rsidRDefault="00DD60C8" w:rsidP="00F96983">
            <w:pPr>
              <w:spacing w:after="0" w:line="240" w:lineRule="auto"/>
            </w:pPr>
            <w:r>
              <w:rPr>
                <w:rFonts w:ascii="Times New Roman" w:eastAsia="Times New Roman" w:hAnsi="Times New Roman"/>
                <w:color w:val="000000"/>
                <w:sz w:val="17"/>
              </w:rPr>
              <w:t>Mutable only through declared run formation; not yet a portable issued artifact</w:t>
            </w:r>
          </w:p>
        </w:tc>
      </w:tr>
      <w:tr w:rsidR="00DD60C8" w14:paraId="18BB22D2" w14:textId="77777777">
        <w:trPr>
          <w:cantSplit/>
          <w:jc w:val="center"/>
        </w:trPr>
        <w:tc>
          <w:tcPr>
            <w:tcW w:w="2232" w:type="dxa"/>
            <w:shd w:val="clear" w:color="auto" w:fill="F6F9FB"/>
            <w:tcMar>
              <w:top w:w="70" w:type="dxa"/>
              <w:left w:w="100" w:type="dxa"/>
              <w:bottom w:w="70" w:type="dxa"/>
              <w:right w:w="100" w:type="dxa"/>
            </w:tcMar>
            <w:vAlign w:val="center"/>
          </w:tcPr>
          <w:p w14:paraId="219B7345" w14:textId="77777777" w:rsidR="00DD60C8" w:rsidRDefault="00DD60C8" w:rsidP="00F96983">
            <w:pPr>
              <w:spacing w:after="0" w:line="240" w:lineRule="auto"/>
            </w:pPr>
            <w:r>
              <w:rPr>
                <w:rFonts w:ascii="Times New Roman" w:eastAsia="Times New Roman" w:hAnsi="Times New Roman"/>
                <w:color w:val="000000"/>
                <w:sz w:val="17"/>
              </w:rPr>
              <w:t>Runtime Evidence Record</w:t>
            </w:r>
          </w:p>
        </w:tc>
        <w:tc>
          <w:tcPr>
            <w:tcW w:w="3528" w:type="dxa"/>
            <w:shd w:val="clear" w:color="auto" w:fill="F6F9FB"/>
            <w:tcMar>
              <w:top w:w="70" w:type="dxa"/>
              <w:left w:w="100" w:type="dxa"/>
              <w:bottom w:w="70" w:type="dxa"/>
              <w:right w:w="100" w:type="dxa"/>
            </w:tcMar>
            <w:vAlign w:val="center"/>
          </w:tcPr>
          <w:p w14:paraId="63A1E58C" w14:textId="77777777" w:rsidR="00DD60C8" w:rsidRDefault="00DD60C8" w:rsidP="00F96983">
            <w:pPr>
              <w:spacing w:after="0" w:line="240" w:lineRule="auto"/>
            </w:pPr>
            <w:r>
              <w:rPr>
                <w:rFonts w:ascii="Times New Roman" w:eastAsia="Times New Roman" w:hAnsi="Times New Roman"/>
                <w:color w:val="000000"/>
                <w:sz w:val="17"/>
              </w:rPr>
              <w:t>Structured machine-readable record containing the eligible evidence, canonical structures, measurements, markers, findings, status, and lineage</w:t>
            </w:r>
          </w:p>
        </w:tc>
        <w:tc>
          <w:tcPr>
            <w:tcW w:w="3960" w:type="dxa"/>
            <w:shd w:val="clear" w:color="auto" w:fill="F6F9FB"/>
            <w:tcMar>
              <w:top w:w="70" w:type="dxa"/>
              <w:left w:w="100" w:type="dxa"/>
              <w:bottom w:w="70" w:type="dxa"/>
              <w:right w:w="100" w:type="dxa"/>
            </w:tcMar>
            <w:vAlign w:val="center"/>
          </w:tcPr>
          <w:p w14:paraId="54F010A3" w14:textId="77777777" w:rsidR="00DD60C8" w:rsidRDefault="00DD60C8" w:rsidP="00F96983">
            <w:pPr>
              <w:spacing w:after="0" w:line="240" w:lineRule="auto"/>
            </w:pPr>
            <w:r>
              <w:rPr>
                <w:rFonts w:ascii="Times New Roman" w:eastAsia="Times New Roman" w:hAnsi="Times New Roman"/>
                <w:color w:val="000000"/>
                <w:sz w:val="17"/>
              </w:rPr>
              <w:t>Records evidence state; does not by itself certify issuance or truth</w:t>
            </w:r>
          </w:p>
        </w:tc>
      </w:tr>
      <w:tr w:rsidR="00DD60C8" w14:paraId="60BCD822" w14:textId="77777777">
        <w:trPr>
          <w:cantSplit/>
          <w:jc w:val="center"/>
        </w:trPr>
        <w:tc>
          <w:tcPr>
            <w:tcW w:w="2232" w:type="dxa"/>
            <w:shd w:val="clear" w:color="auto" w:fill="FFFFFF"/>
            <w:tcMar>
              <w:top w:w="70" w:type="dxa"/>
              <w:left w:w="100" w:type="dxa"/>
              <w:bottom w:w="70" w:type="dxa"/>
              <w:right w:w="100" w:type="dxa"/>
            </w:tcMar>
            <w:vAlign w:val="center"/>
          </w:tcPr>
          <w:p w14:paraId="5E339174" w14:textId="77777777" w:rsidR="00DD60C8" w:rsidRDefault="00DD60C8" w:rsidP="00F96983">
            <w:pPr>
              <w:spacing w:after="0" w:line="240" w:lineRule="auto"/>
            </w:pPr>
            <w:r>
              <w:rPr>
                <w:rFonts w:ascii="Times New Roman" w:eastAsia="Times New Roman" w:hAnsi="Times New Roman"/>
                <w:color w:val="000000"/>
                <w:sz w:val="17"/>
              </w:rPr>
              <w:t>Certified Runtime Evidence Record</w:t>
            </w:r>
          </w:p>
        </w:tc>
        <w:tc>
          <w:tcPr>
            <w:tcW w:w="3528" w:type="dxa"/>
            <w:shd w:val="clear" w:color="auto" w:fill="FFFFFF"/>
            <w:tcMar>
              <w:top w:w="70" w:type="dxa"/>
              <w:left w:w="100" w:type="dxa"/>
              <w:bottom w:w="70" w:type="dxa"/>
              <w:right w:w="100" w:type="dxa"/>
            </w:tcMar>
            <w:vAlign w:val="center"/>
          </w:tcPr>
          <w:p w14:paraId="7B5FEDB2" w14:textId="77777777" w:rsidR="00DD60C8" w:rsidRDefault="00DD60C8" w:rsidP="00F96983">
            <w:pPr>
              <w:spacing w:after="0" w:line="240" w:lineRule="auto"/>
            </w:pPr>
            <w:r>
              <w:rPr>
                <w:rFonts w:ascii="Times New Roman" w:eastAsia="Times New Roman" w:hAnsi="Times New Roman"/>
                <w:color w:val="000000"/>
                <w:sz w:val="17"/>
              </w:rPr>
              <w:t>Issued form of the Runtime Evidence Record after declared conformance, integrity, disclosure, and certification requirements are satisfied</w:t>
            </w:r>
          </w:p>
        </w:tc>
        <w:tc>
          <w:tcPr>
            <w:tcW w:w="3960" w:type="dxa"/>
            <w:shd w:val="clear" w:color="auto" w:fill="FFFFFF"/>
            <w:tcMar>
              <w:top w:w="70" w:type="dxa"/>
              <w:left w:w="100" w:type="dxa"/>
              <w:bottom w:w="70" w:type="dxa"/>
              <w:right w:w="100" w:type="dxa"/>
            </w:tcMar>
            <w:vAlign w:val="center"/>
          </w:tcPr>
          <w:p w14:paraId="2A2ECEB6" w14:textId="77777777" w:rsidR="00DD60C8" w:rsidRDefault="00DD60C8" w:rsidP="00F96983">
            <w:pPr>
              <w:spacing w:after="0" w:line="240" w:lineRule="auto"/>
            </w:pPr>
            <w:r>
              <w:rPr>
                <w:rFonts w:ascii="Times New Roman" w:eastAsia="Times New Roman" w:hAnsi="Times New Roman"/>
                <w:color w:val="000000"/>
                <w:sz w:val="17"/>
              </w:rPr>
              <w:t>Certifies the stated formation and conformance scope, not universal validity or source truth</w:t>
            </w:r>
          </w:p>
        </w:tc>
      </w:tr>
      <w:tr w:rsidR="00DD60C8" w14:paraId="049FD9DC" w14:textId="77777777">
        <w:trPr>
          <w:cantSplit/>
          <w:jc w:val="center"/>
        </w:trPr>
        <w:tc>
          <w:tcPr>
            <w:tcW w:w="2232" w:type="dxa"/>
            <w:shd w:val="clear" w:color="auto" w:fill="F6F9FB"/>
            <w:tcMar>
              <w:top w:w="70" w:type="dxa"/>
              <w:left w:w="100" w:type="dxa"/>
              <w:bottom w:w="70" w:type="dxa"/>
              <w:right w:w="100" w:type="dxa"/>
            </w:tcMar>
            <w:vAlign w:val="center"/>
          </w:tcPr>
          <w:p w14:paraId="47BC7D26" w14:textId="77777777" w:rsidR="00DD60C8" w:rsidRDefault="00DD60C8" w:rsidP="00F96983">
            <w:pPr>
              <w:spacing w:after="0" w:line="240" w:lineRule="auto"/>
            </w:pPr>
            <w:r>
              <w:rPr>
                <w:rFonts w:ascii="Times New Roman" w:eastAsia="Times New Roman" w:hAnsi="Times New Roman"/>
                <w:color w:val="000000"/>
                <w:sz w:val="17"/>
              </w:rPr>
              <w:t>Runtime Evidence Passport</w:t>
            </w:r>
          </w:p>
        </w:tc>
        <w:tc>
          <w:tcPr>
            <w:tcW w:w="3528" w:type="dxa"/>
            <w:shd w:val="clear" w:color="auto" w:fill="F6F9FB"/>
            <w:tcMar>
              <w:top w:w="70" w:type="dxa"/>
              <w:left w:w="100" w:type="dxa"/>
              <w:bottom w:w="70" w:type="dxa"/>
              <w:right w:w="100" w:type="dxa"/>
            </w:tcMar>
            <w:vAlign w:val="center"/>
          </w:tcPr>
          <w:p w14:paraId="2519EAC1" w14:textId="77777777" w:rsidR="00DD60C8" w:rsidRDefault="00DD60C8" w:rsidP="00F96983">
            <w:pPr>
              <w:spacing w:after="0" w:line="240" w:lineRule="auto"/>
            </w:pPr>
            <w:r>
              <w:rPr>
                <w:rFonts w:ascii="Times New Roman" w:eastAsia="Times New Roman" w:hAnsi="Times New Roman"/>
                <w:color w:val="000000"/>
                <w:sz w:val="17"/>
              </w:rPr>
              <w:t>Persistent identity, provenance, disclosure, certification, and claim-boundary envelope associated with the run and issued record</w:t>
            </w:r>
          </w:p>
        </w:tc>
        <w:tc>
          <w:tcPr>
            <w:tcW w:w="3960" w:type="dxa"/>
            <w:shd w:val="clear" w:color="auto" w:fill="F6F9FB"/>
            <w:tcMar>
              <w:top w:w="70" w:type="dxa"/>
              <w:left w:w="100" w:type="dxa"/>
              <w:bottom w:w="70" w:type="dxa"/>
              <w:right w:w="100" w:type="dxa"/>
            </w:tcMar>
            <w:vAlign w:val="center"/>
          </w:tcPr>
          <w:p w14:paraId="6E4FC0AF" w14:textId="77777777" w:rsidR="00DD60C8" w:rsidRDefault="00DD60C8" w:rsidP="00F96983">
            <w:pPr>
              <w:spacing w:after="0" w:line="240" w:lineRule="auto"/>
            </w:pPr>
            <w:r>
              <w:rPr>
                <w:rFonts w:ascii="Times New Roman" w:eastAsia="Times New Roman" w:hAnsi="Times New Roman"/>
                <w:color w:val="000000"/>
                <w:sz w:val="17"/>
              </w:rPr>
              <w:t>Identifies what the record is and what it may claim; does not create telemetry or scientific authority</w:t>
            </w:r>
          </w:p>
        </w:tc>
      </w:tr>
      <w:tr w:rsidR="00DD60C8" w14:paraId="0474382D" w14:textId="77777777">
        <w:trPr>
          <w:cantSplit/>
          <w:jc w:val="center"/>
        </w:trPr>
        <w:tc>
          <w:tcPr>
            <w:tcW w:w="2232" w:type="dxa"/>
            <w:shd w:val="clear" w:color="auto" w:fill="FFFFFF"/>
            <w:tcMar>
              <w:top w:w="70" w:type="dxa"/>
              <w:left w:w="100" w:type="dxa"/>
              <w:bottom w:w="70" w:type="dxa"/>
              <w:right w:w="100" w:type="dxa"/>
            </w:tcMar>
            <w:vAlign w:val="center"/>
          </w:tcPr>
          <w:p w14:paraId="03759023" w14:textId="77777777" w:rsidR="00DD60C8" w:rsidRDefault="00DD60C8" w:rsidP="00F96983">
            <w:pPr>
              <w:spacing w:after="0" w:line="240" w:lineRule="auto"/>
            </w:pPr>
            <w:r>
              <w:rPr>
                <w:rFonts w:ascii="Times New Roman" w:eastAsia="Times New Roman" w:hAnsi="Times New Roman"/>
                <w:color w:val="000000"/>
                <w:sz w:val="17"/>
              </w:rPr>
              <w:t>Evidence Seal</w:t>
            </w:r>
          </w:p>
        </w:tc>
        <w:tc>
          <w:tcPr>
            <w:tcW w:w="3528" w:type="dxa"/>
            <w:shd w:val="clear" w:color="auto" w:fill="FFFFFF"/>
            <w:tcMar>
              <w:top w:w="70" w:type="dxa"/>
              <w:left w:w="100" w:type="dxa"/>
              <w:bottom w:w="70" w:type="dxa"/>
              <w:right w:w="100" w:type="dxa"/>
            </w:tcMar>
            <w:vAlign w:val="center"/>
          </w:tcPr>
          <w:p w14:paraId="50273F91" w14:textId="77777777" w:rsidR="00DD60C8" w:rsidRDefault="00DD60C8" w:rsidP="00F96983">
            <w:pPr>
              <w:spacing w:after="0" w:line="240" w:lineRule="auto"/>
            </w:pPr>
            <w:r>
              <w:rPr>
                <w:rFonts w:ascii="Times New Roman" w:eastAsia="Times New Roman" w:hAnsi="Times New Roman"/>
                <w:color w:val="000000"/>
                <w:sz w:val="17"/>
              </w:rPr>
              <w:t>Integrity reference for the declared evidence-bearing core</w:t>
            </w:r>
          </w:p>
        </w:tc>
        <w:tc>
          <w:tcPr>
            <w:tcW w:w="3960" w:type="dxa"/>
            <w:shd w:val="clear" w:color="auto" w:fill="FFFFFF"/>
            <w:tcMar>
              <w:top w:w="70" w:type="dxa"/>
              <w:left w:w="100" w:type="dxa"/>
              <w:bottom w:w="70" w:type="dxa"/>
              <w:right w:w="100" w:type="dxa"/>
            </w:tcMar>
            <w:vAlign w:val="center"/>
          </w:tcPr>
          <w:p w14:paraId="0CBE8801" w14:textId="77777777" w:rsidR="00DD60C8" w:rsidRDefault="00DD60C8" w:rsidP="00F96983">
            <w:pPr>
              <w:spacing w:after="0" w:line="240" w:lineRule="auto"/>
            </w:pPr>
            <w:r>
              <w:rPr>
                <w:rFonts w:ascii="Times New Roman" w:eastAsia="Times New Roman" w:hAnsi="Times New Roman"/>
                <w:color w:val="000000"/>
                <w:sz w:val="17"/>
              </w:rPr>
              <w:t>Supports change detection and identity continuity; does not authenticate every upstream event or validate every construct</w:t>
            </w:r>
          </w:p>
        </w:tc>
      </w:tr>
      <w:tr w:rsidR="00DD60C8" w14:paraId="010F09A1" w14:textId="77777777">
        <w:trPr>
          <w:cantSplit/>
          <w:jc w:val="center"/>
        </w:trPr>
        <w:tc>
          <w:tcPr>
            <w:tcW w:w="2232" w:type="dxa"/>
            <w:shd w:val="clear" w:color="auto" w:fill="F6F9FB"/>
            <w:tcMar>
              <w:top w:w="70" w:type="dxa"/>
              <w:left w:w="100" w:type="dxa"/>
              <w:bottom w:w="70" w:type="dxa"/>
              <w:right w:w="100" w:type="dxa"/>
            </w:tcMar>
            <w:vAlign w:val="center"/>
          </w:tcPr>
          <w:p w14:paraId="799BD775" w14:textId="77777777" w:rsidR="00DD60C8" w:rsidRDefault="00DD60C8" w:rsidP="00F96983">
            <w:pPr>
              <w:spacing w:after="0" w:line="240" w:lineRule="auto"/>
            </w:pPr>
            <w:r>
              <w:rPr>
                <w:rFonts w:ascii="Times New Roman" w:eastAsia="Times New Roman" w:hAnsi="Times New Roman"/>
                <w:color w:val="000000"/>
                <w:sz w:val="17"/>
              </w:rPr>
              <w:t>Preservation artifact</w:t>
            </w:r>
          </w:p>
        </w:tc>
        <w:tc>
          <w:tcPr>
            <w:tcW w:w="3528" w:type="dxa"/>
            <w:shd w:val="clear" w:color="auto" w:fill="F6F9FB"/>
            <w:tcMar>
              <w:top w:w="70" w:type="dxa"/>
              <w:left w:w="100" w:type="dxa"/>
              <w:bottom w:w="70" w:type="dxa"/>
              <w:right w:w="100" w:type="dxa"/>
            </w:tcMar>
            <w:vAlign w:val="center"/>
          </w:tcPr>
          <w:p w14:paraId="6AA59DC9" w14:textId="77777777" w:rsidR="00DD60C8" w:rsidRDefault="00DD60C8" w:rsidP="00F96983">
            <w:pPr>
              <w:spacing w:after="0" w:line="240" w:lineRule="auto"/>
            </w:pPr>
            <w:r>
              <w:rPr>
                <w:rFonts w:ascii="Times New Roman" w:eastAsia="Times New Roman" w:hAnsi="Times New Roman"/>
                <w:color w:val="000000"/>
                <w:sz w:val="17"/>
              </w:rPr>
              <w:t>Portable representation authorized for export, replay, comparison, challenge, and retention</w:t>
            </w:r>
          </w:p>
        </w:tc>
        <w:tc>
          <w:tcPr>
            <w:tcW w:w="3960" w:type="dxa"/>
            <w:shd w:val="clear" w:color="auto" w:fill="F6F9FB"/>
            <w:tcMar>
              <w:top w:w="70" w:type="dxa"/>
              <w:left w:w="100" w:type="dxa"/>
              <w:bottom w:w="70" w:type="dxa"/>
              <w:right w:w="100" w:type="dxa"/>
            </w:tcMar>
            <w:vAlign w:val="center"/>
          </w:tcPr>
          <w:p w14:paraId="6EA312A4" w14:textId="77777777" w:rsidR="00DD60C8" w:rsidRDefault="00DD60C8" w:rsidP="00F96983">
            <w:pPr>
              <w:spacing w:after="0" w:line="240" w:lineRule="auto"/>
            </w:pPr>
            <w:r>
              <w:rPr>
                <w:rFonts w:ascii="Times New Roman" w:eastAsia="Times New Roman" w:hAnsi="Times New Roman"/>
                <w:color w:val="000000"/>
                <w:sz w:val="17"/>
              </w:rPr>
              <w:t>Carries only the evidence, claims, omissions, and disclosures permitted by its export contract</w:t>
            </w:r>
          </w:p>
        </w:tc>
      </w:tr>
    </w:tbl>
    <w:p w14:paraId="38F11644" w14:textId="77777777" w:rsidR="00DD60C8" w:rsidRDefault="00DD60C8" w:rsidP="00DD60C8">
      <w:pPr>
        <w:spacing w:after="20"/>
      </w:pPr>
    </w:p>
    <w:p w14:paraId="13F01210" w14:textId="77777777" w:rsidR="00DD60C8" w:rsidRDefault="00DD60C8" w:rsidP="00DD60C8">
      <w:pPr>
        <w:spacing w:after="94"/>
      </w:pPr>
      <w:r>
        <w:rPr>
          <w:rFonts w:ascii="Times New Roman" w:eastAsia="Times New Roman" w:hAnsi="Times New Roman"/>
          <w:color w:val="000000"/>
          <w:sz w:val="20"/>
        </w:rPr>
        <w:t>These objects must not be collapsed into one label. The Current Evidence Run governs active computation. The Runtime Evidence Record contains the structured evidence. Certification is an issuance state. The Passport carries identity and authority metadata. The Evidence Seal identifies the declared core. The preservation artifact carries an authorized representation beyond the active interface.</w:t>
      </w:r>
    </w:p>
    <w:p w14:paraId="7BF1A934" w14:textId="77777777" w:rsidR="00DD60C8" w:rsidRDefault="00DD60C8" w:rsidP="00DD60C8">
      <w:pPr>
        <w:pStyle w:val="Heading2"/>
      </w:pPr>
      <w:r>
        <w:rPr>
          <w:rFonts w:ascii="Arial" w:eastAsia="Times New Roman" w:hAnsi="Arial"/>
          <w:color w:val="000000"/>
          <w:sz w:val="23"/>
        </w:rPr>
        <w:t>Authority is layered</w:t>
      </w:r>
    </w:p>
    <w:p w14:paraId="00F53558" w14:textId="77777777" w:rsidR="00DD60C8" w:rsidRDefault="00DD60C8" w:rsidP="00DD60C8">
      <w:pPr>
        <w:keepLines/>
        <w:spacing w:after="94"/>
      </w:pPr>
      <w:r>
        <w:rPr>
          <w:rFonts w:ascii="Times New Roman" w:eastAsia="Times New Roman" w:hAnsi="Times New Roman"/>
          <w:color w:val="000000"/>
          <w:sz w:val="20"/>
        </w:rPr>
        <w:t>Evidence governance becomes clearer when authority is separated into layers:</w:t>
      </w:r>
    </w:p>
    <w:p w14:paraId="5A0C1169" w14:textId="77777777" w:rsidR="00DD60C8" w:rsidRDefault="00DD60C8" w:rsidP="00DD60C8">
      <w:pPr>
        <w:keepNext/>
        <w:spacing w:before="140" w:after="80"/>
      </w:pPr>
      <w:r>
        <w:rPr>
          <w:rFonts w:ascii="Times New Roman" w:eastAsia="Times New Roman" w:hAnsi="Times New Roman"/>
          <w:i/>
          <w:color w:val="66717C"/>
          <w:sz w:val="18"/>
        </w:rPr>
        <w:t>Table 3. Layers of computational authority.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4536"/>
        <w:gridCol w:w="3139"/>
      </w:tblGrid>
      <w:tr w:rsidR="00DD60C8" w14:paraId="52A78751" w14:textId="77777777">
        <w:trPr>
          <w:cantSplit/>
          <w:tblHeader/>
          <w:jc w:val="center"/>
        </w:trPr>
        <w:tc>
          <w:tcPr>
            <w:tcW w:w="2044" w:type="dxa"/>
            <w:shd w:val="clear" w:color="auto" w:fill="17324D"/>
            <w:tcMar>
              <w:top w:w="70" w:type="dxa"/>
              <w:left w:w="100" w:type="dxa"/>
              <w:bottom w:w="70" w:type="dxa"/>
              <w:right w:w="100" w:type="dxa"/>
            </w:tcMar>
            <w:vAlign w:val="center"/>
          </w:tcPr>
          <w:p w14:paraId="1C04DBF0" w14:textId="77777777" w:rsidR="00DD60C8" w:rsidRDefault="00DD60C8" w:rsidP="00F96983">
            <w:pPr>
              <w:spacing w:after="0" w:line="240" w:lineRule="auto"/>
            </w:pPr>
            <w:r>
              <w:rPr>
                <w:rFonts w:ascii="Arial" w:eastAsia="Times New Roman" w:hAnsi="Arial"/>
                <w:b/>
                <w:color w:val="FFFFFF"/>
                <w:sz w:val="17"/>
              </w:rPr>
              <w:t>Authority type</w:t>
            </w:r>
          </w:p>
        </w:tc>
        <w:tc>
          <w:tcPr>
            <w:tcW w:w="4536" w:type="dxa"/>
            <w:shd w:val="clear" w:color="auto" w:fill="17324D"/>
            <w:tcMar>
              <w:top w:w="70" w:type="dxa"/>
              <w:left w:w="100" w:type="dxa"/>
              <w:bottom w:w="70" w:type="dxa"/>
              <w:right w:w="100" w:type="dxa"/>
            </w:tcMar>
            <w:vAlign w:val="center"/>
          </w:tcPr>
          <w:p w14:paraId="01764F9F" w14:textId="77777777" w:rsidR="00DD60C8" w:rsidRDefault="00DD60C8" w:rsidP="00F96983">
            <w:pPr>
              <w:spacing w:after="0" w:line="240" w:lineRule="auto"/>
            </w:pPr>
            <w:r>
              <w:rPr>
                <w:rFonts w:ascii="Arial" w:eastAsia="Times New Roman" w:hAnsi="Arial"/>
                <w:b/>
                <w:color w:val="FFFFFF"/>
                <w:sz w:val="17"/>
              </w:rPr>
              <w:t>What it authorizes</w:t>
            </w:r>
          </w:p>
        </w:tc>
        <w:tc>
          <w:tcPr>
            <w:tcW w:w="3139" w:type="dxa"/>
            <w:shd w:val="clear" w:color="auto" w:fill="17324D"/>
            <w:tcMar>
              <w:top w:w="70" w:type="dxa"/>
              <w:left w:w="100" w:type="dxa"/>
              <w:bottom w:w="70" w:type="dxa"/>
              <w:right w:w="100" w:type="dxa"/>
            </w:tcMar>
            <w:vAlign w:val="center"/>
          </w:tcPr>
          <w:p w14:paraId="32D93A8A" w14:textId="77777777" w:rsidR="00DD60C8" w:rsidRDefault="00DD60C8" w:rsidP="00F96983">
            <w:pPr>
              <w:spacing w:after="0" w:line="240" w:lineRule="auto"/>
            </w:pPr>
            <w:r>
              <w:rPr>
                <w:rFonts w:ascii="Arial" w:eastAsia="Times New Roman" w:hAnsi="Arial"/>
                <w:b/>
                <w:color w:val="FFFFFF"/>
                <w:sz w:val="17"/>
              </w:rPr>
              <w:t>What it does not establish</w:t>
            </w:r>
          </w:p>
        </w:tc>
      </w:tr>
      <w:tr w:rsidR="00DD60C8" w14:paraId="1CB00340" w14:textId="77777777">
        <w:trPr>
          <w:cantSplit/>
          <w:jc w:val="center"/>
        </w:trPr>
        <w:tc>
          <w:tcPr>
            <w:tcW w:w="2044" w:type="dxa"/>
            <w:shd w:val="clear" w:color="auto" w:fill="FFFFFF"/>
            <w:tcMar>
              <w:top w:w="70" w:type="dxa"/>
              <w:left w:w="100" w:type="dxa"/>
              <w:bottom w:w="70" w:type="dxa"/>
              <w:right w:w="100" w:type="dxa"/>
            </w:tcMar>
            <w:vAlign w:val="center"/>
          </w:tcPr>
          <w:p w14:paraId="7FFF02D4" w14:textId="77777777" w:rsidR="00DD60C8" w:rsidRDefault="00DD60C8" w:rsidP="00F96983">
            <w:pPr>
              <w:spacing w:after="0" w:line="240" w:lineRule="auto"/>
            </w:pPr>
            <w:r>
              <w:rPr>
                <w:rFonts w:ascii="Times New Roman" w:eastAsia="Times New Roman" w:hAnsi="Times New Roman"/>
                <w:color w:val="000000"/>
                <w:sz w:val="17"/>
              </w:rPr>
              <w:t>Source authority</w:t>
            </w:r>
          </w:p>
        </w:tc>
        <w:tc>
          <w:tcPr>
            <w:tcW w:w="4536" w:type="dxa"/>
            <w:shd w:val="clear" w:color="auto" w:fill="FFFFFF"/>
            <w:tcMar>
              <w:top w:w="70" w:type="dxa"/>
              <w:left w:w="100" w:type="dxa"/>
              <w:bottom w:w="70" w:type="dxa"/>
              <w:right w:w="100" w:type="dxa"/>
            </w:tcMar>
            <w:vAlign w:val="center"/>
          </w:tcPr>
          <w:p w14:paraId="751C83C9" w14:textId="77777777" w:rsidR="00DD60C8" w:rsidRDefault="00DD60C8" w:rsidP="00F96983">
            <w:pPr>
              <w:spacing w:after="0" w:line="240" w:lineRule="auto"/>
            </w:pPr>
            <w:r>
              <w:rPr>
                <w:rFonts w:ascii="Times New Roman" w:eastAsia="Times New Roman" w:hAnsi="Times New Roman"/>
                <w:color w:val="000000"/>
                <w:sz w:val="17"/>
              </w:rPr>
              <w:t>That a record was supplied, observed, or attested under stated conditions</w:t>
            </w:r>
          </w:p>
        </w:tc>
        <w:tc>
          <w:tcPr>
            <w:tcW w:w="3139" w:type="dxa"/>
            <w:shd w:val="clear" w:color="auto" w:fill="FFFFFF"/>
            <w:tcMar>
              <w:top w:w="70" w:type="dxa"/>
              <w:left w:w="100" w:type="dxa"/>
              <w:bottom w:w="70" w:type="dxa"/>
              <w:right w:w="100" w:type="dxa"/>
            </w:tcMar>
            <w:vAlign w:val="center"/>
          </w:tcPr>
          <w:p w14:paraId="61F8B120" w14:textId="77777777" w:rsidR="00DD60C8" w:rsidRDefault="00DD60C8" w:rsidP="00F96983">
            <w:pPr>
              <w:spacing w:after="0" w:line="240" w:lineRule="auto"/>
            </w:pPr>
            <w:r>
              <w:rPr>
                <w:rFonts w:ascii="Times New Roman" w:eastAsia="Times New Roman" w:hAnsi="Times New Roman"/>
                <w:color w:val="000000"/>
                <w:sz w:val="17"/>
              </w:rPr>
              <w:t>Completeness, truth, or relevance to every claim</w:t>
            </w:r>
          </w:p>
        </w:tc>
      </w:tr>
      <w:tr w:rsidR="00DD60C8" w14:paraId="55A39581" w14:textId="77777777">
        <w:trPr>
          <w:cantSplit/>
          <w:jc w:val="center"/>
        </w:trPr>
        <w:tc>
          <w:tcPr>
            <w:tcW w:w="2044" w:type="dxa"/>
            <w:shd w:val="clear" w:color="auto" w:fill="F6F9FB"/>
            <w:tcMar>
              <w:top w:w="70" w:type="dxa"/>
              <w:left w:w="100" w:type="dxa"/>
              <w:bottom w:w="70" w:type="dxa"/>
              <w:right w:w="100" w:type="dxa"/>
            </w:tcMar>
            <w:vAlign w:val="center"/>
          </w:tcPr>
          <w:p w14:paraId="277973EF" w14:textId="77777777" w:rsidR="00DD60C8" w:rsidRDefault="00DD60C8" w:rsidP="00F96983">
            <w:pPr>
              <w:spacing w:after="0" w:line="240" w:lineRule="auto"/>
            </w:pPr>
            <w:r>
              <w:rPr>
                <w:rFonts w:ascii="Times New Roman" w:eastAsia="Times New Roman" w:hAnsi="Times New Roman"/>
                <w:color w:val="000000"/>
                <w:sz w:val="17"/>
              </w:rPr>
              <w:t>Method authority</w:t>
            </w:r>
          </w:p>
        </w:tc>
        <w:tc>
          <w:tcPr>
            <w:tcW w:w="4536" w:type="dxa"/>
            <w:shd w:val="clear" w:color="auto" w:fill="F6F9FB"/>
            <w:tcMar>
              <w:top w:w="70" w:type="dxa"/>
              <w:left w:w="100" w:type="dxa"/>
              <w:bottom w:w="70" w:type="dxa"/>
              <w:right w:w="100" w:type="dxa"/>
            </w:tcMar>
            <w:vAlign w:val="center"/>
          </w:tcPr>
          <w:p w14:paraId="79616ED0" w14:textId="77777777" w:rsidR="00DD60C8" w:rsidRDefault="00DD60C8" w:rsidP="00F96983">
            <w:pPr>
              <w:spacing w:after="0" w:line="240" w:lineRule="auto"/>
            </w:pPr>
            <w:r>
              <w:rPr>
                <w:rFonts w:ascii="Times New Roman" w:eastAsia="Times New Roman" w:hAnsi="Times New Roman"/>
                <w:color w:val="000000"/>
                <w:sz w:val="17"/>
              </w:rPr>
              <w:t>That a declared method may operate on eligible inputs</w:t>
            </w:r>
          </w:p>
        </w:tc>
        <w:tc>
          <w:tcPr>
            <w:tcW w:w="3139" w:type="dxa"/>
            <w:shd w:val="clear" w:color="auto" w:fill="F6F9FB"/>
            <w:tcMar>
              <w:top w:w="70" w:type="dxa"/>
              <w:left w:w="100" w:type="dxa"/>
              <w:bottom w:w="70" w:type="dxa"/>
              <w:right w:w="100" w:type="dxa"/>
            </w:tcMar>
            <w:vAlign w:val="center"/>
          </w:tcPr>
          <w:p w14:paraId="29E51D59" w14:textId="77777777" w:rsidR="00DD60C8" w:rsidRDefault="00DD60C8" w:rsidP="00F96983">
            <w:pPr>
              <w:spacing w:after="0" w:line="240" w:lineRule="auto"/>
            </w:pPr>
            <w:r>
              <w:rPr>
                <w:rFonts w:ascii="Times New Roman" w:eastAsia="Times New Roman" w:hAnsi="Times New Roman"/>
                <w:color w:val="000000"/>
                <w:sz w:val="17"/>
              </w:rPr>
              <w:t>Scientific validity outside its evaluated domain</w:t>
            </w:r>
          </w:p>
        </w:tc>
      </w:tr>
      <w:tr w:rsidR="00DD60C8" w14:paraId="72F19BEC" w14:textId="77777777">
        <w:trPr>
          <w:cantSplit/>
          <w:jc w:val="center"/>
        </w:trPr>
        <w:tc>
          <w:tcPr>
            <w:tcW w:w="2044" w:type="dxa"/>
            <w:shd w:val="clear" w:color="auto" w:fill="FFFFFF"/>
            <w:tcMar>
              <w:top w:w="70" w:type="dxa"/>
              <w:left w:w="100" w:type="dxa"/>
              <w:bottom w:w="70" w:type="dxa"/>
              <w:right w:w="100" w:type="dxa"/>
            </w:tcMar>
            <w:vAlign w:val="center"/>
          </w:tcPr>
          <w:p w14:paraId="7FAB5C36" w14:textId="77777777" w:rsidR="00DD60C8" w:rsidRDefault="00DD60C8" w:rsidP="00F96983">
            <w:pPr>
              <w:spacing w:after="0" w:line="240" w:lineRule="auto"/>
            </w:pPr>
            <w:r>
              <w:rPr>
                <w:rFonts w:ascii="Times New Roman" w:eastAsia="Times New Roman" w:hAnsi="Times New Roman"/>
                <w:color w:val="000000"/>
                <w:sz w:val="17"/>
              </w:rPr>
              <w:t>Claim authority</w:t>
            </w:r>
          </w:p>
        </w:tc>
        <w:tc>
          <w:tcPr>
            <w:tcW w:w="4536" w:type="dxa"/>
            <w:shd w:val="clear" w:color="auto" w:fill="FFFFFF"/>
            <w:tcMar>
              <w:top w:w="70" w:type="dxa"/>
              <w:left w:w="100" w:type="dxa"/>
              <w:bottom w:w="70" w:type="dxa"/>
              <w:right w:w="100" w:type="dxa"/>
            </w:tcMar>
            <w:vAlign w:val="center"/>
          </w:tcPr>
          <w:p w14:paraId="6BFD8876" w14:textId="77777777" w:rsidR="00DD60C8" w:rsidRDefault="00DD60C8" w:rsidP="00F96983">
            <w:pPr>
              <w:spacing w:after="0" w:line="240" w:lineRule="auto"/>
            </w:pPr>
            <w:r>
              <w:rPr>
                <w:rFonts w:ascii="Times New Roman" w:eastAsia="Times New Roman" w:hAnsi="Times New Roman"/>
                <w:color w:val="000000"/>
                <w:sz w:val="17"/>
              </w:rPr>
              <w:t>That a typed proposition is admissible under the evidence and contract</w:t>
            </w:r>
          </w:p>
        </w:tc>
        <w:tc>
          <w:tcPr>
            <w:tcW w:w="3139" w:type="dxa"/>
            <w:shd w:val="clear" w:color="auto" w:fill="FFFFFF"/>
            <w:tcMar>
              <w:top w:w="70" w:type="dxa"/>
              <w:left w:w="100" w:type="dxa"/>
              <w:bottom w:w="70" w:type="dxa"/>
              <w:right w:w="100" w:type="dxa"/>
            </w:tcMar>
            <w:vAlign w:val="center"/>
          </w:tcPr>
          <w:p w14:paraId="78691904" w14:textId="77777777" w:rsidR="00DD60C8" w:rsidRDefault="00DD60C8" w:rsidP="00F96983">
            <w:pPr>
              <w:spacing w:after="0" w:line="240" w:lineRule="auto"/>
            </w:pPr>
            <w:r>
              <w:rPr>
                <w:rFonts w:ascii="Times New Roman" w:eastAsia="Times New Roman" w:hAnsi="Times New Roman"/>
                <w:color w:val="000000"/>
                <w:sz w:val="17"/>
              </w:rPr>
              <w:t>Universal truth, causation, or legal conclusion</w:t>
            </w:r>
          </w:p>
        </w:tc>
      </w:tr>
      <w:tr w:rsidR="00DD60C8" w14:paraId="1669E5B4" w14:textId="77777777">
        <w:trPr>
          <w:cantSplit/>
          <w:jc w:val="center"/>
        </w:trPr>
        <w:tc>
          <w:tcPr>
            <w:tcW w:w="2044" w:type="dxa"/>
            <w:shd w:val="clear" w:color="auto" w:fill="F6F9FB"/>
            <w:tcMar>
              <w:top w:w="70" w:type="dxa"/>
              <w:left w:w="100" w:type="dxa"/>
              <w:bottom w:w="70" w:type="dxa"/>
              <w:right w:w="100" w:type="dxa"/>
            </w:tcMar>
            <w:vAlign w:val="center"/>
          </w:tcPr>
          <w:p w14:paraId="39F7951C" w14:textId="77777777" w:rsidR="00DD60C8" w:rsidRDefault="00DD60C8" w:rsidP="00F96983">
            <w:pPr>
              <w:spacing w:after="0" w:line="240" w:lineRule="auto"/>
            </w:pPr>
            <w:r>
              <w:rPr>
                <w:rFonts w:ascii="Times New Roman" w:eastAsia="Times New Roman" w:hAnsi="Times New Roman"/>
                <w:color w:val="000000"/>
                <w:sz w:val="17"/>
              </w:rPr>
              <w:t>Presentation authority</w:t>
            </w:r>
          </w:p>
        </w:tc>
        <w:tc>
          <w:tcPr>
            <w:tcW w:w="4536" w:type="dxa"/>
            <w:shd w:val="clear" w:color="auto" w:fill="F6F9FB"/>
            <w:tcMar>
              <w:top w:w="70" w:type="dxa"/>
              <w:left w:w="100" w:type="dxa"/>
              <w:bottom w:w="70" w:type="dxa"/>
              <w:right w:w="100" w:type="dxa"/>
            </w:tcMar>
            <w:vAlign w:val="center"/>
          </w:tcPr>
          <w:p w14:paraId="6A202E0F" w14:textId="77777777" w:rsidR="00DD60C8" w:rsidRDefault="00DD60C8" w:rsidP="00F96983">
            <w:pPr>
              <w:spacing w:after="0" w:line="240" w:lineRule="auto"/>
            </w:pPr>
            <w:r>
              <w:rPr>
                <w:rFonts w:ascii="Times New Roman" w:eastAsia="Times New Roman" w:hAnsi="Times New Roman"/>
                <w:color w:val="000000"/>
                <w:sz w:val="17"/>
              </w:rPr>
              <w:t>That a surface may render an authorized claim without changing its meaning or scope</w:t>
            </w:r>
          </w:p>
        </w:tc>
        <w:tc>
          <w:tcPr>
            <w:tcW w:w="3139" w:type="dxa"/>
            <w:shd w:val="clear" w:color="auto" w:fill="F6F9FB"/>
            <w:tcMar>
              <w:top w:w="70" w:type="dxa"/>
              <w:left w:w="100" w:type="dxa"/>
              <w:bottom w:w="70" w:type="dxa"/>
              <w:right w:w="100" w:type="dxa"/>
            </w:tcMar>
            <w:vAlign w:val="center"/>
          </w:tcPr>
          <w:p w14:paraId="6F93DBF3" w14:textId="77777777" w:rsidR="00DD60C8" w:rsidRDefault="00DD60C8" w:rsidP="00F96983">
            <w:pPr>
              <w:spacing w:after="0" w:line="240" w:lineRule="auto"/>
            </w:pPr>
            <w:r>
              <w:rPr>
                <w:rFonts w:ascii="Times New Roman" w:eastAsia="Times New Roman" w:hAnsi="Times New Roman"/>
                <w:color w:val="000000"/>
                <w:sz w:val="17"/>
              </w:rPr>
              <w:t>Permission to introduce new interpretation</w:t>
            </w:r>
          </w:p>
        </w:tc>
      </w:tr>
      <w:tr w:rsidR="00DD60C8" w14:paraId="328D6FB9" w14:textId="77777777">
        <w:trPr>
          <w:cantSplit/>
          <w:jc w:val="center"/>
        </w:trPr>
        <w:tc>
          <w:tcPr>
            <w:tcW w:w="2044" w:type="dxa"/>
            <w:shd w:val="clear" w:color="auto" w:fill="FFFFFF"/>
            <w:tcMar>
              <w:top w:w="70" w:type="dxa"/>
              <w:left w:w="100" w:type="dxa"/>
              <w:bottom w:w="70" w:type="dxa"/>
              <w:right w:w="100" w:type="dxa"/>
            </w:tcMar>
            <w:vAlign w:val="center"/>
          </w:tcPr>
          <w:p w14:paraId="779DD792" w14:textId="77777777" w:rsidR="00DD60C8" w:rsidRDefault="00DD60C8" w:rsidP="00F96983">
            <w:pPr>
              <w:spacing w:after="0" w:line="240" w:lineRule="auto"/>
            </w:pPr>
            <w:r>
              <w:rPr>
                <w:rFonts w:ascii="Times New Roman" w:eastAsia="Times New Roman" w:hAnsi="Times New Roman"/>
                <w:color w:val="000000"/>
                <w:sz w:val="17"/>
              </w:rPr>
              <w:t>Recommendation authority</w:t>
            </w:r>
          </w:p>
        </w:tc>
        <w:tc>
          <w:tcPr>
            <w:tcW w:w="4536" w:type="dxa"/>
            <w:shd w:val="clear" w:color="auto" w:fill="FFFFFF"/>
            <w:tcMar>
              <w:top w:w="70" w:type="dxa"/>
              <w:left w:w="100" w:type="dxa"/>
              <w:bottom w:w="70" w:type="dxa"/>
              <w:right w:w="100" w:type="dxa"/>
            </w:tcMar>
            <w:vAlign w:val="center"/>
          </w:tcPr>
          <w:p w14:paraId="7D63EA2E" w14:textId="77777777" w:rsidR="00DD60C8" w:rsidRDefault="00DD60C8" w:rsidP="00F96983">
            <w:pPr>
              <w:spacing w:after="0" w:line="240" w:lineRule="auto"/>
            </w:pPr>
            <w:r>
              <w:rPr>
                <w:rFonts w:ascii="Times New Roman" w:eastAsia="Times New Roman" w:hAnsi="Times New Roman"/>
                <w:color w:val="000000"/>
                <w:sz w:val="17"/>
              </w:rPr>
              <w:t>That evidence and policy support presenting an option</w:t>
            </w:r>
          </w:p>
        </w:tc>
        <w:tc>
          <w:tcPr>
            <w:tcW w:w="3139" w:type="dxa"/>
            <w:shd w:val="clear" w:color="auto" w:fill="FFFFFF"/>
            <w:tcMar>
              <w:top w:w="70" w:type="dxa"/>
              <w:left w:w="100" w:type="dxa"/>
              <w:bottom w:w="70" w:type="dxa"/>
              <w:right w:w="100" w:type="dxa"/>
            </w:tcMar>
            <w:vAlign w:val="center"/>
          </w:tcPr>
          <w:p w14:paraId="7D1BE782" w14:textId="77777777" w:rsidR="00DD60C8" w:rsidRDefault="00DD60C8" w:rsidP="00F96983">
            <w:pPr>
              <w:spacing w:after="0" w:line="240" w:lineRule="auto"/>
            </w:pPr>
            <w:r>
              <w:rPr>
                <w:rFonts w:ascii="Times New Roman" w:eastAsia="Times New Roman" w:hAnsi="Times New Roman"/>
                <w:color w:val="000000"/>
                <w:sz w:val="17"/>
              </w:rPr>
              <w:t>Permission to execute the option</w:t>
            </w:r>
          </w:p>
        </w:tc>
      </w:tr>
      <w:tr w:rsidR="00DD60C8" w14:paraId="57F59233" w14:textId="77777777">
        <w:trPr>
          <w:cantSplit/>
          <w:jc w:val="center"/>
        </w:trPr>
        <w:tc>
          <w:tcPr>
            <w:tcW w:w="2044" w:type="dxa"/>
            <w:shd w:val="clear" w:color="auto" w:fill="F6F9FB"/>
            <w:tcMar>
              <w:top w:w="70" w:type="dxa"/>
              <w:left w:w="100" w:type="dxa"/>
              <w:bottom w:w="70" w:type="dxa"/>
              <w:right w:w="100" w:type="dxa"/>
            </w:tcMar>
            <w:vAlign w:val="center"/>
          </w:tcPr>
          <w:p w14:paraId="7703CBAB" w14:textId="77777777" w:rsidR="00DD60C8" w:rsidRDefault="00DD60C8" w:rsidP="00F96983">
            <w:pPr>
              <w:spacing w:after="0" w:line="240" w:lineRule="auto"/>
            </w:pPr>
            <w:r>
              <w:rPr>
                <w:rFonts w:ascii="Times New Roman" w:eastAsia="Times New Roman" w:hAnsi="Times New Roman"/>
                <w:color w:val="000000"/>
                <w:sz w:val="17"/>
              </w:rPr>
              <w:t>Preservation authority</w:t>
            </w:r>
          </w:p>
        </w:tc>
        <w:tc>
          <w:tcPr>
            <w:tcW w:w="4536" w:type="dxa"/>
            <w:shd w:val="clear" w:color="auto" w:fill="F6F9FB"/>
            <w:tcMar>
              <w:top w:w="70" w:type="dxa"/>
              <w:left w:w="100" w:type="dxa"/>
              <w:bottom w:w="70" w:type="dxa"/>
              <w:right w:w="100" w:type="dxa"/>
            </w:tcMar>
            <w:vAlign w:val="center"/>
          </w:tcPr>
          <w:p w14:paraId="67A9598D" w14:textId="77777777" w:rsidR="00DD60C8" w:rsidRDefault="00DD60C8" w:rsidP="00F96983">
            <w:pPr>
              <w:spacing w:after="0" w:line="240" w:lineRule="auto"/>
            </w:pPr>
            <w:r>
              <w:rPr>
                <w:rFonts w:ascii="Times New Roman" w:eastAsia="Times New Roman" w:hAnsi="Times New Roman"/>
                <w:color w:val="000000"/>
                <w:sz w:val="17"/>
              </w:rPr>
              <w:t>That an artifact faithfully preserves specified evidence and claim states</w:t>
            </w:r>
          </w:p>
        </w:tc>
        <w:tc>
          <w:tcPr>
            <w:tcW w:w="3139" w:type="dxa"/>
            <w:shd w:val="clear" w:color="auto" w:fill="F6F9FB"/>
            <w:tcMar>
              <w:top w:w="70" w:type="dxa"/>
              <w:left w:w="100" w:type="dxa"/>
              <w:bottom w:w="70" w:type="dxa"/>
              <w:right w:w="100" w:type="dxa"/>
            </w:tcMar>
            <w:vAlign w:val="center"/>
          </w:tcPr>
          <w:p w14:paraId="66DD6EEE" w14:textId="77777777" w:rsidR="00DD60C8" w:rsidRDefault="00DD60C8" w:rsidP="00F96983">
            <w:pPr>
              <w:spacing w:after="0" w:line="240" w:lineRule="auto"/>
            </w:pPr>
            <w:r>
              <w:rPr>
                <w:rFonts w:ascii="Times New Roman" w:eastAsia="Times New Roman" w:hAnsi="Times New Roman"/>
                <w:color w:val="000000"/>
                <w:sz w:val="17"/>
              </w:rPr>
              <w:t>Authenticity of every upstream observation</w:t>
            </w:r>
          </w:p>
        </w:tc>
      </w:tr>
    </w:tbl>
    <w:p w14:paraId="02F6A465" w14:textId="77777777" w:rsidR="00DD60C8" w:rsidRDefault="00DD60C8" w:rsidP="00DD60C8">
      <w:pPr>
        <w:spacing w:after="20"/>
      </w:pPr>
    </w:p>
    <w:p w14:paraId="4B0D5F74" w14:textId="77777777" w:rsidR="00DD60C8" w:rsidRDefault="00DD60C8" w:rsidP="00DD60C8">
      <w:pPr>
        <w:spacing w:after="94"/>
      </w:pPr>
      <w:r>
        <w:rPr>
          <w:rFonts w:ascii="Times New Roman" w:eastAsia="Times New Roman" w:hAnsi="Times New Roman"/>
          <w:color w:val="000000"/>
          <w:sz w:val="20"/>
        </w:rPr>
        <w:t>No lower layer automatically grants a higher one. A source hash does not authorize a diagnosis. A validated measurement does not authorize a causal explanation. A supported recommendation does not authorize autonomous action. EGC exists to prevent those category transitions from occurring implicitly.</w:t>
      </w:r>
    </w:p>
    <w:p w14:paraId="5B13B7CA"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6. Claim Theory</w:t>
      </w:r>
    </w:p>
    <w:p w14:paraId="1E7E9847" w14:textId="77777777" w:rsidR="00DD60C8" w:rsidRDefault="00DD60C8" w:rsidP="00DD60C8">
      <w:pPr>
        <w:pStyle w:val="Heading2"/>
      </w:pPr>
      <w:r>
        <w:rPr>
          <w:rFonts w:ascii="Arial" w:eastAsia="Times New Roman" w:hAnsi="Arial"/>
          <w:color w:val="000000"/>
          <w:sz w:val="23"/>
        </w:rPr>
        <w:t>Claims as computational objects</w:t>
      </w:r>
    </w:p>
    <w:p w14:paraId="79A491BD" w14:textId="77777777" w:rsidR="00DD60C8" w:rsidRDefault="00DD60C8" w:rsidP="00DD60C8">
      <w:pPr>
        <w:keepLines/>
        <w:spacing w:after="94"/>
      </w:pPr>
      <w:r>
        <w:rPr>
          <w:rFonts w:ascii="Times New Roman" w:eastAsia="Times New Roman" w:hAnsi="Times New Roman"/>
          <w:color w:val="000000"/>
          <w:sz w:val="20"/>
        </w:rPr>
        <w:t>Evidence-governed systems cannot rely on prose alone to represent claims. A sentence may conceal its evidence type, time interval, assumptions, or status. Two surfaces can express apparently similar sentences while one subtly broadens the other. EGC therefore represents a claim as a structured object before it is rendered into language or visualization.</w:t>
      </w:r>
    </w:p>
    <w:p w14:paraId="3977F779" w14:textId="77777777" w:rsidR="00DD60C8" w:rsidRDefault="00DD60C8" w:rsidP="00DD60C8">
      <w:pPr>
        <w:spacing w:after="94"/>
      </w:pPr>
      <w:r>
        <w:rPr>
          <w:rFonts w:ascii="Times New Roman" w:eastAsia="Times New Roman" w:hAnsi="Times New Roman"/>
          <w:color w:val="000000"/>
          <w:sz w:val="20"/>
        </w:rPr>
        <w:t>A claim is modeled as:</w:t>
      </w:r>
    </w:p>
    <w:p w14:paraId="4A5DA184" w14:textId="77777777" w:rsidR="00DD60C8" w:rsidRDefault="00DD60C8" w:rsidP="00DD60C8">
      <w:pPr>
        <w:spacing w:after="94"/>
      </w:pPr>
      <w:r>
        <w:rPr>
          <w:rFonts w:ascii="Times New Roman" w:eastAsia="Times New Roman" w:hAnsi="Times New Roman"/>
          <w:color w:val="000000"/>
          <w:sz w:val="20"/>
        </w:rPr>
        <w:t>c = (p, κ, τ, ω, d, a, u, ℓ, σ)</w:t>
      </w:r>
    </w:p>
    <w:p w14:paraId="050A2684" w14:textId="77777777" w:rsidR="00DD60C8" w:rsidRDefault="00DD60C8" w:rsidP="00DD60C8">
      <w:pPr>
        <w:spacing w:after="94"/>
      </w:pPr>
      <w:r>
        <w:rPr>
          <w:rFonts w:ascii="Times New Roman" w:eastAsia="Times New Roman" w:hAnsi="Times New Roman"/>
          <w:color w:val="000000"/>
          <w:sz w:val="20"/>
        </w:rPr>
        <w:t xml:space="preserve">where </w:t>
      </w:r>
      <w:r>
        <w:rPr>
          <w:rFonts w:ascii="Times New Roman" w:eastAsia="Times New Roman" w:hAnsi="Times New Roman"/>
          <w:b/>
          <w:color w:val="000000"/>
          <w:sz w:val="20"/>
        </w:rPr>
        <w:t>p</w:t>
      </w:r>
      <w:r>
        <w:rPr>
          <w:rFonts w:ascii="Times New Roman" w:eastAsia="Times New Roman" w:hAnsi="Times New Roman"/>
          <w:color w:val="000000"/>
          <w:sz w:val="20"/>
        </w:rPr>
        <w:t xml:space="preserve"> is the normalized proposition; </w:t>
      </w:r>
      <w:r>
        <w:rPr>
          <w:rFonts w:ascii="Times New Roman" w:eastAsia="Times New Roman" w:hAnsi="Times New Roman"/>
          <w:b/>
          <w:color w:val="000000"/>
          <w:sz w:val="20"/>
        </w:rPr>
        <w:t>κ</w:t>
      </w:r>
      <w:r>
        <w:rPr>
          <w:rFonts w:ascii="Times New Roman" w:eastAsia="Times New Roman" w:hAnsi="Times New Roman"/>
          <w:color w:val="000000"/>
          <w:sz w:val="20"/>
        </w:rPr>
        <w:t xml:space="preserve"> is the claim class; </w:t>
      </w:r>
      <w:r>
        <w:rPr>
          <w:rFonts w:ascii="Times New Roman" w:eastAsia="Times New Roman" w:hAnsi="Times New Roman"/>
          <w:b/>
          <w:color w:val="000000"/>
          <w:sz w:val="20"/>
        </w:rPr>
        <w:t>τ</w:t>
      </w:r>
      <w:r>
        <w:rPr>
          <w:rFonts w:ascii="Times New Roman" w:eastAsia="Times New Roman" w:hAnsi="Times New Roman"/>
          <w:color w:val="000000"/>
          <w:sz w:val="20"/>
        </w:rPr>
        <w:t xml:space="preserve"> is temporal scope; </w:t>
      </w:r>
      <w:r>
        <w:rPr>
          <w:rFonts w:ascii="Times New Roman" w:eastAsia="Times New Roman" w:hAnsi="Times New Roman"/>
          <w:b/>
          <w:color w:val="000000"/>
          <w:sz w:val="20"/>
        </w:rPr>
        <w:t>ω</w:t>
      </w:r>
      <w:r>
        <w:rPr>
          <w:rFonts w:ascii="Times New Roman" w:eastAsia="Times New Roman" w:hAnsi="Times New Roman"/>
          <w:color w:val="000000"/>
          <w:sz w:val="20"/>
        </w:rPr>
        <w:t xml:space="preserve"> is operational or population scope; </w:t>
      </w:r>
      <w:r>
        <w:rPr>
          <w:rFonts w:ascii="Times New Roman" w:eastAsia="Times New Roman" w:hAnsi="Times New Roman"/>
          <w:b/>
          <w:color w:val="000000"/>
          <w:sz w:val="20"/>
        </w:rPr>
        <w:t>d</w:t>
      </w:r>
      <w:r>
        <w:rPr>
          <w:rFonts w:ascii="Times New Roman" w:eastAsia="Times New Roman" w:hAnsi="Times New Roman"/>
          <w:color w:val="000000"/>
          <w:sz w:val="20"/>
        </w:rPr>
        <w:t xml:space="preserve"> is its derivation graph; </w:t>
      </w:r>
      <w:r>
        <w:rPr>
          <w:rFonts w:ascii="Times New Roman" w:eastAsia="Times New Roman" w:hAnsi="Times New Roman"/>
          <w:b/>
          <w:color w:val="000000"/>
          <w:sz w:val="20"/>
        </w:rPr>
        <w:t>a</w:t>
      </w:r>
      <w:r>
        <w:rPr>
          <w:rFonts w:ascii="Times New Roman" w:eastAsia="Times New Roman" w:hAnsi="Times New Roman"/>
          <w:color w:val="000000"/>
          <w:sz w:val="20"/>
        </w:rPr>
        <w:t xml:space="preserve"> is the set of assumptions; </w:t>
      </w:r>
      <w:r>
        <w:rPr>
          <w:rFonts w:ascii="Times New Roman" w:eastAsia="Times New Roman" w:hAnsi="Times New Roman"/>
          <w:b/>
          <w:color w:val="000000"/>
          <w:sz w:val="20"/>
        </w:rPr>
        <w:t>u</w:t>
      </w:r>
      <w:r>
        <w:rPr>
          <w:rFonts w:ascii="Times New Roman" w:eastAsia="Times New Roman" w:hAnsi="Times New Roman"/>
          <w:color w:val="000000"/>
          <w:sz w:val="20"/>
        </w:rPr>
        <w:t xml:space="preserve"> is uncertainty and confidence metadata; </w:t>
      </w:r>
      <w:r>
        <w:rPr>
          <w:rFonts w:ascii="Times New Roman" w:eastAsia="Times New Roman" w:hAnsi="Times New Roman"/>
          <w:b/>
          <w:color w:val="000000"/>
          <w:sz w:val="20"/>
        </w:rPr>
        <w:t>ℓ</w:t>
      </w:r>
      <w:r>
        <w:rPr>
          <w:rFonts w:ascii="Times New Roman" w:eastAsia="Times New Roman" w:hAnsi="Times New Roman"/>
          <w:color w:val="000000"/>
          <w:sz w:val="20"/>
        </w:rPr>
        <w:t xml:space="preserve"> is the limitation and prohibition set; and </w:t>
      </w:r>
      <w:r>
        <w:rPr>
          <w:rFonts w:ascii="Times New Roman" w:eastAsia="Times New Roman" w:hAnsi="Times New Roman"/>
          <w:b/>
          <w:color w:val="000000"/>
          <w:sz w:val="20"/>
        </w:rPr>
        <w:t>σ</w:t>
      </w:r>
      <w:r>
        <w:rPr>
          <w:rFonts w:ascii="Times New Roman" w:eastAsia="Times New Roman" w:hAnsi="Times New Roman"/>
          <w:color w:val="000000"/>
          <w:sz w:val="20"/>
        </w:rPr>
        <w:t xml:space="preserve"> is claim status.</w:t>
      </w:r>
    </w:p>
    <w:p w14:paraId="71743618" w14:textId="77777777" w:rsidR="00DD60C8" w:rsidRDefault="00DD60C8" w:rsidP="00DD60C8">
      <w:pPr>
        <w:spacing w:after="94"/>
      </w:pPr>
      <w:r>
        <w:rPr>
          <w:rFonts w:ascii="Times New Roman" w:eastAsia="Times New Roman" w:hAnsi="Times New Roman"/>
          <w:color w:val="000000"/>
          <w:sz w:val="20"/>
        </w:rPr>
        <w:t xml:space="preserve">The normalized proposition is not necessarily the sentence shown to a user. It is the stable semantic object to which multiple permitted renderings can bind. For example, the chart label </w:t>
      </w:r>
      <w:r>
        <w:rPr>
          <w:rFonts w:ascii="Times New Roman" w:eastAsia="Times New Roman" w:hAnsi="Times New Roman"/>
          <w:i/>
          <w:color w:val="000000"/>
          <w:sz w:val="20"/>
        </w:rPr>
        <w:t>role fragmentation increased after turn 42</w:t>
      </w:r>
      <w:r>
        <w:rPr>
          <w:rFonts w:ascii="Times New Roman" w:eastAsia="Times New Roman" w:hAnsi="Times New Roman"/>
          <w:color w:val="000000"/>
          <w:sz w:val="20"/>
        </w:rPr>
        <w:t xml:space="preserve"> and an operator brief using equivalent language may resolve to the same claim identifier if they retain the same interval, method, comparison, and limitations. If the brief changes </w:t>
      </w:r>
      <w:r>
        <w:rPr>
          <w:rFonts w:ascii="Times New Roman" w:eastAsia="Times New Roman" w:hAnsi="Times New Roman"/>
          <w:i/>
          <w:color w:val="000000"/>
          <w:sz w:val="20"/>
        </w:rPr>
        <w:t>increased</w:t>
      </w:r>
      <w:r>
        <w:rPr>
          <w:rFonts w:ascii="Times New Roman" w:eastAsia="Times New Roman" w:hAnsi="Times New Roman"/>
          <w:color w:val="000000"/>
          <w:sz w:val="20"/>
        </w:rPr>
        <w:t xml:space="preserve"> to </w:t>
      </w:r>
      <w:r>
        <w:rPr>
          <w:rFonts w:ascii="Times New Roman" w:eastAsia="Times New Roman" w:hAnsi="Times New Roman"/>
          <w:i/>
          <w:color w:val="000000"/>
          <w:sz w:val="20"/>
        </w:rPr>
        <w:t>caused the failure</w:t>
      </w:r>
      <w:r>
        <w:rPr>
          <w:rFonts w:ascii="Times New Roman" w:eastAsia="Times New Roman" w:hAnsi="Times New Roman"/>
          <w:color w:val="000000"/>
          <w:sz w:val="20"/>
        </w:rPr>
        <w:t>, it has introduced a different and stronger proposition that requires separate admission.</w:t>
      </w:r>
    </w:p>
    <w:p w14:paraId="124C3401" w14:textId="77777777" w:rsidR="00DD60C8" w:rsidRDefault="00DD60C8" w:rsidP="00DD60C8">
      <w:pPr>
        <w:pStyle w:val="Heading2"/>
      </w:pPr>
      <w:r>
        <w:rPr>
          <w:rFonts w:ascii="Arial" w:eastAsia="Times New Roman" w:hAnsi="Arial"/>
          <w:color w:val="000000"/>
          <w:sz w:val="23"/>
        </w:rPr>
        <w:t>Claim classes</w:t>
      </w:r>
    </w:p>
    <w:p w14:paraId="1073B274" w14:textId="77777777" w:rsidR="00DD60C8" w:rsidRDefault="00DD60C8" w:rsidP="00DD60C8">
      <w:pPr>
        <w:keepLines/>
        <w:spacing w:after="94"/>
      </w:pPr>
      <w:r>
        <w:rPr>
          <w:rFonts w:ascii="Times New Roman" w:eastAsia="Times New Roman" w:hAnsi="Times New Roman"/>
          <w:color w:val="000000"/>
          <w:sz w:val="20"/>
        </w:rPr>
        <w:t>The architecture distinguishes at least six claim classes:</w:t>
      </w:r>
    </w:p>
    <w:p w14:paraId="4191C66F" w14:textId="77777777" w:rsidR="00DD60C8" w:rsidRDefault="00DD60C8" w:rsidP="00DD60C8">
      <w:pPr>
        <w:keepNext/>
        <w:spacing w:before="140" w:after="80"/>
      </w:pPr>
      <w:r>
        <w:rPr>
          <w:rFonts w:ascii="Times New Roman" w:eastAsia="Times New Roman" w:hAnsi="Times New Roman"/>
          <w:i/>
          <w:color w:val="66717C"/>
          <w:sz w:val="18"/>
        </w:rPr>
        <w:t>Table 4. Claim classes and minimum authority requirements.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2908"/>
        <w:gridCol w:w="4766"/>
      </w:tblGrid>
      <w:tr w:rsidR="00DD60C8" w14:paraId="3A56DF45" w14:textId="77777777">
        <w:trPr>
          <w:cantSplit/>
          <w:tblHeader/>
          <w:jc w:val="center"/>
        </w:trPr>
        <w:tc>
          <w:tcPr>
            <w:tcW w:w="2044" w:type="dxa"/>
            <w:shd w:val="clear" w:color="auto" w:fill="17324D"/>
            <w:tcMar>
              <w:top w:w="70" w:type="dxa"/>
              <w:left w:w="100" w:type="dxa"/>
              <w:bottom w:w="70" w:type="dxa"/>
              <w:right w:w="100" w:type="dxa"/>
            </w:tcMar>
            <w:vAlign w:val="center"/>
          </w:tcPr>
          <w:p w14:paraId="1076764E" w14:textId="77777777" w:rsidR="00DD60C8" w:rsidRDefault="00DD60C8" w:rsidP="00F96983">
            <w:pPr>
              <w:spacing w:after="0" w:line="240" w:lineRule="auto"/>
            </w:pPr>
            <w:r>
              <w:rPr>
                <w:rFonts w:ascii="Arial" w:eastAsia="Times New Roman" w:hAnsi="Arial"/>
                <w:b/>
                <w:color w:val="FFFFFF"/>
                <w:sz w:val="17"/>
              </w:rPr>
              <w:t>Claim class</w:t>
            </w:r>
          </w:p>
        </w:tc>
        <w:tc>
          <w:tcPr>
            <w:tcW w:w="2908" w:type="dxa"/>
            <w:shd w:val="clear" w:color="auto" w:fill="17324D"/>
            <w:tcMar>
              <w:top w:w="70" w:type="dxa"/>
              <w:left w:w="100" w:type="dxa"/>
              <w:bottom w:w="70" w:type="dxa"/>
              <w:right w:w="100" w:type="dxa"/>
            </w:tcMar>
            <w:vAlign w:val="center"/>
          </w:tcPr>
          <w:p w14:paraId="2BA549FB" w14:textId="77777777" w:rsidR="00DD60C8" w:rsidRDefault="00DD60C8" w:rsidP="00F96983">
            <w:pPr>
              <w:spacing w:after="0" w:line="240" w:lineRule="auto"/>
            </w:pPr>
            <w:r>
              <w:rPr>
                <w:rFonts w:ascii="Arial" w:eastAsia="Times New Roman" w:hAnsi="Arial"/>
                <w:b/>
                <w:color w:val="FFFFFF"/>
                <w:sz w:val="17"/>
              </w:rPr>
              <w:t>Example</w:t>
            </w:r>
          </w:p>
        </w:tc>
        <w:tc>
          <w:tcPr>
            <w:tcW w:w="4766" w:type="dxa"/>
            <w:shd w:val="clear" w:color="auto" w:fill="17324D"/>
            <w:tcMar>
              <w:top w:w="70" w:type="dxa"/>
              <w:left w:w="100" w:type="dxa"/>
              <w:bottom w:w="70" w:type="dxa"/>
              <w:right w:w="100" w:type="dxa"/>
            </w:tcMar>
            <w:vAlign w:val="center"/>
          </w:tcPr>
          <w:p w14:paraId="7F13EC22" w14:textId="77777777" w:rsidR="00DD60C8" w:rsidRDefault="00DD60C8" w:rsidP="00F96983">
            <w:pPr>
              <w:spacing w:after="0" w:line="240" w:lineRule="auto"/>
            </w:pPr>
            <w:r>
              <w:rPr>
                <w:rFonts w:ascii="Arial" w:eastAsia="Times New Roman" w:hAnsi="Arial"/>
                <w:b/>
                <w:color w:val="FFFFFF"/>
                <w:sz w:val="17"/>
              </w:rPr>
              <w:t>Minimum authority requirement</w:t>
            </w:r>
          </w:p>
        </w:tc>
      </w:tr>
      <w:tr w:rsidR="00DD60C8" w14:paraId="13EDE6CD" w14:textId="77777777">
        <w:trPr>
          <w:cantSplit/>
          <w:jc w:val="center"/>
        </w:trPr>
        <w:tc>
          <w:tcPr>
            <w:tcW w:w="2044" w:type="dxa"/>
            <w:shd w:val="clear" w:color="auto" w:fill="FFFFFF"/>
            <w:tcMar>
              <w:top w:w="70" w:type="dxa"/>
              <w:left w:w="100" w:type="dxa"/>
              <w:bottom w:w="70" w:type="dxa"/>
              <w:right w:w="100" w:type="dxa"/>
            </w:tcMar>
            <w:vAlign w:val="center"/>
          </w:tcPr>
          <w:p w14:paraId="31C02AEA" w14:textId="77777777" w:rsidR="00DD60C8" w:rsidRDefault="00DD60C8" w:rsidP="00F96983">
            <w:pPr>
              <w:spacing w:after="0" w:line="240" w:lineRule="auto"/>
            </w:pPr>
            <w:r>
              <w:rPr>
                <w:rFonts w:ascii="Times New Roman" w:eastAsia="Times New Roman" w:hAnsi="Times New Roman"/>
                <w:color w:val="000000"/>
                <w:sz w:val="17"/>
              </w:rPr>
              <w:t>Source statement</w:t>
            </w:r>
          </w:p>
        </w:tc>
        <w:tc>
          <w:tcPr>
            <w:tcW w:w="2908" w:type="dxa"/>
            <w:shd w:val="clear" w:color="auto" w:fill="FFFFFF"/>
            <w:tcMar>
              <w:top w:w="70" w:type="dxa"/>
              <w:left w:w="100" w:type="dxa"/>
              <w:bottom w:w="70" w:type="dxa"/>
              <w:right w:w="100" w:type="dxa"/>
            </w:tcMar>
            <w:vAlign w:val="center"/>
          </w:tcPr>
          <w:p w14:paraId="343B2C79" w14:textId="77777777" w:rsidR="00DD60C8" w:rsidRDefault="00DD60C8" w:rsidP="00F96983">
            <w:pPr>
              <w:spacing w:after="0" w:line="240" w:lineRule="auto"/>
            </w:pPr>
            <w:r>
              <w:rPr>
                <w:rFonts w:ascii="Times New Roman" w:eastAsia="Times New Roman" w:hAnsi="Times New Roman"/>
                <w:color w:val="000000"/>
                <w:sz w:val="17"/>
              </w:rPr>
              <w:t>The supplied record labels actor A as incident commander</w:t>
            </w:r>
          </w:p>
        </w:tc>
        <w:tc>
          <w:tcPr>
            <w:tcW w:w="4766" w:type="dxa"/>
            <w:shd w:val="clear" w:color="auto" w:fill="FFFFFF"/>
            <w:tcMar>
              <w:top w:w="70" w:type="dxa"/>
              <w:left w:w="100" w:type="dxa"/>
              <w:bottom w:w="70" w:type="dxa"/>
              <w:right w:w="100" w:type="dxa"/>
            </w:tcMar>
            <w:vAlign w:val="center"/>
          </w:tcPr>
          <w:p w14:paraId="5D25F326" w14:textId="77777777" w:rsidR="00DD60C8" w:rsidRDefault="00DD60C8" w:rsidP="00F96983">
            <w:pPr>
              <w:spacing w:after="0" w:line="240" w:lineRule="auto"/>
            </w:pPr>
            <w:r>
              <w:rPr>
                <w:rFonts w:ascii="Times New Roman" w:eastAsia="Times New Roman" w:hAnsi="Times New Roman"/>
                <w:color w:val="000000"/>
                <w:sz w:val="17"/>
              </w:rPr>
              <w:t>Preserved source span and qualification status</w:t>
            </w:r>
          </w:p>
        </w:tc>
      </w:tr>
      <w:tr w:rsidR="00DD60C8" w14:paraId="2B5FF8AB" w14:textId="77777777">
        <w:trPr>
          <w:cantSplit/>
          <w:jc w:val="center"/>
        </w:trPr>
        <w:tc>
          <w:tcPr>
            <w:tcW w:w="2044" w:type="dxa"/>
            <w:shd w:val="clear" w:color="auto" w:fill="F6F9FB"/>
            <w:tcMar>
              <w:top w:w="70" w:type="dxa"/>
              <w:left w:w="100" w:type="dxa"/>
              <w:bottom w:w="70" w:type="dxa"/>
              <w:right w:w="100" w:type="dxa"/>
            </w:tcMar>
            <w:vAlign w:val="center"/>
          </w:tcPr>
          <w:p w14:paraId="28BC12D4" w14:textId="77777777" w:rsidR="00DD60C8" w:rsidRDefault="00DD60C8" w:rsidP="00F96983">
            <w:pPr>
              <w:spacing w:after="0" w:line="240" w:lineRule="auto"/>
            </w:pPr>
            <w:r>
              <w:rPr>
                <w:rFonts w:ascii="Times New Roman" w:eastAsia="Times New Roman" w:hAnsi="Times New Roman"/>
                <w:color w:val="000000"/>
                <w:sz w:val="17"/>
              </w:rPr>
              <w:t>Derived measurement</w:t>
            </w:r>
          </w:p>
        </w:tc>
        <w:tc>
          <w:tcPr>
            <w:tcW w:w="2908" w:type="dxa"/>
            <w:shd w:val="clear" w:color="auto" w:fill="F6F9FB"/>
            <w:tcMar>
              <w:top w:w="70" w:type="dxa"/>
              <w:left w:w="100" w:type="dxa"/>
              <w:bottom w:w="70" w:type="dxa"/>
              <w:right w:w="100" w:type="dxa"/>
            </w:tcMar>
            <w:vAlign w:val="center"/>
          </w:tcPr>
          <w:p w14:paraId="522B0603" w14:textId="77777777" w:rsidR="00DD60C8" w:rsidRDefault="00DD60C8" w:rsidP="00F96983">
            <w:pPr>
              <w:spacing w:after="0" w:line="240" w:lineRule="auto"/>
            </w:pPr>
            <w:r>
              <w:rPr>
                <w:rFonts w:ascii="Times New Roman" w:eastAsia="Times New Roman" w:hAnsi="Times New Roman"/>
                <w:color w:val="000000"/>
                <w:sz w:val="17"/>
              </w:rPr>
              <w:t>Median response interval was 38 seconds</w:t>
            </w:r>
          </w:p>
        </w:tc>
        <w:tc>
          <w:tcPr>
            <w:tcW w:w="4766" w:type="dxa"/>
            <w:shd w:val="clear" w:color="auto" w:fill="F6F9FB"/>
            <w:tcMar>
              <w:top w:w="70" w:type="dxa"/>
              <w:left w:w="100" w:type="dxa"/>
              <w:bottom w:w="70" w:type="dxa"/>
              <w:right w:w="100" w:type="dxa"/>
            </w:tcMar>
            <w:vAlign w:val="center"/>
          </w:tcPr>
          <w:p w14:paraId="5792875E" w14:textId="77777777" w:rsidR="00DD60C8" w:rsidRDefault="00DD60C8" w:rsidP="00F96983">
            <w:pPr>
              <w:spacing w:after="0" w:line="240" w:lineRule="auto"/>
            </w:pPr>
            <w:r>
              <w:rPr>
                <w:rFonts w:ascii="Times New Roman" w:eastAsia="Times New Roman" w:hAnsi="Times New Roman"/>
                <w:color w:val="000000"/>
                <w:sz w:val="17"/>
              </w:rPr>
              <w:t>Eligible inputs, method version, units, coverage, and deterministic derivation</w:t>
            </w:r>
          </w:p>
        </w:tc>
      </w:tr>
      <w:tr w:rsidR="00DD60C8" w14:paraId="7051EDCF" w14:textId="77777777">
        <w:trPr>
          <w:cantSplit/>
          <w:jc w:val="center"/>
        </w:trPr>
        <w:tc>
          <w:tcPr>
            <w:tcW w:w="2044" w:type="dxa"/>
            <w:shd w:val="clear" w:color="auto" w:fill="FFFFFF"/>
            <w:tcMar>
              <w:top w:w="70" w:type="dxa"/>
              <w:left w:w="100" w:type="dxa"/>
              <w:bottom w:w="70" w:type="dxa"/>
              <w:right w:w="100" w:type="dxa"/>
            </w:tcMar>
            <w:vAlign w:val="center"/>
          </w:tcPr>
          <w:p w14:paraId="1BD37198" w14:textId="77777777" w:rsidR="00DD60C8" w:rsidRDefault="00DD60C8" w:rsidP="00F96983">
            <w:pPr>
              <w:spacing w:after="0" w:line="240" w:lineRule="auto"/>
            </w:pPr>
            <w:r>
              <w:rPr>
                <w:rFonts w:ascii="Times New Roman" w:eastAsia="Times New Roman" w:hAnsi="Times New Roman"/>
                <w:color w:val="000000"/>
                <w:sz w:val="17"/>
              </w:rPr>
              <w:t>Protocol classification</w:t>
            </w:r>
          </w:p>
        </w:tc>
        <w:tc>
          <w:tcPr>
            <w:tcW w:w="2908" w:type="dxa"/>
            <w:shd w:val="clear" w:color="auto" w:fill="FFFFFF"/>
            <w:tcMar>
              <w:top w:w="70" w:type="dxa"/>
              <w:left w:w="100" w:type="dxa"/>
              <w:bottom w:w="70" w:type="dxa"/>
              <w:right w:w="100" w:type="dxa"/>
            </w:tcMar>
            <w:vAlign w:val="center"/>
          </w:tcPr>
          <w:p w14:paraId="19B993E9" w14:textId="77777777" w:rsidR="00DD60C8" w:rsidRDefault="00DD60C8" w:rsidP="00F96983">
            <w:pPr>
              <w:spacing w:after="0" w:line="240" w:lineRule="auto"/>
            </w:pPr>
            <w:r>
              <w:rPr>
                <w:rFonts w:ascii="Times New Roman" w:eastAsia="Times New Roman" w:hAnsi="Times New Roman"/>
                <w:color w:val="000000"/>
                <w:sz w:val="17"/>
              </w:rPr>
              <w:t>The run entered a Transitional regime at frame 47</w:t>
            </w:r>
          </w:p>
        </w:tc>
        <w:tc>
          <w:tcPr>
            <w:tcW w:w="4766" w:type="dxa"/>
            <w:shd w:val="clear" w:color="auto" w:fill="FFFFFF"/>
            <w:tcMar>
              <w:top w:w="70" w:type="dxa"/>
              <w:left w:w="100" w:type="dxa"/>
              <w:bottom w:w="70" w:type="dxa"/>
              <w:right w:w="100" w:type="dxa"/>
            </w:tcMar>
            <w:vAlign w:val="center"/>
          </w:tcPr>
          <w:p w14:paraId="7F6C1441" w14:textId="77777777" w:rsidR="00DD60C8" w:rsidRDefault="00DD60C8" w:rsidP="00F96983">
            <w:pPr>
              <w:spacing w:after="0" w:line="240" w:lineRule="auto"/>
            </w:pPr>
            <w:r>
              <w:rPr>
                <w:rFonts w:ascii="Times New Roman" w:eastAsia="Times New Roman" w:hAnsi="Times New Roman"/>
                <w:color w:val="000000"/>
                <w:sz w:val="17"/>
              </w:rPr>
              <w:t>Declared classification protocol, threshold, temporal scope, and supporting measurements</w:t>
            </w:r>
          </w:p>
        </w:tc>
      </w:tr>
      <w:tr w:rsidR="00DD60C8" w14:paraId="1128ABD9" w14:textId="77777777">
        <w:trPr>
          <w:cantSplit/>
          <w:jc w:val="center"/>
        </w:trPr>
        <w:tc>
          <w:tcPr>
            <w:tcW w:w="2044" w:type="dxa"/>
            <w:shd w:val="clear" w:color="auto" w:fill="F6F9FB"/>
            <w:tcMar>
              <w:top w:w="70" w:type="dxa"/>
              <w:left w:w="100" w:type="dxa"/>
              <w:bottom w:w="70" w:type="dxa"/>
              <w:right w:w="100" w:type="dxa"/>
            </w:tcMar>
            <w:vAlign w:val="center"/>
          </w:tcPr>
          <w:p w14:paraId="121D0321" w14:textId="77777777" w:rsidR="00DD60C8" w:rsidRDefault="00DD60C8" w:rsidP="00F96983">
            <w:pPr>
              <w:spacing w:after="0" w:line="240" w:lineRule="auto"/>
            </w:pPr>
            <w:r>
              <w:rPr>
                <w:rFonts w:ascii="Times New Roman" w:eastAsia="Times New Roman" w:hAnsi="Times New Roman"/>
                <w:color w:val="000000"/>
                <w:sz w:val="17"/>
              </w:rPr>
              <w:t>Supported interpretation</w:t>
            </w:r>
          </w:p>
        </w:tc>
        <w:tc>
          <w:tcPr>
            <w:tcW w:w="2908" w:type="dxa"/>
            <w:shd w:val="clear" w:color="auto" w:fill="F6F9FB"/>
            <w:tcMar>
              <w:top w:w="70" w:type="dxa"/>
              <w:left w:w="100" w:type="dxa"/>
              <w:bottom w:w="70" w:type="dxa"/>
              <w:right w:w="100" w:type="dxa"/>
            </w:tcMar>
            <w:vAlign w:val="center"/>
          </w:tcPr>
          <w:p w14:paraId="7E0DD63C" w14:textId="77777777" w:rsidR="00DD60C8" w:rsidRDefault="00DD60C8" w:rsidP="00F96983">
            <w:pPr>
              <w:spacing w:after="0" w:line="240" w:lineRule="auto"/>
            </w:pPr>
            <w:r>
              <w:rPr>
                <w:rFonts w:ascii="Times New Roman" w:eastAsia="Times New Roman" w:hAnsi="Times New Roman"/>
                <w:color w:val="000000"/>
                <w:sz w:val="17"/>
              </w:rPr>
              <w:t>Coordination weakened before the confirmed boundary</w:t>
            </w:r>
          </w:p>
        </w:tc>
        <w:tc>
          <w:tcPr>
            <w:tcW w:w="4766" w:type="dxa"/>
            <w:shd w:val="clear" w:color="auto" w:fill="F6F9FB"/>
            <w:tcMar>
              <w:top w:w="70" w:type="dxa"/>
              <w:left w:w="100" w:type="dxa"/>
              <w:bottom w:w="70" w:type="dxa"/>
              <w:right w:w="100" w:type="dxa"/>
            </w:tcMar>
            <w:vAlign w:val="center"/>
          </w:tcPr>
          <w:p w14:paraId="73E0C669" w14:textId="77777777" w:rsidR="00DD60C8" w:rsidRDefault="00DD60C8" w:rsidP="00F96983">
            <w:pPr>
              <w:spacing w:after="0" w:line="240" w:lineRule="auto"/>
            </w:pPr>
            <w:r>
              <w:rPr>
                <w:rFonts w:ascii="Times New Roman" w:eastAsia="Times New Roman" w:hAnsi="Times New Roman"/>
                <w:color w:val="000000"/>
                <w:sz w:val="17"/>
              </w:rPr>
              <w:t>Admissible lower-level claims plus an authorized interpretive rule and limitations</w:t>
            </w:r>
          </w:p>
        </w:tc>
      </w:tr>
      <w:tr w:rsidR="00DD60C8" w14:paraId="568E53F1" w14:textId="77777777">
        <w:trPr>
          <w:cantSplit/>
          <w:jc w:val="center"/>
        </w:trPr>
        <w:tc>
          <w:tcPr>
            <w:tcW w:w="2044" w:type="dxa"/>
            <w:shd w:val="clear" w:color="auto" w:fill="FFFFFF"/>
            <w:tcMar>
              <w:top w:w="70" w:type="dxa"/>
              <w:left w:w="100" w:type="dxa"/>
              <w:bottom w:w="70" w:type="dxa"/>
              <w:right w:w="100" w:type="dxa"/>
            </w:tcMar>
            <w:vAlign w:val="center"/>
          </w:tcPr>
          <w:p w14:paraId="6055677E" w14:textId="77777777" w:rsidR="00DD60C8" w:rsidRDefault="00DD60C8" w:rsidP="00F96983">
            <w:pPr>
              <w:spacing w:after="0" w:line="240" w:lineRule="auto"/>
            </w:pPr>
            <w:r>
              <w:rPr>
                <w:rFonts w:ascii="Times New Roman" w:eastAsia="Times New Roman" w:hAnsi="Times New Roman"/>
                <w:color w:val="000000"/>
                <w:sz w:val="17"/>
              </w:rPr>
              <w:t>Contextual assertion</w:t>
            </w:r>
          </w:p>
        </w:tc>
        <w:tc>
          <w:tcPr>
            <w:tcW w:w="2908" w:type="dxa"/>
            <w:shd w:val="clear" w:color="auto" w:fill="FFFFFF"/>
            <w:tcMar>
              <w:top w:w="70" w:type="dxa"/>
              <w:left w:w="100" w:type="dxa"/>
              <w:bottom w:w="70" w:type="dxa"/>
              <w:right w:w="100" w:type="dxa"/>
            </w:tcMar>
            <w:vAlign w:val="center"/>
          </w:tcPr>
          <w:p w14:paraId="47702770" w14:textId="77777777" w:rsidR="00DD60C8" w:rsidRDefault="00DD60C8" w:rsidP="00F96983">
            <w:pPr>
              <w:spacing w:after="0" w:line="240" w:lineRule="auto"/>
            </w:pPr>
            <w:r>
              <w:rPr>
                <w:rFonts w:ascii="Times New Roman" w:eastAsia="Times New Roman" w:hAnsi="Times New Roman"/>
                <w:color w:val="000000"/>
                <w:sz w:val="17"/>
              </w:rPr>
              <w:t>The run occurred under policy P</w:t>
            </w:r>
          </w:p>
        </w:tc>
        <w:tc>
          <w:tcPr>
            <w:tcW w:w="4766" w:type="dxa"/>
            <w:shd w:val="clear" w:color="auto" w:fill="FFFFFF"/>
            <w:tcMar>
              <w:top w:w="70" w:type="dxa"/>
              <w:left w:w="100" w:type="dxa"/>
              <w:bottom w:w="70" w:type="dxa"/>
              <w:right w:w="100" w:type="dxa"/>
            </w:tcMar>
            <w:vAlign w:val="center"/>
          </w:tcPr>
          <w:p w14:paraId="34A5C549" w14:textId="77777777" w:rsidR="00DD60C8" w:rsidRDefault="00DD60C8" w:rsidP="00F96983">
            <w:pPr>
              <w:spacing w:after="0" w:line="240" w:lineRule="auto"/>
            </w:pPr>
            <w:r>
              <w:rPr>
                <w:rFonts w:ascii="Times New Roman" w:eastAsia="Times New Roman" w:hAnsi="Times New Roman"/>
                <w:color w:val="000000"/>
                <w:sz w:val="17"/>
              </w:rPr>
              <w:t>Independently supplied context or attestation; not inferred from behavioral telemetry alone</w:t>
            </w:r>
          </w:p>
        </w:tc>
      </w:tr>
      <w:tr w:rsidR="00DD60C8" w14:paraId="3A9B9F47" w14:textId="77777777">
        <w:trPr>
          <w:cantSplit/>
          <w:jc w:val="center"/>
        </w:trPr>
        <w:tc>
          <w:tcPr>
            <w:tcW w:w="2044" w:type="dxa"/>
            <w:shd w:val="clear" w:color="auto" w:fill="F6F9FB"/>
            <w:tcMar>
              <w:top w:w="70" w:type="dxa"/>
              <w:left w:w="100" w:type="dxa"/>
              <w:bottom w:w="70" w:type="dxa"/>
              <w:right w:w="100" w:type="dxa"/>
            </w:tcMar>
            <w:vAlign w:val="center"/>
          </w:tcPr>
          <w:p w14:paraId="2D3716E6" w14:textId="77777777" w:rsidR="00DD60C8" w:rsidRDefault="00DD60C8" w:rsidP="00F96983">
            <w:pPr>
              <w:spacing w:after="0" w:line="240" w:lineRule="auto"/>
            </w:pPr>
            <w:r>
              <w:rPr>
                <w:rFonts w:ascii="Times New Roman" w:eastAsia="Times New Roman" w:hAnsi="Times New Roman"/>
                <w:color w:val="000000"/>
                <w:sz w:val="17"/>
              </w:rPr>
              <w:t>Recommendation</w:t>
            </w:r>
          </w:p>
        </w:tc>
        <w:tc>
          <w:tcPr>
            <w:tcW w:w="2908" w:type="dxa"/>
            <w:shd w:val="clear" w:color="auto" w:fill="F6F9FB"/>
            <w:tcMar>
              <w:top w:w="70" w:type="dxa"/>
              <w:left w:w="100" w:type="dxa"/>
              <w:bottom w:w="70" w:type="dxa"/>
              <w:right w:w="100" w:type="dxa"/>
            </w:tcMar>
            <w:vAlign w:val="center"/>
          </w:tcPr>
          <w:p w14:paraId="357640EF" w14:textId="77777777" w:rsidR="00DD60C8" w:rsidRDefault="00DD60C8" w:rsidP="00F96983">
            <w:pPr>
              <w:spacing w:after="0" w:line="240" w:lineRule="auto"/>
            </w:pPr>
            <w:r>
              <w:rPr>
                <w:rFonts w:ascii="Times New Roman" w:eastAsia="Times New Roman" w:hAnsi="Times New Roman"/>
                <w:color w:val="000000"/>
                <w:sz w:val="17"/>
              </w:rPr>
              <w:t>Review the handoff interval from frames 40–48</w:t>
            </w:r>
          </w:p>
        </w:tc>
        <w:tc>
          <w:tcPr>
            <w:tcW w:w="4766" w:type="dxa"/>
            <w:shd w:val="clear" w:color="auto" w:fill="F6F9FB"/>
            <w:tcMar>
              <w:top w:w="70" w:type="dxa"/>
              <w:left w:w="100" w:type="dxa"/>
              <w:bottom w:w="70" w:type="dxa"/>
              <w:right w:w="100" w:type="dxa"/>
            </w:tcMar>
            <w:vAlign w:val="center"/>
          </w:tcPr>
          <w:p w14:paraId="14A5E053" w14:textId="77777777" w:rsidR="00DD60C8" w:rsidRDefault="00DD60C8" w:rsidP="00F96983">
            <w:pPr>
              <w:spacing w:after="0" w:line="240" w:lineRule="auto"/>
            </w:pPr>
            <w:r>
              <w:rPr>
                <w:rFonts w:ascii="Times New Roman" w:eastAsia="Times New Roman" w:hAnsi="Times New Roman"/>
                <w:color w:val="000000"/>
                <w:sz w:val="17"/>
              </w:rPr>
              <w:t>Admissible findings plus a declared decision policy and non-execution boundary</w:t>
            </w:r>
          </w:p>
        </w:tc>
      </w:tr>
    </w:tbl>
    <w:p w14:paraId="7F3A396F" w14:textId="77777777" w:rsidR="00DD60C8" w:rsidRDefault="00DD60C8" w:rsidP="00DD60C8">
      <w:pPr>
        <w:spacing w:after="20"/>
      </w:pPr>
    </w:p>
    <w:p w14:paraId="77BA64F0" w14:textId="77777777" w:rsidR="00DD60C8" w:rsidRDefault="00DD60C8" w:rsidP="00DD60C8">
      <w:pPr>
        <w:spacing w:after="94"/>
      </w:pPr>
      <w:r>
        <w:rPr>
          <w:rFonts w:ascii="Times New Roman" w:eastAsia="Times New Roman" w:hAnsi="Times New Roman"/>
          <w:color w:val="000000"/>
          <w:sz w:val="20"/>
        </w:rPr>
        <w:t>This hierarchy is not a universal ordering of certainty. A direct source statement can be false, and a derived measurement can be highly reliable. The classes identify the type of support required and prevent one form of evidence from being silently substituted for another.</w:t>
      </w:r>
    </w:p>
    <w:p w14:paraId="44BF30B7" w14:textId="77777777" w:rsidR="00DD60C8" w:rsidRDefault="00DD60C8" w:rsidP="00DD60C8">
      <w:pPr>
        <w:pStyle w:val="Heading2"/>
      </w:pPr>
      <w:r>
        <w:rPr>
          <w:rFonts w:ascii="Arial" w:eastAsia="Times New Roman" w:hAnsi="Arial"/>
          <w:color w:val="000000"/>
          <w:sz w:val="23"/>
        </w:rPr>
        <w:t>Claim status</w:t>
      </w:r>
    </w:p>
    <w:p w14:paraId="75BCBB1D" w14:textId="77777777" w:rsidR="00DD60C8" w:rsidRDefault="00DD60C8" w:rsidP="00DD60C8">
      <w:pPr>
        <w:keepLines/>
        <w:spacing w:after="94"/>
      </w:pPr>
      <w:r>
        <w:rPr>
          <w:rFonts w:ascii="Times New Roman" w:eastAsia="Times New Roman" w:hAnsi="Times New Roman"/>
          <w:color w:val="000000"/>
          <w:sz w:val="20"/>
        </w:rPr>
        <w:t>Claim status is part of the output, not an interface decoration. The minimum vocabulary is:</w:t>
      </w:r>
    </w:p>
    <w:p w14:paraId="6463312F"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admissible</w:t>
      </w:r>
      <w:r>
        <w:rPr>
          <w:rFonts w:ascii="Times New Roman" w:eastAsia="Times New Roman" w:hAnsi="Times New Roman"/>
          <w:color w:val="000000"/>
          <w:sz w:val="19"/>
        </w:rPr>
        <w:t xml:space="preserve"> — requirements are satisfied under the active contract;</w:t>
      </w:r>
    </w:p>
    <w:p w14:paraId="4C62B669"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conditional</w:t>
      </w:r>
      <w:r>
        <w:rPr>
          <w:rFonts w:ascii="Times New Roman" w:eastAsia="Times New Roman" w:hAnsi="Times New Roman"/>
          <w:color w:val="000000"/>
          <w:sz w:val="19"/>
        </w:rPr>
        <w:t xml:space="preserve"> — admissible only if declared assumptions or context hold;</w:t>
      </w:r>
    </w:p>
    <w:p w14:paraId="01FCA7ED"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provisional</w:t>
      </w:r>
      <w:r>
        <w:rPr>
          <w:rFonts w:ascii="Times New Roman" w:eastAsia="Times New Roman" w:hAnsi="Times New Roman"/>
          <w:color w:val="000000"/>
          <w:sz w:val="19"/>
        </w:rPr>
        <w:t xml:space="preserve"> — available for investigation but awaiting specified validation or review;</w:t>
      </w:r>
    </w:p>
    <w:p w14:paraId="54C2D10A"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disputed</w:t>
      </w:r>
      <w:r>
        <w:rPr>
          <w:rFonts w:ascii="Times New Roman" w:eastAsia="Times New Roman" w:hAnsi="Times New Roman"/>
          <w:color w:val="000000"/>
          <w:sz w:val="19"/>
        </w:rPr>
        <w:t xml:space="preserve"> — an unresolved challenge or counterevidence is attached;</w:t>
      </w:r>
    </w:p>
    <w:p w14:paraId="50DA5157"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superseded</w:t>
      </w:r>
      <w:r>
        <w:rPr>
          <w:rFonts w:ascii="Times New Roman" w:eastAsia="Times New Roman" w:hAnsi="Times New Roman"/>
          <w:color w:val="000000"/>
          <w:sz w:val="19"/>
        </w:rPr>
        <w:t xml:space="preserve"> — retained for lineage but replaced by a later version;</w:t>
      </w:r>
    </w:p>
    <w:p w14:paraId="626F45E1"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withheld</w:t>
      </w:r>
      <w:r>
        <w:rPr>
          <w:rFonts w:ascii="Times New Roman" w:eastAsia="Times New Roman" w:hAnsi="Times New Roman"/>
          <w:color w:val="000000"/>
          <w:sz w:val="19"/>
        </w:rPr>
        <w:t xml:space="preserve"> — computable or available but not authorized for the current audience or purpose;</w:t>
      </w:r>
    </w:p>
    <w:p w14:paraId="61D8A952"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not computable</w:t>
      </w:r>
      <w:r>
        <w:rPr>
          <w:rFonts w:ascii="Times New Roman" w:eastAsia="Times New Roman" w:hAnsi="Times New Roman"/>
          <w:color w:val="000000"/>
          <w:sz w:val="19"/>
        </w:rPr>
        <w:t xml:space="preserve"> — required evidence or method conditions are absent;</w:t>
      </w:r>
    </w:p>
    <w:p w14:paraId="4FE48DCC"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prohibited</w:t>
      </w:r>
      <w:r>
        <w:rPr>
          <w:rFonts w:ascii="Times New Roman" w:eastAsia="Times New Roman" w:hAnsi="Times New Roman"/>
          <w:color w:val="000000"/>
          <w:sz w:val="19"/>
        </w:rPr>
        <w:t xml:space="preserve"> — the claim exceeds an explicit boundary even if a component could generate it.</w:t>
      </w:r>
    </w:p>
    <w:p w14:paraId="0E20B13D" w14:textId="77777777" w:rsidR="00DD60C8" w:rsidRDefault="00DD60C8" w:rsidP="00DD60C8">
      <w:pPr>
        <w:spacing w:after="94"/>
      </w:pPr>
      <w:r>
        <w:rPr>
          <w:rFonts w:ascii="Times New Roman" w:eastAsia="Times New Roman" w:hAnsi="Times New Roman"/>
          <w:color w:val="000000"/>
          <w:sz w:val="20"/>
        </w:rPr>
        <w:t xml:space="preserve">An interface may use shorter wording, but it must preserve the underlying state. Empty cells, zeros, omitted panels, gray labels, and generic </w:t>
      </w:r>
      <w:r>
        <w:rPr>
          <w:rFonts w:ascii="Times New Roman" w:eastAsia="Times New Roman" w:hAnsi="Times New Roman"/>
          <w:i/>
          <w:color w:val="000000"/>
          <w:sz w:val="20"/>
        </w:rPr>
        <w:t>unknown</w:t>
      </w:r>
      <w:r>
        <w:rPr>
          <w:rFonts w:ascii="Times New Roman" w:eastAsia="Times New Roman" w:hAnsi="Times New Roman"/>
          <w:color w:val="000000"/>
          <w:sz w:val="20"/>
        </w:rPr>
        <w:t xml:space="preserve"> states are not interchangeable with these statuses.</w:t>
      </w:r>
    </w:p>
    <w:p w14:paraId="173C3ABE" w14:textId="77777777" w:rsidR="00DD60C8" w:rsidRDefault="00DD60C8" w:rsidP="00DD60C8">
      <w:pPr>
        <w:pStyle w:val="Heading2"/>
      </w:pPr>
      <w:r>
        <w:rPr>
          <w:rFonts w:ascii="Arial" w:eastAsia="Times New Roman" w:hAnsi="Arial"/>
          <w:color w:val="000000"/>
          <w:sz w:val="23"/>
        </w:rPr>
        <w:t>Admissibility relation</w:t>
      </w:r>
    </w:p>
    <w:p w14:paraId="7CA64CBB" w14:textId="77777777" w:rsidR="00DD60C8" w:rsidRDefault="00DD60C8" w:rsidP="00DD60C8">
      <w:pPr>
        <w:keepLines/>
        <w:spacing w:after="94"/>
      </w:pPr>
      <w:r>
        <w:rPr>
          <w:rFonts w:ascii="Times New Roman" w:eastAsia="Times New Roman" w:hAnsi="Times New Roman"/>
          <w:color w:val="000000"/>
          <w:sz w:val="20"/>
        </w:rPr>
        <w:t xml:space="preserve">Let </w:t>
      </w:r>
      <w:r>
        <w:rPr>
          <w:rFonts w:ascii="Times New Roman" w:eastAsia="Times New Roman" w:hAnsi="Times New Roman"/>
          <w:b/>
          <w:color w:val="000000"/>
          <w:sz w:val="20"/>
        </w:rPr>
        <w:t>Req(c)</w:t>
      </w:r>
      <w:r>
        <w:rPr>
          <w:rFonts w:ascii="Times New Roman" w:eastAsia="Times New Roman" w:hAnsi="Times New Roman"/>
          <w:color w:val="000000"/>
          <w:sz w:val="20"/>
        </w:rPr>
        <w:t xml:space="preserve"> specify the evidentiary and computational requirements of claim </w:t>
      </w:r>
      <w:r>
        <w:rPr>
          <w:rFonts w:ascii="Times New Roman" w:eastAsia="Times New Roman" w:hAnsi="Times New Roman"/>
          <w:b/>
          <w:color w:val="000000"/>
          <w:sz w:val="20"/>
        </w:rPr>
        <w:t>c</w:t>
      </w:r>
      <w:r>
        <w:rPr>
          <w:rFonts w:ascii="Times New Roman" w:eastAsia="Times New Roman" w:hAnsi="Times New Roman"/>
          <w:color w:val="000000"/>
          <w:sz w:val="20"/>
        </w:rPr>
        <w:t xml:space="preserve"> under contract </w:t>
      </w:r>
      <w:r>
        <w:rPr>
          <w:rFonts w:ascii="Times New Roman" w:eastAsia="Times New Roman" w:hAnsi="Times New Roman"/>
          <w:b/>
          <w:color w:val="000000"/>
          <w:sz w:val="20"/>
        </w:rPr>
        <w:t>C</w:t>
      </w:r>
      <w:r>
        <w:rPr>
          <w:rFonts w:ascii="Times New Roman" w:eastAsia="Times New Roman" w:hAnsi="Times New Roman"/>
          <w:color w:val="000000"/>
          <w:sz w:val="20"/>
        </w:rPr>
        <w:t>. The authorization relation is written:</w:t>
      </w:r>
    </w:p>
    <w:p w14:paraId="12DAAD9A" w14:textId="77777777" w:rsidR="00DD60C8" w:rsidRDefault="00DD60C8" w:rsidP="00DD60C8">
      <w:pPr>
        <w:spacing w:after="94"/>
      </w:pPr>
      <w:r>
        <w:rPr>
          <w:rFonts w:ascii="Times New Roman" w:eastAsia="Times New Roman" w:hAnsi="Times New Roman"/>
          <w:color w:val="000000"/>
          <w:sz w:val="20"/>
        </w:rPr>
        <w:t>E ⊢\[C\] c</w:t>
      </w:r>
    </w:p>
    <w:p w14:paraId="6A42B699" w14:textId="77777777" w:rsidR="00DD60C8" w:rsidRDefault="00DD60C8" w:rsidP="00DD60C8">
      <w:pPr>
        <w:spacing w:after="94"/>
      </w:pPr>
      <w:r>
        <w:rPr>
          <w:rFonts w:ascii="Times New Roman" w:eastAsia="Times New Roman" w:hAnsi="Times New Roman"/>
          <w:color w:val="000000"/>
          <w:sz w:val="20"/>
        </w:rPr>
        <w:t xml:space="preserve">and reads: </w:t>
      </w:r>
      <w:r>
        <w:rPr>
          <w:rFonts w:ascii="Times New Roman" w:eastAsia="Times New Roman" w:hAnsi="Times New Roman"/>
          <w:i/>
          <w:color w:val="000000"/>
          <w:sz w:val="20"/>
        </w:rPr>
        <w:t>evidence object E authorizes claim c under computation contract C.</w:t>
      </w:r>
      <w:r>
        <w:rPr>
          <w:rFonts w:ascii="Times New Roman" w:eastAsia="Times New Roman" w:hAnsi="Times New Roman"/>
          <w:color w:val="000000"/>
          <w:sz w:val="20"/>
        </w:rPr>
        <w:t xml:space="preserve"> It is defined when all required predicates hold:</w:t>
      </w:r>
    </w:p>
    <w:p w14:paraId="1C63FAA1" w14:textId="77777777" w:rsidR="00DD60C8" w:rsidRDefault="00DD60C8" w:rsidP="00DD60C8">
      <w:pPr>
        <w:spacing w:after="94"/>
      </w:pPr>
      <w:r>
        <w:rPr>
          <w:rFonts w:ascii="Times New Roman" w:eastAsia="Times New Roman" w:hAnsi="Times New Roman"/>
          <w:color w:val="000000"/>
          <w:sz w:val="20"/>
        </w:rPr>
        <w:t>E ⊢\[C\] c ⇔ Src ∧ Qual ∧ Meth ∧ Scope ∧ Bound ∧ Unc ∧ Lineage</w:t>
      </w:r>
    </w:p>
    <w:p w14:paraId="4292AD4F" w14:textId="77777777" w:rsidR="00DD60C8" w:rsidRDefault="00DD60C8" w:rsidP="00DD60C8">
      <w:pPr>
        <w:spacing w:after="94"/>
      </w:pPr>
      <w:r>
        <w:rPr>
          <w:rFonts w:ascii="Times New Roman" w:eastAsia="Times New Roman" w:hAnsi="Times New Roman"/>
          <w:color w:val="000000"/>
          <w:sz w:val="20"/>
        </w:rPr>
        <w:t>The predicates require that:</w:t>
      </w:r>
    </w:p>
    <w:p w14:paraId="100F79BB"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Src</w:t>
      </w:r>
      <w:r>
        <w:rPr>
          <w:rFonts w:ascii="Times New Roman" w:eastAsia="Times New Roman" w:hAnsi="Times New Roman"/>
          <w:color w:val="000000"/>
          <w:sz w:val="19"/>
        </w:rPr>
        <w:t xml:space="preserve"> — the necessary source or parent claims are addressable;</w:t>
      </w:r>
    </w:p>
    <w:p w14:paraId="3CBDC018"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Qual</w:t>
      </w:r>
      <w:r>
        <w:rPr>
          <w:rFonts w:ascii="Times New Roman" w:eastAsia="Times New Roman" w:hAnsi="Times New Roman"/>
          <w:color w:val="000000"/>
          <w:sz w:val="19"/>
        </w:rPr>
        <w:t xml:space="preserve"> — those materials satisfy the declared qualification criteria;</w:t>
      </w:r>
    </w:p>
    <w:p w14:paraId="567F254B"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Meth</w:t>
      </w:r>
      <w:r>
        <w:rPr>
          <w:rFonts w:ascii="Times New Roman" w:eastAsia="Times New Roman" w:hAnsi="Times New Roman"/>
          <w:color w:val="000000"/>
          <w:sz w:val="19"/>
        </w:rPr>
        <w:t xml:space="preserve"> — the authorized method and version were applied to eligible inputs;</w:t>
      </w:r>
    </w:p>
    <w:p w14:paraId="66C6A082"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Scope</w:t>
      </w:r>
      <w:r>
        <w:rPr>
          <w:rFonts w:ascii="Times New Roman" w:eastAsia="Times New Roman" w:hAnsi="Times New Roman"/>
          <w:color w:val="000000"/>
          <w:sz w:val="19"/>
        </w:rPr>
        <w:t xml:space="preserve"> — temporal, operational, population, and audience scopes are preserved;</w:t>
      </w:r>
    </w:p>
    <w:p w14:paraId="6D089B80"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Bound</w:t>
      </w:r>
      <w:r>
        <w:rPr>
          <w:rFonts w:ascii="Times New Roman" w:eastAsia="Times New Roman" w:hAnsi="Times New Roman"/>
          <w:color w:val="000000"/>
          <w:sz w:val="19"/>
        </w:rPr>
        <w:t xml:space="preserve"> — the proposition does not cross a prohibited claim boundary;</w:t>
      </w:r>
    </w:p>
    <w:p w14:paraId="7E427C80"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Unc</w:t>
      </w:r>
      <w:r>
        <w:rPr>
          <w:rFonts w:ascii="Times New Roman" w:eastAsia="Times New Roman" w:hAnsi="Times New Roman"/>
          <w:color w:val="000000"/>
          <w:sz w:val="19"/>
        </w:rPr>
        <w:t xml:space="preserve"> — required uncertainty, missingness, conflict, and confidence states are present; and</w:t>
      </w:r>
    </w:p>
    <w:p w14:paraId="57AF3635" w14:textId="77777777" w:rsidR="00DD60C8" w:rsidRDefault="00DD60C8" w:rsidP="00DD60C8">
      <w:pPr>
        <w:spacing w:after="60"/>
        <w:ind w:left="432" w:right="230" w:hanging="173"/>
      </w:pPr>
      <w:r>
        <w:rPr>
          <w:rFonts w:ascii="Times New Roman" w:eastAsia="Times New Roman" w:hAnsi="Times New Roman"/>
          <w:color w:val="000000"/>
          <w:sz w:val="19"/>
        </w:rPr>
        <w:t xml:space="preserve">• </w:t>
      </w:r>
      <w:r>
        <w:rPr>
          <w:rFonts w:ascii="Times New Roman" w:eastAsia="Times New Roman" w:hAnsi="Times New Roman"/>
          <w:b/>
          <w:color w:val="000000"/>
          <w:sz w:val="19"/>
        </w:rPr>
        <w:t>Lineage</w:t>
      </w:r>
      <w:r>
        <w:rPr>
          <w:rFonts w:ascii="Times New Roman" w:eastAsia="Times New Roman" w:hAnsi="Times New Roman"/>
          <w:color w:val="000000"/>
          <w:sz w:val="19"/>
        </w:rPr>
        <w:t xml:space="preserve"> — a reconstructable derivation path binds the claim to evidence and method.</w:t>
      </w:r>
    </w:p>
    <w:p w14:paraId="77BF64E5" w14:textId="77777777" w:rsidR="00DD60C8" w:rsidRDefault="00DD60C8" w:rsidP="00DD60C8">
      <w:pPr>
        <w:spacing w:after="94"/>
      </w:pPr>
      <w:r>
        <w:rPr>
          <w:rFonts w:ascii="Times New Roman" w:eastAsia="Times New Roman" w:hAnsi="Times New Roman"/>
          <w:color w:val="000000"/>
          <w:sz w:val="20"/>
        </w:rPr>
        <w:t>The turnstile denotes computational authorization, not logical proof or factual truth. A claim may be admissible under one contract and inadmissible under another because the contracts encode different source requirements, evaluated domains, or purposes. Such changes must produce distinguishable claim and artifact versions.</w:t>
      </w:r>
    </w:p>
    <w:p w14:paraId="048E96A3" w14:textId="77777777" w:rsidR="00DD60C8" w:rsidRDefault="00DD60C8" w:rsidP="00DD60C8">
      <w:pPr>
        <w:pStyle w:val="Heading2"/>
      </w:pPr>
      <w:r>
        <w:rPr>
          <w:rFonts w:ascii="Arial" w:eastAsia="Times New Roman" w:hAnsi="Arial"/>
          <w:color w:val="000000"/>
          <w:sz w:val="23"/>
        </w:rPr>
        <w:t>Claim closure and derived claims</w:t>
      </w:r>
    </w:p>
    <w:p w14:paraId="6D359EFD" w14:textId="77777777" w:rsidR="00DD60C8" w:rsidRDefault="00DD60C8" w:rsidP="00DD60C8">
      <w:pPr>
        <w:keepLines/>
        <w:spacing w:after="94"/>
      </w:pPr>
      <w:r>
        <w:rPr>
          <w:rFonts w:ascii="Times New Roman" w:eastAsia="Times New Roman" w:hAnsi="Times New Roman"/>
          <w:color w:val="000000"/>
          <w:sz w:val="20"/>
        </w:rPr>
        <w:t xml:space="preserve">Some claims depend upon other admitted claims. Let </w:t>
      </w:r>
      <w:r>
        <w:rPr>
          <w:rFonts w:ascii="Times New Roman" w:eastAsia="Times New Roman" w:hAnsi="Times New Roman"/>
          <w:b/>
          <w:color w:val="000000"/>
          <w:sz w:val="20"/>
        </w:rPr>
        <w:t>Adm(E,C)</w:t>
      </w:r>
      <w:r>
        <w:rPr>
          <w:rFonts w:ascii="Times New Roman" w:eastAsia="Times New Roman" w:hAnsi="Times New Roman"/>
          <w:color w:val="000000"/>
          <w:sz w:val="20"/>
        </w:rPr>
        <w:t xml:space="preserve"> be the set of claims admitted directly under </w:t>
      </w:r>
      <w:r>
        <w:rPr>
          <w:rFonts w:ascii="Times New Roman" w:eastAsia="Times New Roman" w:hAnsi="Times New Roman"/>
          <w:b/>
          <w:color w:val="000000"/>
          <w:sz w:val="20"/>
        </w:rPr>
        <w:t>E</w:t>
      </w:r>
      <w:r>
        <w:rPr>
          <w:rFonts w:ascii="Times New Roman" w:eastAsia="Times New Roman" w:hAnsi="Times New Roman"/>
          <w:color w:val="000000"/>
          <w:sz w:val="20"/>
        </w:rPr>
        <w:t xml:space="preserve"> and </w:t>
      </w:r>
      <w:r>
        <w:rPr>
          <w:rFonts w:ascii="Times New Roman" w:eastAsia="Times New Roman" w:hAnsi="Times New Roman"/>
          <w:b/>
          <w:color w:val="000000"/>
          <w:sz w:val="20"/>
        </w:rPr>
        <w:t>C</w:t>
      </w:r>
      <w:r>
        <w:rPr>
          <w:rFonts w:ascii="Times New Roman" w:eastAsia="Times New Roman" w:hAnsi="Times New Roman"/>
          <w:color w:val="000000"/>
          <w:sz w:val="20"/>
        </w:rPr>
        <w:t xml:space="preserve">. A restricted derivation closure </w:t>
      </w:r>
      <w:r>
        <w:rPr>
          <w:rFonts w:ascii="Times New Roman" w:eastAsia="Times New Roman" w:hAnsi="Times New Roman"/>
          <w:b/>
          <w:color w:val="000000"/>
          <w:sz w:val="20"/>
        </w:rPr>
        <w:t>ClC</w:t>
      </w:r>
      <w:r>
        <w:rPr>
          <w:rFonts w:ascii="Times New Roman" w:eastAsia="Times New Roman" w:hAnsi="Times New Roman"/>
          <w:color w:val="000000"/>
          <w:sz w:val="20"/>
        </w:rPr>
        <w:t xml:space="preserve"> may add a claim only through a rule declared by the contract and only if the result preserves the narrowest relevant scope and limitations of its parents:</w:t>
      </w:r>
    </w:p>
    <w:p w14:paraId="3D213D75" w14:textId="77777777" w:rsidR="00DD60C8" w:rsidRDefault="00DD60C8" w:rsidP="00DD60C8">
      <w:pPr>
        <w:spacing w:after="94"/>
      </w:pPr>
      <w:r>
        <w:rPr>
          <w:rFonts w:ascii="Times New Roman" w:eastAsia="Times New Roman" w:hAnsi="Times New Roman"/>
          <w:color w:val="000000"/>
          <w:sz w:val="20"/>
        </w:rPr>
        <w:t>Adm\*(E,C) = Cl\[C\](Adm(E,C))</w:t>
      </w:r>
    </w:p>
    <w:p w14:paraId="3F3F7A8F" w14:textId="77777777" w:rsidR="00DD60C8" w:rsidRDefault="00DD60C8" w:rsidP="00DD60C8">
      <w:pPr>
        <w:spacing w:after="94"/>
      </w:pPr>
      <w:r>
        <w:rPr>
          <w:rFonts w:ascii="Times New Roman" w:eastAsia="Times New Roman" w:hAnsi="Times New Roman"/>
          <w:color w:val="000000"/>
          <w:sz w:val="20"/>
        </w:rPr>
        <w:t>The closure is intentionally restricted. It is not permission for a language model or rule engine to infer any plausible consequence. Each derivation rule must be addressable, versioned, and typed. If a causal conclusion requires evidence beyond its parent claims, no amount of fluent synthesis can admit it.</w:t>
      </w:r>
    </w:p>
    <w:p w14:paraId="014D9D9D" w14:textId="77777777" w:rsidR="00DD60C8" w:rsidRDefault="00DD60C8" w:rsidP="00DD60C8">
      <w:pPr>
        <w:pStyle w:val="Heading2"/>
      </w:pPr>
      <w:r>
        <w:rPr>
          <w:rFonts w:ascii="Arial" w:eastAsia="Times New Roman" w:hAnsi="Arial"/>
          <w:color w:val="000000"/>
          <w:sz w:val="23"/>
        </w:rPr>
        <w:t>Claim legitimacy and metric legitimacy</w:t>
      </w:r>
    </w:p>
    <w:p w14:paraId="19A44576" w14:textId="77777777" w:rsidR="00DD60C8" w:rsidRDefault="00DD60C8" w:rsidP="00DD60C8">
      <w:pPr>
        <w:keepLines/>
        <w:spacing w:after="94"/>
      </w:pPr>
      <w:r>
        <w:rPr>
          <w:rFonts w:ascii="Times New Roman" w:eastAsia="Times New Roman" w:hAnsi="Times New Roman"/>
          <w:color w:val="000000"/>
          <w:sz w:val="20"/>
        </w:rPr>
        <w:t xml:space="preserve">The formal architecture uses a </w:t>
      </w:r>
      <w:r>
        <w:rPr>
          <w:rFonts w:ascii="Times New Roman" w:eastAsia="Times New Roman" w:hAnsi="Times New Roman"/>
          <w:b/>
          <w:color w:val="000000"/>
          <w:sz w:val="20"/>
        </w:rPr>
        <w:t>Claim Legitimacy Registry</w:t>
      </w:r>
      <w:r>
        <w:rPr>
          <w:rFonts w:ascii="Times New Roman" w:eastAsia="Times New Roman" w:hAnsi="Times New Roman"/>
          <w:color w:val="000000"/>
          <w:sz w:val="20"/>
        </w:rPr>
        <w:t xml:space="preserve"> as executable metadata defining the admissibility contract for every authoritative output class. It extends beyond metrics to classifications, interpretations, explanations, recommendations, and exports.</w:t>
      </w:r>
    </w:p>
    <w:p w14:paraId="4E0986E6" w14:textId="77777777" w:rsidR="00DD60C8" w:rsidRDefault="00DD60C8" w:rsidP="00DD60C8">
      <w:pPr>
        <w:keepNext/>
        <w:spacing w:before="140" w:after="80"/>
      </w:pPr>
      <w:r>
        <w:rPr>
          <w:rFonts w:ascii="Times New Roman" w:eastAsia="Times New Roman" w:hAnsi="Times New Roman"/>
          <w:i/>
          <w:color w:val="66717C"/>
          <w:sz w:val="18"/>
        </w:rPr>
        <w:t>Table 5. Minimum fields of the Claim Legitimacy Registry.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840"/>
      </w:tblGrid>
      <w:tr w:rsidR="00DD60C8" w14:paraId="6C08EF64" w14:textId="77777777">
        <w:trPr>
          <w:cantSplit/>
          <w:tblHeader/>
          <w:jc w:val="center"/>
        </w:trPr>
        <w:tc>
          <w:tcPr>
            <w:tcW w:w="2880" w:type="dxa"/>
            <w:shd w:val="clear" w:color="auto" w:fill="17324D"/>
            <w:tcMar>
              <w:top w:w="70" w:type="dxa"/>
              <w:left w:w="100" w:type="dxa"/>
              <w:bottom w:w="70" w:type="dxa"/>
              <w:right w:w="100" w:type="dxa"/>
            </w:tcMar>
            <w:vAlign w:val="center"/>
          </w:tcPr>
          <w:p w14:paraId="5E891263" w14:textId="77777777" w:rsidR="00DD60C8" w:rsidRDefault="00DD60C8" w:rsidP="00F96983">
            <w:pPr>
              <w:spacing w:after="0" w:line="240" w:lineRule="auto"/>
            </w:pPr>
            <w:r>
              <w:rPr>
                <w:rFonts w:ascii="Arial" w:eastAsia="Times New Roman" w:hAnsi="Arial"/>
                <w:b/>
                <w:color w:val="FFFFFF"/>
                <w:sz w:val="17"/>
              </w:rPr>
              <w:t>Registry field</w:t>
            </w:r>
          </w:p>
        </w:tc>
        <w:tc>
          <w:tcPr>
            <w:tcW w:w="6840" w:type="dxa"/>
            <w:shd w:val="clear" w:color="auto" w:fill="17324D"/>
            <w:tcMar>
              <w:top w:w="70" w:type="dxa"/>
              <w:left w:w="100" w:type="dxa"/>
              <w:bottom w:w="70" w:type="dxa"/>
              <w:right w:w="100" w:type="dxa"/>
            </w:tcMar>
            <w:vAlign w:val="center"/>
          </w:tcPr>
          <w:p w14:paraId="4B93469E" w14:textId="77777777" w:rsidR="00DD60C8" w:rsidRDefault="00DD60C8" w:rsidP="00F96983">
            <w:pPr>
              <w:spacing w:after="0" w:line="240" w:lineRule="auto"/>
            </w:pPr>
            <w:r>
              <w:rPr>
                <w:rFonts w:ascii="Arial" w:eastAsia="Times New Roman" w:hAnsi="Arial"/>
                <w:b/>
                <w:color w:val="FFFFFF"/>
                <w:sz w:val="17"/>
              </w:rPr>
              <w:t>Function</w:t>
            </w:r>
          </w:p>
        </w:tc>
      </w:tr>
      <w:tr w:rsidR="00DD60C8" w14:paraId="6DF83DF9" w14:textId="77777777">
        <w:trPr>
          <w:cantSplit/>
          <w:jc w:val="center"/>
        </w:trPr>
        <w:tc>
          <w:tcPr>
            <w:tcW w:w="2880" w:type="dxa"/>
            <w:shd w:val="clear" w:color="auto" w:fill="FFFFFF"/>
            <w:tcMar>
              <w:top w:w="70" w:type="dxa"/>
              <w:left w:w="100" w:type="dxa"/>
              <w:bottom w:w="70" w:type="dxa"/>
              <w:right w:w="100" w:type="dxa"/>
            </w:tcMar>
            <w:vAlign w:val="center"/>
          </w:tcPr>
          <w:p w14:paraId="2DD4C0EC" w14:textId="77777777" w:rsidR="00DD60C8" w:rsidRDefault="00DD60C8" w:rsidP="00F96983">
            <w:pPr>
              <w:spacing w:after="0" w:line="240" w:lineRule="auto"/>
            </w:pPr>
            <w:r>
              <w:rPr>
                <w:rFonts w:ascii="Times New Roman" w:eastAsia="Times New Roman" w:hAnsi="Times New Roman"/>
                <w:color w:val="000000"/>
                <w:sz w:val="17"/>
              </w:rPr>
              <w:t>claim_id and claim_class</w:t>
            </w:r>
          </w:p>
        </w:tc>
        <w:tc>
          <w:tcPr>
            <w:tcW w:w="6840" w:type="dxa"/>
            <w:shd w:val="clear" w:color="auto" w:fill="FFFFFF"/>
            <w:tcMar>
              <w:top w:w="70" w:type="dxa"/>
              <w:left w:w="100" w:type="dxa"/>
              <w:bottom w:w="70" w:type="dxa"/>
              <w:right w:w="100" w:type="dxa"/>
            </w:tcMar>
            <w:vAlign w:val="center"/>
          </w:tcPr>
          <w:p w14:paraId="55F9DF4C" w14:textId="77777777" w:rsidR="00DD60C8" w:rsidRDefault="00DD60C8" w:rsidP="00F96983">
            <w:pPr>
              <w:spacing w:after="0" w:line="240" w:lineRule="auto"/>
            </w:pPr>
            <w:r>
              <w:rPr>
                <w:rFonts w:ascii="Times New Roman" w:eastAsia="Times New Roman" w:hAnsi="Times New Roman"/>
                <w:color w:val="000000"/>
                <w:sz w:val="17"/>
              </w:rPr>
              <w:t>Establish stable identity and evidentiary type</w:t>
            </w:r>
          </w:p>
        </w:tc>
      </w:tr>
      <w:tr w:rsidR="00DD60C8" w14:paraId="0455DF08" w14:textId="77777777">
        <w:trPr>
          <w:cantSplit/>
          <w:jc w:val="center"/>
        </w:trPr>
        <w:tc>
          <w:tcPr>
            <w:tcW w:w="2880" w:type="dxa"/>
            <w:shd w:val="clear" w:color="auto" w:fill="F6F9FB"/>
            <w:tcMar>
              <w:top w:w="70" w:type="dxa"/>
              <w:left w:w="100" w:type="dxa"/>
              <w:bottom w:w="70" w:type="dxa"/>
              <w:right w:w="100" w:type="dxa"/>
            </w:tcMar>
            <w:vAlign w:val="center"/>
          </w:tcPr>
          <w:p w14:paraId="676E71B7" w14:textId="77777777" w:rsidR="00DD60C8" w:rsidRDefault="00DD60C8" w:rsidP="00F96983">
            <w:pPr>
              <w:spacing w:after="0" w:line="240" w:lineRule="auto"/>
            </w:pPr>
            <w:r>
              <w:rPr>
                <w:rFonts w:ascii="Times New Roman" w:eastAsia="Times New Roman" w:hAnsi="Times New Roman"/>
                <w:color w:val="000000"/>
                <w:sz w:val="17"/>
              </w:rPr>
              <w:t>proposition schema</w:t>
            </w:r>
          </w:p>
        </w:tc>
        <w:tc>
          <w:tcPr>
            <w:tcW w:w="6840" w:type="dxa"/>
            <w:shd w:val="clear" w:color="auto" w:fill="F6F9FB"/>
            <w:tcMar>
              <w:top w:w="70" w:type="dxa"/>
              <w:left w:w="100" w:type="dxa"/>
              <w:bottom w:w="70" w:type="dxa"/>
              <w:right w:w="100" w:type="dxa"/>
            </w:tcMar>
            <w:vAlign w:val="center"/>
          </w:tcPr>
          <w:p w14:paraId="130D67DA" w14:textId="77777777" w:rsidR="00DD60C8" w:rsidRDefault="00DD60C8" w:rsidP="00F96983">
            <w:pPr>
              <w:spacing w:after="0" w:line="240" w:lineRule="auto"/>
            </w:pPr>
            <w:r>
              <w:rPr>
                <w:rFonts w:ascii="Times New Roman" w:eastAsia="Times New Roman" w:hAnsi="Times New Roman"/>
                <w:color w:val="000000"/>
                <w:sz w:val="17"/>
              </w:rPr>
              <w:t>Define the normalized semantic structure</w:t>
            </w:r>
          </w:p>
        </w:tc>
      </w:tr>
      <w:tr w:rsidR="00DD60C8" w14:paraId="6621D5E5" w14:textId="77777777">
        <w:trPr>
          <w:cantSplit/>
          <w:jc w:val="center"/>
        </w:trPr>
        <w:tc>
          <w:tcPr>
            <w:tcW w:w="2880" w:type="dxa"/>
            <w:shd w:val="clear" w:color="auto" w:fill="FFFFFF"/>
            <w:tcMar>
              <w:top w:w="70" w:type="dxa"/>
              <w:left w:w="100" w:type="dxa"/>
              <w:bottom w:w="70" w:type="dxa"/>
              <w:right w:w="100" w:type="dxa"/>
            </w:tcMar>
            <w:vAlign w:val="center"/>
          </w:tcPr>
          <w:p w14:paraId="6D59D84C" w14:textId="77777777" w:rsidR="00DD60C8" w:rsidRDefault="00DD60C8" w:rsidP="00F96983">
            <w:pPr>
              <w:spacing w:after="0" w:line="240" w:lineRule="auto"/>
            </w:pPr>
            <w:r>
              <w:rPr>
                <w:rFonts w:ascii="Times New Roman" w:eastAsia="Times New Roman" w:hAnsi="Times New Roman"/>
                <w:color w:val="000000"/>
                <w:sz w:val="17"/>
              </w:rPr>
              <w:t>eligible evidence</w:t>
            </w:r>
          </w:p>
        </w:tc>
        <w:tc>
          <w:tcPr>
            <w:tcW w:w="6840" w:type="dxa"/>
            <w:shd w:val="clear" w:color="auto" w:fill="FFFFFF"/>
            <w:tcMar>
              <w:top w:w="70" w:type="dxa"/>
              <w:left w:w="100" w:type="dxa"/>
              <w:bottom w:w="70" w:type="dxa"/>
              <w:right w:w="100" w:type="dxa"/>
            </w:tcMar>
            <w:vAlign w:val="center"/>
          </w:tcPr>
          <w:p w14:paraId="2ACBC3C3" w14:textId="77777777" w:rsidR="00DD60C8" w:rsidRDefault="00DD60C8" w:rsidP="00F96983">
            <w:pPr>
              <w:spacing w:after="0" w:line="240" w:lineRule="auto"/>
            </w:pPr>
            <w:r>
              <w:rPr>
                <w:rFonts w:ascii="Times New Roman" w:eastAsia="Times New Roman" w:hAnsi="Times New Roman"/>
                <w:color w:val="000000"/>
                <w:sz w:val="17"/>
              </w:rPr>
              <w:t>List required evidence and permissible parent claims</w:t>
            </w:r>
          </w:p>
        </w:tc>
      </w:tr>
      <w:tr w:rsidR="00DD60C8" w14:paraId="2F1E0678" w14:textId="77777777">
        <w:trPr>
          <w:cantSplit/>
          <w:jc w:val="center"/>
        </w:trPr>
        <w:tc>
          <w:tcPr>
            <w:tcW w:w="2880" w:type="dxa"/>
            <w:shd w:val="clear" w:color="auto" w:fill="F6F9FB"/>
            <w:tcMar>
              <w:top w:w="70" w:type="dxa"/>
              <w:left w:w="100" w:type="dxa"/>
              <w:bottom w:w="70" w:type="dxa"/>
              <w:right w:w="100" w:type="dxa"/>
            </w:tcMar>
            <w:vAlign w:val="center"/>
          </w:tcPr>
          <w:p w14:paraId="3B17AC07" w14:textId="77777777" w:rsidR="00DD60C8" w:rsidRDefault="00DD60C8" w:rsidP="00F96983">
            <w:pPr>
              <w:spacing w:after="0" w:line="240" w:lineRule="auto"/>
            </w:pPr>
            <w:r>
              <w:rPr>
                <w:rFonts w:ascii="Times New Roman" w:eastAsia="Times New Roman" w:hAnsi="Times New Roman"/>
                <w:color w:val="000000"/>
                <w:sz w:val="17"/>
              </w:rPr>
              <w:t>method_id and version</w:t>
            </w:r>
          </w:p>
        </w:tc>
        <w:tc>
          <w:tcPr>
            <w:tcW w:w="6840" w:type="dxa"/>
            <w:shd w:val="clear" w:color="auto" w:fill="F6F9FB"/>
            <w:tcMar>
              <w:top w:w="70" w:type="dxa"/>
              <w:left w:w="100" w:type="dxa"/>
              <w:bottom w:w="70" w:type="dxa"/>
              <w:right w:w="100" w:type="dxa"/>
            </w:tcMar>
            <w:vAlign w:val="center"/>
          </w:tcPr>
          <w:p w14:paraId="162F495C" w14:textId="77777777" w:rsidR="00DD60C8" w:rsidRDefault="00DD60C8" w:rsidP="00F96983">
            <w:pPr>
              <w:spacing w:after="0" w:line="240" w:lineRule="auto"/>
            </w:pPr>
            <w:r>
              <w:rPr>
                <w:rFonts w:ascii="Times New Roman" w:eastAsia="Times New Roman" w:hAnsi="Times New Roman"/>
                <w:color w:val="000000"/>
                <w:sz w:val="17"/>
              </w:rPr>
              <w:t>Identify the authorized computation or rule</w:t>
            </w:r>
          </w:p>
        </w:tc>
      </w:tr>
      <w:tr w:rsidR="00DD60C8" w14:paraId="55001176" w14:textId="77777777">
        <w:trPr>
          <w:cantSplit/>
          <w:jc w:val="center"/>
        </w:trPr>
        <w:tc>
          <w:tcPr>
            <w:tcW w:w="2880" w:type="dxa"/>
            <w:shd w:val="clear" w:color="auto" w:fill="FFFFFF"/>
            <w:tcMar>
              <w:top w:w="70" w:type="dxa"/>
              <w:left w:w="100" w:type="dxa"/>
              <w:bottom w:w="70" w:type="dxa"/>
              <w:right w:w="100" w:type="dxa"/>
            </w:tcMar>
            <w:vAlign w:val="center"/>
          </w:tcPr>
          <w:p w14:paraId="2DEAFE57" w14:textId="77777777" w:rsidR="00DD60C8" w:rsidRDefault="00DD60C8" w:rsidP="00F96983">
            <w:pPr>
              <w:spacing w:after="0" w:line="240" w:lineRule="auto"/>
            </w:pPr>
            <w:r>
              <w:rPr>
                <w:rFonts w:ascii="Times New Roman" w:eastAsia="Times New Roman" w:hAnsi="Times New Roman"/>
                <w:color w:val="000000"/>
                <w:sz w:val="17"/>
              </w:rPr>
              <w:t>temporal and operational scope</w:t>
            </w:r>
          </w:p>
        </w:tc>
        <w:tc>
          <w:tcPr>
            <w:tcW w:w="6840" w:type="dxa"/>
            <w:shd w:val="clear" w:color="auto" w:fill="FFFFFF"/>
            <w:tcMar>
              <w:top w:w="70" w:type="dxa"/>
              <w:left w:w="100" w:type="dxa"/>
              <w:bottom w:w="70" w:type="dxa"/>
              <w:right w:w="100" w:type="dxa"/>
            </w:tcMar>
            <w:vAlign w:val="center"/>
          </w:tcPr>
          <w:p w14:paraId="2B2C13CB" w14:textId="77777777" w:rsidR="00DD60C8" w:rsidRDefault="00DD60C8" w:rsidP="00F96983">
            <w:pPr>
              <w:spacing w:after="0" w:line="240" w:lineRule="auto"/>
            </w:pPr>
            <w:r>
              <w:rPr>
                <w:rFonts w:ascii="Times New Roman" w:eastAsia="Times New Roman" w:hAnsi="Times New Roman"/>
                <w:color w:val="000000"/>
                <w:sz w:val="17"/>
              </w:rPr>
              <w:t>Constrain where and when the claim applies</w:t>
            </w:r>
          </w:p>
        </w:tc>
      </w:tr>
      <w:tr w:rsidR="00DD60C8" w14:paraId="3FBBE134" w14:textId="77777777">
        <w:trPr>
          <w:cantSplit/>
          <w:jc w:val="center"/>
        </w:trPr>
        <w:tc>
          <w:tcPr>
            <w:tcW w:w="2880" w:type="dxa"/>
            <w:shd w:val="clear" w:color="auto" w:fill="F6F9FB"/>
            <w:tcMar>
              <w:top w:w="70" w:type="dxa"/>
              <w:left w:w="100" w:type="dxa"/>
              <w:bottom w:w="70" w:type="dxa"/>
              <w:right w:w="100" w:type="dxa"/>
            </w:tcMar>
            <w:vAlign w:val="center"/>
          </w:tcPr>
          <w:p w14:paraId="7EAAB6FA" w14:textId="77777777" w:rsidR="00DD60C8" w:rsidRDefault="00DD60C8" w:rsidP="00F96983">
            <w:pPr>
              <w:spacing w:after="0" w:line="240" w:lineRule="auto"/>
            </w:pPr>
            <w:r>
              <w:rPr>
                <w:rFonts w:ascii="Times New Roman" w:eastAsia="Times New Roman" w:hAnsi="Times New Roman"/>
                <w:color w:val="000000"/>
                <w:sz w:val="17"/>
              </w:rPr>
              <w:t>uncertainty rule</w:t>
            </w:r>
          </w:p>
        </w:tc>
        <w:tc>
          <w:tcPr>
            <w:tcW w:w="6840" w:type="dxa"/>
            <w:shd w:val="clear" w:color="auto" w:fill="F6F9FB"/>
            <w:tcMar>
              <w:top w:w="70" w:type="dxa"/>
              <w:left w:w="100" w:type="dxa"/>
              <w:bottom w:w="70" w:type="dxa"/>
              <w:right w:w="100" w:type="dxa"/>
            </w:tcMar>
            <w:vAlign w:val="center"/>
          </w:tcPr>
          <w:p w14:paraId="763A9039" w14:textId="77777777" w:rsidR="00DD60C8" w:rsidRDefault="00DD60C8" w:rsidP="00F96983">
            <w:pPr>
              <w:spacing w:after="0" w:line="240" w:lineRule="auto"/>
            </w:pPr>
            <w:r>
              <w:rPr>
                <w:rFonts w:ascii="Times New Roman" w:eastAsia="Times New Roman" w:hAnsi="Times New Roman"/>
                <w:color w:val="000000"/>
                <w:sz w:val="17"/>
              </w:rPr>
              <w:t>Specify confidence, ambiguity, and disclosure requirements</w:t>
            </w:r>
          </w:p>
        </w:tc>
      </w:tr>
      <w:tr w:rsidR="00DD60C8" w14:paraId="353A4513" w14:textId="77777777">
        <w:trPr>
          <w:cantSplit/>
          <w:jc w:val="center"/>
        </w:trPr>
        <w:tc>
          <w:tcPr>
            <w:tcW w:w="2880" w:type="dxa"/>
            <w:shd w:val="clear" w:color="auto" w:fill="FFFFFF"/>
            <w:tcMar>
              <w:top w:w="70" w:type="dxa"/>
              <w:left w:w="100" w:type="dxa"/>
              <w:bottom w:w="70" w:type="dxa"/>
              <w:right w:w="100" w:type="dxa"/>
            </w:tcMar>
            <w:vAlign w:val="center"/>
          </w:tcPr>
          <w:p w14:paraId="25BB6388" w14:textId="77777777" w:rsidR="00DD60C8" w:rsidRDefault="00DD60C8" w:rsidP="00F96983">
            <w:pPr>
              <w:spacing w:after="0" w:line="240" w:lineRule="auto"/>
            </w:pPr>
            <w:r>
              <w:rPr>
                <w:rFonts w:ascii="Times New Roman" w:eastAsia="Times New Roman" w:hAnsi="Times New Roman"/>
                <w:color w:val="000000"/>
                <w:sz w:val="17"/>
              </w:rPr>
              <w:t>allowed renderings</w:t>
            </w:r>
          </w:p>
        </w:tc>
        <w:tc>
          <w:tcPr>
            <w:tcW w:w="6840" w:type="dxa"/>
            <w:shd w:val="clear" w:color="auto" w:fill="FFFFFF"/>
            <w:tcMar>
              <w:top w:w="70" w:type="dxa"/>
              <w:left w:w="100" w:type="dxa"/>
              <w:bottom w:w="70" w:type="dxa"/>
              <w:right w:w="100" w:type="dxa"/>
            </w:tcMar>
            <w:vAlign w:val="center"/>
          </w:tcPr>
          <w:p w14:paraId="20E61181" w14:textId="77777777" w:rsidR="00DD60C8" w:rsidRDefault="00DD60C8" w:rsidP="00F96983">
            <w:pPr>
              <w:spacing w:after="0" w:line="240" w:lineRule="auto"/>
            </w:pPr>
            <w:r>
              <w:rPr>
                <w:rFonts w:ascii="Times New Roman" w:eastAsia="Times New Roman" w:hAnsi="Times New Roman"/>
                <w:color w:val="000000"/>
                <w:sz w:val="17"/>
              </w:rPr>
              <w:t>Define permitted labels, summaries, and visual encodings</w:t>
            </w:r>
          </w:p>
        </w:tc>
      </w:tr>
      <w:tr w:rsidR="00DD60C8" w14:paraId="194B08E2" w14:textId="77777777">
        <w:trPr>
          <w:cantSplit/>
          <w:jc w:val="center"/>
        </w:trPr>
        <w:tc>
          <w:tcPr>
            <w:tcW w:w="2880" w:type="dxa"/>
            <w:shd w:val="clear" w:color="auto" w:fill="F6F9FB"/>
            <w:tcMar>
              <w:top w:w="70" w:type="dxa"/>
              <w:left w:w="100" w:type="dxa"/>
              <w:bottom w:w="70" w:type="dxa"/>
              <w:right w:w="100" w:type="dxa"/>
            </w:tcMar>
            <w:vAlign w:val="center"/>
          </w:tcPr>
          <w:p w14:paraId="1778C11F" w14:textId="77777777" w:rsidR="00DD60C8" w:rsidRDefault="00DD60C8" w:rsidP="00F96983">
            <w:pPr>
              <w:spacing w:after="0" w:line="240" w:lineRule="auto"/>
            </w:pPr>
            <w:r>
              <w:rPr>
                <w:rFonts w:ascii="Times New Roman" w:eastAsia="Times New Roman" w:hAnsi="Times New Roman"/>
                <w:color w:val="000000"/>
                <w:sz w:val="17"/>
              </w:rPr>
              <w:t>forbidden extensions</w:t>
            </w:r>
          </w:p>
        </w:tc>
        <w:tc>
          <w:tcPr>
            <w:tcW w:w="6840" w:type="dxa"/>
            <w:shd w:val="clear" w:color="auto" w:fill="F6F9FB"/>
            <w:tcMar>
              <w:top w:w="70" w:type="dxa"/>
              <w:left w:w="100" w:type="dxa"/>
              <w:bottom w:w="70" w:type="dxa"/>
              <w:right w:w="100" w:type="dxa"/>
            </w:tcMar>
            <w:vAlign w:val="center"/>
          </w:tcPr>
          <w:p w14:paraId="0E95863A" w14:textId="77777777" w:rsidR="00DD60C8" w:rsidRDefault="00DD60C8" w:rsidP="00F96983">
            <w:pPr>
              <w:spacing w:after="0" w:line="240" w:lineRule="auto"/>
            </w:pPr>
            <w:r>
              <w:rPr>
                <w:rFonts w:ascii="Times New Roman" w:eastAsia="Times New Roman" w:hAnsi="Times New Roman"/>
                <w:color w:val="000000"/>
                <w:sz w:val="17"/>
              </w:rPr>
              <w:t>Enumerate stronger interpretations the output must not imply</w:t>
            </w:r>
          </w:p>
        </w:tc>
      </w:tr>
      <w:tr w:rsidR="00DD60C8" w14:paraId="2B118E2E" w14:textId="77777777">
        <w:trPr>
          <w:cantSplit/>
          <w:jc w:val="center"/>
        </w:trPr>
        <w:tc>
          <w:tcPr>
            <w:tcW w:w="2880" w:type="dxa"/>
            <w:shd w:val="clear" w:color="auto" w:fill="FFFFFF"/>
            <w:tcMar>
              <w:top w:w="70" w:type="dxa"/>
              <w:left w:w="100" w:type="dxa"/>
              <w:bottom w:w="70" w:type="dxa"/>
              <w:right w:w="100" w:type="dxa"/>
            </w:tcMar>
            <w:vAlign w:val="center"/>
          </w:tcPr>
          <w:p w14:paraId="6EA08736" w14:textId="77777777" w:rsidR="00DD60C8" w:rsidRDefault="00DD60C8" w:rsidP="00F96983">
            <w:pPr>
              <w:spacing w:after="0" w:line="240" w:lineRule="auto"/>
            </w:pPr>
            <w:r>
              <w:rPr>
                <w:rFonts w:ascii="Times New Roman" w:eastAsia="Times New Roman" w:hAnsi="Times New Roman"/>
                <w:color w:val="000000"/>
                <w:sz w:val="17"/>
              </w:rPr>
              <w:t>absence behavior</w:t>
            </w:r>
          </w:p>
        </w:tc>
        <w:tc>
          <w:tcPr>
            <w:tcW w:w="6840" w:type="dxa"/>
            <w:shd w:val="clear" w:color="auto" w:fill="FFFFFF"/>
            <w:tcMar>
              <w:top w:w="70" w:type="dxa"/>
              <w:left w:w="100" w:type="dxa"/>
              <w:bottom w:w="70" w:type="dxa"/>
              <w:right w:w="100" w:type="dxa"/>
            </w:tcMar>
            <w:vAlign w:val="center"/>
          </w:tcPr>
          <w:p w14:paraId="1F701CE7" w14:textId="77777777" w:rsidR="00DD60C8" w:rsidRDefault="00DD60C8" w:rsidP="00F96983">
            <w:pPr>
              <w:spacing w:after="0" w:line="240" w:lineRule="auto"/>
            </w:pPr>
            <w:r>
              <w:rPr>
                <w:rFonts w:ascii="Times New Roman" w:eastAsia="Times New Roman" w:hAnsi="Times New Roman"/>
                <w:color w:val="000000"/>
                <w:sz w:val="17"/>
              </w:rPr>
              <w:t>Specify not-computable, unavailable, or conditional states</w:t>
            </w:r>
          </w:p>
        </w:tc>
      </w:tr>
      <w:tr w:rsidR="00DD60C8" w14:paraId="5080C3FE" w14:textId="77777777">
        <w:trPr>
          <w:cantSplit/>
          <w:jc w:val="center"/>
        </w:trPr>
        <w:tc>
          <w:tcPr>
            <w:tcW w:w="2880" w:type="dxa"/>
            <w:shd w:val="clear" w:color="auto" w:fill="F6F9FB"/>
            <w:tcMar>
              <w:top w:w="70" w:type="dxa"/>
              <w:left w:w="100" w:type="dxa"/>
              <w:bottom w:w="70" w:type="dxa"/>
              <w:right w:w="100" w:type="dxa"/>
            </w:tcMar>
            <w:vAlign w:val="center"/>
          </w:tcPr>
          <w:p w14:paraId="5B884065" w14:textId="77777777" w:rsidR="00DD60C8" w:rsidRDefault="00DD60C8" w:rsidP="00F96983">
            <w:pPr>
              <w:spacing w:after="0" w:line="240" w:lineRule="auto"/>
            </w:pPr>
            <w:r>
              <w:rPr>
                <w:rFonts w:ascii="Times New Roman" w:eastAsia="Times New Roman" w:hAnsi="Times New Roman"/>
                <w:color w:val="000000"/>
                <w:sz w:val="17"/>
              </w:rPr>
              <w:t>export and audience policy</w:t>
            </w:r>
          </w:p>
        </w:tc>
        <w:tc>
          <w:tcPr>
            <w:tcW w:w="6840" w:type="dxa"/>
            <w:shd w:val="clear" w:color="auto" w:fill="F6F9FB"/>
            <w:tcMar>
              <w:top w:w="70" w:type="dxa"/>
              <w:left w:w="100" w:type="dxa"/>
              <w:bottom w:w="70" w:type="dxa"/>
              <w:right w:w="100" w:type="dxa"/>
            </w:tcMar>
            <w:vAlign w:val="center"/>
          </w:tcPr>
          <w:p w14:paraId="151B39B0" w14:textId="77777777" w:rsidR="00DD60C8" w:rsidRDefault="00DD60C8" w:rsidP="00F96983">
            <w:pPr>
              <w:spacing w:after="0" w:line="240" w:lineRule="auto"/>
            </w:pPr>
            <w:r>
              <w:rPr>
                <w:rFonts w:ascii="Times New Roman" w:eastAsia="Times New Roman" w:hAnsi="Times New Roman"/>
                <w:color w:val="000000"/>
                <w:sz w:val="17"/>
              </w:rPr>
              <w:t>Control preservation, redaction, disclosure, and access</w:t>
            </w:r>
          </w:p>
        </w:tc>
      </w:tr>
      <w:tr w:rsidR="00DD60C8" w14:paraId="6A0B79DB" w14:textId="77777777">
        <w:trPr>
          <w:cantSplit/>
          <w:jc w:val="center"/>
        </w:trPr>
        <w:tc>
          <w:tcPr>
            <w:tcW w:w="2880" w:type="dxa"/>
            <w:shd w:val="clear" w:color="auto" w:fill="FFFFFF"/>
            <w:tcMar>
              <w:top w:w="70" w:type="dxa"/>
              <w:left w:w="100" w:type="dxa"/>
              <w:bottom w:w="70" w:type="dxa"/>
              <w:right w:w="100" w:type="dxa"/>
            </w:tcMar>
            <w:vAlign w:val="center"/>
          </w:tcPr>
          <w:p w14:paraId="76EBC3CF" w14:textId="77777777" w:rsidR="00DD60C8" w:rsidRDefault="00DD60C8" w:rsidP="00F96983">
            <w:pPr>
              <w:spacing w:after="0" w:line="240" w:lineRule="auto"/>
            </w:pPr>
            <w:r>
              <w:rPr>
                <w:rFonts w:ascii="Times New Roman" w:eastAsia="Times New Roman" w:hAnsi="Times New Roman"/>
                <w:color w:val="000000"/>
                <w:sz w:val="17"/>
              </w:rPr>
              <w:t>validation status</w:t>
            </w:r>
          </w:p>
        </w:tc>
        <w:tc>
          <w:tcPr>
            <w:tcW w:w="6840" w:type="dxa"/>
            <w:shd w:val="clear" w:color="auto" w:fill="FFFFFF"/>
            <w:tcMar>
              <w:top w:w="70" w:type="dxa"/>
              <w:left w:w="100" w:type="dxa"/>
              <w:bottom w:w="70" w:type="dxa"/>
              <w:right w:w="100" w:type="dxa"/>
            </w:tcMar>
            <w:vAlign w:val="center"/>
          </w:tcPr>
          <w:p w14:paraId="4DC3C28D" w14:textId="77777777" w:rsidR="00DD60C8" w:rsidRDefault="00DD60C8" w:rsidP="00F96983">
            <w:pPr>
              <w:spacing w:after="0" w:line="240" w:lineRule="auto"/>
            </w:pPr>
            <w:r>
              <w:rPr>
                <w:rFonts w:ascii="Times New Roman" w:eastAsia="Times New Roman" w:hAnsi="Times New Roman"/>
                <w:color w:val="000000"/>
                <w:sz w:val="17"/>
              </w:rPr>
              <w:t>Separate defined, implemented, deterministic, validated, replicated, and experimental states</w:t>
            </w:r>
          </w:p>
        </w:tc>
      </w:tr>
    </w:tbl>
    <w:p w14:paraId="554EB035" w14:textId="77777777" w:rsidR="00DD60C8" w:rsidRDefault="00DD60C8" w:rsidP="00DD60C8">
      <w:pPr>
        <w:spacing w:after="20"/>
      </w:pPr>
    </w:p>
    <w:p w14:paraId="46CABF70" w14:textId="77777777" w:rsidR="00DD60C8" w:rsidRDefault="00DD60C8" w:rsidP="00DD60C8">
      <w:pPr>
        <w:spacing w:after="94"/>
      </w:pPr>
      <w:r>
        <w:rPr>
          <w:rFonts w:ascii="Times New Roman" w:eastAsia="Times New Roman" w:hAnsi="Times New Roman"/>
          <w:color w:val="000000"/>
          <w:sz w:val="20"/>
        </w:rPr>
        <w:t xml:space="preserve">Aperture's </w:t>
      </w:r>
      <w:r>
        <w:rPr>
          <w:rFonts w:ascii="Times New Roman" w:eastAsia="Times New Roman" w:hAnsi="Times New Roman"/>
          <w:b/>
          <w:color w:val="000000"/>
          <w:sz w:val="20"/>
        </w:rPr>
        <w:t>metric-legitimacy matrix</w:t>
      </w:r>
      <w:r>
        <w:rPr>
          <w:rFonts w:ascii="Times New Roman" w:eastAsia="Times New Roman" w:hAnsi="Times New Roman"/>
          <w:color w:val="000000"/>
          <w:sz w:val="20"/>
        </w:rPr>
        <w:t xml:space="preserve"> is a narrower implementation object within this general architecture. It governs whether registered signals and projections may be presented as direct observations, derived measurements, output-based proxies, interpretations, or experimental constructs. The matrix does not replace the Claim Legitimacy Registry, because a complete claim also carries proposition, scope, status, disclosure, rendering, and export requirements.</w:t>
      </w:r>
    </w:p>
    <w:p w14:paraId="6B1F11E3" w14:textId="77777777" w:rsidR="00DD60C8" w:rsidRDefault="00DD60C8" w:rsidP="00DD60C8">
      <w:pPr>
        <w:spacing w:after="94"/>
      </w:pPr>
      <w:r>
        <w:rPr>
          <w:rFonts w:ascii="Times New Roman" w:eastAsia="Times New Roman" w:hAnsi="Times New Roman"/>
          <w:color w:val="000000"/>
          <w:sz w:val="20"/>
        </w:rPr>
        <w:t>Together, these mechanisms prevent a claim from being defined differently by each instrument or page. They also make disagreement inspectable. A revised threshold, ontology, authority class, or validation status becomes a versioned contract change rather than a silent interface edit.</w:t>
      </w:r>
    </w:p>
    <w:p w14:paraId="21FE2861"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7. Computation and Instrument Contracts</w:t>
      </w:r>
    </w:p>
    <w:p w14:paraId="2E5FCEE8" w14:textId="77777777" w:rsidR="00DD60C8" w:rsidRDefault="00DD60C8" w:rsidP="00DD60C8">
      <w:pPr>
        <w:pStyle w:val="Heading2"/>
      </w:pPr>
      <w:r>
        <w:rPr>
          <w:rFonts w:ascii="Arial" w:eastAsia="Times New Roman" w:hAnsi="Arial"/>
          <w:color w:val="000000"/>
          <w:sz w:val="23"/>
        </w:rPr>
        <w:t>The computation contract</w:t>
      </w:r>
    </w:p>
    <w:p w14:paraId="2C916091" w14:textId="77777777" w:rsidR="00DD60C8" w:rsidRDefault="00DD60C8" w:rsidP="00DD60C8">
      <w:pPr>
        <w:keepLines/>
        <w:spacing w:after="94"/>
      </w:pPr>
      <w:r>
        <w:rPr>
          <w:rFonts w:ascii="Times New Roman" w:eastAsia="Times New Roman" w:hAnsi="Times New Roman"/>
          <w:color w:val="000000"/>
          <w:sz w:val="20"/>
        </w:rPr>
        <w:t>Determinism is meaningful only relative to an explicit contract. The computation contract identifies which inputs participate in the deterministic core, how they are canonicalized, which methods are applied, and which outputs are authoritative. It also identifies what is excluded: wall-clock display time, interface selection, transient session state, animation, viewport sampling, or later annotation may be intentionally non-canonical.</w:t>
      </w:r>
    </w:p>
    <w:p w14:paraId="60325CB0" w14:textId="77777777" w:rsidR="00DD60C8" w:rsidRDefault="00DD60C8" w:rsidP="00DD60C8">
      <w:pPr>
        <w:spacing w:after="94"/>
      </w:pPr>
      <w:r>
        <w:rPr>
          <w:rFonts w:ascii="Times New Roman" w:eastAsia="Times New Roman" w:hAnsi="Times New Roman"/>
          <w:color w:val="000000"/>
          <w:sz w:val="20"/>
        </w:rPr>
        <w:t xml:space="preserve">For a canonical evidence representation </w:t>
      </w:r>
      <w:r>
        <w:rPr>
          <w:rFonts w:ascii="Times New Roman" w:eastAsia="Times New Roman" w:hAnsi="Times New Roman"/>
          <w:b/>
          <w:color w:val="000000"/>
          <w:sz w:val="20"/>
        </w:rPr>
        <w:t>canon(E,C)</w:t>
      </w:r>
      <w:r>
        <w:rPr>
          <w:rFonts w:ascii="Times New Roman" w:eastAsia="Times New Roman" w:hAnsi="Times New Roman"/>
          <w:color w:val="000000"/>
          <w:sz w:val="20"/>
        </w:rPr>
        <w:t>, a deterministic identity may be formed as:</w:t>
      </w:r>
    </w:p>
    <w:p w14:paraId="071AA6C1" w14:textId="77777777" w:rsidR="00DD60C8" w:rsidRDefault="00DD60C8" w:rsidP="00DD60C8">
      <w:pPr>
        <w:spacing w:after="94"/>
      </w:pPr>
      <w:r>
        <w:rPr>
          <w:rFonts w:ascii="Times New Roman" w:eastAsia="Times New Roman" w:hAnsi="Times New Roman"/>
          <w:color w:val="000000"/>
          <w:sz w:val="20"/>
        </w:rPr>
        <w:t>id(E,C) = H(canon(E,C))</w:t>
      </w:r>
    </w:p>
    <w:p w14:paraId="247BF349" w14:textId="77777777" w:rsidR="00DD60C8" w:rsidRDefault="00DD60C8" w:rsidP="00DD60C8">
      <w:pPr>
        <w:spacing w:after="94"/>
      </w:pPr>
      <w:r>
        <w:rPr>
          <w:rFonts w:ascii="Times New Roman" w:eastAsia="Times New Roman" w:hAnsi="Times New Roman"/>
          <w:color w:val="000000"/>
          <w:sz w:val="20"/>
        </w:rPr>
        <w:t>The digest establishes identity of the canonical representation under the contract. It does not authenticate the external events represented by the source, demonstrate completeness, or validate the semantics of the measurement.</w:t>
      </w:r>
    </w:p>
    <w:p w14:paraId="423101B3" w14:textId="77777777" w:rsidR="00DD60C8" w:rsidRDefault="00DD60C8" w:rsidP="00DD60C8">
      <w:pPr>
        <w:spacing w:after="94"/>
      </w:pPr>
      <w:r>
        <w:rPr>
          <w:rFonts w:ascii="Times New Roman" w:eastAsia="Times New Roman" w:hAnsi="Times New Roman"/>
          <w:color w:val="000000"/>
          <w:sz w:val="20"/>
        </w:rPr>
        <w:t>A complete contract should declare:</w:t>
      </w:r>
    </w:p>
    <w:p w14:paraId="6D1B031F" w14:textId="77777777" w:rsidR="00DD60C8" w:rsidRDefault="00DD60C8" w:rsidP="00DD60C8">
      <w:pPr>
        <w:spacing w:after="60"/>
        <w:ind w:left="432" w:right="230" w:hanging="173"/>
      </w:pPr>
      <w:r>
        <w:rPr>
          <w:rFonts w:ascii="Times New Roman" w:eastAsia="Times New Roman" w:hAnsi="Times New Roman"/>
          <w:color w:val="000000"/>
          <w:sz w:val="19"/>
        </w:rPr>
        <w:t>• input schemas and evidence eligibility;</w:t>
      </w:r>
    </w:p>
    <w:p w14:paraId="4053A6F6" w14:textId="77777777" w:rsidR="00DD60C8" w:rsidRDefault="00DD60C8" w:rsidP="00DD60C8">
      <w:pPr>
        <w:spacing w:after="60"/>
        <w:ind w:left="432" w:right="230" w:hanging="173"/>
      </w:pPr>
      <w:r>
        <w:rPr>
          <w:rFonts w:ascii="Times New Roman" w:eastAsia="Times New Roman" w:hAnsi="Times New Roman"/>
          <w:color w:val="000000"/>
          <w:sz w:val="19"/>
        </w:rPr>
        <w:t>• canonicalization and ordering rules;</w:t>
      </w:r>
    </w:p>
    <w:p w14:paraId="6438F804" w14:textId="77777777" w:rsidR="00DD60C8" w:rsidRDefault="00DD60C8" w:rsidP="00DD60C8">
      <w:pPr>
        <w:spacing w:after="60"/>
        <w:ind w:left="432" w:right="230" w:hanging="173"/>
      </w:pPr>
      <w:r>
        <w:rPr>
          <w:rFonts w:ascii="Times New Roman" w:eastAsia="Times New Roman" w:hAnsi="Times New Roman"/>
          <w:color w:val="000000"/>
          <w:sz w:val="19"/>
        </w:rPr>
        <w:t>• normalization and role-resolution policies;</w:t>
      </w:r>
    </w:p>
    <w:p w14:paraId="788FAAAF" w14:textId="77777777" w:rsidR="00DD60C8" w:rsidRDefault="00DD60C8" w:rsidP="00DD60C8">
      <w:pPr>
        <w:spacing w:after="60"/>
        <w:ind w:left="432" w:right="230" w:hanging="173"/>
      </w:pPr>
      <w:r>
        <w:rPr>
          <w:rFonts w:ascii="Times New Roman" w:eastAsia="Times New Roman" w:hAnsi="Times New Roman"/>
          <w:color w:val="000000"/>
          <w:sz w:val="19"/>
        </w:rPr>
        <w:t>• method, dependency, threshold, and ontology versions;</w:t>
      </w:r>
    </w:p>
    <w:p w14:paraId="3A93F7BB" w14:textId="77777777" w:rsidR="00DD60C8" w:rsidRDefault="00DD60C8" w:rsidP="00DD60C8">
      <w:pPr>
        <w:spacing w:after="60"/>
        <w:ind w:left="432" w:right="230" w:hanging="173"/>
      </w:pPr>
      <w:r>
        <w:rPr>
          <w:rFonts w:ascii="Times New Roman" w:eastAsia="Times New Roman" w:hAnsi="Times New Roman"/>
          <w:color w:val="000000"/>
          <w:sz w:val="19"/>
        </w:rPr>
        <w:t>• deterministic and volatile state boundaries;</w:t>
      </w:r>
    </w:p>
    <w:p w14:paraId="59939A06" w14:textId="77777777" w:rsidR="00DD60C8" w:rsidRDefault="00DD60C8" w:rsidP="00DD60C8">
      <w:pPr>
        <w:spacing w:after="60"/>
        <w:ind w:left="432" w:right="230" w:hanging="173"/>
      </w:pPr>
      <w:r>
        <w:rPr>
          <w:rFonts w:ascii="Times New Roman" w:eastAsia="Times New Roman" w:hAnsi="Times New Roman"/>
          <w:color w:val="000000"/>
          <w:sz w:val="19"/>
        </w:rPr>
        <w:t>• claim and uncertainty rules;</w:t>
      </w:r>
    </w:p>
    <w:p w14:paraId="0E88B0E6" w14:textId="77777777" w:rsidR="00DD60C8" w:rsidRDefault="00DD60C8" w:rsidP="00DD60C8">
      <w:pPr>
        <w:spacing w:after="60"/>
        <w:ind w:left="432" w:right="230" w:hanging="173"/>
      </w:pPr>
      <w:r>
        <w:rPr>
          <w:rFonts w:ascii="Times New Roman" w:eastAsia="Times New Roman" w:hAnsi="Times New Roman"/>
          <w:color w:val="000000"/>
          <w:sz w:val="19"/>
        </w:rPr>
        <w:t>• redaction and privacy behavior;</w:t>
      </w:r>
    </w:p>
    <w:p w14:paraId="2CF71D6E" w14:textId="77777777" w:rsidR="00DD60C8" w:rsidRDefault="00DD60C8" w:rsidP="00DD60C8">
      <w:pPr>
        <w:spacing w:after="60"/>
        <w:ind w:left="432" w:right="230" w:hanging="173"/>
      </w:pPr>
      <w:r>
        <w:rPr>
          <w:rFonts w:ascii="Times New Roman" w:eastAsia="Times New Roman" w:hAnsi="Times New Roman"/>
          <w:color w:val="000000"/>
          <w:sz w:val="19"/>
        </w:rPr>
        <w:t>• export, replay, and round-trip obligations; and</w:t>
      </w:r>
    </w:p>
    <w:p w14:paraId="1F30CF71" w14:textId="77777777" w:rsidR="00DD60C8" w:rsidRDefault="00DD60C8" w:rsidP="00DD60C8">
      <w:pPr>
        <w:spacing w:after="60"/>
        <w:ind w:left="432" w:right="230" w:hanging="173"/>
      </w:pPr>
      <w:r>
        <w:rPr>
          <w:rFonts w:ascii="Times New Roman" w:eastAsia="Times New Roman" w:hAnsi="Times New Roman"/>
          <w:color w:val="000000"/>
          <w:sz w:val="19"/>
        </w:rPr>
        <w:t>• conformance tests and validation status.</w:t>
      </w:r>
    </w:p>
    <w:p w14:paraId="2E92EAA8" w14:textId="77777777" w:rsidR="00DD60C8" w:rsidRDefault="00DD60C8" w:rsidP="00DD60C8">
      <w:pPr>
        <w:pStyle w:val="Heading2"/>
      </w:pPr>
      <w:r>
        <w:rPr>
          <w:rFonts w:ascii="Arial" w:eastAsia="Times New Roman" w:hAnsi="Arial"/>
          <w:color w:val="000000"/>
          <w:sz w:val="23"/>
        </w:rPr>
        <w:t>Instrument contracts</w:t>
      </w:r>
    </w:p>
    <w:p w14:paraId="5541093E" w14:textId="77777777" w:rsidR="00DD60C8" w:rsidRDefault="00DD60C8" w:rsidP="00DD60C8">
      <w:pPr>
        <w:keepLines/>
        <w:spacing w:after="94"/>
      </w:pPr>
      <w:r>
        <w:rPr>
          <w:rFonts w:ascii="Times New Roman" w:eastAsia="Times New Roman" w:hAnsi="Times New Roman"/>
          <w:color w:val="000000"/>
          <w:sz w:val="20"/>
        </w:rPr>
        <w:t xml:space="preserve">An instrument is governed through a contract rather than trusted by name or presentation. Instrument </w:t>
      </w:r>
      <w:r>
        <w:rPr>
          <w:rFonts w:ascii="Times New Roman" w:eastAsia="Times New Roman" w:hAnsi="Times New Roman"/>
          <w:b/>
          <w:color w:val="000000"/>
          <w:sz w:val="20"/>
        </w:rPr>
        <w:t>Ij</w:t>
      </w:r>
      <w:r>
        <w:rPr>
          <w:rFonts w:ascii="Times New Roman" w:eastAsia="Times New Roman" w:hAnsi="Times New Roman"/>
          <w:color w:val="000000"/>
          <w:sz w:val="20"/>
        </w:rPr>
        <w:t xml:space="preserve"> is represented as:</w:t>
      </w:r>
    </w:p>
    <w:p w14:paraId="3B0C840A" w14:textId="77777777" w:rsidR="00DD60C8" w:rsidRDefault="00DD60C8" w:rsidP="00DD60C8">
      <w:pPr>
        <w:spacing w:after="94"/>
      </w:pPr>
      <w:r>
        <w:rPr>
          <w:rFonts w:ascii="Times New Roman" w:eastAsia="Times New Roman" w:hAnsi="Times New Roman"/>
          <w:color w:val="000000"/>
          <w:sz w:val="20"/>
        </w:rPr>
        <w:t>I\[j\] = (R\[j\], T\[j\], O\[j\], A\[j\], F\[j\], V\[j\], X\[j\])</w:t>
      </w:r>
    </w:p>
    <w:p w14:paraId="6A32386A" w14:textId="77777777" w:rsidR="00DD60C8" w:rsidRDefault="00DD60C8" w:rsidP="00DD60C8">
      <w:pPr>
        <w:spacing w:after="94"/>
      </w:pPr>
      <w:r>
        <w:rPr>
          <w:rFonts w:ascii="Times New Roman" w:eastAsia="Times New Roman" w:hAnsi="Times New Roman"/>
          <w:color w:val="000000"/>
          <w:sz w:val="20"/>
        </w:rPr>
        <w:t xml:space="preserve">where </w:t>
      </w:r>
      <w:r>
        <w:rPr>
          <w:rFonts w:ascii="Times New Roman" w:eastAsia="Times New Roman" w:hAnsi="Times New Roman"/>
          <w:b/>
          <w:color w:val="000000"/>
          <w:sz w:val="20"/>
        </w:rPr>
        <w:t>Rj</w:t>
      </w:r>
      <w:r>
        <w:rPr>
          <w:rFonts w:ascii="Times New Roman" w:eastAsia="Times New Roman" w:hAnsi="Times New Roman"/>
          <w:color w:val="000000"/>
          <w:sz w:val="20"/>
        </w:rPr>
        <w:t xml:space="preserve"> defines readable evidence fields and parent claims; </w:t>
      </w:r>
      <w:r>
        <w:rPr>
          <w:rFonts w:ascii="Times New Roman" w:eastAsia="Times New Roman" w:hAnsi="Times New Roman"/>
          <w:b/>
          <w:color w:val="000000"/>
          <w:sz w:val="20"/>
        </w:rPr>
        <w:t>Tj</w:t>
      </w:r>
      <w:r>
        <w:rPr>
          <w:rFonts w:ascii="Times New Roman" w:eastAsia="Times New Roman" w:hAnsi="Times New Roman"/>
          <w:color w:val="000000"/>
          <w:sz w:val="20"/>
        </w:rPr>
        <w:t xml:space="preserve"> is the transformation; </w:t>
      </w:r>
      <w:r>
        <w:rPr>
          <w:rFonts w:ascii="Times New Roman" w:eastAsia="Times New Roman" w:hAnsi="Times New Roman"/>
          <w:b/>
          <w:color w:val="000000"/>
          <w:sz w:val="20"/>
        </w:rPr>
        <w:t>Oj</w:t>
      </w:r>
      <w:r>
        <w:rPr>
          <w:rFonts w:ascii="Times New Roman" w:eastAsia="Times New Roman" w:hAnsi="Times New Roman"/>
          <w:color w:val="000000"/>
          <w:sz w:val="20"/>
        </w:rPr>
        <w:t xml:space="preserve"> is the typed output schema; </w:t>
      </w:r>
      <w:r>
        <w:rPr>
          <w:rFonts w:ascii="Times New Roman" w:eastAsia="Times New Roman" w:hAnsi="Times New Roman"/>
          <w:b/>
          <w:color w:val="000000"/>
          <w:sz w:val="20"/>
        </w:rPr>
        <w:t>Aj</w:t>
      </w:r>
      <w:r>
        <w:rPr>
          <w:rFonts w:ascii="Times New Roman" w:eastAsia="Times New Roman" w:hAnsi="Times New Roman"/>
          <w:color w:val="000000"/>
          <w:sz w:val="20"/>
        </w:rPr>
        <w:t xml:space="preserve"> specifies admissible and prohibited claim classes; </w:t>
      </w:r>
      <w:r>
        <w:rPr>
          <w:rFonts w:ascii="Times New Roman" w:eastAsia="Times New Roman" w:hAnsi="Times New Roman"/>
          <w:b/>
          <w:color w:val="000000"/>
          <w:sz w:val="20"/>
        </w:rPr>
        <w:t>Fj</w:t>
      </w:r>
      <w:r>
        <w:rPr>
          <w:rFonts w:ascii="Times New Roman" w:eastAsia="Times New Roman" w:hAnsi="Times New Roman"/>
          <w:color w:val="000000"/>
          <w:sz w:val="20"/>
        </w:rPr>
        <w:t xml:space="preserve"> defines failure, conflict, and missingness behavior; </w:t>
      </w:r>
      <w:r>
        <w:rPr>
          <w:rFonts w:ascii="Times New Roman" w:eastAsia="Times New Roman" w:hAnsi="Times New Roman"/>
          <w:b/>
          <w:color w:val="000000"/>
          <w:sz w:val="20"/>
        </w:rPr>
        <w:t>Vj</w:t>
      </w:r>
      <w:r>
        <w:rPr>
          <w:rFonts w:ascii="Times New Roman" w:eastAsia="Times New Roman" w:hAnsi="Times New Roman"/>
          <w:color w:val="000000"/>
          <w:sz w:val="20"/>
        </w:rPr>
        <w:t xml:space="preserve"> identifies version, calibration, and validation state; and </w:t>
      </w:r>
      <w:r>
        <w:rPr>
          <w:rFonts w:ascii="Times New Roman" w:eastAsia="Times New Roman" w:hAnsi="Times New Roman"/>
          <w:b/>
          <w:color w:val="000000"/>
          <w:sz w:val="20"/>
        </w:rPr>
        <w:t>Xj</w:t>
      </w:r>
      <w:r>
        <w:rPr>
          <w:rFonts w:ascii="Times New Roman" w:eastAsia="Times New Roman" w:hAnsi="Times New Roman"/>
          <w:color w:val="000000"/>
          <w:sz w:val="20"/>
        </w:rPr>
        <w:t xml:space="preserve"> defines export and preservation obligations.</w:t>
      </w:r>
    </w:p>
    <w:p w14:paraId="23AB30F9" w14:textId="77777777" w:rsidR="00DD60C8" w:rsidRDefault="00DD60C8" w:rsidP="00DD60C8">
      <w:pPr>
        <w:spacing w:after="94"/>
      </w:pPr>
      <w:r>
        <w:rPr>
          <w:rFonts w:ascii="Times New Roman" w:eastAsia="Times New Roman" w:hAnsi="Times New Roman"/>
          <w:color w:val="000000"/>
          <w:sz w:val="20"/>
        </w:rPr>
        <w:t>An instrument contract answers the questions that a visualization cannot answer by appearance: What did the instrument read? What did it calculate? Under which units and interval? Which thresholds or reference conditions apply? What evidence is unavailable? What may the output support? What must it never imply? How can the result be recomputed?</w:t>
      </w:r>
    </w:p>
    <w:p w14:paraId="79827A99" w14:textId="77777777" w:rsidR="00DD60C8" w:rsidRDefault="00DD60C8" w:rsidP="00DD60C8">
      <w:pPr>
        <w:pStyle w:val="Heading2"/>
      </w:pPr>
      <w:r>
        <w:rPr>
          <w:rFonts w:ascii="Arial" w:eastAsia="Times New Roman" w:hAnsi="Arial"/>
          <w:color w:val="000000"/>
          <w:sz w:val="23"/>
        </w:rPr>
        <w:t>Shared evidence is not independent corroboration</w:t>
      </w:r>
    </w:p>
    <w:p w14:paraId="1DA63DFD" w14:textId="77777777" w:rsidR="00DD60C8" w:rsidRDefault="00DD60C8" w:rsidP="00DD60C8">
      <w:pPr>
        <w:keepLines/>
        <w:spacing w:after="94"/>
      </w:pPr>
      <w:r>
        <w:rPr>
          <w:rFonts w:ascii="Times New Roman" w:eastAsia="Times New Roman" w:hAnsi="Times New Roman"/>
          <w:color w:val="000000"/>
          <w:sz w:val="20"/>
        </w:rPr>
        <w:t>Multiple instruments can provide complementary projections of one evidence object. Agreement among them may reveal architectural consistency or the recurrence of a pattern under different transformations. It is not automatically independent corroboration. If two instruments depend on the same source fields, normalization choices, or parent metric, their agreement is statistically and epistemically dependent.</w:t>
      </w:r>
    </w:p>
    <w:p w14:paraId="0DA4D6E0" w14:textId="77777777" w:rsidR="00DD60C8" w:rsidRDefault="00DD60C8" w:rsidP="00DD60C8">
      <w:pPr>
        <w:spacing w:after="94"/>
      </w:pPr>
      <w:r>
        <w:rPr>
          <w:rFonts w:ascii="Times New Roman" w:eastAsia="Times New Roman" w:hAnsi="Times New Roman"/>
          <w:color w:val="000000"/>
          <w:sz w:val="20"/>
        </w:rPr>
        <w:t>EGC therefore requires dependency disclosure. Each output must expose its parent evidence and claims sufficiently to identify shared derivation. Independent corroboration may be asserted only when the independence criterion is defined and satisfied—for example, distinct source channels, separately calibrated methods, or external replication.</w:t>
      </w:r>
    </w:p>
    <w:p w14:paraId="07D3F930" w14:textId="77777777" w:rsidR="00DD60C8" w:rsidRDefault="00DD60C8" w:rsidP="00DD60C8">
      <w:pPr>
        <w:pStyle w:val="Heading2"/>
      </w:pPr>
      <w:r>
        <w:rPr>
          <w:rFonts w:ascii="Arial" w:eastAsia="Times New Roman" w:hAnsi="Arial"/>
          <w:color w:val="000000"/>
          <w:sz w:val="23"/>
        </w:rPr>
        <w:t>Missingness and refusal are valid outputs</w:t>
      </w:r>
    </w:p>
    <w:p w14:paraId="6A0B678C" w14:textId="77777777" w:rsidR="00DD60C8" w:rsidRDefault="00DD60C8" w:rsidP="00DD60C8">
      <w:pPr>
        <w:keepLines/>
        <w:spacing w:after="94"/>
      </w:pPr>
      <w:r>
        <w:rPr>
          <w:rFonts w:ascii="Times New Roman" w:eastAsia="Times New Roman" w:hAnsi="Times New Roman"/>
          <w:color w:val="000000"/>
          <w:sz w:val="20"/>
        </w:rPr>
        <w:t xml:space="preserve">An instrument whose requirements are not met must emit a typed absence state, not fabricate a substitute. The difference among </w:t>
      </w:r>
      <w:r>
        <w:rPr>
          <w:rFonts w:ascii="Times New Roman" w:eastAsia="Times New Roman" w:hAnsi="Times New Roman"/>
          <w:i/>
          <w:color w:val="000000"/>
          <w:sz w:val="20"/>
        </w:rPr>
        <w:t>not supplied</w:t>
      </w:r>
      <w:r>
        <w:rPr>
          <w:rFonts w:ascii="Times New Roman" w:eastAsia="Times New Roman" w:hAnsi="Times New Roman"/>
          <w:color w:val="000000"/>
          <w:sz w:val="20"/>
        </w:rPr>
        <w:t xml:space="preserve">, </w:t>
      </w:r>
      <w:r>
        <w:rPr>
          <w:rFonts w:ascii="Times New Roman" w:eastAsia="Times New Roman" w:hAnsi="Times New Roman"/>
          <w:i/>
          <w:color w:val="000000"/>
          <w:sz w:val="20"/>
        </w:rPr>
        <w:t>not observed</w:t>
      </w:r>
      <w:r>
        <w:rPr>
          <w:rFonts w:ascii="Times New Roman" w:eastAsia="Times New Roman" w:hAnsi="Times New Roman"/>
          <w:color w:val="000000"/>
          <w:sz w:val="20"/>
        </w:rPr>
        <w:t xml:space="preserve">, </w:t>
      </w:r>
      <w:r>
        <w:rPr>
          <w:rFonts w:ascii="Times New Roman" w:eastAsia="Times New Roman" w:hAnsi="Times New Roman"/>
          <w:i/>
          <w:color w:val="000000"/>
          <w:sz w:val="20"/>
        </w:rPr>
        <w:t>not eligible</w:t>
      </w:r>
      <w:r>
        <w:rPr>
          <w:rFonts w:ascii="Times New Roman" w:eastAsia="Times New Roman" w:hAnsi="Times New Roman"/>
          <w:color w:val="000000"/>
          <w:sz w:val="20"/>
        </w:rPr>
        <w:t xml:space="preserve">, </w:t>
      </w:r>
      <w:r>
        <w:rPr>
          <w:rFonts w:ascii="Times New Roman" w:eastAsia="Times New Roman" w:hAnsi="Times New Roman"/>
          <w:i/>
          <w:color w:val="000000"/>
          <w:sz w:val="20"/>
        </w:rPr>
        <w:t>not computable</w:t>
      </w:r>
      <w:r>
        <w:rPr>
          <w:rFonts w:ascii="Times New Roman" w:eastAsia="Times New Roman" w:hAnsi="Times New Roman"/>
          <w:color w:val="000000"/>
          <w:sz w:val="20"/>
        </w:rPr>
        <w:t xml:space="preserve">, </w:t>
      </w:r>
      <w:r>
        <w:rPr>
          <w:rFonts w:ascii="Times New Roman" w:eastAsia="Times New Roman" w:hAnsi="Times New Roman"/>
          <w:i/>
          <w:color w:val="000000"/>
          <w:sz w:val="20"/>
        </w:rPr>
        <w:t>below detection limit</w:t>
      </w:r>
      <w:r>
        <w:rPr>
          <w:rFonts w:ascii="Times New Roman" w:eastAsia="Times New Roman" w:hAnsi="Times New Roman"/>
          <w:color w:val="000000"/>
          <w:sz w:val="20"/>
        </w:rPr>
        <w:t xml:space="preserve">, and </w:t>
      </w:r>
      <w:r>
        <w:rPr>
          <w:rFonts w:ascii="Times New Roman" w:eastAsia="Times New Roman" w:hAnsi="Times New Roman"/>
          <w:i/>
          <w:color w:val="000000"/>
          <w:sz w:val="20"/>
        </w:rPr>
        <w:t>withheld</w:t>
      </w:r>
      <w:r>
        <w:rPr>
          <w:rFonts w:ascii="Times New Roman" w:eastAsia="Times New Roman" w:hAnsi="Times New Roman"/>
          <w:color w:val="000000"/>
          <w:sz w:val="20"/>
        </w:rPr>
        <w:t xml:space="preserve"> is evidentially significant. A zero is a measurement. Absence is a state of the evidence relationship. Confusing them alters the claim.</w:t>
      </w:r>
    </w:p>
    <w:p w14:paraId="52906024" w14:textId="77777777" w:rsidR="00DD60C8" w:rsidRDefault="00DD60C8" w:rsidP="00DD60C8">
      <w:pPr>
        <w:spacing w:after="94"/>
      </w:pPr>
      <w:r>
        <w:rPr>
          <w:rFonts w:ascii="Times New Roman" w:eastAsia="Times New Roman" w:hAnsi="Times New Roman"/>
          <w:color w:val="000000"/>
          <w:sz w:val="20"/>
        </w:rPr>
        <w:t>This requirement is especially important for generated systems, which are optimized to complete patterns and provide answers. Under EGC, refusal is not a failure of helpfulness when the evidence does not authorize the requested claim. It is correct execution of the claim boundary.</w:t>
      </w:r>
    </w:p>
    <w:p w14:paraId="07C52FB4"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8. Evidence-Governed Computation Reference Architecture</w:t>
      </w:r>
    </w:p>
    <w:p w14:paraId="32C3D213" w14:textId="77777777" w:rsidR="00DD60C8" w:rsidRDefault="00DD60C8" w:rsidP="00DD60C8">
      <w:pPr>
        <w:keepLines/>
        <w:spacing w:after="94"/>
      </w:pPr>
      <w:r>
        <w:rPr>
          <w:rFonts w:ascii="Times New Roman" w:eastAsia="Times New Roman" w:hAnsi="Times New Roman"/>
          <w:color w:val="000000"/>
          <w:sz w:val="20"/>
        </w:rPr>
        <w:t>Evidence-Governed Computation defines the architectural discipline. Its reference architecture specifies the implementation-neutral responsibilities required to preserve evidence authority from source acquisition through public output and preservation. The architecture separates evidence preparation, computation, authority, projection, and preservation so that no component has to invent its own epistemic policy.</w:t>
      </w:r>
    </w:p>
    <w:p w14:paraId="1D5EF9E6" w14:textId="77777777" w:rsidR="00DD60C8" w:rsidRDefault="00DD60C8" w:rsidP="00DD60C8">
      <w:pPr>
        <w:spacing w:after="94"/>
      </w:pPr>
      <w:r>
        <w:rPr>
          <w:rFonts w:ascii="Times New Roman" w:eastAsia="Times New Roman" w:hAnsi="Times New Roman"/>
          <w:color w:val="000000"/>
          <w:sz w:val="20"/>
        </w:rPr>
        <w:t>The reference architecture comprises seven logical responsibilities:</w:t>
      </w:r>
    </w:p>
    <w:p w14:paraId="5FA59B9C" w14:textId="77777777" w:rsidR="00DD60C8" w:rsidRDefault="00DD60C8" w:rsidP="00DD60C8">
      <w:pPr>
        <w:keepNext/>
        <w:spacing w:before="140" w:after="80"/>
      </w:pPr>
      <w:r>
        <w:rPr>
          <w:rFonts w:ascii="Times New Roman" w:eastAsia="Times New Roman" w:hAnsi="Times New Roman"/>
          <w:i/>
          <w:color w:val="66717C"/>
          <w:sz w:val="18"/>
        </w:rPr>
        <w:t>Table 6. Logical responsibilities of the Evidence-Governed Computation reference architecture.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4752"/>
        <w:gridCol w:w="2736"/>
      </w:tblGrid>
      <w:tr w:rsidR="00DD60C8" w14:paraId="17E34A34" w14:textId="77777777">
        <w:trPr>
          <w:cantSplit/>
          <w:tblHeader/>
          <w:jc w:val="center"/>
        </w:trPr>
        <w:tc>
          <w:tcPr>
            <w:tcW w:w="2232" w:type="dxa"/>
            <w:shd w:val="clear" w:color="auto" w:fill="17324D"/>
            <w:tcMar>
              <w:top w:w="70" w:type="dxa"/>
              <w:left w:w="100" w:type="dxa"/>
              <w:bottom w:w="70" w:type="dxa"/>
              <w:right w:w="100" w:type="dxa"/>
            </w:tcMar>
            <w:vAlign w:val="center"/>
          </w:tcPr>
          <w:p w14:paraId="6F4F8C35" w14:textId="77777777" w:rsidR="00DD60C8" w:rsidRDefault="00DD60C8" w:rsidP="00F96983">
            <w:pPr>
              <w:spacing w:after="0" w:line="240" w:lineRule="auto"/>
            </w:pPr>
            <w:r>
              <w:rPr>
                <w:rFonts w:ascii="Arial" w:eastAsia="Times New Roman" w:hAnsi="Arial"/>
                <w:b/>
                <w:color w:val="FFFFFF"/>
                <w:sz w:val="17"/>
              </w:rPr>
              <w:t>Responsibility</w:t>
            </w:r>
          </w:p>
        </w:tc>
        <w:tc>
          <w:tcPr>
            <w:tcW w:w="4752" w:type="dxa"/>
            <w:shd w:val="clear" w:color="auto" w:fill="17324D"/>
            <w:tcMar>
              <w:top w:w="70" w:type="dxa"/>
              <w:left w:w="100" w:type="dxa"/>
              <w:bottom w:w="70" w:type="dxa"/>
              <w:right w:w="100" w:type="dxa"/>
            </w:tcMar>
            <w:vAlign w:val="center"/>
          </w:tcPr>
          <w:p w14:paraId="59C2B39B" w14:textId="77777777" w:rsidR="00DD60C8" w:rsidRDefault="00DD60C8" w:rsidP="00F96983">
            <w:pPr>
              <w:spacing w:after="0" w:line="240" w:lineRule="auto"/>
            </w:pPr>
            <w:r>
              <w:rPr>
                <w:rFonts w:ascii="Arial" w:eastAsia="Times New Roman" w:hAnsi="Arial"/>
                <w:b/>
                <w:color w:val="FFFFFF"/>
                <w:sz w:val="17"/>
              </w:rPr>
              <w:t>Primary function</w:t>
            </w:r>
          </w:p>
        </w:tc>
        <w:tc>
          <w:tcPr>
            <w:tcW w:w="2736" w:type="dxa"/>
            <w:shd w:val="clear" w:color="auto" w:fill="17324D"/>
            <w:tcMar>
              <w:top w:w="70" w:type="dxa"/>
              <w:left w:w="100" w:type="dxa"/>
              <w:bottom w:w="70" w:type="dxa"/>
              <w:right w:w="100" w:type="dxa"/>
            </w:tcMar>
            <w:vAlign w:val="center"/>
          </w:tcPr>
          <w:p w14:paraId="1D711FF2" w14:textId="77777777" w:rsidR="00DD60C8" w:rsidRDefault="00DD60C8" w:rsidP="00F96983">
            <w:pPr>
              <w:spacing w:after="0" w:line="240" w:lineRule="auto"/>
            </w:pPr>
            <w:r>
              <w:rPr>
                <w:rFonts w:ascii="Arial" w:eastAsia="Times New Roman" w:hAnsi="Arial"/>
                <w:b/>
                <w:color w:val="FFFFFF"/>
                <w:sz w:val="17"/>
              </w:rPr>
              <w:t>Required output</w:t>
            </w:r>
          </w:p>
        </w:tc>
      </w:tr>
      <w:tr w:rsidR="00DD60C8" w14:paraId="6266B932" w14:textId="77777777">
        <w:trPr>
          <w:cantSplit/>
          <w:jc w:val="center"/>
        </w:trPr>
        <w:tc>
          <w:tcPr>
            <w:tcW w:w="2232" w:type="dxa"/>
            <w:shd w:val="clear" w:color="auto" w:fill="FFFFFF"/>
            <w:tcMar>
              <w:top w:w="70" w:type="dxa"/>
              <w:left w:w="100" w:type="dxa"/>
              <w:bottom w:w="70" w:type="dxa"/>
              <w:right w:w="100" w:type="dxa"/>
            </w:tcMar>
            <w:vAlign w:val="center"/>
          </w:tcPr>
          <w:p w14:paraId="05A264B7" w14:textId="77777777" w:rsidR="00DD60C8" w:rsidRDefault="00DD60C8" w:rsidP="00F96983">
            <w:pPr>
              <w:spacing w:after="0" w:line="240" w:lineRule="auto"/>
            </w:pPr>
            <w:r>
              <w:rPr>
                <w:rFonts w:ascii="Times New Roman" w:eastAsia="Times New Roman" w:hAnsi="Times New Roman"/>
                <w:color w:val="000000"/>
                <w:sz w:val="17"/>
              </w:rPr>
              <w:t>1. Acquisition and qualification</w:t>
            </w:r>
          </w:p>
        </w:tc>
        <w:tc>
          <w:tcPr>
            <w:tcW w:w="4752" w:type="dxa"/>
            <w:shd w:val="clear" w:color="auto" w:fill="FFFFFF"/>
            <w:tcMar>
              <w:top w:w="70" w:type="dxa"/>
              <w:left w:w="100" w:type="dxa"/>
              <w:bottom w:w="70" w:type="dxa"/>
              <w:right w:w="100" w:type="dxa"/>
            </w:tcMar>
            <w:vAlign w:val="center"/>
          </w:tcPr>
          <w:p w14:paraId="41FE8052" w14:textId="77777777" w:rsidR="00DD60C8" w:rsidRDefault="00DD60C8" w:rsidP="00F96983">
            <w:pPr>
              <w:spacing w:after="0" w:line="240" w:lineRule="auto"/>
            </w:pPr>
            <w:r>
              <w:rPr>
                <w:rFonts w:ascii="Times New Roman" w:eastAsia="Times New Roman" w:hAnsi="Times New Roman"/>
                <w:color w:val="000000"/>
                <w:sz w:val="17"/>
              </w:rPr>
              <w:t>Preserve sources, declarations, context, trust state, coverage, and source identity</w:t>
            </w:r>
          </w:p>
        </w:tc>
        <w:tc>
          <w:tcPr>
            <w:tcW w:w="2736" w:type="dxa"/>
            <w:shd w:val="clear" w:color="auto" w:fill="FFFFFF"/>
            <w:tcMar>
              <w:top w:w="70" w:type="dxa"/>
              <w:left w:w="100" w:type="dxa"/>
              <w:bottom w:w="70" w:type="dxa"/>
              <w:right w:w="100" w:type="dxa"/>
            </w:tcMar>
            <w:vAlign w:val="center"/>
          </w:tcPr>
          <w:p w14:paraId="5B8D9A56" w14:textId="77777777" w:rsidR="00DD60C8" w:rsidRDefault="00DD60C8" w:rsidP="00F96983">
            <w:pPr>
              <w:spacing w:after="0" w:line="240" w:lineRule="auto"/>
            </w:pPr>
            <w:r>
              <w:rPr>
                <w:rFonts w:ascii="Times New Roman" w:eastAsia="Times New Roman" w:hAnsi="Times New Roman"/>
                <w:color w:val="000000"/>
                <w:sz w:val="17"/>
              </w:rPr>
              <w:t>Qualified source package with explicit absences and source binding</w:t>
            </w:r>
          </w:p>
        </w:tc>
      </w:tr>
      <w:tr w:rsidR="00DD60C8" w14:paraId="2A8C44A9" w14:textId="77777777">
        <w:trPr>
          <w:cantSplit/>
          <w:jc w:val="center"/>
        </w:trPr>
        <w:tc>
          <w:tcPr>
            <w:tcW w:w="2232" w:type="dxa"/>
            <w:shd w:val="clear" w:color="auto" w:fill="F6F9FB"/>
            <w:tcMar>
              <w:top w:w="70" w:type="dxa"/>
              <w:left w:w="100" w:type="dxa"/>
              <w:bottom w:w="70" w:type="dxa"/>
              <w:right w:w="100" w:type="dxa"/>
            </w:tcMar>
            <w:vAlign w:val="center"/>
          </w:tcPr>
          <w:p w14:paraId="19DB98D8" w14:textId="77777777" w:rsidR="00DD60C8" w:rsidRDefault="00DD60C8" w:rsidP="00F96983">
            <w:pPr>
              <w:spacing w:after="0" w:line="240" w:lineRule="auto"/>
            </w:pPr>
            <w:r>
              <w:rPr>
                <w:rFonts w:ascii="Times New Roman" w:eastAsia="Times New Roman" w:hAnsi="Times New Roman"/>
                <w:color w:val="000000"/>
                <w:sz w:val="17"/>
              </w:rPr>
              <w:t>2. Canonical evidence</w:t>
            </w:r>
          </w:p>
        </w:tc>
        <w:tc>
          <w:tcPr>
            <w:tcW w:w="4752" w:type="dxa"/>
            <w:shd w:val="clear" w:color="auto" w:fill="F6F9FB"/>
            <w:tcMar>
              <w:top w:w="70" w:type="dxa"/>
              <w:left w:w="100" w:type="dxa"/>
              <w:bottom w:w="70" w:type="dxa"/>
              <w:right w:w="100" w:type="dxa"/>
            </w:tcMar>
            <w:vAlign w:val="center"/>
          </w:tcPr>
          <w:p w14:paraId="18835C9B" w14:textId="77777777" w:rsidR="00DD60C8" w:rsidRDefault="00DD60C8" w:rsidP="00F96983">
            <w:pPr>
              <w:spacing w:after="0" w:line="240" w:lineRule="auto"/>
            </w:pPr>
            <w:r>
              <w:rPr>
                <w:rFonts w:ascii="Times New Roman" w:eastAsia="Times New Roman" w:hAnsi="Times New Roman"/>
                <w:color w:val="000000"/>
                <w:sz w:val="17"/>
              </w:rPr>
              <w:t>Normalize eligible material without erasing source identity, ordering, or transformation provenance</w:t>
            </w:r>
          </w:p>
        </w:tc>
        <w:tc>
          <w:tcPr>
            <w:tcW w:w="2736" w:type="dxa"/>
            <w:shd w:val="clear" w:color="auto" w:fill="F6F9FB"/>
            <w:tcMar>
              <w:top w:w="70" w:type="dxa"/>
              <w:left w:w="100" w:type="dxa"/>
              <w:bottom w:w="70" w:type="dxa"/>
              <w:right w:w="100" w:type="dxa"/>
            </w:tcMar>
            <w:vAlign w:val="center"/>
          </w:tcPr>
          <w:p w14:paraId="02845A63" w14:textId="77777777" w:rsidR="00DD60C8" w:rsidRDefault="00DD60C8" w:rsidP="00F96983">
            <w:pPr>
              <w:spacing w:after="0" w:line="240" w:lineRule="auto"/>
            </w:pPr>
            <w:r>
              <w:rPr>
                <w:rFonts w:ascii="Times New Roman" w:eastAsia="Times New Roman" w:hAnsi="Times New Roman"/>
                <w:color w:val="000000"/>
                <w:sz w:val="17"/>
              </w:rPr>
              <w:t>Canonical evidence object and source bindings</w:t>
            </w:r>
          </w:p>
        </w:tc>
      </w:tr>
      <w:tr w:rsidR="00DD60C8" w14:paraId="7513C3C5" w14:textId="77777777">
        <w:trPr>
          <w:cantSplit/>
          <w:jc w:val="center"/>
        </w:trPr>
        <w:tc>
          <w:tcPr>
            <w:tcW w:w="2232" w:type="dxa"/>
            <w:shd w:val="clear" w:color="auto" w:fill="FFFFFF"/>
            <w:tcMar>
              <w:top w:w="70" w:type="dxa"/>
              <w:left w:w="100" w:type="dxa"/>
              <w:bottom w:w="70" w:type="dxa"/>
              <w:right w:w="100" w:type="dxa"/>
            </w:tcMar>
            <w:vAlign w:val="center"/>
          </w:tcPr>
          <w:p w14:paraId="6232BFD1" w14:textId="77777777" w:rsidR="00DD60C8" w:rsidRDefault="00DD60C8" w:rsidP="00F96983">
            <w:pPr>
              <w:spacing w:after="0" w:line="240" w:lineRule="auto"/>
            </w:pPr>
            <w:r>
              <w:rPr>
                <w:rFonts w:ascii="Times New Roman" w:eastAsia="Times New Roman" w:hAnsi="Times New Roman"/>
                <w:color w:val="000000"/>
                <w:sz w:val="17"/>
              </w:rPr>
              <w:t>3. Computation</w:t>
            </w:r>
          </w:p>
        </w:tc>
        <w:tc>
          <w:tcPr>
            <w:tcW w:w="4752" w:type="dxa"/>
            <w:shd w:val="clear" w:color="auto" w:fill="FFFFFF"/>
            <w:tcMar>
              <w:top w:w="70" w:type="dxa"/>
              <w:left w:w="100" w:type="dxa"/>
              <w:bottom w:w="70" w:type="dxa"/>
              <w:right w:w="100" w:type="dxa"/>
            </w:tcMar>
            <w:vAlign w:val="center"/>
          </w:tcPr>
          <w:p w14:paraId="4FF59D26" w14:textId="77777777" w:rsidR="00DD60C8" w:rsidRDefault="00DD60C8" w:rsidP="00F96983">
            <w:pPr>
              <w:spacing w:after="0" w:line="240" w:lineRule="auto"/>
            </w:pPr>
            <w:r>
              <w:rPr>
                <w:rFonts w:ascii="Times New Roman" w:eastAsia="Times New Roman" w:hAnsi="Times New Roman"/>
                <w:color w:val="000000"/>
                <w:sz w:val="17"/>
              </w:rPr>
              <w:t>Apply declared transformations, measurements, classifications, and reconstruction methods</w:t>
            </w:r>
          </w:p>
        </w:tc>
        <w:tc>
          <w:tcPr>
            <w:tcW w:w="2736" w:type="dxa"/>
            <w:shd w:val="clear" w:color="auto" w:fill="FFFFFF"/>
            <w:tcMar>
              <w:top w:w="70" w:type="dxa"/>
              <w:left w:w="100" w:type="dxa"/>
              <w:bottom w:w="70" w:type="dxa"/>
              <w:right w:w="100" w:type="dxa"/>
            </w:tcMar>
            <w:vAlign w:val="center"/>
          </w:tcPr>
          <w:p w14:paraId="1C9AAE0C" w14:textId="77777777" w:rsidR="00DD60C8" w:rsidRDefault="00DD60C8" w:rsidP="00F96983">
            <w:pPr>
              <w:spacing w:after="0" w:line="240" w:lineRule="auto"/>
            </w:pPr>
            <w:r>
              <w:rPr>
                <w:rFonts w:ascii="Times New Roman" w:eastAsia="Times New Roman" w:hAnsi="Times New Roman"/>
                <w:color w:val="000000"/>
                <w:sz w:val="17"/>
              </w:rPr>
              <w:t>Versioned derived objects with dependency lineage</w:t>
            </w:r>
          </w:p>
        </w:tc>
      </w:tr>
      <w:tr w:rsidR="00DD60C8" w14:paraId="2A31570B" w14:textId="77777777">
        <w:trPr>
          <w:cantSplit/>
          <w:jc w:val="center"/>
        </w:trPr>
        <w:tc>
          <w:tcPr>
            <w:tcW w:w="2232" w:type="dxa"/>
            <w:shd w:val="clear" w:color="auto" w:fill="F6F9FB"/>
            <w:tcMar>
              <w:top w:w="70" w:type="dxa"/>
              <w:left w:w="100" w:type="dxa"/>
              <w:bottom w:w="70" w:type="dxa"/>
              <w:right w:w="100" w:type="dxa"/>
            </w:tcMar>
            <w:vAlign w:val="center"/>
          </w:tcPr>
          <w:p w14:paraId="124A4C5D" w14:textId="77777777" w:rsidR="00DD60C8" w:rsidRDefault="00DD60C8" w:rsidP="00F96983">
            <w:pPr>
              <w:spacing w:after="0" w:line="240" w:lineRule="auto"/>
            </w:pPr>
            <w:r>
              <w:rPr>
                <w:rFonts w:ascii="Times New Roman" w:eastAsia="Times New Roman" w:hAnsi="Times New Roman"/>
                <w:color w:val="000000"/>
                <w:sz w:val="17"/>
              </w:rPr>
              <w:t>4. Authority and claims</w:t>
            </w:r>
          </w:p>
        </w:tc>
        <w:tc>
          <w:tcPr>
            <w:tcW w:w="4752" w:type="dxa"/>
            <w:shd w:val="clear" w:color="auto" w:fill="F6F9FB"/>
            <w:tcMar>
              <w:top w:w="70" w:type="dxa"/>
              <w:left w:w="100" w:type="dxa"/>
              <w:bottom w:w="70" w:type="dxa"/>
              <w:right w:w="100" w:type="dxa"/>
            </w:tcMar>
            <w:vAlign w:val="center"/>
          </w:tcPr>
          <w:p w14:paraId="47603F8F" w14:textId="77777777" w:rsidR="00DD60C8" w:rsidRDefault="00DD60C8" w:rsidP="00F96983">
            <w:pPr>
              <w:spacing w:after="0" w:line="240" w:lineRule="auto"/>
            </w:pPr>
            <w:r>
              <w:rPr>
                <w:rFonts w:ascii="Times New Roman" w:eastAsia="Times New Roman" w:hAnsi="Times New Roman"/>
                <w:color w:val="000000"/>
                <w:sz w:val="17"/>
              </w:rPr>
              <w:t>Evaluate claim classes against the registry and active contract</w:t>
            </w:r>
          </w:p>
        </w:tc>
        <w:tc>
          <w:tcPr>
            <w:tcW w:w="2736" w:type="dxa"/>
            <w:shd w:val="clear" w:color="auto" w:fill="F6F9FB"/>
            <w:tcMar>
              <w:top w:w="70" w:type="dxa"/>
              <w:left w:w="100" w:type="dxa"/>
              <w:bottom w:w="70" w:type="dxa"/>
              <w:right w:w="100" w:type="dxa"/>
            </w:tcMar>
            <w:vAlign w:val="center"/>
          </w:tcPr>
          <w:p w14:paraId="52733E7E" w14:textId="77777777" w:rsidR="00DD60C8" w:rsidRDefault="00DD60C8" w:rsidP="00F96983">
            <w:pPr>
              <w:spacing w:after="0" w:line="240" w:lineRule="auto"/>
            </w:pPr>
            <w:r>
              <w:rPr>
                <w:rFonts w:ascii="Times New Roman" w:eastAsia="Times New Roman" w:hAnsi="Times New Roman"/>
                <w:color w:val="000000"/>
                <w:sz w:val="17"/>
              </w:rPr>
              <w:t>Typed claims, status, boundaries, disclosures, and prohibitions</w:t>
            </w:r>
          </w:p>
        </w:tc>
      </w:tr>
      <w:tr w:rsidR="00DD60C8" w14:paraId="05C1A669" w14:textId="77777777">
        <w:trPr>
          <w:cantSplit/>
          <w:jc w:val="center"/>
        </w:trPr>
        <w:tc>
          <w:tcPr>
            <w:tcW w:w="2232" w:type="dxa"/>
            <w:shd w:val="clear" w:color="auto" w:fill="FFFFFF"/>
            <w:tcMar>
              <w:top w:w="70" w:type="dxa"/>
              <w:left w:w="100" w:type="dxa"/>
              <w:bottom w:w="70" w:type="dxa"/>
              <w:right w:w="100" w:type="dxa"/>
            </w:tcMar>
            <w:vAlign w:val="center"/>
          </w:tcPr>
          <w:p w14:paraId="41E510B8" w14:textId="77777777" w:rsidR="00DD60C8" w:rsidRDefault="00DD60C8" w:rsidP="00F96983">
            <w:pPr>
              <w:spacing w:after="0" w:line="240" w:lineRule="auto"/>
            </w:pPr>
            <w:r>
              <w:rPr>
                <w:rFonts w:ascii="Times New Roman" w:eastAsia="Times New Roman" w:hAnsi="Times New Roman"/>
                <w:color w:val="000000"/>
                <w:sz w:val="17"/>
              </w:rPr>
              <w:t>5. Projection and investigation</w:t>
            </w:r>
          </w:p>
        </w:tc>
        <w:tc>
          <w:tcPr>
            <w:tcW w:w="4752" w:type="dxa"/>
            <w:shd w:val="clear" w:color="auto" w:fill="FFFFFF"/>
            <w:tcMar>
              <w:top w:w="70" w:type="dxa"/>
              <w:left w:w="100" w:type="dxa"/>
              <w:bottom w:w="70" w:type="dxa"/>
              <w:right w:w="100" w:type="dxa"/>
            </w:tcMar>
            <w:vAlign w:val="center"/>
          </w:tcPr>
          <w:p w14:paraId="0BBF46E0" w14:textId="77777777" w:rsidR="00DD60C8" w:rsidRDefault="00DD60C8" w:rsidP="00F96983">
            <w:pPr>
              <w:spacing w:after="0" w:line="240" w:lineRule="auto"/>
            </w:pPr>
            <w:r>
              <w:rPr>
                <w:rFonts w:ascii="Times New Roman" w:eastAsia="Times New Roman" w:hAnsi="Times New Roman"/>
                <w:color w:val="000000"/>
                <w:sz w:val="17"/>
              </w:rPr>
              <w:t>Render authorized evidence for instruments, workflows, and audiences</w:t>
            </w:r>
          </w:p>
        </w:tc>
        <w:tc>
          <w:tcPr>
            <w:tcW w:w="2736" w:type="dxa"/>
            <w:shd w:val="clear" w:color="auto" w:fill="FFFFFF"/>
            <w:tcMar>
              <w:top w:w="70" w:type="dxa"/>
              <w:left w:w="100" w:type="dxa"/>
              <w:bottom w:w="70" w:type="dxa"/>
              <w:right w:w="100" w:type="dxa"/>
            </w:tcMar>
            <w:vAlign w:val="center"/>
          </w:tcPr>
          <w:p w14:paraId="440EC5A8" w14:textId="77777777" w:rsidR="00DD60C8" w:rsidRDefault="00DD60C8" w:rsidP="00F96983">
            <w:pPr>
              <w:spacing w:after="0" w:line="240" w:lineRule="auto"/>
            </w:pPr>
            <w:r>
              <w:rPr>
                <w:rFonts w:ascii="Times New Roman" w:eastAsia="Times New Roman" w:hAnsi="Times New Roman"/>
                <w:color w:val="000000"/>
                <w:sz w:val="17"/>
              </w:rPr>
              <w:t>Bounded projections with surface bindings</w:t>
            </w:r>
          </w:p>
        </w:tc>
      </w:tr>
      <w:tr w:rsidR="00DD60C8" w14:paraId="10C21A37" w14:textId="77777777">
        <w:trPr>
          <w:cantSplit/>
          <w:jc w:val="center"/>
        </w:trPr>
        <w:tc>
          <w:tcPr>
            <w:tcW w:w="2232" w:type="dxa"/>
            <w:shd w:val="clear" w:color="auto" w:fill="F6F9FB"/>
            <w:tcMar>
              <w:top w:w="70" w:type="dxa"/>
              <w:left w:w="100" w:type="dxa"/>
              <w:bottom w:w="70" w:type="dxa"/>
              <w:right w:w="100" w:type="dxa"/>
            </w:tcMar>
            <w:vAlign w:val="center"/>
          </w:tcPr>
          <w:p w14:paraId="7119BE97" w14:textId="77777777" w:rsidR="00DD60C8" w:rsidRDefault="00DD60C8" w:rsidP="00F96983">
            <w:pPr>
              <w:spacing w:after="0" w:line="240" w:lineRule="auto"/>
            </w:pPr>
            <w:r>
              <w:rPr>
                <w:rFonts w:ascii="Times New Roman" w:eastAsia="Times New Roman" w:hAnsi="Times New Roman"/>
                <w:color w:val="000000"/>
                <w:sz w:val="17"/>
              </w:rPr>
              <w:t>6. Egress and action</w:t>
            </w:r>
          </w:p>
        </w:tc>
        <w:tc>
          <w:tcPr>
            <w:tcW w:w="4752" w:type="dxa"/>
            <w:shd w:val="clear" w:color="auto" w:fill="F6F9FB"/>
            <w:tcMar>
              <w:top w:w="70" w:type="dxa"/>
              <w:left w:w="100" w:type="dxa"/>
              <w:bottom w:w="70" w:type="dxa"/>
              <w:right w:w="100" w:type="dxa"/>
            </w:tcMar>
            <w:vAlign w:val="center"/>
          </w:tcPr>
          <w:p w14:paraId="03B1ACC2" w14:textId="77777777" w:rsidR="00DD60C8" w:rsidRDefault="00DD60C8" w:rsidP="00F96983">
            <w:pPr>
              <w:spacing w:after="0" w:line="240" w:lineRule="auto"/>
            </w:pPr>
            <w:r>
              <w:rPr>
                <w:rFonts w:ascii="Times New Roman" w:eastAsia="Times New Roman" w:hAnsi="Times New Roman"/>
                <w:color w:val="000000"/>
                <w:sz w:val="17"/>
              </w:rPr>
              <w:t>Govern APIs, alerts, narratives, recommendations, and handoffs</w:t>
            </w:r>
          </w:p>
        </w:tc>
        <w:tc>
          <w:tcPr>
            <w:tcW w:w="2736" w:type="dxa"/>
            <w:shd w:val="clear" w:color="auto" w:fill="F6F9FB"/>
            <w:tcMar>
              <w:top w:w="70" w:type="dxa"/>
              <w:left w:w="100" w:type="dxa"/>
              <w:bottom w:w="70" w:type="dxa"/>
              <w:right w:w="100" w:type="dxa"/>
            </w:tcMar>
            <w:vAlign w:val="center"/>
          </w:tcPr>
          <w:p w14:paraId="523D325E" w14:textId="77777777" w:rsidR="00DD60C8" w:rsidRDefault="00DD60C8" w:rsidP="00F96983">
            <w:pPr>
              <w:spacing w:after="0" w:line="240" w:lineRule="auto"/>
            </w:pPr>
            <w:r>
              <w:rPr>
                <w:rFonts w:ascii="Times New Roman" w:eastAsia="Times New Roman" w:hAnsi="Times New Roman"/>
                <w:color w:val="000000"/>
                <w:sz w:val="17"/>
              </w:rPr>
              <w:t>Admissible outputs or explicit refusal states</w:t>
            </w:r>
          </w:p>
        </w:tc>
      </w:tr>
      <w:tr w:rsidR="00DD60C8" w14:paraId="7142E2F7" w14:textId="77777777">
        <w:trPr>
          <w:cantSplit/>
          <w:jc w:val="center"/>
        </w:trPr>
        <w:tc>
          <w:tcPr>
            <w:tcW w:w="2232" w:type="dxa"/>
            <w:shd w:val="clear" w:color="auto" w:fill="FFFFFF"/>
            <w:tcMar>
              <w:top w:w="70" w:type="dxa"/>
              <w:left w:w="100" w:type="dxa"/>
              <w:bottom w:w="70" w:type="dxa"/>
              <w:right w:w="100" w:type="dxa"/>
            </w:tcMar>
            <w:vAlign w:val="center"/>
          </w:tcPr>
          <w:p w14:paraId="01747033" w14:textId="77777777" w:rsidR="00DD60C8" w:rsidRDefault="00DD60C8" w:rsidP="00F96983">
            <w:pPr>
              <w:spacing w:after="0" w:line="240" w:lineRule="auto"/>
            </w:pPr>
            <w:r>
              <w:rPr>
                <w:rFonts w:ascii="Times New Roman" w:eastAsia="Times New Roman" w:hAnsi="Times New Roman"/>
                <w:color w:val="000000"/>
                <w:sz w:val="17"/>
              </w:rPr>
              <w:t>7. Preservation and challenge</w:t>
            </w:r>
          </w:p>
        </w:tc>
        <w:tc>
          <w:tcPr>
            <w:tcW w:w="4752" w:type="dxa"/>
            <w:shd w:val="clear" w:color="auto" w:fill="FFFFFF"/>
            <w:tcMar>
              <w:top w:w="70" w:type="dxa"/>
              <w:left w:w="100" w:type="dxa"/>
              <w:bottom w:w="70" w:type="dxa"/>
              <w:right w:w="100" w:type="dxa"/>
            </w:tcMar>
            <w:vAlign w:val="center"/>
          </w:tcPr>
          <w:p w14:paraId="6B00FB30" w14:textId="77777777" w:rsidR="00DD60C8" w:rsidRDefault="00DD60C8" w:rsidP="00F96983">
            <w:pPr>
              <w:spacing w:after="0" w:line="240" w:lineRule="auto"/>
            </w:pPr>
            <w:r>
              <w:rPr>
                <w:rFonts w:ascii="Times New Roman" w:eastAsia="Times New Roman" w:hAnsi="Times New Roman"/>
                <w:color w:val="000000"/>
                <w:sz w:val="17"/>
              </w:rPr>
              <w:t>Export, re-import, compare, dispute, revise, supersede, and retain lineage</w:t>
            </w:r>
          </w:p>
        </w:tc>
        <w:tc>
          <w:tcPr>
            <w:tcW w:w="2736" w:type="dxa"/>
            <w:shd w:val="clear" w:color="auto" w:fill="FFFFFF"/>
            <w:tcMar>
              <w:top w:w="70" w:type="dxa"/>
              <w:left w:w="100" w:type="dxa"/>
              <w:bottom w:w="70" w:type="dxa"/>
              <w:right w:w="100" w:type="dxa"/>
            </w:tcMar>
            <w:vAlign w:val="center"/>
          </w:tcPr>
          <w:p w14:paraId="1FB15627" w14:textId="77777777" w:rsidR="00DD60C8" w:rsidRDefault="00DD60C8" w:rsidP="00F96983">
            <w:pPr>
              <w:spacing w:after="0" w:line="240" w:lineRule="auto"/>
            </w:pPr>
            <w:r>
              <w:rPr>
                <w:rFonts w:ascii="Times New Roman" w:eastAsia="Times New Roman" w:hAnsi="Times New Roman"/>
                <w:color w:val="000000"/>
                <w:sz w:val="17"/>
              </w:rPr>
              <w:t>Preservation-ready artifacts and challenge history</w:t>
            </w:r>
          </w:p>
        </w:tc>
      </w:tr>
    </w:tbl>
    <w:p w14:paraId="2E0A24E7" w14:textId="77777777" w:rsidR="00DD60C8" w:rsidRDefault="00DD60C8" w:rsidP="00DD60C8">
      <w:pPr>
        <w:spacing w:after="20"/>
      </w:pPr>
    </w:p>
    <w:p w14:paraId="56367F78" w14:textId="77777777" w:rsidR="00DD60C8" w:rsidRDefault="00DD60C8" w:rsidP="00DD60C8">
      <w:pPr>
        <w:spacing w:after="94"/>
      </w:pPr>
      <w:r>
        <w:rPr>
          <w:rFonts w:ascii="Times New Roman" w:eastAsia="Times New Roman" w:hAnsi="Times New Roman"/>
          <w:color w:val="000000"/>
          <w:sz w:val="20"/>
        </w:rPr>
        <w:t>This is a logical separation, not a requirement that every implementation use seven services. A browser-local application can implement the responsibilities in one process; a regulated enterprise system may distribute them across services and trust domains. Conformance depends on preserved responsibilities and authority paths rather than deployment topology.</w:t>
      </w:r>
    </w:p>
    <w:p w14:paraId="03C4F85D" w14:textId="77777777" w:rsidR="00DD60C8" w:rsidRDefault="00DD60C8" w:rsidP="00DD60C8">
      <w:pPr>
        <w:pStyle w:val="Heading2"/>
      </w:pPr>
      <w:r>
        <w:rPr>
          <w:rFonts w:ascii="Arial" w:eastAsia="Times New Roman" w:hAnsi="Arial"/>
          <w:color w:val="000000"/>
          <w:sz w:val="23"/>
        </w:rPr>
        <w:t>Evidence plane, authority plane, and presentation plane</w:t>
      </w:r>
    </w:p>
    <w:p w14:paraId="3678AC20" w14:textId="77777777" w:rsidR="00DD60C8" w:rsidRDefault="00DD60C8" w:rsidP="00DD60C8">
      <w:pPr>
        <w:keepLines/>
        <w:spacing w:after="94"/>
      </w:pPr>
      <w:r>
        <w:rPr>
          <w:rFonts w:ascii="Times New Roman" w:eastAsia="Times New Roman" w:hAnsi="Times New Roman"/>
          <w:color w:val="000000"/>
          <w:sz w:val="20"/>
        </w:rPr>
        <w:t>Three planes are especially important:</w:t>
      </w:r>
    </w:p>
    <w:p w14:paraId="4E702523" w14:textId="77777777" w:rsidR="00DD60C8" w:rsidRDefault="00DD60C8" w:rsidP="00DD60C8">
      <w:pPr>
        <w:spacing w:after="60"/>
        <w:ind w:left="432" w:right="230" w:hanging="173"/>
      </w:pPr>
      <w:r>
        <w:rPr>
          <w:rFonts w:ascii="Times New Roman" w:eastAsia="Times New Roman" w:hAnsi="Times New Roman"/>
          <w:color w:val="000000"/>
          <w:sz w:val="19"/>
        </w:rPr>
        <w:t xml:space="preserve">• The </w:t>
      </w:r>
      <w:r>
        <w:rPr>
          <w:rFonts w:ascii="Times New Roman" w:eastAsia="Times New Roman" w:hAnsi="Times New Roman"/>
          <w:b/>
          <w:color w:val="000000"/>
          <w:sz w:val="19"/>
        </w:rPr>
        <w:t>evidence plane</w:t>
      </w:r>
      <w:r>
        <w:rPr>
          <w:rFonts w:ascii="Times New Roman" w:eastAsia="Times New Roman" w:hAnsi="Times New Roman"/>
          <w:color w:val="000000"/>
          <w:sz w:val="19"/>
        </w:rPr>
        <w:t xml:space="preserve"> preserves source, canonical records, derivations, method identity, evidence status, and run identity.</w:t>
      </w:r>
    </w:p>
    <w:p w14:paraId="3F4D7D91" w14:textId="77777777" w:rsidR="00DD60C8" w:rsidRDefault="00DD60C8" w:rsidP="00DD60C8">
      <w:pPr>
        <w:spacing w:after="60"/>
        <w:ind w:left="432" w:right="230" w:hanging="173"/>
      </w:pPr>
      <w:r>
        <w:rPr>
          <w:rFonts w:ascii="Times New Roman" w:eastAsia="Times New Roman" w:hAnsi="Times New Roman"/>
          <w:color w:val="000000"/>
          <w:sz w:val="19"/>
        </w:rPr>
        <w:t xml:space="preserve">• The </w:t>
      </w:r>
      <w:r>
        <w:rPr>
          <w:rFonts w:ascii="Times New Roman" w:eastAsia="Times New Roman" w:hAnsi="Times New Roman"/>
          <w:b/>
          <w:color w:val="000000"/>
          <w:sz w:val="19"/>
        </w:rPr>
        <w:t>authority plane</w:t>
      </w:r>
      <w:r>
        <w:rPr>
          <w:rFonts w:ascii="Times New Roman" w:eastAsia="Times New Roman" w:hAnsi="Times New Roman"/>
          <w:color w:val="000000"/>
          <w:sz w:val="19"/>
        </w:rPr>
        <w:t xml:space="preserve"> evaluates claim admissibility, scope, audience, prohibition, disclosure, challenge, supersession, and preservation readiness.</w:t>
      </w:r>
    </w:p>
    <w:p w14:paraId="1AD6F2F4" w14:textId="77777777" w:rsidR="00DD60C8" w:rsidRDefault="00DD60C8" w:rsidP="00DD60C8">
      <w:pPr>
        <w:spacing w:after="60"/>
        <w:ind w:left="432" w:right="230" w:hanging="173"/>
      </w:pPr>
      <w:r>
        <w:rPr>
          <w:rFonts w:ascii="Times New Roman" w:eastAsia="Times New Roman" w:hAnsi="Times New Roman"/>
          <w:color w:val="000000"/>
          <w:sz w:val="19"/>
        </w:rPr>
        <w:t xml:space="preserve">• The </w:t>
      </w:r>
      <w:r>
        <w:rPr>
          <w:rFonts w:ascii="Times New Roman" w:eastAsia="Times New Roman" w:hAnsi="Times New Roman"/>
          <w:b/>
          <w:color w:val="000000"/>
          <w:sz w:val="19"/>
        </w:rPr>
        <w:t>presentation plane</w:t>
      </w:r>
      <w:r>
        <w:rPr>
          <w:rFonts w:ascii="Times New Roman" w:eastAsia="Times New Roman" w:hAnsi="Times New Roman"/>
          <w:color w:val="000000"/>
          <w:sz w:val="19"/>
        </w:rPr>
        <w:t xml:space="preserve"> exposes bounded projections through instruments, investigations, narratives, APIs, and exports.</w:t>
      </w:r>
    </w:p>
    <w:p w14:paraId="433334DC" w14:textId="77777777" w:rsidR="00DD60C8" w:rsidRDefault="00DD60C8" w:rsidP="00DD60C8">
      <w:pPr>
        <w:spacing w:after="94"/>
      </w:pPr>
      <w:r>
        <w:rPr>
          <w:rFonts w:ascii="Times New Roman" w:eastAsia="Times New Roman" w:hAnsi="Times New Roman"/>
          <w:color w:val="000000"/>
          <w:sz w:val="20"/>
        </w:rPr>
        <w:t>The presentation plane must not become a second authority plane. A user interface may choose a different chart, vocabulary, Operational World, or level of detail. Those choices may alter orientation and comprehension, but they must not alter canonical evidence, admit a new proposition, erase missingness, or enlarge a claim boundary.</w:t>
      </w:r>
    </w:p>
    <w:p w14:paraId="1E7FBAEF" w14:textId="77777777" w:rsidR="00DD60C8" w:rsidRDefault="00DD60C8" w:rsidP="00DD60C8">
      <w:pPr>
        <w:pStyle w:val="Heading2"/>
      </w:pPr>
      <w:r>
        <w:rPr>
          <w:rFonts w:ascii="Arial" w:eastAsia="Times New Roman" w:hAnsi="Arial"/>
          <w:color w:val="000000"/>
          <w:sz w:val="23"/>
        </w:rPr>
        <w:t>The authority graph</w:t>
      </w:r>
    </w:p>
    <w:p w14:paraId="25332297" w14:textId="77777777" w:rsidR="00DD60C8" w:rsidRDefault="00DD60C8" w:rsidP="00DD60C8">
      <w:pPr>
        <w:keepLines/>
        <w:spacing w:after="94"/>
      </w:pPr>
      <w:r>
        <w:rPr>
          <w:rFonts w:ascii="Times New Roman" w:eastAsia="Times New Roman" w:hAnsi="Times New Roman"/>
          <w:color w:val="000000"/>
          <w:sz w:val="20"/>
        </w:rPr>
        <w:t>The architecture maintains a directed authority graph whose nodes include source spans, canonical events, measurements, classifications, interpretations, recommendations, surface outputs, Passport references, Evidence Seals, and preservation artifacts. Edges identify the exact relation: observed-from, canonicalized-from, computed-from, classified-by, interpreted-under, rendered-as, sealed-by, preserved-as, superseded-by, challenged-by, or redacted-from.</w:t>
      </w:r>
    </w:p>
    <w:p w14:paraId="35C2C470" w14:textId="77777777" w:rsidR="00DD60C8" w:rsidRDefault="00DD60C8" w:rsidP="00DD60C8">
      <w:pPr>
        <w:spacing w:after="94"/>
      </w:pPr>
      <w:r>
        <w:rPr>
          <w:rFonts w:ascii="Times New Roman" w:eastAsia="Times New Roman" w:hAnsi="Times New Roman"/>
          <w:color w:val="000000"/>
          <w:sz w:val="20"/>
        </w:rPr>
        <w:t xml:space="preserve">A lineage graph becomes an authority graph only when edge types carry admissibility semantics. </w:t>
      </w:r>
      <w:r>
        <w:rPr>
          <w:rFonts w:ascii="Times New Roman" w:eastAsia="Times New Roman" w:hAnsi="Times New Roman"/>
          <w:i/>
          <w:color w:val="000000"/>
          <w:sz w:val="20"/>
        </w:rPr>
        <w:t>Computed-from</w:t>
      </w:r>
      <w:r>
        <w:rPr>
          <w:rFonts w:ascii="Times New Roman" w:eastAsia="Times New Roman" w:hAnsi="Times New Roman"/>
          <w:color w:val="000000"/>
          <w:sz w:val="20"/>
        </w:rPr>
        <w:t xml:space="preserve"> identifies derivation, but the claim registry determines whether that derivation is sufficient for the proposed claim. The graph therefore joins provenance to executable policy while keeping identity, evidence, method, claim, and artifact layers distinguishable.</w:t>
      </w:r>
    </w:p>
    <w:p w14:paraId="0BF6BE67"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9. Bounded Computational Projection</w:t>
      </w:r>
    </w:p>
    <w:p w14:paraId="13F3345C" w14:textId="77777777" w:rsidR="00DD60C8" w:rsidRDefault="00DD60C8" w:rsidP="00DD60C8">
      <w:pPr>
        <w:pStyle w:val="Heading2"/>
      </w:pPr>
      <w:r>
        <w:rPr>
          <w:rFonts w:ascii="Arial" w:eastAsia="Times New Roman" w:hAnsi="Arial"/>
          <w:color w:val="000000"/>
          <w:sz w:val="23"/>
        </w:rPr>
        <w:t>Projection without authority amplification</w:t>
      </w:r>
    </w:p>
    <w:p w14:paraId="742C7713" w14:textId="77777777" w:rsidR="00DD60C8" w:rsidRDefault="00DD60C8" w:rsidP="00DD60C8">
      <w:pPr>
        <w:keepLines/>
        <w:spacing w:after="94"/>
      </w:pPr>
      <w:r>
        <w:rPr>
          <w:rFonts w:ascii="Times New Roman" w:eastAsia="Times New Roman" w:hAnsi="Times New Roman"/>
          <w:color w:val="000000"/>
          <w:sz w:val="20"/>
        </w:rPr>
        <w:t xml:space="preserve">A projection may select, aggregate, translate, summarize, or visualize admitted claims for a purpose. It may not increase their epistemic authority. Let </w:t>
      </w:r>
      <w:r>
        <w:rPr>
          <w:rFonts w:ascii="Times New Roman" w:eastAsia="Times New Roman" w:hAnsi="Times New Roman"/>
          <w:b/>
          <w:color w:val="000000"/>
          <w:sz w:val="20"/>
        </w:rPr>
        <w:t>πj</w:t>
      </w:r>
      <w:r>
        <w:rPr>
          <w:rFonts w:ascii="Times New Roman" w:eastAsia="Times New Roman" w:hAnsi="Times New Roman"/>
          <w:color w:val="000000"/>
          <w:sz w:val="20"/>
        </w:rPr>
        <w:t xml:space="preserve"> be a projection and </w:t>
      </w:r>
      <w:r>
        <w:rPr>
          <w:rFonts w:ascii="Times New Roman" w:eastAsia="Times New Roman" w:hAnsi="Times New Roman"/>
          <w:b/>
          <w:color w:val="000000"/>
          <w:sz w:val="20"/>
        </w:rPr>
        <w:t>Claims(πj(E))</w:t>
      </w:r>
      <w:r>
        <w:rPr>
          <w:rFonts w:ascii="Times New Roman" w:eastAsia="Times New Roman" w:hAnsi="Times New Roman"/>
          <w:color w:val="000000"/>
          <w:sz w:val="20"/>
        </w:rPr>
        <w:t xml:space="preserve"> the normalized claims expressed by its outputs. The non-amplification rule is:</w:t>
      </w:r>
    </w:p>
    <w:p w14:paraId="68E102F2" w14:textId="77777777" w:rsidR="00DD60C8" w:rsidRDefault="00DD60C8" w:rsidP="00DD60C8">
      <w:pPr>
        <w:spacing w:after="94"/>
      </w:pPr>
      <w:r>
        <w:rPr>
          <w:rFonts w:ascii="Times New Roman" w:eastAsia="Times New Roman" w:hAnsi="Times New Roman"/>
          <w:color w:val="000000"/>
          <w:sz w:val="20"/>
        </w:rPr>
        <w:t>Claims(π\[j\](E)) ⊆ Adm\*(E,C)</w:t>
      </w:r>
    </w:p>
    <w:p w14:paraId="1B3ADF40" w14:textId="77777777" w:rsidR="00DD60C8" w:rsidRDefault="00DD60C8" w:rsidP="00DD60C8">
      <w:pPr>
        <w:spacing w:after="94"/>
      </w:pPr>
      <w:r>
        <w:rPr>
          <w:rFonts w:ascii="Times New Roman" w:eastAsia="Times New Roman" w:hAnsi="Times New Roman"/>
          <w:color w:val="000000"/>
          <w:sz w:val="20"/>
        </w:rPr>
        <w:t>Every authoritative proposition expressed by the projection must already be admitted directly or through a declared derivation rule. The projection may expose fewer claims than are available. It may not add a stronger claim, widen a time interval, erase a condition, or convert a proxy into a direct observation.</w:t>
      </w:r>
    </w:p>
    <w:p w14:paraId="3C934BDA" w14:textId="77777777" w:rsidR="00DD60C8" w:rsidRDefault="00DD60C8" w:rsidP="00DD60C8">
      <w:pPr>
        <w:pStyle w:val="Heading2"/>
      </w:pPr>
      <w:r>
        <w:rPr>
          <w:rFonts w:ascii="Arial" w:eastAsia="Times New Roman" w:hAnsi="Arial"/>
          <w:color w:val="000000"/>
          <w:sz w:val="23"/>
        </w:rPr>
        <w:t>Semantic congruence across surfaces</w:t>
      </w:r>
    </w:p>
    <w:p w14:paraId="79D1CD79" w14:textId="77777777" w:rsidR="00DD60C8" w:rsidRDefault="00DD60C8" w:rsidP="00DD60C8">
      <w:pPr>
        <w:keepLines/>
        <w:spacing w:after="94"/>
      </w:pPr>
      <w:r>
        <w:rPr>
          <w:rFonts w:ascii="Times New Roman" w:eastAsia="Times New Roman" w:hAnsi="Times New Roman"/>
          <w:color w:val="000000"/>
          <w:sz w:val="20"/>
        </w:rPr>
        <w:t>Different surfaces need not use identical wording or geometry. A research instrument, an operator brief, and an archival report can present the same claim differently. Congruence requires that each rendering bind to the same normalized claim identity and preserve scope, status, uncertainty, and limitations.</w:t>
      </w:r>
    </w:p>
    <w:p w14:paraId="00C48EA7" w14:textId="77777777" w:rsidR="00DD60C8" w:rsidRDefault="00DD60C8" w:rsidP="00DD60C8">
      <w:pPr>
        <w:spacing w:after="94"/>
      </w:pPr>
      <w:r>
        <w:rPr>
          <w:rFonts w:ascii="Times New Roman" w:eastAsia="Times New Roman" w:hAnsi="Times New Roman"/>
          <w:color w:val="000000"/>
          <w:sz w:val="20"/>
        </w:rPr>
        <w:t>A projection is incongruent when presentation changes the proposition. Common examples include:</w:t>
      </w:r>
    </w:p>
    <w:p w14:paraId="0FA13B2B"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first detected threshold crossing</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failure began</w:t>
      </w:r>
      <w:r>
        <w:rPr>
          <w:rFonts w:ascii="Times New Roman" w:eastAsia="Times New Roman" w:hAnsi="Times New Roman"/>
          <w:color w:val="000000"/>
          <w:sz w:val="19"/>
        </w:rPr>
        <w:t>;</w:t>
      </w:r>
    </w:p>
    <w:p w14:paraId="37679154"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correlated with</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caused</w:t>
      </w:r>
      <w:r>
        <w:rPr>
          <w:rFonts w:ascii="Times New Roman" w:eastAsia="Times New Roman" w:hAnsi="Times New Roman"/>
          <w:color w:val="000000"/>
          <w:sz w:val="19"/>
        </w:rPr>
        <w:t>;</w:t>
      </w:r>
    </w:p>
    <w:p w14:paraId="1B3F050B"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role label supplied by source</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verified identity</w:t>
      </w:r>
      <w:r>
        <w:rPr>
          <w:rFonts w:ascii="Times New Roman" w:eastAsia="Times New Roman" w:hAnsi="Times New Roman"/>
          <w:color w:val="000000"/>
          <w:sz w:val="19"/>
        </w:rPr>
        <w:t>;</w:t>
      </w:r>
    </w:p>
    <w:p w14:paraId="5BB137BC"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not observed in available record</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did not occur</w:t>
      </w:r>
      <w:r>
        <w:rPr>
          <w:rFonts w:ascii="Times New Roman" w:eastAsia="Times New Roman" w:hAnsi="Times New Roman"/>
          <w:color w:val="000000"/>
          <w:sz w:val="19"/>
        </w:rPr>
        <w:t>;</w:t>
      </w:r>
    </w:p>
    <w:p w14:paraId="38B3FEBD"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experimental classifier</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certified diagnosis</w:t>
      </w:r>
      <w:r>
        <w:rPr>
          <w:rFonts w:ascii="Times New Roman" w:eastAsia="Times New Roman" w:hAnsi="Times New Roman"/>
          <w:color w:val="000000"/>
          <w:sz w:val="19"/>
        </w:rPr>
        <w:t>; and</w:t>
      </w:r>
    </w:p>
    <w:p w14:paraId="6C407186" w14:textId="77777777" w:rsidR="00DD60C8" w:rsidRDefault="00DD60C8" w:rsidP="00DD60C8">
      <w:pPr>
        <w:spacing w:after="60"/>
        <w:ind w:left="432" w:right="230" w:hanging="173"/>
      </w:pPr>
      <w:r>
        <w:rPr>
          <w:rFonts w:ascii="Times New Roman" w:eastAsia="Times New Roman" w:hAnsi="Times New Roman"/>
          <w:color w:val="000000"/>
          <w:sz w:val="19"/>
        </w:rPr>
        <w:t xml:space="preserve">• converting </w:t>
      </w:r>
      <w:r>
        <w:rPr>
          <w:rFonts w:ascii="Times New Roman" w:eastAsia="Times New Roman" w:hAnsi="Times New Roman"/>
          <w:i/>
          <w:color w:val="000000"/>
          <w:sz w:val="19"/>
        </w:rPr>
        <w:t>recommended for review</w:t>
      </w:r>
      <w:r>
        <w:rPr>
          <w:rFonts w:ascii="Times New Roman" w:eastAsia="Times New Roman" w:hAnsi="Times New Roman"/>
          <w:color w:val="000000"/>
          <w:sz w:val="19"/>
        </w:rPr>
        <w:t xml:space="preserve"> into </w:t>
      </w:r>
      <w:r>
        <w:rPr>
          <w:rFonts w:ascii="Times New Roman" w:eastAsia="Times New Roman" w:hAnsi="Times New Roman"/>
          <w:i/>
          <w:color w:val="000000"/>
          <w:sz w:val="19"/>
        </w:rPr>
        <w:t>required intervention</w:t>
      </w:r>
      <w:r>
        <w:rPr>
          <w:rFonts w:ascii="Times New Roman" w:eastAsia="Times New Roman" w:hAnsi="Times New Roman"/>
          <w:color w:val="000000"/>
          <w:sz w:val="19"/>
        </w:rPr>
        <w:t>.</w:t>
      </w:r>
    </w:p>
    <w:p w14:paraId="7F500BD9" w14:textId="77777777" w:rsidR="00DD60C8" w:rsidRDefault="00DD60C8" w:rsidP="00DD60C8">
      <w:pPr>
        <w:pStyle w:val="Heading2"/>
      </w:pPr>
      <w:r>
        <w:rPr>
          <w:rFonts w:ascii="Arial" w:eastAsia="Times New Roman" w:hAnsi="Arial"/>
          <w:color w:val="000000"/>
          <w:sz w:val="23"/>
        </w:rPr>
        <w:t>Contextual lenses and operational worlds</w:t>
      </w:r>
    </w:p>
    <w:p w14:paraId="3CE392DF" w14:textId="77777777" w:rsidR="00DD60C8" w:rsidRDefault="00DD60C8" w:rsidP="00DD60C8">
      <w:pPr>
        <w:keepLines/>
        <w:spacing w:after="94"/>
      </w:pPr>
      <w:r>
        <w:rPr>
          <w:rFonts w:ascii="Times New Roman" w:eastAsia="Times New Roman" w:hAnsi="Times New Roman"/>
          <w:color w:val="000000"/>
          <w:sz w:val="20"/>
        </w:rPr>
        <w:t>An evidence-governed system may provide contextual lenses that change terminology, examples, investigation questions, and workflow emphasis. Such a lens is a projection contract, not an alternate telemetry engine. It may ask a monitoring operator about queue saturation and a workflow investigator about handoff loss while both remain bound to the same canonical evidence object.</w:t>
      </w:r>
    </w:p>
    <w:p w14:paraId="0186456A" w14:textId="77777777" w:rsidR="00DD60C8" w:rsidRDefault="00DD60C8" w:rsidP="00DD60C8">
      <w:pPr>
        <w:spacing w:after="94"/>
      </w:pPr>
      <w:r>
        <w:rPr>
          <w:rFonts w:ascii="Times New Roman" w:eastAsia="Times New Roman" w:hAnsi="Times New Roman"/>
          <w:color w:val="000000"/>
          <w:sz w:val="20"/>
        </w:rPr>
        <w:t>This distinction permits domain-relevant interpretation without multiplying truth authorities. If a lens modifies telemetry weights, thresholds, or claim rules, that change must be declared as a different computation contract and produce distinguishable outputs. If it changes only orientation and language, canonical results must remain invariant.</w:t>
      </w:r>
    </w:p>
    <w:p w14:paraId="1721A32A" w14:textId="77777777" w:rsidR="00DD60C8" w:rsidRDefault="00DD60C8" w:rsidP="00DD60C8">
      <w:pPr>
        <w:pStyle w:val="Heading2"/>
      </w:pPr>
      <w:r>
        <w:rPr>
          <w:rFonts w:ascii="Arial" w:eastAsia="Times New Roman" w:hAnsi="Arial"/>
          <w:color w:val="000000"/>
          <w:sz w:val="23"/>
        </w:rPr>
        <w:t>Exploratory computation</w:t>
      </w:r>
    </w:p>
    <w:p w14:paraId="007D49D2" w14:textId="77777777" w:rsidR="00DD60C8" w:rsidRDefault="00DD60C8" w:rsidP="00DD60C8">
      <w:pPr>
        <w:keepLines/>
        <w:spacing w:after="94"/>
      </w:pPr>
      <w:r>
        <w:rPr>
          <w:rFonts w:ascii="Times New Roman" w:eastAsia="Times New Roman" w:hAnsi="Times New Roman"/>
          <w:color w:val="000000"/>
          <w:sz w:val="20"/>
        </w:rPr>
        <w:t>Exploration remains possible under EGC. A researcher may test an unvalidated signal, alternate projection, or provisional interpretation. The requirement is status honesty. Experimental outputs must be visibly and structurally distinguished from authoritative claims, carry their method identity, and remain excluded from governed exports or decisions unless explicitly admitted under an appropriate contract.</w:t>
      </w:r>
    </w:p>
    <w:p w14:paraId="6185A7CF" w14:textId="77777777" w:rsidR="00DD60C8" w:rsidRDefault="00DD60C8" w:rsidP="00DD60C8">
      <w:pPr>
        <w:spacing w:after="94"/>
      </w:pPr>
      <w:r>
        <w:rPr>
          <w:rFonts w:ascii="Times New Roman" w:eastAsia="Times New Roman" w:hAnsi="Times New Roman"/>
          <w:color w:val="000000"/>
          <w:sz w:val="20"/>
        </w:rPr>
        <w:t>Evidence governance is therefore not a prohibition on conjecture. It is a prohibition on silently promoting conjecture into evidence-supported assertion.</w:t>
      </w:r>
    </w:p>
    <w:p w14:paraId="5F83A054"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10. Surface Binding and Egress Closure</w:t>
      </w:r>
    </w:p>
    <w:p w14:paraId="57AAA855" w14:textId="77777777" w:rsidR="00DD60C8" w:rsidRDefault="00DD60C8" w:rsidP="00DD60C8">
      <w:pPr>
        <w:pStyle w:val="Heading2"/>
      </w:pPr>
      <w:r>
        <w:rPr>
          <w:rFonts w:ascii="Arial" w:eastAsia="Times New Roman" w:hAnsi="Arial"/>
          <w:color w:val="000000"/>
          <w:sz w:val="23"/>
        </w:rPr>
        <w:t>Surface binding</w:t>
      </w:r>
    </w:p>
    <w:p w14:paraId="49089B59" w14:textId="77777777" w:rsidR="00DD60C8" w:rsidRDefault="00DD60C8" w:rsidP="00DD60C8">
      <w:pPr>
        <w:keepLines/>
        <w:spacing w:after="94"/>
      </w:pPr>
      <w:r>
        <w:rPr>
          <w:rFonts w:ascii="Times New Roman" w:eastAsia="Times New Roman" w:hAnsi="Times New Roman"/>
          <w:color w:val="000000"/>
          <w:sz w:val="20"/>
        </w:rPr>
        <w:t xml:space="preserve">A </w:t>
      </w:r>
      <w:r>
        <w:rPr>
          <w:rFonts w:ascii="Times New Roman" w:eastAsia="Times New Roman" w:hAnsi="Times New Roman"/>
          <w:b/>
          <w:color w:val="000000"/>
          <w:sz w:val="20"/>
        </w:rPr>
        <w:t>surface binding</w:t>
      </w:r>
      <w:r>
        <w:rPr>
          <w:rFonts w:ascii="Times New Roman" w:eastAsia="Times New Roman" w:hAnsi="Times New Roman"/>
          <w:color w:val="000000"/>
          <w:sz w:val="20"/>
        </w:rPr>
        <w:t xml:space="preserve"> is the inspectable relationship connecting a visible or machine-consumable output to its evidence and authority path. At minimum it identifies:</w:t>
      </w:r>
    </w:p>
    <w:p w14:paraId="6A3C7055" w14:textId="77777777" w:rsidR="00DD60C8" w:rsidRDefault="00DD60C8" w:rsidP="00DD60C8">
      <w:pPr>
        <w:spacing w:after="94"/>
      </w:pPr>
      <w:r>
        <w:rPr>
          <w:rFonts w:ascii="Times New Roman" w:eastAsia="Times New Roman" w:hAnsi="Times New Roman"/>
          <w:color w:val="000000"/>
          <w:sz w:val="20"/>
        </w:rPr>
        <w:t>B\[s\] = (surface, output, evidence, claim, method, scope, status, version)</w:t>
      </w:r>
    </w:p>
    <w:p w14:paraId="2BAE6644" w14:textId="77777777" w:rsidR="00DD60C8" w:rsidRDefault="00DD60C8" w:rsidP="00DD60C8">
      <w:pPr>
        <w:spacing w:after="94"/>
      </w:pPr>
      <w:r>
        <w:rPr>
          <w:rFonts w:ascii="Times New Roman" w:eastAsia="Times New Roman" w:hAnsi="Times New Roman"/>
          <w:color w:val="000000"/>
          <w:sz w:val="20"/>
        </w:rPr>
        <w:t xml:space="preserve">For an authoritative output </w:t>
      </w:r>
      <w:r>
        <w:rPr>
          <w:rFonts w:ascii="Times New Roman" w:eastAsia="Times New Roman" w:hAnsi="Times New Roman"/>
          <w:b/>
          <w:color w:val="000000"/>
          <w:sz w:val="20"/>
        </w:rPr>
        <w:t>o</w:t>
      </w:r>
      <w:r>
        <w:rPr>
          <w:rFonts w:ascii="Times New Roman" w:eastAsia="Times New Roman" w:hAnsi="Times New Roman"/>
          <w:color w:val="000000"/>
          <w:sz w:val="20"/>
        </w:rPr>
        <w:t xml:space="preserve"> on surface </w:t>
      </w:r>
      <w:r>
        <w:rPr>
          <w:rFonts w:ascii="Times New Roman" w:eastAsia="Times New Roman" w:hAnsi="Times New Roman"/>
          <w:b/>
          <w:color w:val="000000"/>
          <w:sz w:val="20"/>
        </w:rPr>
        <w:t>s</w:t>
      </w:r>
      <w:r>
        <w:rPr>
          <w:rFonts w:ascii="Times New Roman" w:eastAsia="Times New Roman" w:hAnsi="Times New Roman"/>
          <w:color w:val="000000"/>
          <w:sz w:val="20"/>
        </w:rPr>
        <w:t>, binding is valid only if the referenced evidence and contract are active or explicitly historical, the claim is admissible for that surface and audience, and the rendering preserves its status and boundary.</w:t>
      </w:r>
    </w:p>
    <w:p w14:paraId="5C95FC11" w14:textId="77777777" w:rsidR="00DD60C8" w:rsidRDefault="00DD60C8" w:rsidP="00DD60C8">
      <w:pPr>
        <w:spacing w:after="94"/>
      </w:pPr>
      <w:r>
        <w:rPr>
          <w:rFonts w:ascii="Times New Roman" w:eastAsia="Times New Roman" w:hAnsi="Times New Roman"/>
          <w:color w:val="000000"/>
          <w:sz w:val="20"/>
        </w:rPr>
        <w:t xml:space="preserve">The </w:t>
      </w:r>
      <w:r>
        <w:rPr>
          <w:rFonts w:ascii="Times New Roman" w:eastAsia="Times New Roman" w:hAnsi="Times New Roman"/>
          <w:b/>
          <w:color w:val="000000"/>
          <w:sz w:val="20"/>
        </w:rPr>
        <w:t>Surface Binding Principle</w:t>
      </w:r>
      <w:r>
        <w:rPr>
          <w:rFonts w:ascii="Times New Roman" w:eastAsia="Times New Roman" w:hAnsi="Times New Roman"/>
          <w:color w:val="000000"/>
          <w:sz w:val="20"/>
        </w:rPr>
        <w:t xml:space="preserve"> is:</w:t>
      </w:r>
    </w:p>
    <w:p w14:paraId="00F40F51" w14:textId="77777777" w:rsidR="00DD60C8" w:rsidRDefault="00DD60C8" w:rsidP="00DD60C8">
      <w:pPr>
        <w:spacing w:before="120"/>
        <w:ind w:left="720" w:right="720"/>
        <w:jc w:val="center"/>
      </w:pPr>
      <w:r>
        <w:rPr>
          <w:rFonts w:ascii="Times New Roman" w:eastAsia="Times New Roman" w:hAnsi="Times New Roman"/>
          <w:i/>
          <w:color w:val="17324D"/>
          <w:sz w:val="20"/>
        </w:rPr>
        <w:t>*</w:t>
      </w:r>
      <w:r>
        <w:rPr>
          <w:rFonts w:ascii="Times New Roman" w:eastAsia="Times New Roman" w:hAnsi="Times New Roman"/>
          <w:b/>
          <w:i/>
          <w:color w:val="17324D"/>
          <w:sz w:val="20"/>
        </w:rPr>
        <w:t>A surface has no independent evidentiary authority. Its authoritative content is limited to outputs with valid bindings to admitted claims.</w:t>
      </w:r>
      <w:r>
        <w:rPr>
          <w:rFonts w:ascii="Times New Roman" w:eastAsia="Times New Roman" w:hAnsi="Times New Roman"/>
          <w:i/>
          <w:color w:val="17324D"/>
          <w:sz w:val="20"/>
        </w:rPr>
        <w:t>*</w:t>
      </w:r>
    </w:p>
    <w:p w14:paraId="2DFC428F" w14:textId="77777777" w:rsidR="00DD60C8" w:rsidRDefault="00DD60C8" w:rsidP="00DD60C8">
      <w:pPr>
        <w:spacing w:after="94"/>
      </w:pPr>
      <w:r>
        <w:rPr>
          <w:rFonts w:ascii="Times New Roman" w:eastAsia="Times New Roman" w:hAnsi="Times New Roman"/>
          <w:color w:val="000000"/>
          <w:sz w:val="20"/>
        </w:rPr>
        <w:t>This is a constitutional rule, not a theorem about truth. A perfectly bound surface can faithfully display an invalidly calibrated metric. Surface binding establishes traceability and boundary preservation; construct validation remains a separate obligation.</w:t>
      </w:r>
    </w:p>
    <w:p w14:paraId="41924144" w14:textId="77777777" w:rsidR="00DD60C8" w:rsidRDefault="00DD60C8" w:rsidP="00DD60C8">
      <w:pPr>
        <w:pStyle w:val="Heading2"/>
      </w:pPr>
      <w:r>
        <w:rPr>
          <w:rFonts w:ascii="Arial" w:eastAsia="Times New Roman" w:hAnsi="Arial"/>
          <w:color w:val="000000"/>
          <w:sz w:val="23"/>
        </w:rPr>
        <w:t>Surface Binding Audit</w:t>
      </w:r>
    </w:p>
    <w:p w14:paraId="22DEA077" w14:textId="77777777" w:rsidR="00DD60C8" w:rsidRDefault="00DD60C8" w:rsidP="00DD60C8">
      <w:pPr>
        <w:keepLines/>
        <w:spacing w:after="94"/>
      </w:pPr>
      <w:r>
        <w:rPr>
          <w:rFonts w:ascii="Times New Roman" w:eastAsia="Times New Roman" w:hAnsi="Times New Roman"/>
          <w:color w:val="000000"/>
          <w:sz w:val="20"/>
        </w:rPr>
        <w:t>A Surface Binding Audit traverses each authoritative surface and verifies:</w:t>
      </w:r>
    </w:p>
    <w:p w14:paraId="51BEAD6D" w14:textId="77777777" w:rsidR="00DD60C8" w:rsidRDefault="00DD60C8" w:rsidP="00DD60C8">
      <w:pPr>
        <w:spacing w:after="60"/>
        <w:ind w:left="432" w:right="230" w:hanging="173"/>
      </w:pPr>
      <w:r>
        <w:rPr>
          <w:rFonts w:ascii="Times New Roman" w:eastAsia="Times New Roman" w:hAnsi="Times New Roman"/>
          <w:color w:val="000000"/>
          <w:sz w:val="19"/>
        </w:rPr>
        <w:t>• every visible claim has a stable claim identifier;</w:t>
      </w:r>
    </w:p>
    <w:p w14:paraId="1B101148" w14:textId="77777777" w:rsidR="00DD60C8" w:rsidRDefault="00DD60C8" w:rsidP="00DD60C8">
      <w:pPr>
        <w:spacing w:after="60"/>
        <w:ind w:left="432" w:right="230" w:hanging="173"/>
      </w:pPr>
      <w:r>
        <w:rPr>
          <w:rFonts w:ascii="Times New Roman" w:eastAsia="Times New Roman" w:hAnsi="Times New Roman"/>
          <w:color w:val="000000"/>
          <w:sz w:val="19"/>
        </w:rPr>
        <w:t>• the claim resolves to the active or cited evidence object;</w:t>
      </w:r>
    </w:p>
    <w:p w14:paraId="5273B319" w14:textId="77777777" w:rsidR="00DD60C8" w:rsidRDefault="00DD60C8" w:rsidP="00DD60C8">
      <w:pPr>
        <w:spacing w:after="60"/>
        <w:ind w:left="432" w:right="230" w:hanging="173"/>
      </w:pPr>
      <w:r>
        <w:rPr>
          <w:rFonts w:ascii="Times New Roman" w:eastAsia="Times New Roman" w:hAnsi="Times New Roman"/>
          <w:color w:val="000000"/>
          <w:sz w:val="19"/>
        </w:rPr>
        <w:t>• source and parent-claim lineage is available;</w:t>
      </w:r>
    </w:p>
    <w:p w14:paraId="3BAAABE9" w14:textId="77777777" w:rsidR="00DD60C8" w:rsidRDefault="00DD60C8" w:rsidP="00DD60C8">
      <w:pPr>
        <w:spacing w:after="60"/>
        <w:ind w:left="432" w:right="230" w:hanging="173"/>
      </w:pPr>
      <w:r>
        <w:rPr>
          <w:rFonts w:ascii="Times New Roman" w:eastAsia="Times New Roman" w:hAnsi="Times New Roman"/>
          <w:color w:val="000000"/>
          <w:sz w:val="19"/>
        </w:rPr>
        <w:t>• method, threshold, ontology, and version are identified;</w:t>
      </w:r>
    </w:p>
    <w:p w14:paraId="1D91DDB7" w14:textId="77777777" w:rsidR="00DD60C8" w:rsidRDefault="00DD60C8" w:rsidP="00DD60C8">
      <w:pPr>
        <w:spacing w:after="60"/>
        <w:ind w:left="432" w:right="230" w:hanging="173"/>
      </w:pPr>
      <w:r>
        <w:rPr>
          <w:rFonts w:ascii="Times New Roman" w:eastAsia="Times New Roman" w:hAnsi="Times New Roman"/>
          <w:color w:val="000000"/>
          <w:sz w:val="19"/>
        </w:rPr>
        <w:t>• scope, uncertainty, and status are not lost in rendering;</w:t>
      </w:r>
    </w:p>
    <w:p w14:paraId="7FF387AC" w14:textId="77777777" w:rsidR="00DD60C8" w:rsidRDefault="00DD60C8" w:rsidP="00DD60C8">
      <w:pPr>
        <w:spacing w:after="60"/>
        <w:ind w:left="432" w:right="230" w:hanging="173"/>
      </w:pPr>
      <w:r>
        <w:rPr>
          <w:rFonts w:ascii="Times New Roman" w:eastAsia="Times New Roman" w:hAnsi="Times New Roman"/>
          <w:color w:val="000000"/>
          <w:sz w:val="19"/>
        </w:rPr>
        <w:t>• no local label or narrative adds an unregistered proposition;</w:t>
      </w:r>
    </w:p>
    <w:p w14:paraId="3CA8DBA7" w14:textId="77777777" w:rsidR="00DD60C8" w:rsidRDefault="00DD60C8" w:rsidP="00DD60C8">
      <w:pPr>
        <w:spacing w:after="60"/>
        <w:ind w:left="432" w:right="230" w:hanging="173"/>
      </w:pPr>
      <w:r>
        <w:rPr>
          <w:rFonts w:ascii="Times New Roman" w:eastAsia="Times New Roman" w:hAnsi="Times New Roman"/>
          <w:color w:val="000000"/>
          <w:sz w:val="19"/>
        </w:rPr>
        <w:t>• absence states remain distinguishable;</w:t>
      </w:r>
    </w:p>
    <w:p w14:paraId="34FF6D69" w14:textId="77777777" w:rsidR="00DD60C8" w:rsidRDefault="00DD60C8" w:rsidP="00DD60C8">
      <w:pPr>
        <w:spacing w:after="60"/>
        <w:ind w:left="432" w:right="230" w:hanging="173"/>
      </w:pPr>
      <w:r>
        <w:rPr>
          <w:rFonts w:ascii="Times New Roman" w:eastAsia="Times New Roman" w:hAnsi="Times New Roman"/>
          <w:color w:val="000000"/>
          <w:sz w:val="19"/>
        </w:rPr>
        <w:t>• redactions and withheld elements are disclosed; and</w:t>
      </w:r>
    </w:p>
    <w:p w14:paraId="46152385" w14:textId="77777777" w:rsidR="00DD60C8" w:rsidRDefault="00DD60C8" w:rsidP="00DD60C8">
      <w:pPr>
        <w:spacing w:after="60"/>
        <w:ind w:left="432" w:right="230" w:hanging="173"/>
      </w:pPr>
      <w:r>
        <w:rPr>
          <w:rFonts w:ascii="Times New Roman" w:eastAsia="Times New Roman" w:hAnsi="Times New Roman"/>
          <w:color w:val="000000"/>
          <w:sz w:val="19"/>
        </w:rPr>
        <w:t>• exported representations preserve equivalent bindings.</w:t>
      </w:r>
    </w:p>
    <w:p w14:paraId="34007F02" w14:textId="77777777" w:rsidR="00DD60C8" w:rsidRDefault="00DD60C8" w:rsidP="00DD60C8">
      <w:pPr>
        <w:spacing w:after="94"/>
      </w:pPr>
      <w:r>
        <w:rPr>
          <w:rFonts w:ascii="Times New Roman" w:eastAsia="Times New Roman" w:hAnsi="Times New Roman"/>
          <w:color w:val="000000"/>
          <w:sz w:val="20"/>
        </w:rPr>
        <w:t>A surface that fails the audit may remain available as an exploratory or descriptive interface, but it must not be represented as authoritative.</w:t>
      </w:r>
    </w:p>
    <w:p w14:paraId="12153377" w14:textId="77777777" w:rsidR="00DD60C8" w:rsidRDefault="00DD60C8" w:rsidP="00DD60C8">
      <w:pPr>
        <w:pStyle w:val="Heading2"/>
      </w:pPr>
      <w:r>
        <w:rPr>
          <w:rFonts w:ascii="Arial" w:eastAsia="Times New Roman" w:hAnsi="Arial"/>
          <w:color w:val="000000"/>
          <w:sz w:val="23"/>
        </w:rPr>
        <w:t>Egress closure</w:t>
      </w:r>
    </w:p>
    <w:p w14:paraId="5264177F" w14:textId="77777777" w:rsidR="00DD60C8" w:rsidRDefault="00DD60C8" w:rsidP="00DD60C8">
      <w:pPr>
        <w:keepLines/>
        <w:spacing w:after="94"/>
      </w:pPr>
      <w:r>
        <w:rPr>
          <w:rFonts w:ascii="Times New Roman" w:eastAsia="Times New Roman" w:hAnsi="Times New Roman"/>
          <w:color w:val="000000"/>
          <w:sz w:val="20"/>
        </w:rPr>
        <w:t xml:space="preserve">Evidence governance fails if one output path bypasses the claim gate. </w:t>
      </w:r>
      <w:r>
        <w:rPr>
          <w:rFonts w:ascii="Times New Roman" w:eastAsia="Times New Roman" w:hAnsi="Times New Roman"/>
          <w:b/>
          <w:color w:val="000000"/>
          <w:sz w:val="20"/>
        </w:rPr>
        <w:t>Egress closure</w:t>
      </w:r>
      <w:r>
        <w:rPr>
          <w:rFonts w:ascii="Times New Roman" w:eastAsia="Times New Roman" w:hAnsi="Times New Roman"/>
          <w:color w:val="000000"/>
          <w:sz w:val="20"/>
        </w:rPr>
        <w:t xml:space="preserve"> requires every channel capable of communicating an authoritative result to pass through the same admissibility and binding controls:</w:t>
      </w:r>
    </w:p>
    <w:p w14:paraId="64E656F9" w14:textId="77777777" w:rsidR="00DD60C8" w:rsidRDefault="00DD60C8" w:rsidP="00DD60C8">
      <w:pPr>
        <w:spacing w:after="94"/>
      </w:pPr>
      <w:r>
        <w:rPr>
          <w:rFonts w:ascii="Times New Roman" w:eastAsia="Times New Roman" w:hAnsi="Times New Roman"/>
          <w:color w:val="000000"/>
          <w:sz w:val="20"/>
        </w:rPr>
        <w:t>Outauth(Σ) ⊆ GateA(E,C)</w:t>
      </w:r>
    </w:p>
    <w:p w14:paraId="73A3879D" w14:textId="77777777" w:rsidR="00DD60C8" w:rsidRDefault="00DD60C8" w:rsidP="00DD60C8">
      <w:pPr>
        <w:spacing w:after="94"/>
      </w:pPr>
      <w:r>
        <w:rPr>
          <w:rFonts w:ascii="Times New Roman" w:eastAsia="Times New Roman" w:hAnsi="Times New Roman"/>
          <w:color w:val="000000"/>
          <w:sz w:val="20"/>
        </w:rPr>
        <w:t>The governed egress set includes:</w:t>
      </w:r>
    </w:p>
    <w:p w14:paraId="63968739" w14:textId="77777777" w:rsidR="00DD60C8" w:rsidRDefault="00DD60C8" w:rsidP="00DD60C8">
      <w:pPr>
        <w:spacing w:after="60"/>
        <w:ind w:left="432" w:right="230" w:hanging="173"/>
      </w:pPr>
      <w:r>
        <w:rPr>
          <w:rFonts w:ascii="Times New Roman" w:eastAsia="Times New Roman" w:hAnsi="Times New Roman"/>
          <w:color w:val="000000"/>
          <w:sz w:val="19"/>
        </w:rPr>
        <w:t>• interface labels, charts, tables, and tooltips;</w:t>
      </w:r>
    </w:p>
    <w:p w14:paraId="20CE72D8" w14:textId="77777777" w:rsidR="00DD60C8" w:rsidRDefault="00DD60C8" w:rsidP="00DD60C8">
      <w:pPr>
        <w:spacing w:after="60"/>
        <w:ind w:left="432" w:right="230" w:hanging="173"/>
      </w:pPr>
      <w:r>
        <w:rPr>
          <w:rFonts w:ascii="Times New Roman" w:eastAsia="Times New Roman" w:hAnsi="Times New Roman"/>
          <w:color w:val="000000"/>
          <w:sz w:val="19"/>
        </w:rPr>
        <w:t>• APIs, webhooks, and machine-readable responses;</w:t>
      </w:r>
    </w:p>
    <w:p w14:paraId="2B1899D8" w14:textId="77777777" w:rsidR="00DD60C8" w:rsidRDefault="00DD60C8" w:rsidP="00DD60C8">
      <w:pPr>
        <w:spacing w:after="60"/>
        <w:ind w:left="432" w:right="230" w:hanging="173"/>
      </w:pPr>
      <w:r>
        <w:rPr>
          <w:rFonts w:ascii="Times New Roman" w:eastAsia="Times New Roman" w:hAnsi="Times New Roman"/>
          <w:color w:val="000000"/>
          <w:sz w:val="19"/>
        </w:rPr>
        <w:t>• alerts, notifications, and escalations;</w:t>
      </w:r>
    </w:p>
    <w:p w14:paraId="69D2B0FC" w14:textId="77777777" w:rsidR="00DD60C8" w:rsidRDefault="00DD60C8" w:rsidP="00DD60C8">
      <w:pPr>
        <w:spacing w:after="60"/>
        <w:ind w:left="432" w:right="230" w:hanging="173"/>
      </w:pPr>
      <w:r>
        <w:rPr>
          <w:rFonts w:ascii="Times New Roman" w:eastAsia="Times New Roman" w:hAnsi="Times New Roman"/>
          <w:color w:val="000000"/>
          <w:sz w:val="19"/>
        </w:rPr>
        <w:t>• generated explanations and summaries;</w:t>
      </w:r>
    </w:p>
    <w:p w14:paraId="52DC9241" w14:textId="77777777" w:rsidR="00DD60C8" w:rsidRDefault="00DD60C8" w:rsidP="00DD60C8">
      <w:pPr>
        <w:spacing w:after="60"/>
        <w:ind w:left="432" w:right="230" w:hanging="173"/>
      </w:pPr>
      <w:r>
        <w:rPr>
          <w:rFonts w:ascii="Times New Roman" w:eastAsia="Times New Roman" w:hAnsi="Times New Roman"/>
          <w:color w:val="000000"/>
          <w:sz w:val="19"/>
        </w:rPr>
        <w:t>• recommendations and proposed actions;</w:t>
      </w:r>
    </w:p>
    <w:p w14:paraId="72E3B83A" w14:textId="77777777" w:rsidR="00DD60C8" w:rsidRDefault="00DD60C8" w:rsidP="00DD60C8">
      <w:pPr>
        <w:spacing w:after="60"/>
        <w:ind w:left="432" w:right="230" w:hanging="173"/>
      </w:pPr>
      <w:r>
        <w:rPr>
          <w:rFonts w:ascii="Times New Roman" w:eastAsia="Times New Roman" w:hAnsi="Times New Roman"/>
          <w:color w:val="000000"/>
          <w:sz w:val="19"/>
        </w:rPr>
        <w:t>• downloads, reports, and preservation artifacts; and</w:t>
      </w:r>
    </w:p>
    <w:p w14:paraId="251F8980" w14:textId="77777777" w:rsidR="00DD60C8" w:rsidRDefault="00DD60C8" w:rsidP="00DD60C8">
      <w:pPr>
        <w:spacing w:after="60"/>
        <w:ind w:left="432" w:right="230" w:hanging="173"/>
      </w:pPr>
      <w:r>
        <w:rPr>
          <w:rFonts w:ascii="Times New Roman" w:eastAsia="Times New Roman" w:hAnsi="Times New Roman"/>
          <w:color w:val="000000"/>
          <w:sz w:val="19"/>
        </w:rPr>
        <w:t>• inter-system transfers to downstream agents or decision engines.</w:t>
      </w:r>
    </w:p>
    <w:p w14:paraId="45EAB3DD" w14:textId="77777777" w:rsidR="00DD60C8" w:rsidRDefault="00DD60C8" w:rsidP="00DD60C8">
      <w:pPr>
        <w:spacing w:after="94"/>
      </w:pPr>
      <w:r>
        <w:rPr>
          <w:rFonts w:ascii="Times New Roman" w:eastAsia="Times New Roman" w:hAnsi="Times New Roman"/>
          <w:color w:val="000000"/>
          <w:sz w:val="20"/>
        </w:rPr>
        <w:t>Logging an unsupported output after it has been emitted does not satisfy egress closure. The claim must be admitted before the system represents it as authoritative.</w:t>
      </w:r>
    </w:p>
    <w:p w14:paraId="5803003F" w14:textId="77777777" w:rsidR="00DD60C8" w:rsidRDefault="00DD60C8" w:rsidP="00DD60C8">
      <w:pPr>
        <w:pStyle w:val="Heading2"/>
      </w:pPr>
      <w:r>
        <w:rPr>
          <w:rFonts w:ascii="Arial" w:eastAsia="Times New Roman" w:hAnsi="Arial"/>
          <w:color w:val="000000"/>
          <w:sz w:val="23"/>
        </w:rPr>
        <w:t>Local state and authority drift</w:t>
      </w:r>
    </w:p>
    <w:p w14:paraId="062D5E5C" w14:textId="77777777" w:rsidR="00DD60C8" w:rsidRDefault="00DD60C8" w:rsidP="00DD60C8">
      <w:pPr>
        <w:keepLines/>
        <w:spacing w:after="94"/>
      </w:pPr>
      <w:r>
        <w:rPr>
          <w:rFonts w:ascii="Times New Roman" w:eastAsia="Times New Roman" w:hAnsi="Times New Roman"/>
          <w:color w:val="000000"/>
          <w:sz w:val="20"/>
        </w:rPr>
        <w:t>Interfaces often maintain local filters, caches, selections, and annotations. These can improve usability, but they must not mutate canonical evidence or silently alter claim status. If an analyst adds a note, changes a threshold, or selects a comparison cohort, the system must treat the result as an annotation or new contract-bound computation rather than rewriting the existing evidence object.</w:t>
      </w:r>
    </w:p>
    <w:p w14:paraId="1589B15D" w14:textId="77777777" w:rsidR="00DD60C8" w:rsidRDefault="00DD60C8" w:rsidP="00DD60C8">
      <w:pPr>
        <w:spacing w:after="94"/>
      </w:pPr>
      <w:r>
        <w:rPr>
          <w:rFonts w:ascii="Times New Roman" w:eastAsia="Times New Roman" w:hAnsi="Times New Roman"/>
          <w:color w:val="000000"/>
          <w:sz w:val="20"/>
        </w:rPr>
        <w:t>Authority drift occurs when local state gradually becomes indistinguishable from canonical state. EGC counters it by separating evidence identity, operator activity, presentation state, and admitted claim state. Aperture, for example, distinguishes browser-local investigation state from the Current Evidence Run and excludes volatile session activity from canonical run identity, Passport identity, and the Evidence Seal.</w:t>
      </w:r>
    </w:p>
    <w:p w14:paraId="5E65EA44"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11. Generated Explanations, Recommendations, and Actions</w:t>
      </w:r>
    </w:p>
    <w:p w14:paraId="06D9165D" w14:textId="77777777" w:rsidR="00DD60C8" w:rsidRDefault="00DD60C8" w:rsidP="00DD60C8">
      <w:pPr>
        <w:pStyle w:val="Heading2"/>
      </w:pPr>
      <w:r>
        <w:rPr>
          <w:rFonts w:ascii="Arial" w:eastAsia="Times New Roman" w:hAnsi="Arial"/>
          <w:color w:val="000000"/>
          <w:sz w:val="23"/>
        </w:rPr>
        <w:t>Generated language as a projection</w:t>
      </w:r>
    </w:p>
    <w:p w14:paraId="513B913A" w14:textId="77777777" w:rsidR="00DD60C8" w:rsidRDefault="00DD60C8" w:rsidP="00DD60C8">
      <w:pPr>
        <w:keepLines/>
        <w:spacing w:after="94"/>
      </w:pPr>
      <w:r>
        <w:rPr>
          <w:rFonts w:ascii="Times New Roman" w:eastAsia="Times New Roman" w:hAnsi="Times New Roman"/>
          <w:color w:val="000000"/>
          <w:sz w:val="20"/>
        </w:rPr>
        <w:t>A generated explanation is not self-authorizing. Fluency, model scale, retrieval, or citation formatting cannot establish claim admissibility. Under EGC, a language model used to produce an operator brief or narrative is a projection component. It may render authorized structured claims and declared limitations into readable language. It may not create new authoritative propositions.</w:t>
      </w:r>
    </w:p>
    <w:p w14:paraId="753F34AF" w14:textId="77777777" w:rsidR="00DD60C8" w:rsidRDefault="00DD60C8" w:rsidP="00DD60C8">
      <w:pPr>
        <w:spacing w:after="94"/>
      </w:pPr>
      <w:r>
        <w:rPr>
          <w:rFonts w:ascii="Times New Roman" w:eastAsia="Times New Roman" w:hAnsi="Times New Roman"/>
          <w:color w:val="000000"/>
          <w:sz w:val="20"/>
        </w:rPr>
        <w:t>A robust generated-language path therefore operates as a constrained claim compiler:</w:t>
      </w:r>
    </w:p>
    <w:p w14:paraId="14D51CE1" w14:textId="77777777" w:rsidR="00DD60C8" w:rsidRDefault="00DD60C8" w:rsidP="00DD60C8">
      <w:pPr>
        <w:spacing w:after="60"/>
        <w:ind w:left="432" w:right="230" w:hanging="173"/>
      </w:pPr>
      <w:r>
        <w:rPr>
          <w:rFonts w:ascii="Times New Roman" w:eastAsia="Times New Roman" w:hAnsi="Times New Roman"/>
          <w:b/>
          <w:color w:val="000000"/>
          <w:sz w:val="19"/>
        </w:rPr>
        <w:t>1.</w:t>
      </w:r>
      <w:r>
        <w:rPr>
          <w:rFonts w:ascii="Times New Roman" w:eastAsia="Times New Roman" w:hAnsi="Times New Roman"/>
          <w:color w:val="000000"/>
          <w:sz w:val="19"/>
        </w:rPr>
        <w:t xml:space="preserve"> retrieve admitted claims, source bindings, status, and limitations;</w:t>
      </w:r>
    </w:p>
    <w:p w14:paraId="4EC1AE97" w14:textId="77777777" w:rsidR="00DD60C8" w:rsidRDefault="00DD60C8" w:rsidP="00DD60C8">
      <w:pPr>
        <w:spacing w:after="60"/>
        <w:ind w:left="432" w:right="230" w:hanging="173"/>
      </w:pPr>
      <w:r>
        <w:rPr>
          <w:rFonts w:ascii="Times New Roman" w:eastAsia="Times New Roman" w:hAnsi="Times New Roman"/>
          <w:b/>
          <w:color w:val="000000"/>
          <w:sz w:val="19"/>
        </w:rPr>
        <w:t>2.</w:t>
      </w:r>
      <w:r>
        <w:rPr>
          <w:rFonts w:ascii="Times New Roman" w:eastAsia="Times New Roman" w:hAnsi="Times New Roman"/>
          <w:color w:val="000000"/>
          <w:sz w:val="19"/>
        </w:rPr>
        <w:t xml:space="preserve"> generate a candidate rendering for the intended audience;</w:t>
      </w:r>
    </w:p>
    <w:p w14:paraId="7753C24D" w14:textId="77777777" w:rsidR="00DD60C8" w:rsidRDefault="00DD60C8" w:rsidP="00DD60C8">
      <w:pPr>
        <w:spacing w:after="60"/>
        <w:ind w:left="432" w:right="230" w:hanging="173"/>
      </w:pPr>
      <w:r>
        <w:rPr>
          <w:rFonts w:ascii="Times New Roman" w:eastAsia="Times New Roman" w:hAnsi="Times New Roman"/>
          <w:b/>
          <w:color w:val="000000"/>
          <w:sz w:val="19"/>
        </w:rPr>
        <w:t>3.</w:t>
      </w:r>
      <w:r>
        <w:rPr>
          <w:rFonts w:ascii="Times New Roman" w:eastAsia="Times New Roman" w:hAnsi="Times New Roman"/>
          <w:color w:val="000000"/>
          <w:sz w:val="19"/>
        </w:rPr>
        <w:t xml:space="preserve"> extract or map the propositions expressed by the rendering;</w:t>
      </w:r>
    </w:p>
    <w:p w14:paraId="6351EFF1" w14:textId="77777777" w:rsidR="00DD60C8" w:rsidRDefault="00DD60C8" w:rsidP="00DD60C8">
      <w:pPr>
        <w:spacing w:after="60"/>
        <w:ind w:left="432" w:right="230" w:hanging="173"/>
      </w:pPr>
      <w:r>
        <w:rPr>
          <w:rFonts w:ascii="Times New Roman" w:eastAsia="Times New Roman" w:hAnsi="Times New Roman"/>
          <w:b/>
          <w:color w:val="000000"/>
          <w:sz w:val="19"/>
        </w:rPr>
        <w:t>4.</w:t>
      </w:r>
      <w:r>
        <w:rPr>
          <w:rFonts w:ascii="Times New Roman" w:eastAsia="Times New Roman" w:hAnsi="Times New Roman"/>
          <w:color w:val="000000"/>
          <w:sz w:val="19"/>
        </w:rPr>
        <w:t xml:space="preserve"> compare them with authorized claim identities and permitted paraphrases;</w:t>
      </w:r>
    </w:p>
    <w:p w14:paraId="596EE703" w14:textId="77777777" w:rsidR="00DD60C8" w:rsidRDefault="00DD60C8" w:rsidP="00DD60C8">
      <w:pPr>
        <w:spacing w:after="60"/>
        <w:ind w:left="432" w:right="230" w:hanging="173"/>
      </w:pPr>
      <w:r>
        <w:rPr>
          <w:rFonts w:ascii="Times New Roman" w:eastAsia="Times New Roman" w:hAnsi="Times New Roman"/>
          <w:b/>
          <w:color w:val="000000"/>
          <w:sz w:val="19"/>
        </w:rPr>
        <w:t>5.</w:t>
      </w:r>
      <w:r>
        <w:rPr>
          <w:rFonts w:ascii="Times New Roman" w:eastAsia="Times New Roman" w:hAnsi="Times New Roman"/>
          <w:color w:val="000000"/>
          <w:sz w:val="19"/>
        </w:rPr>
        <w:t xml:space="preserve"> block, revise, or mark as analyst interpretation any unmatched proposition; and</w:t>
      </w:r>
    </w:p>
    <w:p w14:paraId="0EA13E9A" w14:textId="77777777" w:rsidR="00DD60C8" w:rsidRDefault="00DD60C8" w:rsidP="00DD60C8">
      <w:pPr>
        <w:spacing w:after="60"/>
        <w:ind w:left="432" w:right="230" w:hanging="173"/>
      </w:pPr>
      <w:r>
        <w:rPr>
          <w:rFonts w:ascii="Times New Roman" w:eastAsia="Times New Roman" w:hAnsi="Times New Roman"/>
          <w:b/>
          <w:color w:val="000000"/>
          <w:sz w:val="19"/>
        </w:rPr>
        <w:t>6.</w:t>
      </w:r>
      <w:r>
        <w:rPr>
          <w:rFonts w:ascii="Times New Roman" w:eastAsia="Times New Roman" w:hAnsi="Times New Roman"/>
          <w:color w:val="000000"/>
          <w:sz w:val="19"/>
        </w:rPr>
        <w:t xml:space="preserve"> preserve the generated text, model and prompt identity where supplied, admitted claim set, and validation result.</w:t>
      </w:r>
    </w:p>
    <w:p w14:paraId="5AEB4B9F" w14:textId="77777777" w:rsidR="00DD60C8" w:rsidRDefault="00DD60C8" w:rsidP="00DD60C8">
      <w:pPr>
        <w:spacing w:after="94"/>
      </w:pPr>
      <w:r>
        <w:rPr>
          <w:rFonts w:ascii="Times New Roman" w:eastAsia="Times New Roman" w:hAnsi="Times New Roman"/>
          <w:color w:val="000000"/>
          <w:sz w:val="20"/>
        </w:rPr>
        <w:t>This procedure cannot guarantee semantic equivalence in all natural language. It establishes an inspectable control point and a testable failure mode. High-consequence uses may require deterministic templates or human review rather than unconstrained generation.</w:t>
      </w:r>
    </w:p>
    <w:p w14:paraId="0FC0FD03" w14:textId="77777777" w:rsidR="00DD60C8" w:rsidRDefault="00DD60C8" w:rsidP="00DD60C8">
      <w:pPr>
        <w:pStyle w:val="Heading2"/>
      </w:pPr>
      <w:r>
        <w:rPr>
          <w:rFonts w:ascii="Arial" w:eastAsia="Times New Roman" w:hAnsi="Arial"/>
          <w:color w:val="000000"/>
          <w:sz w:val="23"/>
        </w:rPr>
        <w:t>Explanation is not cause</w:t>
      </w:r>
    </w:p>
    <w:p w14:paraId="79B7254B" w14:textId="77777777" w:rsidR="00DD60C8" w:rsidRDefault="00DD60C8" w:rsidP="00DD60C8">
      <w:pPr>
        <w:keepLines/>
        <w:spacing w:after="94"/>
      </w:pPr>
      <w:r>
        <w:rPr>
          <w:rFonts w:ascii="Times New Roman" w:eastAsia="Times New Roman" w:hAnsi="Times New Roman"/>
          <w:color w:val="000000"/>
          <w:sz w:val="20"/>
        </w:rPr>
        <w:t>Evidence-governed explanations must distinguish chronology, association, mechanism, and causation. A runtime record may support that pressure increased before a boundary, that a role change coincided with a regime transition, or that a correction failed to persist. These observations do not automatically identify root cause, intent, hidden state, or responsibility.</w:t>
      </w:r>
    </w:p>
    <w:p w14:paraId="021E99D9" w14:textId="77777777" w:rsidR="00DD60C8" w:rsidRDefault="00DD60C8" w:rsidP="00DD60C8">
      <w:pPr>
        <w:spacing w:after="94"/>
      </w:pPr>
      <w:r>
        <w:rPr>
          <w:rFonts w:ascii="Times New Roman" w:eastAsia="Times New Roman" w:hAnsi="Times New Roman"/>
          <w:color w:val="000000"/>
          <w:sz w:val="20"/>
        </w:rPr>
        <w:t xml:space="preserve">The architecture should therefore store explanation claims at their actual level. </w:t>
      </w:r>
      <w:r>
        <w:rPr>
          <w:rFonts w:ascii="Times New Roman" w:eastAsia="Times New Roman" w:hAnsi="Times New Roman"/>
          <w:i/>
          <w:color w:val="000000"/>
          <w:sz w:val="20"/>
        </w:rPr>
        <w:t>The first detectable weakening occurred six turns before the observed failure marker</w:t>
      </w:r>
      <w:r>
        <w:rPr>
          <w:rFonts w:ascii="Times New Roman" w:eastAsia="Times New Roman" w:hAnsi="Times New Roman"/>
          <w:color w:val="000000"/>
          <w:sz w:val="20"/>
        </w:rPr>
        <w:t xml:space="preserve"> is different from </w:t>
      </w:r>
      <w:r>
        <w:rPr>
          <w:rFonts w:ascii="Times New Roman" w:eastAsia="Times New Roman" w:hAnsi="Times New Roman"/>
          <w:i/>
          <w:color w:val="000000"/>
          <w:sz w:val="20"/>
        </w:rPr>
        <w:t>the weakening caused the failure</w:t>
      </w:r>
      <w:r>
        <w:rPr>
          <w:rFonts w:ascii="Times New Roman" w:eastAsia="Times New Roman" w:hAnsi="Times New Roman"/>
          <w:color w:val="000000"/>
          <w:sz w:val="20"/>
        </w:rPr>
        <w:t>. The former may be supported by a declared onset and detection protocol; the latter requires a causal design or additional evidence.</w:t>
      </w:r>
    </w:p>
    <w:p w14:paraId="6B00C703" w14:textId="77777777" w:rsidR="00DD60C8" w:rsidRDefault="00DD60C8" w:rsidP="00DD60C8">
      <w:pPr>
        <w:pStyle w:val="Heading2"/>
      </w:pPr>
      <w:r>
        <w:rPr>
          <w:rFonts w:ascii="Arial" w:eastAsia="Times New Roman" w:hAnsi="Arial"/>
          <w:color w:val="000000"/>
          <w:sz w:val="23"/>
        </w:rPr>
        <w:t>Recommendation is not execution authority</w:t>
      </w:r>
    </w:p>
    <w:p w14:paraId="17DFAC3D" w14:textId="77777777" w:rsidR="00DD60C8" w:rsidRDefault="00DD60C8" w:rsidP="00DD60C8">
      <w:pPr>
        <w:keepLines/>
        <w:spacing w:after="94"/>
      </w:pPr>
      <w:r>
        <w:rPr>
          <w:rFonts w:ascii="Times New Roman" w:eastAsia="Times New Roman" w:hAnsi="Times New Roman"/>
          <w:color w:val="000000"/>
          <w:sz w:val="20"/>
        </w:rPr>
        <w:t>A recommendation combines evidence with a decision policy. Its admissibility requires both. Even then, permission to present a recommendation does not imply permission to execute it. Execution authority depends on organizational role, safety controls, legal mandate, human approval, or a separately validated autonomous policy.</w:t>
      </w:r>
    </w:p>
    <w:p w14:paraId="7ADF6B29" w14:textId="77777777" w:rsidR="00DD60C8" w:rsidRDefault="00DD60C8" w:rsidP="00DD60C8">
      <w:pPr>
        <w:spacing w:after="94"/>
      </w:pPr>
      <w:r>
        <w:rPr>
          <w:rFonts w:ascii="Times New Roman" w:eastAsia="Times New Roman" w:hAnsi="Times New Roman"/>
          <w:color w:val="000000"/>
          <w:sz w:val="20"/>
        </w:rPr>
        <w:t>An evidence-governed system must preserve the chain:</w:t>
      </w:r>
    </w:p>
    <w:p w14:paraId="681EFD47" w14:textId="77777777" w:rsidR="00DD60C8" w:rsidRDefault="00DD60C8" w:rsidP="00DD60C8">
      <w:pPr>
        <w:spacing w:after="94"/>
      </w:pPr>
      <w:r>
        <w:rPr>
          <w:rFonts w:ascii="Times New Roman" w:eastAsia="Times New Roman" w:hAnsi="Times New Roman"/>
          <w:b/>
          <w:color w:val="000000"/>
          <w:sz w:val="20"/>
        </w:rPr>
        <w:t>evidence-supported finding → declared decision rule → recommendation → execution authorization → action record</w:t>
      </w:r>
    </w:p>
    <w:p w14:paraId="07E77087" w14:textId="77777777" w:rsidR="00DD60C8" w:rsidRDefault="00DD60C8" w:rsidP="00DD60C8">
      <w:pPr>
        <w:spacing w:after="94"/>
      </w:pPr>
      <w:r>
        <w:rPr>
          <w:rFonts w:ascii="Times New Roman" w:eastAsia="Times New Roman" w:hAnsi="Times New Roman"/>
          <w:color w:val="000000"/>
          <w:sz w:val="20"/>
        </w:rPr>
        <w:t>Collapsing these stages can transform an analytical instrument into an unaccountable actuator. EGC governs the evidentiary chain while requiring external operational authority to remain explicit.</w:t>
      </w:r>
    </w:p>
    <w:p w14:paraId="54D49574"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12. Uncertainty, Conflict, and Negative Evidence</w:t>
      </w:r>
    </w:p>
    <w:p w14:paraId="7A7655A2" w14:textId="77777777" w:rsidR="00DD60C8" w:rsidRDefault="00DD60C8" w:rsidP="00DD60C8">
      <w:pPr>
        <w:pStyle w:val="Heading2"/>
      </w:pPr>
      <w:r>
        <w:rPr>
          <w:rFonts w:ascii="Arial" w:eastAsia="Times New Roman" w:hAnsi="Arial"/>
          <w:color w:val="000000"/>
          <w:sz w:val="23"/>
        </w:rPr>
        <w:t>Uncertainty as structure</w:t>
      </w:r>
    </w:p>
    <w:p w14:paraId="28C02788" w14:textId="77777777" w:rsidR="00DD60C8" w:rsidRDefault="00DD60C8" w:rsidP="00DD60C8">
      <w:pPr>
        <w:keepLines/>
        <w:spacing w:after="94"/>
      </w:pPr>
      <w:r>
        <w:rPr>
          <w:rFonts w:ascii="Times New Roman" w:eastAsia="Times New Roman" w:hAnsi="Times New Roman"/>
          <w:color w:val="000000"/>
          <w:sz w:val="20"/>
        </w:rPr>
        <w:t>Uncertainty must travel with the claim it qualifies. A global disclaimer at the bottom of a report is inadequate when different outputs depend on different coverage, assumptions, thresholds, or source quality. EGC attaches uncertainty and limitations to claim objects and requires projections to preserve them.</w:t>
      </w:r>
    </w:p>
    <w:p w14:paraId="6EB953A9" w14:textId="77777777" w:rsidR="00DD60C8" w:rsidRDefault="00DD60C8" w:rsidP="00DD60C8">
      <w:pPr>
        <w:spacing w:after="94"/>
      </w:pPr>
      <w:r>
        <w:rPr>
          <w:rFonts w:ascii="Times New Roman" w:eastAsia="Times New Roman" w:hAnsi="Times New Roman"/>
          <w:color w:val="000000"/>
          <w:sz w:val="20"/>
        </w:rPr>
        <w:t>Relevant dimensions include measurement uncertainty, source ambiguity, temporal uncertainty, role ambiguity, sampling effects, model or rule uncertainty, calibration domain, coverage, and dependency uncertainty. A single confidence score should not collapse these dimensions unless its semantics and aggregation rule are specified.</w:t>
      </w:r>
    </w:p>
    <w:p w14:paraId="56CB70A1" w14:textId="77777777" w:rsidR="00DD60C8" w:rsidRDefault="00DD60C8" w:rsidP="00DD60C8">
      <w:pPr>
        <w:pStyle w:val="Heading2"/>
      </w:pPr>
      <w:r>
        <w:rPr>
          <w:rFonts w:ascii="Arial" w:eastAsia="Times New Roman" w:hAnsi="Arial"/>
          <w:color w:val="000000"/>
          <w:sz w:val="23"/>
        </w:rPr>
        <w:t>Conflict preservation</w:t>
      </w:r>
    </w:p>
    <w:p w14:paraId="55ACC29A" w14:textId="77777777" w:rsidR="00DD60C8" w:rsidRDefault="00DD60C8" w:rsidP="00DD60C8">
      <w:pPr>
        <w:keepLines/>
        <w:spacing w:after="94"/>
      </w:pPr>
      <w:r>
        <w:rPr>
          <w:rFonts w:ascii="Times New Roman" w:eastAsia="Times New Roman" w:hAnsi="Times New Roman"/>
          <w:color w:val="000000"/>
          <w:sz w:val="20"/>
        </w:rPr>
        <w:t>Conflicting evidence must not be resolved by silent overwrite. If two sources assign different roles, timestamps, or event descriptions, the canonical record may preserve both and identify the resolution rule used for a particular projection. A claim can be conditional upon one resolution while the underlying conflict remains inspectable.</w:t>
      </w:r>
    </w:p>
    <w:p w14:paraId="5FB28049" w14:textId="77777777" w:rsidR="00DD60C8" w:rsidRDefault="00DD60C8" w:rsidP="00DD60C8">
      <w:pPr>
        <w:spacing w:after="94"/>
      </w:pPr>
      <w:r>
        <w:rPr>
          <w:rFonts w:ascii="Times New Roman" w:eastAsia="Times New Roman" w:hAnsi="Times New Roman"/>
          <w:color w:val="000000"/>
          <w:sz w:val="20"/>
        </w:rPr>
        <w:t>The same principle applies to analytical disagreement. Two authorized methods may produce different classifications because their scopes or thresholds differ. EGC does not require artificial unanimity. It requires that each output preserve its method, evidence, and boundary so the disagreement can be evaluated.</w:t>
      </w:r>
    </w:p>
    <w:p w14:paraId="5DF05166" w14:textId="77777777" w:rsidR="00DD60C8" w:rsidRDefault="00DD60C8" w:rsidP="00DD60C8">
      <w:pPr>
        <w:pStyle w:val="Heading2"/>
      </w:pPr>
      <w:r>
        <w:rPr>
          <w:rFonts w:ascii="Arial" w:eastAsia="Times New Roman" w:hAnsi="Arial"/>
          <w:color w:val="000000"/>
          <w:sz w:val="23"/>
        </w:rPr>
        <w:t>Negative evidence and absence</w:t>
      </w:r>
    </w:p>
    <w:p w14:paraId="676FB0EF" w14:textId="77777777" w:rsidR="00DD60C8" w:rsidRDefault="00DD60C8" w:rsidP="00DD60C8">
      <w:pPr>
        <w:keepLines/>
        <w:spacing w:after="94"/>
      </w:pPr>
      <w:r>
        <w:rPr>
          <w:rFonts w:ascii="Times New Roman" w:eastAsia="Times New Roman" w:hAnsi="Times New Roman"/>
          <w:color w:val="000000"/>
          <w:sz w:val="20"/>
        </w:rPr>
        <w:t xml:space="preserve">Failure to observe an event can support a claim only when the observation process was capable of detecting it over the relevant interval. </w:t>
      </w:r>
      <w:r>
        <w:rPr>
          <w:rFonts w:ascii="Times New Roman" w:eastAsia="Times New Roman" w:hAnsi="Times New Roman"/>
          <w:i/>
          <w:color w:val="000000"/>
          <w:sz w:val="20"/>
        </w:rPr>
        <w:t>No recovery marker was observed in the available record</w:t>
      </w:r>
      <w:r>
        <w:rPr>
          <w:rFonts w:ascii="Times New Roman" w:eastAsia="Times New Roman" w:hAnsi="Times New Roman"/>
          <w:color w:val="000000"/>
          <w:sz w:val="20"/>
        </w:rPr>
        <w:t xml:space="preserve"> is generally admissible when the record and detection protocol are specified. </w:t>
      </w:r>
      <w:r>
        <w:rPr>
          <w:rFonts w:ascii="Times New Roman" w:eastAsia="Times New Roman" w:hAnsi="Times New Roman"/>
          <w:i/>
          <w:color w:val="000000"/>
          <w:sz w:val="20"/>
        </w:rPr>
        <w:t>Recovery did not occur</w:t>
      </w:r>
      <w:r>
        <w:rPr>
          <w:rFonts w:ascii="Times New Roman" w:eastAsia="Times New Roman" w:hAnsi="Times New Roman"/>
          <w:color w:val="000000"/>
          <w:sz w:val="20"/>
        </w:rPr>
        <w:t xml:space="preserve"> is stronger and may be inadmissible if the source is partial or the detector has unknown sensitivity.</w:t>
      </w:r>
    </w:p>
    <w:p w14:paraId="42E3BCD5" w14:textId="77777777" w:rsidR="00DD60C8" w:rsidRDefault="00DD60C8" w:rsidP="00DD60C8">
      <w:pPr>
        <w:spacing w:after="94"/>
      </w:pPr>
      <w:r>
        <w:rPr>
          <w:rFonts w:ascii="Times New Roman" w:eastAsia="Times New Roman" w:hAnsi="Times New Roman"/>
          <w:color w:val="000000"/>
          <w:sz w:val="20"/>
        </w:rPr>
        <w:t>Negative evidence therefore requires an observation opportunity, a detection model, coverage, and a scoped proposition. EGC treats those conditions as part of the claim rather than leaving them implicit.</w:t>
      </w:r>
    </w:p>
    <w:p w14:paraId="35D00275"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13. Export Authority and Preservation</w:t>
      </w:r>
    </w:p>
    <w:p w14:paraId="07FB1C7F" w14:textId="77777777" w:rsidR="00DD60C8" w:rsidRDefault="00DD60C8" w:rsidP="00DD60C8">
      <w:pPr>
        <w:pStyle w:val="Heading2"/>
      </w:pPr>
      <w:r>
        <w:rPr>
          <w:rFonts w:ascii="Arial" w:eastAsia="Times New Roman" w:hAnsi="Arial"/>
          <w:color w:val="000000"/>
          <w:sz w:val="23"/>
        </w:rPr>
        <w:t>An export is a governed projection</w:t>
      </w:r>
    </w:p>
    <w:p w14:paraId="4780ED62" w14:textId="77777777" w:rsidR="00DD60C8" w:rsidRDefault="00DD60C8" w:rsidP="00DD60C8">
      <w:pPr>
        <w:keepLines/>
        <w:spacing w:after="94"/>
      </w:pPr>
      <w:r>
        <w:rPr>
          <w:rFonts w:ascii="Times New Roman" w:eastAsia="Times New Roman" w:hAnsi="Times New Roman"/>
          <w:color w:val="000000"/>
          <w:sz w:val="20"/>
        </w:rPr>
        <w:t>An export is not an afterthought or a screenshot of interface state. It is a governed projection intended to carry evidentiary authority beyond the live system. If an export omits the source identity, method version, claim status, or limitations needed to interpret a result, it can become more persuasive and less accountable than the computation it represents.</w:t>
      </w:r>
    </w:p>
    <w:p w14:paraId="381F99C0" w14:textId="77777777" w:rsidR="00DD60C8" w:rsidRDefault="00DD60C8" w:rsidP="00DD60C8">
      <w:pPr>
        <w:spacing w:after="94"/>
      </w:pPr>
      <w:r>
        <w:rPr>
          <w:rFonts w:ascii="Times New Roman" w:eastAsia="Times New Roman" w:hAnsi="Times New Roman"/>
          <w:color w:val="000000"/>
          <w:sz w:val="20"/>
        </w:rPr>
        <w:t>An authoritative export must preserve or securely reference:</w:t>
      </w:r>
    </w:p>
    <w:p w14:paraId="2F5A29BA" w14:textId="77777777" w:rsidR="00DD60C8" w:rsidRDefault="00DD60C8" w:rsidP="00DD60C8">
      <w:pPr>
        <w:spacing w:after="60"/>
        <w:ind w:left="432" w:right="230" w:hanging="173"/>
      </w:pPr>
      <w:r>
        <w:rPr>
          <w:rFonts w:ascii="Times New Roman" w:eastAsia="Times New Roman" w:hAnsi="Times New Roman"/>
          <w:color w:val="000000"/>
          <w:sz w:val="19"/>
        </w:rPr>
        <w:t>• source, canonical, run, evidence-record, Passport, Seal, and artifact identities;</w:t>
      </w:r>
    </w:p>
    <w:p w14:paraId="30FF8948" w14:textId="77777777" w:rsidR="00DD60C8" w:rsidRDefault="00DD60C8" w:rsidP="00DD60C8">
      <w:pPr>
        <w:spacing w:after="60"/>
        <w:ind w:left="432" w:right="230" w:hanging="173"/>
      </w:pPr>
      <w:r>
        <w:rPr>
          <w:rFonts w:ascii="Times New Roman" w:eastAsia="Times New Roman" w:hAnsi="Times New Roman"/>
          <w:color w:val="000000"/>
          <w:sz w:val="19"/>
        </w:rPr>
        <w:t>• canonical and artifact digests with their algorithms and declared scopes;</w:t>
      </w:r>
    </w:p>
    <w:p w14:paraId="56425849" w14:textId="77777777" w:rsidR="00DD60C8" w:rsidRDefault="00DD60C8" w:rsidP="00DD60C8">
      <w:pPr>
        <w:spacing w:after="60"/>
        <w:ind w:left="432" w:right="230" w:hanging="173"/>
      </w:pPr>
      <w:r>
        <w:rPr>
          <w:rFonts w:ascii="Times New Roman" w:eastAsia="Times New Roman" w:hAnsi="Times New Roman"/>
          <w:color w:val="000000"/>
          <w:sz w:val="19"/>
        </w:rPr>
        <w:t>• source inventory, qualification, coverage, and disclosure state;</w:t>
      </w:r>
    </w:p>
    <w:p w14:paraId="4A41CD26" w14:textId="77777777" w:rsidR="00DD60C8" w:rsidRDefault="00DD60C8" w:rsidP="00DD60C8">
      <w:pPr>
        <w:spacing w:after="60"/>
        <w:ind w:left="432" w:right="230" w:hanging="173"/>
      </w:pPr>
      <w:r>
        <w:rPr>
          <w:rFonts w:ascii="Times New Roman" w:eastAsia="Times New Roman" w:hAnsi="Times New Roman"/>
          <w:color w:val="000000"/>
          <w:sz w:val="19"/>
        </w:rPr>
        <w:t>• computation and dependency versions;</w:t>
      </w:r>
    </w:p>
    <w:p w14:paraId="59680278" w14:textId="77777777" w:rsidR="00DD60C8" w:rsidRDefault="00DD60C8" w:rsidP="00DD60C8">
      <w:pPr>
        <w:spacing w:after="60"/>
        <w:ind w:left="432" w:right="230" w:hanging="173"/>
      </w:pPr>
      <w:r>
        <w:rPr>
          <w:rFonts w:ascii="Times New Roman" w:eastAsia="Times New Roman" w:hAnsi="Times New Roman"/>
          <w:color w:val="000000"/>
          <w:sz w:val="19"/>
        </w:rPr>
        <w:t>• canonical event or record identity;</w:t>
      </w:r>
    </w:p>
    <w:p w14:paraId="0633A35E" w14:textId="77777777" w:rsidR="00DD60C8" w:rsidRDefault="00DD60C8" w:rsidP="00DD60C8">
      <w:pPr>
        <w:spacing w:after="60"/>
        <w:ind w:left="432" w:right="230" w:hanging="173"/>
      </w:pPr>
      <w:r>
        <w:rPr>
          <w:rFonts w:ascii="Times New Roman" w:eastAsia="Times New Roman" w:hAnsi="Times New Roman"/>
          <w:color w:val="000000"/>
          <w:sz w:val="19"/>
        </w:rPr>
        <w:t>• admitted claims and their classes, scopes, statuses, and limitations;</w:t>
      </w:r>
    </w:p>
    <w:p w14:paraId="060F0499" w14:textId="77777777" w:rsidR="00DD60C8" w:rsidRDefault="00DD60C8" w:rsidP="00DD60C8">
      <w:pPr>
        <w:spacing w:after="60"/>
        <w:ind w:left="432" w:right="230" w:hanging="173"/>
      </w:pPr>
      <w:r>
        <w:rPr>
          <w:rFonts w:ascii="Times New Roman" w:eastAsia="Times New Roman" w:hAnsi="Times New Roman"/>
          <w:color w:val="000000"/>
          <w:sz w:val="19"/>
        </w:rPr>
        <w:t>• source spans and derivation graph sufficient for inspection;</w:t>
      </w:r>
    </w:p>
    <w:p w14:paraId="093024F2" w14:textId="77777777" w:rsidR="00DD60C8" w:rsidRDefault="00DD60C8" w:rsidP="00DD60C8">
      <w:pPr>
        <w:spacing w:after="60"/>
        <w:ind w:left="432" w:right="230" w:hanging="173"/>
      </w:pPr>
      <w:r>
        <w:rPr>
          <w:rFonts w:ascii="Times New Roman" w:eastAsia="Times New Roman" w:hAnsi="Times New Roman"/>
          <w:color w:val="000000"/>
          <w:sz w:val="19"/>
        </w:rPr>
        <w:t>• instrument and projection contracts;</w:t>
      </w:r>
    </w:p>
    <w:p w14:paraId="170616B5" w14:textId="77777777" w:rsidR="00DD60C8" w:rsidRDefault="00DD60C8" w:rsidP="00DD60C8">
      <w:pPr>
        <w:spacing w:after="60"/>
        <w:ind w:left="432" w:right="230" w:hanging="173"/>
      </w:pPr>
      <w:r>
        <w:rPr>
          <w:rFonts w:ascii="Times New Roman" w:eastAsia="Times New Roman" w:hAnsi="Times New Roman"/>
          <w:color w:val="000000"/>
          <w:sz w:val="19"/>
        </w:rPr>
        <w:t>• uncertainty, conflict, missingness, and not-computable states;</w:t>
      </w:r>
    </w:p>
    <w:p w14:paraId="5FA1D978" w14:textId="77777777" w:rsidR="00DD60C8" w:rsidRDefault="00DD60C8" w:rsidP="00DD60C8">
      <w:pPr>
        <w:spacing w:after="60"/>
        <w:ind w:left="432" w:right="230" w:hanging="173"/>
      </w:pPr>
      <w:r>
        <w:rPr>
          <w:rFonts w:ascii="Times New Roman" w:eastAsia="Times New Roman" w:hAnsi="Times New Roman"/>
          <w:color w:val="000000"/>
          <w:sz w:val="19"/>
        </w:rPr>
        <w:t>• redaction declarations and audience restrictions;</w:t>
      </w:r>
    </w:p>
    <w:p w14:paraId="5F20C7E1" w14:textId="77777777" w:rsidR="00DD60C8" w:rsidRDefault="00DD60C8" w:rsidP="00DD60C8">
      <w:pPr>
        <w:spacing w:after="60"/>
        <w:ind w:left="432" w:right="230" w:hanging="173"/>
      </w:pPr>
      <w:r>
        <w:rPr>
          <w:rFonts w:ascii="Times New Roman" w:eastAsia="Times New Roman" w:hAnsi="Times New Roman"/>
          <w:color w:val="000000"/>
          <w:sz w:val="19"/>
        </w:rPr>
        <w:t>• challenge, review, and supersession state;</w:t>
      </w:r>
    </w:p>
    <w:p w14:paraId="07A0E32D" w14:textId="77777777" w:rsidR="00DD60C8" w:rsidRDefault="00DD60C8" w:rsidP="00DD60C8">
      <w:pPr>
        <w:spacing w:after="60"/>
        <w:ind w:left="432" w:right="230" w:hanging="173"/>
      </w:pPr>
      <w:r>
        <w:rPr>
          <w:rFonts w:ascii="Times New Roman" w:eastAsia="Times New Roman" w:hAnsi="Times New Roman"/>
          <w:color w:val="000000"/>
          <w:sz w:val="19"/>
        </w:rPr>
        <w:t>• integrity metadata, manifest, and creation conditions; and</w:t>
      </w:r>
    </w:p>
    <w:p w14:paraId="4237E00F" w14:textId="77777777" w:rsidR="00DD60C8" w:rsidRDefault="00DD60C8" w:rsidP="00DD60C8">
      <w:pPr>
        <w:spacing w:after="60"/>
        <w:ind w:left="432" w:right="230" w:hanging="173"/>
      </w:pPr>
      <w:r>
        <w:rPr>
          <w:rFonts w:ascii="Times New Roman" w:eastAsia="Times New Roman" w:hAnsi="Times New Roman"/>
          <w:color w:val="000000"/>
          <w:sz w:val="19"/>
        </w:rPr>
        <w:t>• instructions or materials required for replay where permitted.</w:t>
      </w:r>
    </w:p>
    <w:p w14:paraId="749B6774" w14:textId="77777777" w:rsidR="00DD60C8" w:rsidRDefault="00DD60C8" w:rsidP="00DD60C8">
      <w:pPr>
        <w:spacing w:after="94"/>
      </w:pPr>
      <w:r>
        <w:rPr>
          <w:rFonts w:ascii="Times New Roman" w:eastAsia="Times New Roman" w:hAnsi="Times New Roman"/>
          <w:color w:val="000000"/>
          <w:sz w:val="20"/>
        </w:rPr>
        <w:t>Presentation may adapt to format. A PDF, JSON package, human-readable brief, and machine-readable archive need not look alike. Their authoritative content must remain congruent.</w:t>
      </w:r>
    </w:p>
    <w:p w14:paraId="08DCBC57" w14:textId="77777777" w:rsidR="00DD60C8" w:rsidRDefault="00DD60C8" w:rsidP="00DD60C8">
      <w:pPr>
        <w:pStyle w:val="Heading2"/>
      </w:pPr>
      <w:r>
        <w:rPr>
          <w:rFonts w:ascii="Arial" w:eastAsia="Times New Roman" w:hAnsi="Arial"/>
          <w:color w:val="000000"/>
          <w:sz w:val="23"/>
        </w:rPr>
        <w:t>Export authority</w:t>
      </w:r>
    </w:p>
    <w:p w14:paraId="1731F800" w14:textId="77777777" w:rsidR="00DD60C8" w:rsidRDefault="00DD60C8" w:rsidP="00DD60C8">
      <w:pPr>
        <w:keepLines/>
        <w:spacing w:after="94"/>
      </w:pPr>
      <w:r>
        <w:rPr>
          <w:rFonts w:ascii="Times New Roman" w:eastAsia="Times New Roman" w:hAnsi="Times New Roman"/>
          <w:b/>
          <w:color w:val="000000"/>
          <w:sz w:val="20"/>
        </w:rPr>
        <w:t>Export authority</w:t>
      </w:r>
      <w:r>
        <w:rPr>
          <w:rFonts w:ascii="Times New Roman" w:eastAsia="Times New Roman" w:hAnsi="Times New Roman"/>
          <w:color w:val="000000"/>
          <w:sz w:val="20"/>
        </w:rPr>
        <w:t xml:space="preserve"> is the permission to preserve and transmit a particular set of admitted claims, evidence references, and limitations to a defined audience under a declared export contract. It is separate from computation authority. A sensitive source may authorize an internal measurement while prohibiting external disclosure. A public artifact may preserve claims while redacting source content, provided the redaction and resulting verification limits are explicit.</w:t>
      </w:r>
    </w:p>
    <w:p w14:paraId="7303D9C9" w14:textId="77777777" w:rsidR="00DD60C8" w:rsidRDefault="00DD60C8" w:rsidP="00DD60C8">
      <w:pPr>
        <w:spacing w:after="94"/>
      </w:pPr>
      <w:r>
        <w:rPr>
          <w:rFonts w:ascii="Times New Roman" w:eastAsia="Times New Roman" w:hAnsi="Times New Roman"/>
          <w:color w:val="000000"/>
          <w:sz w:val="20"/>
        </w:rPr>
        <w:t>Export authority therefore evaluates content, audience, privacy, retention, licensing, and security requirements in addition to claim admissibility. The absence of permission to export does not invalidate the internal claim; it changes its disclosure status.</w:t>
      </w:r>
    </w:p>
    <w:p w14:paraId="75C6E04A" w14:textId="77777777" w:rsidR="00DD60C8" w:rsidRDefault="00DD60C8" w:rsidP="00DD60C8">
      <w:pPr>
        <w:pStyle w:val="Heading2"/>
      </w:pPr>
      <w:r>
        <w:rPr>
          <w:rFonts w:ascii="Arial" w:eastAsia="Times New Roman" w:hAnsi="Arial"/>
          <w:color w:val="000000"/>
          <w:sz w:val="23"/>
        </w:rPr>
        <w:t>Redaction without authority inflation</w:t>
      </w:r>
    </w:p>
    <w:p w14:paraId="699762DA" w14:textId="77777777" w:rsidR="00DD60C8" w:rsidRDefault="00DD60C8" w:rsidP="00DD60C8">
      <w:pPr>
        <w:keepLines/>
        <w:spacing w:after="94"/>
      </w:pPr>
      <w:r>
        <w:rPr>
          <w:rFonts w:ascii="Times New Roman" w:eastAsia="Times New Roman" w:hAnsi="Times New Roman"/>
          <w:color w:val="000000"/>
          <w:sz w:val="20"/>
        </w:rPr>
        <w:t>Redaction can protect privacy, security, and legitimate confidentiality. It can also remove the material required to challenge a claim. An evidence-governed artifact must disclose that redaction occurred, identify the affected evidence or claim dependencies at an appropriate level, and state which verification operations are no longer possible.</w:t>
      </w:r>
    </w:p>
    <w:p w14:paraId="6FB83BA8" w14:textId="77777777" w:rsidR="00DD60C8" w:rsidRDefault="00DD60C8" w:rsidP="00DD60C8">
      <w:pPr>
        <w:spacing w:after="94"/>
      </w:pPr>
      <w:r>
        <w:rPr>
          <w:rFonts w:ascii="Times New Roman" w:eastAsia="Times New Roman" w:hAnsi="Times New Roman"/>
          <w:color w:val="000000"/>
          <w:sz w:val="20"/>
        </w:rPr>
        <w:t>A redacted artifact must not retain the same apparent verification status if the redaction removes support essential to that status. The preserved claim may become conditional, partially verifiable, or withheld. A cryptographic commitment or controlled-access reference may preserve some integrity and later verification capacity without disclosing the protected content.</w:t>
      </w:r>
    </w:p>
    <w:p w14:paraId="09D57C8B" w14:textId="77777777" w:rsidR="00DD60C8" w:rsidRDefault="00DD60C8" w:rsidP="00DD60C8">
      <w:pPr>
        <w:pStyle w:val="Heading2"/>
      </w:pPr>
      <w:r>
        <w:rPr>
          <w:rFonts w:ascii="Arial" w:eastAsia="Times New Roman" w:hAnsi="Arial"/>
          <w:color w:val="000000"/>
          <w:sz w:val="23"/>
        </w:rPr>
        <w:t>Round-trip preservation</w:t>
      </w:r>
    </w:p>
    <w:p w14:paraId="5E17922C" w14:textId="77777777" w:rsidR="00DD60C8" w:rsidRDefault="00DD60C8" w:rsidP="00DD60C8">
      <w:pPr>
        <w:keepLines/>
        <w:spacing w:after="94"/>
      </w:pPr>
      <w:r>
        <w:rPr>
          <w:rFonts w:ascii="Times New Roman" w:eastAsia="Times New Roman" w:hAnsi="Times New Roman"/>
          <w:color w:val="000000"/>
          <w:sz w:val="20"/>
        </w:rPr>
        <w:t>An export contract should define a round-trip property. If an artifact is exported and re-imported by a conforming implementation, the canonical and run identities, admitted claim identities, Passport and Seal references, status, method versions, and disclosed limitations should remain equivalent, subject only to declared redaction or migration:</w:t>
      </w:r>
    </w:p>
    <w:p w14:paraId="494F8C3C" w14:textId="77777777" w:rsidR="00DD60C8" w:rsidRDefault="00DD60C8" w:rsidP="00DD60C8">
      <w:pPr>
        <w:spacing w:after="94"/>
      </w:pPr>
      <w:r>
        <w:rPr>
          <w:rFonts w:ascii="Times New Roman" w:eastAsia="Times New Roman" w:hAnsi="Times New Roman"/>
          <w:color w:val="000000"/>
          <w:sz w:val="20"/>
        </w:rPr>
        <w:t>Import(Export(E,C),C) ≡auth E</w:t>
      </w:r>
    </w:p>
    <w:p w14:paraId="0BC3A301" w14:textId="77777777" w:rsidR="00DD60C8" w:rsidRDefault="00DD60C8" w:rsidP="00DD60C8">
      <w:pPr>
        <w:spacing w:after="94"/>
      </w:pPr>
      <w:r>
        <w:rPr>
          <w:rFonts w:ascii="Times New Roman" w:eastAsia="Times New Roman" w:hAnsi="Times New Roman"/>
          <w:color w:val="000000"/>
          <w:sz w:val="20"/>
        </w:rPr>
        <w:t>Authority equivalence does not require byte-for-byte identity across formats. It requires semantic and evidentiary equivalence of the governed core. Any migration that changes ontology, thresholds, status vocabulary, or claim meaning must produce a new version with retained lineage.</w:t>
      </w:r>
    </w:p>
    <w:p w14:paraId="6B512298" w14:textId="77777777" w:rsidR="00DD60C8" w:rsidRDefault="00DD60C8" w:rsidP="00DD60C8">
      <w:pPr>
        <w:pStyle w:val="Heading2"/>
      </w:pPr>
      <w:r>
        <w:rPr>
          <w:rFonts w:ascii="Arial" w:eastAsia="Times New Roman" w:hAnsi="Arial"/>
          <w:color w:val="000000"/>
          <w:sz w:val="23"/>
        </w:rPr>
        <w:t>Preservation as future challengeability</w:t>
      </w:r>
    </w:p>
    <w:p w14:paraId="22A91B21" w14:textId="77777777" w:rsidR="00DD60C8" w:rsidRDefault="00DD60C8" w:rsidP="00DD60C8">
      <w:pPr>
        <w:keepLines/>
        <w:spacing w:after="94"/>
      </w:pPr>
      <w:r>
        <w:rPr>
          <w:rFonts w:ascii="Times New Roman" w:eastAsia="Times New Roman" w:hAnsi="Times New Roman"/>
          <w:color w:val="000000"/>
          <w:sz w:val="20"/>
        </w:rPr>
        <w:t>Preservation is not only retention. Its purpose is to keep the result open to future inspection, recomputation, comparison, and challenge. An artifact that preserves conclusions but discards their source and method dependencies is an archival report, not a complete evidence object. A preservation-ready artifact must make its own limits legible when dependencies cannot legally or technically be retained.</w:t>
      </w:r>
    </w:p>
    <w:p w14:paraId="4C8288D8"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14. Challenge, Counterevidence, and Revision</w:t>
      </w:r>
    </w:p>
    <w:p w14:paraId="46C8A7BA" w14:textId="77777777" w:rsidR="00DD60C8" w:rsidRDefault="00DD60C8" w:rsidP="00DD60C8">
      <w:pPr>
        <w:pStyle w:val="Heading2"/>
      </w:pPr>
      <w:r>
        <w:rPr>
          <w:rFonts w:ascii="Arial" w:eastAsia="Times New Roman" w:hAnsi="Arial"/>
          <w:color w:val="000000"/>
          <w:sz w:val="23"/>
        </w:rPr>
        <w:t>Evidence governance is not immutability of conclusions</w:t>
      </w:r>
    </w:p>
    <w:p w14:paraId="1AD75B92" w14:textId="77777777" w:rsidR="00DD60C8" w:rsidRDefault="00DD60C8" w:rsidP="00DD60C8">
      <w:pPr>
        <w:keepLines/>
        <w:spacing w:after="94"/>
      </w:pPr>
      <w:r>
        <w:rPr>
          <w:rFonts w:ascii="Times New Roman" w:eastAsia="Times New Roman" w:hAnsi="Times New Roman"/>
          <w:color w:val="000000"/>
          <w:sz w:val="20"/>
        </w:rPr>
        <w:t>Evidence-governed computation must support correction. New source material may arrive. A parser defect may be discovered. A measurement may fail external validation. A threshold may change. An operator may identify a role-resolution error. An institution may adopt a new policy. If the architecture only preserves its first output, it converts reproducibility into rigidity.</w:t>
      </w:r>
    </w:p>
    <w:p w14:paraId="52E0B113" w14:textId="77777777" w:rsidR="00DD60C8" w:rsidRDefault="00DD60C8" w:rsidP="00DD60C8">
      <w:pPr>
        <w:spacing w:after="94"/>
      </w:pPr>
      <w:r>
        <w:rPr>
          <w:rFonts w:ascii="Times New Roman" w:eastAsia="Times New Roman" w:hAnsi="Times New Roman"/>
          <w:color w:val="000000"/>
          <w:sz w:val="20"/>
        </w:rPr>
        <w:t>Claims are therefore versioned and revisable, while their prior states remain preserved. Evidence may be append-only at the artifact level even when claim status is non-monotonic: an admissible claim can become disputed, withdrawn, or superseded after counterevidence or method revision.</w:t>
      </w:r>
    </w:p>
    <w:p w14:paraId="10F61938" w14:textId="77777777" w:rsidR="00DD60C8" w:rsidRDefault="00DD60C8" w:rsidP="00DD60C8">
      <w:pPr>
        <w:pStyle w:val="Heading2"/>
      </w:pPr>
      <w:r>
        <w:rPr>
          <w:rFonts w:ascii="Arial" w:eastAsia="Times New Roman" w:hAnsi="Arial"/>
          <w:color w:val="000000"/>
          <w:sz w:val="23"/>
        </w:rPr>
        <w:t>Challenge object</w:t>
      </w:r>
    </w:p>
    <w:p w14:paraId="4C3241B9" w14:textId="77777777" w:rsidR="00DD60C8" w:rsidRDefault="00DD60C8" w:rsidP="00DD60C8">
      <w:pPr>
        <w:keepLines/>
        <w:spacing w:after="94"/>
      </w:pPr>
      <w:r>
        <w:rPr>
          <w:rFonts w:ascii="Times New Roman" w:eastAsia="Times New Roman" w:hAnsi="Times New Roman"/>
          <w:color w:val="000000"/>
          <w:sz w:val="20"/>
        </w:rPr>
        <w:t>A challenge is modeled as:</w:t>
      </w:r>
    </w:p>
    <w:p w14:paraId="3F1041E1" w14:textId="77777777" w:rsidR="00DD60C8" w:rsidRDefault="00DD60C8" w:rsidP="00DD60C8">
      <w:pPr>
        <w:spacing w:after="94"/>
      </w:pPr>
      <w:r>
        <w:rPr>
          <w:rFonts w:ascii="Times New Roman" w:eastAsia="Times New Roman" w:hAnsi="Times New Roman"/>
          <w:color w:val="000000"/>
          <w:sz w:val="20"/>
        </w:rPr>
        <w:t>χ = (target, basis, evidence, actor, time, request, status)</w:t>
      </w:r>
    </w:p>
    <w:p w14:paraId="6DBC2F40" w14:textId="77777777" w:rsidR="00DD60C8" w:rsidRDefault="00DD60C8" w:rsidP="00DD60C8">
      <w:pPr>
        <w:spacing w:after="94"/>
      </w:pPr>
      <w:r>
        <w:rPr>
          <w:rFonts w:ascii="Times New Roman" w:eastAsia="Times New Roman" w:hAnsi="Times New Roman"/>
          <w:color w:val="000000"/>
          <w:sz w:val="20"/>
        </w:rPr>
        <w:t xml:space="preserve">The </w:t>
      </w:r>
      <w:r>
        <w:rPr>
          <w:rFonts w:ascii="Times New Roman" w:eastAsia="Times New Roman" w:hAnsi="Times New Roman"/>
          <w:b/>
          <w:color w:val="000000"/>
          <w:sz w:val="20"/>
        </w:rPr>
        <w:t>target</w:t>
      </w:r>
      <w:r>
        <w:rPr>
          <w:rFonts w:ascii="Times New Roman" w:eastAsia="Times New Roman" w:hAnsi="Times New Roman"/>
          <w:color w:val="000000"/>
          <w:sz w:val="20"/>
        </w:rPr>
        <w:t xml:space="preserve"> may be a source, canonical event, method, claim, projection, surface binding, or export. The </w:t>
      </w:r>
      <w:r>
        <w:rPr>
          <w:rFonts w:ascii="Times New Roman" w:eastAsia="Times New Roman" w:hAnsi="Times New Roman"/>
          <w:b/>
          <w:color w:val="000000"/>
          <w:sz w:val="20"/>
        </w:rPr>
        <w:t>basis</w:t>
      </w:r>
      <w:r>
        <w:rPr>
          <w:rFonts w:ascii="Times New Roman" w:eastAsia="Times New Roman" w:hAnsi="Times New Roman"/>
          <w:color w:val="000000"/>
          <w:sz w:val="20"/>
        </w:rPr>
        <w:t xml:space="preserve"> states the objection. </w:t>
      </w:r>
      <w:r>
        <w:rPr>
          <w:rFonts w:ascii="Times New Roman" w:eastAsia="Times New Roman" w:hAnsi="Times New Roman"/>
          <w:b/>
          <w:color w:val="000000"/>
          <w:sz w:val="20"/>
        </w:rPr>
        <w:t>Evidence</w:t>
      </w:r>
      <w:r>
        <w:rPr>
          <w:rFonts w:ascii="Times New Roman" w:eastAsia="Times New Roman" w:hAnsi="Times New Roman"/>
          <w:color w:val="000000"/>
          <w:sz w:val="20"/>
        </w:rPr>
        <w:t xml:space="preserve"> optionally supplies counterevidence or a competing derivation. </w:t>
      </w:r>
      <w:r>
        <w:rPr>
          <w:rFonts w:ascii="Times New Roman" w:eastAsia="Times New Roman" w:hAnsi="Times New Roman"/>
          <w:b/>
          <w:color w:val="000000"/>
          <w:sz w:val="20"/>
        </w:rPr>
        <w:t>Actor</w:t>
      </w:r>
      <w:r>
        <w:rPr>
          <w:rFonts w:ascii="Times New Roman" w:eastAsia="Times New Roman" w:hAnsi="Times New Roman"/>
          <w:color w:val="000000"/>
          <w:sz w:val="20"/>
        </w:rPr>
        <w:t xml:space="preserve"> and </w:t>
      </w:r>
      <w:r>
        <w:rPr>
          <w:rFonts w:ascii="Times New Roman" w:eastAsia="Times New Roman" w:hAnsi="Times New Roman"/>
          <w:b/>
          <w:color w:val="000000"/>
          <w:sz w:val="20"/>
        </w:rPr>
        <w:t>time</w:t>
      </w:r>
      <w:r>
        <w:rPr>
          <w:rFonts w:ascii="Times New Roman" w:eastAsia="Times New Roman" w:hAnsi="Times New Roman"/>
          <w:color w:val="000000"/>
          <w:sz w:val="20"/>
        </w:rPr>
        <w:t xml:space="preserve"> establish provenance. </w:t>
      </w:r>
      <w:r>
        <w:rPr>
          <w:rFonts w:ascii="Times New Roman" w:eastAsia="Times New Roman" w:hAnsi="Times New Roman"/>
          <w:b/>
          <w:color w:val="000000"/>
          <w:sz w:val="20"/>
        </w:rPr>
        <w:t>Request</w:t>
      </w:r>
      <w:r>
        <w:rPr>
          <w:rFonts w:ascii="Times New Roman" w:eastAsia="Times New Roman" w:hAnsi="Times New Roman"/>
          <w:color w:val="000000"/>
          <w:sz w:val="20"/>
        </w:rPr>
        <w:t xml:space="preserve"> identifies the sought resolution, and </w:t>
      </w:r>
      <w:r>
        <w:rPr>
          <w:rFonts w:ascii="Times New Roman" w:eastAsia="Times New Roman" w:hAnsi="Times New Roman"/>
          <w:b/>
          <w:color w:val="000000"/>
          <w:sz w:val="20"/>
        </w:rPr>
        <w:t>status</w:t>
      </w:r>
      <w:r>
        <w:rPr>
          <w:rFonts w:ascii="Times New Roman" w:eastAsia="Times New Roman" w:hAnsi="Times New Roman"/>
          <w:color w:val="000000"/>
          <w:sz w:val="20"/>
        </w:rPr>
        <w:t xml:space="preserve"> records review, disposition, or appeal.</w:t>
      </w:r>
    </w:p>
    <w:p w14:paraId="676D9445" w14:textId="77777777" w:rsidR="00DD60C8" w:rsidRDefault="00DD60C8" w:rsidP="00DD60C8">
      <w:pPr>
        <w:spacing w:after="94"/>
      </w:pPr>
      <w:r>
        <w:rPr>
          <w:rFonts w:ascii="Times New Roman" w:eastAsia="Times New Roman" w:hAnsi="Times New Roman"/>
          <w:color w:val="000000"/>
          <w:sz w:val="20"/>
        </w:rPr>
        <w:t>Challenges are not free-form comments detached from authority. They bind to the objects they contest and travel into later exports. A challenge does not automatically invalidate a claim; it changes the review state according to policy.</w:t>
      </w:r>
    </w:p>
    <w:p w14:paraId="71DE1C2A" w14:textId="77777777" w:rsidR="00DD60C8" w:rsidRDefault="00DD60C8" w:rsidP="00DD60C8">
      <w:pPr>
        <w:pStyle w:val="Heading2"/>
      </w:pPr>
      <w:r>
        <w:rPr>
          <w:rFonts w:ascii="Arial" w:eastAsia="Times New Roman" w:hAnsi="Arial"/>
          <w:color w:val="000000"/>
          <w:sz w:val="23"/>
        </w:rPr>
        <w:t>Distinguishing three kinds of revision</w:t>
      </w:r>
    </w:p>
    <w:p w14:paraId="70EB762F" w14:textId="77777777" w:rsidR="00DD60C8" w:rsidRDefault="00DD60C8" w:rsidP="00DD60C8">
      <w:pPr>
        <w:keepLines/>
        <w:spacing w:after="94"/>
      </w:pPr>
      <w:r>
        <w:rPr>
          <w:rFonts w:ascii="Times New Roman" w:eastAsia="Times New Roman" w:hAnsi="Times New Roman"/>
          <w:color w:val="000000"/>
          <w:sz w:val="20"/>
        </w:rPr>
        <w:t>Revision must identify what changed:</w:t>
      </w:r>
    </w:p>
    <w:p w14:paraId="1421DDE4" w14:textId="77777777" w:rsidR="00DD60C8" w:rsidRDefault="00DD60C8" w:rsidP="00DD60C8">
      <w:pPr>
        <w:spacing w:after="60"/>
        <w:ind w:left="432" w:right="230" w:hanging="173"/>
      </w:pPr>
      <w:r>
        <w:rPr>
          <w:rFonts w:ascii="Times New Roman" w:eastAsia="Times New Roman" w:hAnsi="Times New Roman"/>
          <w:b/>
          <w:color w:val="000000"/>
          <w:sz w:val="19"/>
        </w:rPr>
        <w:t>1. Evidence revision:</w:t>
      </w:r>
      <w:r>
        <w:rPr>
          <w:rFonts w:ascii="Times New Roman" w:eastAsia="Times New Roman" w:hAnsi="Times New Roman"/>
          <w:color w:val="000000"/>
          <w:sz w:val="19"/>
        </w:rPr>
        <w:t xml:space="preserve"> new, corrected, or removed source material changes the evidence object.</w:t>
      </w:r>
    </w:p>
    <w:p w14:paraId="724A2E32" w14:textId="77777777" w:rsidR="00DD60C8" w:rsidRDefault="00DD60C8" w:rsidP="00DD60C8">
      <w:pPr>
        <w:spacing w:after="60"/>
        <w:ind w:left="432" w:right="230" w:hanging="173"/>
      </w:pPr>
      <w:r>
        <w:rPr>
          <w:rFonts w:ascii="Times New Roman" w:eastAsia="Times New Roman" w:hAnsi="Times New Roman"/>
          <w:b/>
          <w:color w:val="000000"/>
          <w:sz w:val="19"/>
        </w:rPr>
        <w:t>2. Method revision:</w:t>
      </w:r>
      <w:r>
        <w:rPr>
          <w:rFonts w:ascii="Times New Roman" w:eastAsia="Times New Roman" w:hAnsi="Times New Roman"/>
          <w:color w:val="000000"/>
          <w:sz w:val="19"/>
        </w:rPr>
        <w:t xml:space="preserve"> code, threshold, ontology, model, or dependency changes the computation contract.</w:t>
      </w:r>
    </w:p>
    <w:p w14:paraId="22DB211D" w14:textId="77777777" w:rsidR="00DD60C8" w:rsidRDefault="00DD60C8" w:rsidP="00DD60C8">
      <w:pPr>
        <w:spacing w:after="60"/>
        <w:ind w:left="432" w:right="230" w:hanging="173"/>
      </w:pPr>
      <w:r>
        <w:rPr>
          <w:rFonts w:ascii="Times New Roman" w:eastAsia="Times New Roman" w:hAnsi="Times New Roman"/>
          <w:b/>
          <w:color w:val="000000"/>
          <w:sz w:val="19"/>
        </w:rPr>
        <w:t>3. Policy revision:</w:t>
      </w:r>
      <w:r>
        <w:rPr>
          <w:rFonts w:ascii="Times New Roman" w:eastAsia="Times New Roman" w:hAnsi="Times New Roman"/>
          <w:color w:val="000000"/>
          <w:sz w:val="19"/>
        </w:rPr>
        <w:t xml:space="preserve"> admissibility, audience, decision, or preservation rules change while evidence and method may remain constant.</w:t>
      </w:r>
    </w:p>
    <w:p w14:paraId="4B920D35" w14:textId="77777777" w:rsidR="00DD60C8" w:rsidRDefault="00DD60C8" w:rsidP="00DD60C8">
      <w:pPr>
        <w:spacing w:after="94"/>
      </w:pPr>
      <w:r>
        <w:rPr>
          <w:rFonts w:ascii="Times New Roman" w:eastAsia="Times New Roman" w:hAnsi="Times New Roman"/>
          <w:color w:val="000000"/>
          <w:sz w:val="20"/>
        </w:rPr>
        <w:t>These revisions answer different questions and must not share an undifferentiated version number. A claim that changes because evidence changed is not equivalent to a claim reclassified under a new policy. Comparison requires both histories.</w:t>
      </w:r>
    </w:p>
    <w:p w14:paraId="3D118285" w14:textId="77777777" w:rsidR="00DD60C8" w:rsidRDefault="00DD60C8" w:rsidP="00DD60C8">
      <w:pPr>
        <w:pStyle w:val="Heading2"/>
      </w:pPr>
      <w:r>
        <w:rPr>
          <w:rFonts w:ascii="Arial" w:eastAsia="Times New Roman" w:hAnsi="Arial"/>
          <w:color w:val="000000"/>
          <w:sz w:val="23"/>
        </w:rPr>
        <w:t>Counterevidence and competing claims</w:t>
      </w:r>
    </w:p>
    <w:p w14:paraId="63C9011B" w14:textId="77777777" w:rsidR="00DD60C8" w:rsidRDefault="00DD60C8" w:rsidP="00DD60C8">
      <w:pPr>
        <w:keepLines/>
        <w:spacing w:after="94"/>
      </w:pPr>
      <w:r>
        <w:rPr>
          <w:rFonts w:ascii="Times New Roman" w:eastAsia="Times New Roman" w:hAnsi="Times New Roman"/>
          <w:color w:val="000000"/>
          <w:sz w:val="20"/>
        </w:rPr>
        <w:t>Counterevidence can weaken, restrict, or overturn an admitted claim. The architecture should preserve the competing claim graph rather than merely replacing the visible label. Where resolution is not possible, the system may present both claims with their respective evidence, methods, and status.</w:t>
      </w:r>
    </w:p>
    <w:p w14:paraId="313C4C04" w14:textId="77777777" w:rsidR="00DD60C8" w:rsidRDefault="00DD60C8" w:rsidP="00DD60C8">
      <w:pPr>
        <w:spacing w:after="94"/>
      </w:pPr>
      <w:r>
        <w:rPr>
          <w:rFonts w:ascii="Times New Roman" w:eastAsia="Times New Roman" w:hAnsi="Times New Roman"/>
          <w:color w:val="000000"/>
          <w:sz w:val="20"/>
        </w:rPr>
        <w:t>This supports a central objective of EGC: independent challenge should be possible without requiring trust in the original interface or operator. The evidence object and its lineage provide a common basis on which disagreement can be made computationally explicit.</w:t>
      </w:r>
    </w:p>
    <w:p w14:paraId="713CFBCF"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15. Architectural Invariants</w:t>
      </w:r>
    </w:p>
    <w:p w14:paraId="4B95238B" w14:textId="77777777" w:rsidR="00DD60C8" w:rsidRDefault="00DD60C8" w:rsidP="00DD60C8">
      <w:pPr>
        <w:keepLines/>
        <w:spacing w:after="94"/>
      </w:pPr>
      <w:r>
        <w:rPr>
          <w:rFonts w:ascii="Times New Roman" w:eastAsia="Times New Roman" w:hAnsi="Times New Roman"/>
          <w:color w:val="000000"/>
          <w:sz w:val="20"/>
        </w:rPr>
        <w:t>An EGC implementation should satisfy the following twelve invariants. They are stated as architectural properties that can be tested independently of whether the domain measurements are scientifically valid.</w:t>
      </w:r>
    </w:p>
    <w:p w14:paraId="33816257" w14:textId="77777777" w:rsidR="00DD60C8" w:rsidRDefault="00DD60C8" w:rsidP="00DD60C8">
      <w:pPr>
        <w:keepNext/>
        <w:spacing w:before="140" w:after="80"/>
      </w:pPr>
      <w:r>
        <w:rPr>
          <w:rFonts w:ascii="Times New Roman" w:eastAsia="Times New Roman" w:hAnsi="Times New Roman"/>
          <w:i/>
          <w:color w:val="66717C"/>
          <w:sz w:val="18"/>
        </w:rPr>
        <w:t>Table 7. Architectural invariants of Evidence-Governed Computation.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4968"/>
        <w:gridCol w:w="2707"/>
      </w:tblGrid>
      <w:tr w:rsidR="00DD60C8" w14:paraId="195BFD27" w14:textId="77777777">
        <w:trPr>
          <w:cantSplit/>
          <w:tblHeader/>
          <w:jc w:val="center"/>
        </w:trPr>
        <w:tc>
          <w:tcPr>
            <w:tcW w:w="2044" w:type="dxa"/>
            <w:shd w:val="clear" w:color="auto" w:fill="17324D"/>
            <w:tcMar>
              <w:top w:w="70" w:type="dxa"/>
              <w:left w:w="100" w:type="dxa"/>
              <w:bottom w:w="70" w:type="dxa"/>
              <w:right w:w="100" w:type="dxa"/>
            </w:tcMar>
            <w:vAlign w:val="center"/>
          </w:tcPr>
          <w:p w14:paraId="05A66B17" w14:textId="77777777" w:rsidR="00DD60C8" w:rsidRDefault="00DD60C8" w:rsidP="00F96983">
            <w:pPr>
              <w:spacing w:after="0" w:line="240" w:lineRule="auto"/>
            </w:pPr>
            <w:r>
              <w:rPr>
                <w:rFonts w:ascii="Arial" w:eastAsia="Times New Roman" w:hAnsi="Arial"/>
                <w:b/>
                <w:color w:val="FFFFFF"/>
                <w:sz w:val="17"/>
              </w:rPr>
              <w:t>Invariant</w:t>
            </w:r>
          </w:p>
        </w:tc>
        <w:tc>
          <w:tcPr>
            <w:tcW w:w="4968" w:type="dxa"/>
            <w:shd w:val="clear" w:color="auto" w:fill="17324D"/>
            <w:tcMar>
              <w:top w:w="70" w:type="dxa"/>
              <w:left w:w="100" w:type="dxa"/>
              <w:bottom w:w="70" w:type="dxa"/>
              <w:right w:w="100" w:type="dxa"/>
            </w:tcMar>
            <w:vAlign w:val="center"/>
          </w:tcPr>
          <w:p w14:paraId="5C670FC5" w14:textId="77777777" w:rsidR="00DD60C8" w:rsidRDefault="00DD60C8" w:rsidP="00F96983">
            <w:pPr>
              <w:spacing w:after="0" w:line="240" w:lineRule="auto"/>
            </w:pPr>
            <w:r>
              <w:rPr>
                <w:rFonts w:ascii="Arial" w:eastAsia="Times New Roman" w:hAnsi="Arial"/>
                <w:b/>
                <w:color w:val="FFFFFF"/>
                <w:sz w:val="17"/>
              </w:rPr>
              <w:t>Requirement</w:t>
            </w:r>
          </w:p>
        </w:tc>
        <w:tc>
          <w:tcPr>
            <w:tcW w:w="2707" w:type="dxa"/>
            <w:shd w:val="clear" w:color="auto" w:fill="17324D"/>
            <w:tcMar>
              <w:top w:w="70" w:type="dxa"/>
              <w:left w:w="100" w:type="dxa"/>
              <w:bottom w:w="70" w:type="dxa"/>
              <w:right w:w="100" w:type="dxa"/>
            </w:tcMar>
            <w:vAlign w:val="center"/>
          </w:tcPr>
          <w:p w14:paraId="78D4DE2B" w14:textId="77777777" w:rsidR="00DD60C8" w:rsidRDefault="00DD60C8" w:rsidP="00F96983">
            <w:pPr>
              <w:spacing w:after="0" w:line="240" w:lineRule="auto"/>
            </w:pPr>
            <w:r>
              <w:rPr>
                <w:rFonts w:ascii="Arial" w:eastAsia="Times New Roman" w:hAnsi="Arial"/>
                <w:b/>
                <w:color w:val="FFFFFF"/>
                <w:sz w:val="17"/>
              </w:rPr>
              <w:t>Representative failure</w:t>
            </w:r>
          </w:p>
        </w:tc>
      </w:tr>
      <w:tr w:rsidR="00DD60C8" w14:paraId="59A0378A" w14:textId="77777777">
        <w:trPr>
          <w:cantSplit/>
          <w:jc w:val="center"/>
        </w:trPr>
        <w:tc>
          <w:tcPr>
            <w:tcW w:w="2044" w:type="dxa"/>
            <w:shd w:val="clear" w:color="auto" w:fill="FFFFFF"/>
            <w:tcMar>
              <w:top w:w="70" w:type="dxa"/>
              <w:left w:w="100" w:type="dxa"/>
              <w:bottom w:w="70" w:type="dxa"/>
              <w:right w:w="100" w:type="dxa"/>
            </w:tcMar>
            <w:vAlign w:val="center"/>
          </w:tcPr>
          <w:p w14:paraId="790B7970" w14:textId="77777777" w:rsidR="00DD60C8" w:rsidRDefault="00DD60C8" w:rsidP="00F96983">
            <w:pPr>
              <w:spacing w:after="0" w:line="240" w:lineRule="auto"/>
            </w:pPr>
            <w:r>
              <w:rPr>
                <w:rFonts w:ascii="Times New Roman" w:eastAsia="Times New Roman" w:hAnsi="Times New Roman"/>
                <w:color w:val="000000"/>
                <w:sz w:val="17"/>
              </w:rPr>
              <w:t>1\. Source addressability</w:t>
            </w:r>
          </w:p>
        </w:tc>
        <w:tc>
          <w:tcPr>
            <w:tcW w:w="4968" w:type="dxa"/>
            <w:shd w:val="clear" w:color="auto" w:fill="FFFFFF"/>
            <w:tcMar>
              <w:top w:w="70" w:type="dxa"/>
              <w:left w:w="100" w:type="dxa"/>
              <w:bottom w:w="70" w:type="dxa"/>
              <w:right w:w="100" w:type="dxa"/>
            </w:tcMar>
            <w:vAlign w:val="center"/>
          </w:tcPr>
          <w:p w14:paraId="483EA756" w14:textId="77777777" w:rsidR="00DD60C8" w:rsidRDefault="00DD60C8" w:rsidP="00F96983">
            <w:pPr>
              <w:spacing w:after="0" w:line="240" w:lineRule="auto"/>
            </w:pPr>
            <w:r>
              <w:rPr>
                <w:rFonts w:ascii="Times New Roman" w:eastAsia="Times New Roman" w:hAnsi="Times New Roman"/>
                <w:color w:val="000000"/>
                <w:sz w:val="17"/>
              </w:rPr>
              <w:t>Every authoritative claim resolves to qualified source material or admitted parent claims</w:t>
            </w:r>
          </w:p>
        </w:tc>
        <w:tc>
          <w:tcPr>
            <w:tcW w:w="2707" w:type="dxa"/>
            <w:shd w:val="clear" w:color="auto" w:fill="FFFFFF"/>
            <w:tcMar>
              <w:top w:w="70" w:type="dxa"/>
              <w:left w:w="100" w:type="dxa"/>
              <w:bottom w:w="70" w:type="dxa"/>
              <w:right w:w="100" w:type="dxa"/>
            </w:tcMar>
            <w:vAlign w:val="center"/>
          </w:tcPr>
          <w:p w14:paraId="26A66C94" w14:textId="77777777" w:rsidR="00DD60C8" w:rsidRDefault="00DD60C8" w:rsidP="00F96983">
            <w:pPr>
              <w:spacing w:after="0" w:line="240" w:lineRule="auto"/>
            </w:pPr>
            <w:r>
              <w:rPr>
                <w:rFonts w:ascii="Times New Roman" w:eastAsia="Times New Roman" w:hAnsi="Times New Roman"/>
                <w:color w:val="000000"/>
                <w:sz w:val="17"/>
              </w:rPr>
              <w:t>A dashboard value has no source span or parent claim</w:t>
            </w:r>
          </w:p>
        </w:tc>
      </w:tr>
      <w:tr w:rsidR="00DD60C8" w14:paraId="65176AD5" w14:textId="77777777">
        <w:trPr>
          <w:cantSplit/>
          <w:jc w:val="center"/>
        </w:trPr>
        <w:tc>
          <w:tcPr>
            <w:tcW w:w="2044" w:type="dxa"/>
            <w:shd w:val="clear" w:color="auto" w:fill="F6F9FB"/>
            <w:tcMar>
              <w:top w:w="70" w:type="dxa"/>
              <w:left w:w="100" w:type="dxa"/>
              <w:bottom w:w="70" w:type="dxa"/>
              <w:right w:w="100" w:type="dxa"/>
            </w:tcMar>
            <w:vAlign w:val="center"/>
          </w:tcPr>
          <w:p w14:paraId="727F97CD" w14:textId="77777777" w:rsidR="00DD60C8" w:rsidRDefault="00DD60C8" w:rsidP="00F96983">
            <w:pPr>
              <w:spacing w:after="0" w:line="240" w:lineRule="auto"/>
            </w:pPr>
            <w:r>
              <w:rPr>
                <w:rFonts w:ascii="Times New Roman" w:eastAsia="Times New Roman" w:hAnsi="Times New Roman"/>
                <w:color w:val="000000"/>
                <w:sz w:val="17"/>
              </w:rPr>
              <w:t>2\. Authority non-creation</w:t>
            </w:r>
          </w:p>
        </w:tc>
        <w:tc>
          <w:tcPr>
            <w:tcW w:w="4968" w:type="dxa"/>
            <w:shd w:val="clear" w:color="auto" w:fill="F6F9FB"/>
            <w:tcMar>
              <w:top w:w="70" w:type="dxa"/>
              <w:left w:w="100" w:type="dxa"/>
              <w:bottom w:w="70" w:type="dxa"/>
              <w:right w:w="100" w:type="dxa"/>
            </w:tcMar>
            <w:vAlign w:val="center"/>
          </w:tcPr>
          <w:p w14:paraId="23EF782E" w14:textId="77777777" w:rsidR="00DD60C8" w:rsidRDefault="00DD60C8" w:rsidP="00F96983">
            <w:pPr>
              <w:spacing w:after="0" w:line="240" w:lineRule="auto"/>
            </w:pPr>
            <w:r>
              <w:rPr>
                <w:rFonts w:ascii="Times New Roman" w:eastAsia="Times New Roman" w:hAnsi="Times New Roman"/>
                <w:color w:val="000000"/>
                <w:sz w:val="17"/>
              </w:rPr>
              <w:t>No component creates evidentiary authority merely by computing or displaying an output</w:t>
            </w:r>
          </w:p>
        </w:tc>
        <w:tc>
          <w:tcPr>
            <w:tcW w:w="2707" w:type="dxa"/>
            <w:shd w:val="clear" w:color="auto" w:fill="F6F9FB"/>
            <w:tcMar>
              <w:top w:w="70" w:type="dxa"/>
              <w:left w:w="100" w:type="dxa"/>
              <w:bottom w:w="70" w:type="dxa"/>
              <w:right w:w="100" w:type="dxa"/>
            </w:tcMar>
            <w:vAlign w:val="center"/>
          </w:tcPr>
          <w:p w14:paraId="34E234FC" w14:textId="77777777" w:rsidR="00DD60C8" w:rsidRDefault="00DD60C8" w:rsidP="00F96983">
            <w:pPr>
              <w:spacing w:after="0" w:line="240" w:lineRule="auto"/>
            </w:pPr>
            <w:r>
              <w:rPr>
                <w:rFonts w:ascii="Times New Roman" w:eastAsia="Times New Roman" w:hAnsi="Times New Roman"/>
                <w:color w:val="000000"/>
                <w:sz w:val="17"/>
              </w:rPr>
              <w:t>An instrument invents its own severity label</w:t>
            </w:r>
          </w:p>
        </w:tc>
      </w:tr>
      <w:tr w:rsidR="00DD60C8" w14:paraId="78568B74" w14:textId="77777777">
        <w:trPr>
          <w:cantSplit/>
          <w:jc w:val="center"/>
        </w:trPr>
        <w:tc>
          <w:tcPr>
            <w:tcW w:w="2044" w:type="dxa"/>
            <w:shd w:val="clear" w:color="auto" w:fill="FFFFFF"/>
            <w:tcMar>
              <w:top w:w="70" w:type="dxa"/>
              <w:left w:w="100" w:type="dxa"/>
              <w:bottom w:w="70" w:type="dxa"/>
              <w:right w:w="100" w:type="dxa"/>
            </w:tcMar>
            <w:vAlign w:val="center"/>
          </w:tcPr>
          <w:p w14:paraId="4E6A4B90" w14:textId="77777777" w:rsidR="00DD60C8" w:rsidRDefault="00DD60C8" w:rsidP="00F96983">
            <w:pPr>
              <w:spacing w:after="0" w:line="240" w:lineRule="auto"/>
            </w:pPr>
            <w:r>
              <w:rPr>
                <w:rFonts w:ascii="Times New Roman" w:eastAsia="Times New Roman" w:hAnsi="Times New Roman"/>
                <w:color w:val="000000"/>
                <w:sz w:val="17"/>
              </w:rPr>
              <w:t>3\. Method declaration</w:t>
            </w:r>
          </w:p>
        </w:tc>
        <w:tc>
          <w:tcPr>
            <w:tcW w:w="4968" w:type="dxa"/>
            <w:shd w:val="clear" w:color="auto" w:fill="FFFFFF"/>
            <w:tcMar>
              <w:top w:w="70" w:type="dxa"/>
              <w:left w:w="100" w:type="dxa"/>
              <w:bottom w:w="70" w:type="dxa"/>
              <w:right w:w="100" w:type="dxa"/>
            </w:tcMar>
            <w:vAlign w:val="center"/>
          </w:tcPr>
          <w:p w14:paraId="5EE1B983" w14:textId="77777777" w:rsidR="00DD60C8" w:rsidRDefault="00DD60C8" w:rsidP="00F96983">
            <w:pPr>
              <w:spacing w:after="0" w:line="240" w:lineRule="auto"/>
            </w:pPr>
            <w:r>
              <w:rPr>
                <w:rFonts w:ascii="Times New Roman" w:eastAsia="Times New Roman" w:hAnsi="Times New Roman"/>
                <w:color w:val="000000"/>
                <w:sz w:val="17"/>
              </w:rPr>
              <w:t>Every derived claim identifies the method, version, eligible inputs, and dependencies</w:t>
            </w:r>
          </w:p>
        </w:tc>
        <w:tc>
          <w:tcPr>
            <w:tcW w:w="2707" w:type="dxa"/>
            <w:shd w:val="clear" w:color="auto" w:fill="FFFFFF"/>
            <w:tcMar>
              <w:top w:w="70" w:type="dxa"/>
              <w:left w:w="100" w:type="dxa"/>
              <w:bottom w:w="70" w:type="dxa"/>
              <w:right w:w="100" w:type="dxa"/>
            </w:tcMar>
            <w:vAlign w:val="center"/>
          </w:tcPr>
          <w:p w14:paraId="1496CD81" w14:textId="77777777" w:rsidR="00DD60C8" w:rsidRDefault="00DD60C8" w:rsidP="00F96983">
            <w:pPr>
              <w:spacing w:after="0" w:line="240" w:lineRule="auto"/>
            </w:pPr>
            <w:r>
              <w:rPr>
                <w:rFonts w:ascii="Times New Roman" w:eastAsia="Times New Roman" w:hAnsi="Times New Roman"/>
                <w:color w:val="000000"/>
                <w:sz w:val="17"/>
              </w:rPr>
              <w:t>A classification changes after deployment with no version change</w:t>
            </w:r>
          </w:p>
        </w:tc>
      </w:tr>
      <w:tr w:rsidR="00DD60C8" w14:paraId="1875E46F" w14:textId="77777777">
        <w:trPr>
          <w:cantSplit/>
          <w:jc w:val="center"/>
        </w:trPr>
        <w:tc>
          <w:tcPr>
            <w:tcW w:w="2044" w:type="dxa"/>
            <w:shd w:val="clear" w:color="auto" w:fill="F6F9FB"/>
            <w:tcMar>
              <w:top w:w="70" w:type="dxa"/>
              <w:left w:w="100" w:type="dxa"/>
              <w:bottom w:w="70" w:type="dxa"/>
              <w:right w:w="100" w:type="dxa"/>
            </w:tcMar>
            <w:vAlign w:val="center"/>
          </w:tcPr>
          <w:p w14:paraId="2B30C6D2" w14:textId="77777777" w:rsidR="00DD60C8" w:rsidRDefault="00DD60C8" w:rsidP="00F96983">
            <w:pPr>
              <w:spacing w:after="0" w:line="240" w:lineRule="auto"/>
            </w:pPr>
            <w:r>
              <w:rPr>
                <w:rFonts w:ascii="Times New Roman" w:eastAsia="Times New Roman" w:hAnsi="Times New Roman"/>
                <w:color w:val="000000"/>
                <w:sz w:val="17"/>
              </w:rPr>
              <w:t>4\. Claim typing</w:t>
            </w:r>
          </w:p>
        </w:tc>
        <w:tc>
          <w:tcPr>
            <w:tcW w:w="4968" w:type="dxa"/>
            <w:shd w:val="clear" w:color="auto" w:fill="F6F9FB"/>
            <w:tcMar>
              <w:top w:w="70" w:type="dxa"/>
              <w:left w:w="100" w:type="dxa"/>
              <w:bottom w:w="70" w:type="dxa"/>
              <w:right w:w="100" w:type="dxa"/>
            </w:tcMar>
            <w:vAlign w:val="center"/>
          </w:tcPr>
          <w:p w14:paraId="09482C80" w14:textId="77777777" w:rsidR="00DD60C8" w:rsidRDefault="00DD60C8" w:rsidP="00F96983">
            <w:pPr>
              <w:spacing w:after="0" w:line="240" w:lineRule="auto"/>
            </w:pPr>
            <w:r>
              <w:rPr>
                <w:rFonts w:ascii="Times New Roman" w:eastAsia="Times New Roman" w:hAnsi="Times New Roman"/>
                <w:color w:val="000000"/>
                <w:sz w:val="17"/>
              </w:rPr>
              <w:t>Every authoritative proposition has a claim class and normalized identity</w:t>
            </w:r>
          </w:p>
        </w:tc>
        <w:tc>
          <w:tcPr>
            <w:tcW w:w="2707" w:type="dxa"/>
            <w:shd w:val="clear" w:color="auto" w:fill="F6F9FB"/>
            <w:tcMar>
              <w:top w:w="70" w:type="dxa"/>
              <w:left w:w="100" w:type="dxa"/>
              <w:bottom w:w="70" w:type="dxa"/>
              <w:right w:w="100" w:type="dxa"/>
            </w:tcMar>
            <w:vAlign w:val="center"/>
          </w:tcPr>
          <w:p w14:paraId="30DFE58B" w14:textId="77777777" w:rsidR="00DD60C8" w:rsidRDefault="00DD60C8" w:rsidP="00F96983">
            <w:pPr>
              <w:spacing w:after="0" w:line="240" w:lineRule="auto"/>
            </w:pPr>
            <w:r>
              <w:rPr>
                <w:rFonts w:ascii="Times New Roman" w:eastAsia="Times New Roman" w:hAnsi="Times New Roman"/>
                <w:color w:val="000000"/>
                <w:sz w:val="17"/>
              </w:rPr>
              <w:t>Narrative and measurement claims are indistinguishable</w:t>
            </w:r>
          </w:p>
        </w:tc>
      </w:tr>
      <w:tr w:rsidR="00DD60C8" w14:paraId="6DE752DE" w14:textId="77777777">
        <w:trPr>
          <w:cantSplit/>
          <w:jc w:val="center"/>
        </w:trPr>
        <w:tc>
          <w:tcPr>
            <w:tcW w:w="2044" w:type="dxa"/>
            <w:shd w:val="clear" w:color="auto" w:fill="FFFFFF"/>
            <w:tcMar>
              <w:top w:w="70" w:type="dxa"/>
              <w:left w:w="100" w:type="dxa"/>
              <w:bottom w:w="70" w:type="dxa"/>
              <w:right w:w="100" w:type="dxa"/>
            </w:tcMar>
            <w:vAlign w:val="center"/>
          </w:tcPr>
          <w:p w14:paraId="7DC92F1E" w14:textId="77777777" w:rsidR="00DD60C8" w:rsidRDefault="00DD60C8" w:rsidP="00F96983">
            <w:pPr>
              <w:spacing w:after="0" w:line="240" w:lineRule="auto"/>
            </w:pPr>
            <w:r>
              <w:rPr>
                <w:rFonts w:ascii="Times New Roman" w:eastAsia="Times New Roman" w:hAnsi="Times New Roman"/>
                <w:color w:val="000000"/>
                <w:sz w:val="17"/>
              </w:rPr>
              <w:t>5\. Scope preservation</w:t>
            </w:r>
          </w:p>
        </w:tc>
        <w:tc>
          <w:tcPr>
            <w:tcW w:w="4968" w:type="dxa"/>
            <w:shd w:val="clear" w:color="auto" w:fill="FFFFFF"/>
            <w:tcMar>
              <w:top w:w="70" w:type="dxa"/>
              <w:left w:w="100" w:type="dxa"/>
              <w:bottom w:w="70" w:type="dxa"/>
              <w:right w:w="100" w:type="dxa"/>
            </w:tcMar>
            <w:vAlign w:val="center"/>
          </w:tcPr>
          <w:p w14:paraId="2A2185F7" w14:textId="77777777" w:rsidR="00DD60C8" w:rsidRDefault="00DD60C8" w:rsidP="00F96983">
            <w:pPr>
              <w:spacing w:after="0" w:line="240" w:lineRule="auto"/>
            </w:pPr>
            <w:r>
              <w:rPr>
                <w:rFonts w:ascii="Times New Roman" w:eastAsia="Times New Roman" w:hAnsi="Times New Roman"/>
                <w:color w:val="000000"/>
                <w:sz w:val="17"/>
              </w:rPr>
              <w:t>Temporal, operational, population, and audience scope cannot silently broaden downstream</w:t>
            </w:r>
          </w:p>
        </w:tc>
        <w:tc>
          <w:tcPr>
            <w:tcW w:w="2707" w:type="dxa"/>
            <w:shd w:val="clear" w:color="auto" w:fill="FFFFFF"/>
            <w:tcMar>
              <w:top w:w="70" w:type="dxa"/>
              <w:left w:w="100" w:type="dxa"/>
              <w:bottom w:w="70" w:type="dxa"/>
              <w:right w:w="100" w:type="dxa"/>
            </w:tcMar>
            <w:vAlign w:val="center"/>
          </w:tcPr>
          <w:p w14:paraId="631D1624" w14:textId="77777777" w:rsidR="00DD60C8" w:rsidRDefault="00DD60C8" w:rsidP="00F96983">
            <w:pPr>
              <w:spacing w:after="0" w:line="240" w:lineRule="auto"/>
            </w:pPr>
            <w:r>
              <w:rPr>
                <w:rFonts w:ascii="Times New Roman" w:eastAsia="Times New Roman" w:hAnsi="Times New Roman"/>
                <w:color w:val="000000"/>
                <w:sz w:val="17"/>
              </w:rPr>
              <w:t>A local interval finding becomes a whole-run conclusion</w:t>
            </w:r>
          </w:p>
        </w:tc>
      </w:tr>
      <w:tr w:rsidR="00DD60C8" w14:paraId="02DC8090" w14:textId="77777777">
        <w:trPr>
          <w:cantSplit/>
          <w:jc w:val="center"/>
        </w:trPr>
        <w:tc>
          <w:tcPr>
            <w:tcW w:w="2044" w:type="dxa"/>
            <w:shd w:val="clear" w:color="auto" w:fill="F6F9FB"/>
            <w:tcMar>
              <w:top w:w="70" w:type="dxa"/>
              <w:left w:w="100" w:type="dxa"/>
              <w:bottom w:w="70" w:type="dxa"/>
              <w:right w:w="100" w:type="dxa"/>
            </w:tcMar>
            <w:vAlign w:val="center"/>
          </w:tcPr>
          <w:p w14:paraId="5E630F26" w14:textId="77777777" w:rsidR="00DD60C8" w:rsidRDefault="00DD60C8" w:rsidP="00F96983">
            <w:pPr>
              <w:spacing w:after="0" w:line="240" w:lineRule="auto"/>
            </w:pPr>
            <w:r>
              <w:rPr>
                <w:rFonts w:ascii="Times New Roman" w:eastAsia="Times New Roman" w:hAnsi="Times New Roman"/>
                <w:color w:val="000000"/>
                <w:sz w:val="17"/>
              </w:rPr>
              <w:t>6\. Missingness preservation</w:t>
            </w:r>
          </w:p>
        </w:tc>
        <w:tc>
          <w:tcPr>
            <w:tcW w:w="4968" w:type="dxa"/>
            <w:shd w:val="clear" w:color="auto" w:fill="F6F9FB"/>
            <w:tcMar>
              <w:top w:w="70" w:type="dxa"/>
              <w:left w:w="100" w:type="dxa"/>
              <w:bottom w:w="70" w:type="dxa"/>
              <w:right w:w="100" w:type="dxa"/>
            </w:tcMar>
            <w:vAlign w:val="center"/>
          </w:tcPr>
          <w:p w14:paraId="1949126D" w14:textId="77777777" w:rsidR="00DD60C8" w:rsidRDefault="00DD60C8" w:rsidP="00F96983">
            <w:pPr>
              <w:spacing w:after="0" w:line="240" w:lineRule="auto"/>
            </w:pPr>
            <w:r>
              <w:rPr>
                <w:rFonts w:ascii="Times New Roman" w:eastAsia="Times New Roman" w:hAnsi="Times New Roman"/>
                <w:color w:val="000000"/>
                <w:sz w:val="17"/>
              </w:rPr>
              <w:t>Absence, conflict, ineligibility, and not-computable states remain distinct</w:t>
            </w:r>
          </w:p>
        </w:tc>
        <w:tc>
          <w:tcPr>
            <w:tcW w:w="2707" w:type="dxa"/>
            <w:shd w:val="clear" w:color="auto" w:fill="F6F9FB"/>
            <w:tcMar>
              <w:top w:w="70" w:type="dxa"/>
              <w:left w:w="100" w:type="dxa"/>
              <w:bottom w:w="70" w:type="dxa"/>
              <w:right w:w="100" w:type="dxa"/>
            </w:tcMar>
            <w:vAlign w:val="center"/>
          </w:tcPr>
          <w:p w14:paraId="2354AF79" w14:textId="77777777" w:rsidR="00DD60C8" w:rsidRDefault="00DD60C8" w:rsidP="00F96983">
            <w:pPr>
              <w:spacing w:after="0" w:line="240" w:lineRule="auto"/>
            </w:pPr>
            <w:r>
              <w:rPr>
                <w:rFonts w:ascii="Times New Roman" w:eastAsia="Times New Roman" w:hAnsi="Times New Roman"/>
                <w:color w:val="000000"/>
                <w:sz w:val="17"/>
              </w:rPr>
              <w:t>Missing data is rendered as zero or normal</w:t>
            </w:r>
          </w:p>
        </w:tc>
      </w:tr>
      <w:tr w:rsidR="00DD60C8" w14:paraId="2B6B976F" w14:textId="77777777">
        <w:trPr>
          <w:cantSplit/>
          <w:jc w:val="center"/>
        </w:trPr>
        <w:tc>
          <w:tcPr>
            <w:tcW w:w="2044" w:type="dxa"/>
            <w:shd w:val="clear" w:color="auto" w:fill="FFFFFF"/>
            <w:tcMar>
              <w:top w:w="70" w:type="dxa"/>
              <w:left w:w="100" w:type="dxa"/>
              <w:bottom w:w="70" w:type="dxa"/>
              <w:right w:w="100" w:type="dxa"/>
            </w:tcMar>
            <w:vAlign w:val="center"/>
          </w:tcPr>
          <w:p w14:paraId="603CD25A" w14:textId="77777777" w:rsidR="00DD60C8" w:rsidRDefault="00DD60C8" w:rsidP="00F96983">
            <w:pPr>
              <w:spacing w:after="0" w:line="240" w:lineRule="auto"/>
            </w:pPr>
            <w:r>
              <w:rPr>
                <w:rFonts w:ascii="Times New Roman" w:eastAsia="Times New Roman" w:hAnsi="Times New Roman"/>
                <w:color w:val="000000"/>
                <w:sz w:val="17"/>
              </w:rPr>
              <w:t>7\. Projection non-amplification</w:t>
            </w:r>
          </w:p>
        </w:tc>
        <w:tc>
          <w:tcPr>
            <w:tcW w:w="4968" w:type="dxa"/>
            <w:shd w:val="clear" w:color="auto" w:fill="FFFFFF"/>
            <w:tcMar>
              <w:top w:w="70" w:type="dxa"/>
              <w:left w:w="100" w:type="dxa"/>
              <w:bottom w:w="70" w:type="dxa"/>
              <w:right w:w="100" w:type="dxa"/>
            </w:tcMar>
            <w:vAlign w:val="center"/>
          </w:tcPr>
          <w:p w14:paraId="185EAFD3" w14:textId="77777777" w:rsidR="00DD60C8" w:rsidRDefault="00DD60C8" w:rsidP="00F96983">
            <w:pPr>
              <w:spacing w:after="0" w:line="240" w:lineRule="auto"/>
            </w:pPr>
            <w:r>
              <w:rPr>
                <w:rFonts w:ascii="Times New Roman" w:eastAsia="Times New Roman" w:hAnsi="Times New Roman"/>
                <w:color w:val="000000"/>
                <w:sz w:val="17"/>
              </w:rPr>
              <w:t>A projection cannot express claims outside the admitted claim set or declared closure</w:t>
            </w:r>
          </w:p>
        </w:tc>
        <w:tc>
          <w:tcPr>
            <w:tcW w:w="2707" w:type="dxa"/>
            <w:shd w:val="clear" w:color="auto" w:fill="FFFFFF"/>
            <w:tcMar>
              <w:top w:w="70" w:type="dxa"/>
              <w:left w:w="100" w:type="dxa"/>
              <w:bottom w:w="70" w:type="dxa"/>
              <w:right w:w="100" w:type="dxa"/>
            </w:tcMar>
            <w:vAlign w:val="center"/>
          </w:tcPr>
          <w:p w14:paraId="038BF611" w14:textId="77777777" w:rsidR="00DD60C8" w:rsidRDefault="00DD60C8" w:rsidP="00F96983">
            <w:pPr>
              <w:spacing w:after="0" w:line="240" w:lineRule="auto"/>
            </w:pPr>
            <w:r>
              <w:rPr>
                <w:rFonts w:ascii="Times New Roman" w:eastAsia="Times New Roman" w:hAnsi="Times New Roman"/>
                <w:color w:val="000000"/>
                <w:sz w:val="17"/>
              </w:rPr>
              <w:t>A chart converts correlation into cause</w:t>
            </w:r>
          </w:p>
        </w:tc>
      </w:tr>
      <w:tr w:rsidR="00DD60C8" w14:paraId="69D86169" w14:textId="77777777">
        <w:trPr>
          <w:cantSplit/>
          <w:jc w:val="center"/>
        </w:trPr>
        <w:tc>
          <w:tcPr>
            <w:tcW w:w="2044" w:type="dxa"/>
            <w:shd w:val="clear" w:color="auto" w:fill="F6F9FB"/>
            <w:tcMar>
              <w:top w:w="70" w:type="dxa"/>
              <w:left w:w="100" w:type="dxa"/>
              <w:bottom w:w="70" w:type="dxa"/>
              <w:right w:w="100" w:type="dxa"/>
            </w:tcMar>
            <w:vAlign w:val="center"/>
          </w:tcPr>
          <w:p w14:paraId="599D4C13" w14:textId="77777777" w:rsidR="00DD60C8" w:rsidRDefault="00DD60C8" w:rsidP="00F96983">
            <w:pPr>
              <w:spacing w:after="0" w:line="240" w:lineRule="auto"/>
            </w:pPr>
            <w:r>
              <w:rPr>
                <w:rFonts w:ascii="Times New Roman" w:eastAsia="Times New Roman" w:hAnsi="Times New Roman"/>
                <w:color w:val="000000"/>
                <w:sz w:val="17"/>
              </w:rPr>
              <w:t>8\. Surface binding</w:t>
            </w:r>
          </w:p>
        </w:tc>
        <w:tc>
          <w:tcPr>
            <w:tcW w:w="4968" w:type="dxa"/>
            <w:shd w:val="clear" w:color="auto" w:fill="F6F9FB"/>
            <w:tcMar>
              <w:top w:w="70" w:type="dxa"/>
              <w:left w:w="100" w:type="dxa"/>
              <w:bottom w:w="70" w:type="dxa"/>
              <w:right w:w="100" w:type="dxa"/>
            </w:tcMar>
            <w:vAlign w:val="center"/>
          </w:tcPr>
          <w:p w14:paraId="027C4B13" w14:textId="77777777" w:rsidR="00DD60C8" w:rsidRDefault="00DD60C8" w:rsidP="00F96983">
            <w:pPr>
              <w:spacing w:after="0" w:line="240" w:lineRule="auto"/>
            </w:pPr>
            <w:r>
              <w:rPr>
                <w:rFonts w:ascii="Times New Roman" w:eastAsia="Times New Roman" w:hAnsi="Times New Roman"/>
                <w:color w:val="000000"/>
                <w:sz w:val="17"/>
              </w:rPr>
              <w:t>Every authoritative surface output has a valid evidence, claim, method, status, and version binding</w:t>
            </w:r>
          </w:p>
        </w:tc>
        <w:tc>
          <w:tcPr>
            <w:tcW w:w="2707" w:type="dxa"/>
            <w:shd w:val="clear" w:color="auto" w:fill="F6F9FB"/>
            <w:tcMar>
              <w:top w:w="70" w:type="dxa"/>
              <w:left w:w="100" w:type="dxa"/>
              <w:bottom w:w="70" w:type="dxa"/>
              <w:right w:w="100" w:type="dxa"/>
            </w:tcMar>
            <w:vAlign w:val="center"/>
          </w:tcPr>
          <w:p w14:paraId="7558C708" w14:textId="77777777" w:rsidR="00DD60C8" w:rsidRDefault="00DD60C8" w:rsidP="00F96983">
            <w:pPr>
              <w:spacing w:after="0" w:line="240" w:lineRule="auto"/>
            </w:pPr>
            <w:r>
              <w:rPr>
                <w:rFonts w:ascii="Times New Roman" w:eastAsia="Times New Roman" w:hAnsi="Times New Roman"/>
                <w:color w:val="000000"/>
                <w:sz w:val="17"/>
              </w:rPr>
              <w:t>A tooltip uses a locally coded interpretation</w:t>
            </w:r>
          </w:p>
        </w:tc>
      </w:tr>
      <w:tr w:rsidR="00DD60C8" w14:paraId="237ECFC3" w14:textId="77777777">
        <w:trPr>
          <w:cantSplit/>
          <w:jc w:val="center"/>
        </w:trPr>
        <w:tc>
          <w:tcPr>
            <w:tcW w:w="2044" w:type="dxa"/>
            <w:shd w:val="clear" w:color="auto" w:fill="FFFFFF"/>
            <w:tcMar>
              <w:top w:w="70" w:type="dxa"/>
              <w:left w:w="100" w:type="dxa"/>
              <w:bottom w:w="70" w:type="dxa"/>
              <w:right w:w="100" w:type="dxa"/>
            </w:tcMar>
            <w:vAlign w:val="center"/>
          </w:tcPr>
          <w:p w14:paraId="2D1DF274" w14:textId="77777777" w:rsidR="00DD60C8" w:rsidRDefault="00DD60C8" w:rsidP="00F96983">
            <w:pPr>
              <w:spacing w:after="0" w:line="240" w:lineRule="auto"/>
            </w:pPr>
            <w:r>
              <w:rPr>
                <w:rFonts w:ascii="Times New Roman" w:eastAsia="Times New Roman" w:hAnsi="Times New Roman"/>
                <w:color w:val="000000"/>
                <w:sz w:val="17"/>
              </w:rPr>
              <w:t>9\. Egress closure</w:t>
            </w:r>
          </w:p>
        </w:tc>
        <w:tc>
          <w:tcPr>
            <w:tcW w:w="4968" w:type="dxa"/>
            <w:shd w:val="clear" w:color="auto" w:fill="FFFFFF"/>
            <w:tcMar>
              <w:top w:w="70" w:type="dxa"/>
              <w:left w:w="100" w:type="dxa"/>
              <w:bottom w:w="70" w:type="dxa"/>
              <w:right w:w="100" w:type="dxa"/>
            </w:tcMar>
            <w:vAlign w:val="center"/>
          </w:tcPr>
          <w:p w14:paraId="70EB28E6" w14:textId="77777777" w:rsidR="00DD60C8" w:rsidRDefault="00DD60C8" w:rsidP="00F96983">
            <w:pPr>
              <w:spacing w:after="0" w:line="240" w:lineRule="auto"/>
            </w:pPr>
            <w:r>
              <w:rPr>
                <w:rFonts w:ascii="Times New Roman" w:eastAsia="Times New Roman" w:hAnsi="Times New Roman"/>
                <w:color w:val="000000"/>
                <w:sz w:val="17"/>
              </w:rPr>
              <w:t>Every outward authoritative channel passes the same claim gate</w:t>
            </w:r>
          </w:p>
        </w:tc>
        <w:tc>
          <w:tcPr>
            <w:tcW w:w="2707" w:type="dxa"/>
            <w:shd w:val="clear" w:color="auto" w:fill="FFFFFF"/>
            <w:tcMar>
              <w:top w:w="70" w:type="dxa"/>
              <w:left w:w="100" w:type="dxa"/>
              <w:bottom w:w="70" w:type="dxa"/>
              <w:right w:w="100" w:type="dxa"/>
            </w:tcMar>
            <w:vAlign w:val="center"/>
          </w:tcPr>
          <w:p w14:paraId="088CFAD1" w14:textId="77777777" w:rsidR="00DD60C8" w:rsidRDefault="00DD60C8" w:rsidP="00F96983">
            <w:pPr>
              <w:spacing w:after="0" w:line="240" w:lineRule="auto"/>
            </w:pPr>
            <w:r>
              <w:rPr>
                <w:rFonts w:ascii="Times New Roman" w:eastAsia="Times New Roman" w:hAnsi="Times New Roman"/>
                <w:color w:val="000000"/>
                <w:sz w:val="17"/>
              </w:rPr>
              <w:t>An API or generated report bypasses UI controls</w:t>
            </w:r>
          </w:p>
        </w:tc>
      </w:tr>
      <w:tr w:rsidR="00DD60C8" w14:paraId="47D6CB26" w14:textId="77777777">
        <w:trPr>
          <w:cantSplit/>
          <w:jc w:val="center"/>
        </w:trPr>
        <w:tc>
          <w:tcPr>
            <w:tcW w:w="2044" w:type="dxa"/>
            <w:shd w:val="clear" w:color="auto" w:fill="F6F9FB"/>
            <w:tcMar>
              <w:top w:w="70" w:type="dxa"/>
              <w:left w:w="100" w:type="dxa"/>
              <w:bottom w:w="70" w:type="dxa"/>
              <w:right w:w="100" w:type="dxa"/>
            </w:tcMar>
            <w:vAlign w:val="center"/>
          </w:tcPr>
          <w:p w14:paraId="52F52948" w14:textId="77777777" w:rsidR="00DD60C8" w:rsidRDefault="00DD60C8" w:rsidP="00F96983">
            <w:pPr>
              <w:spacing w:after="0" w:line="240" w:lineRule="auto"/>
            </w:pPr>
            <w:r>
              <w:rPr>
                <w:rFonts w:ascii="Times New Roman" w:eastAsia="Times New Roman" w:hAnsi="Times New Roman"/>
                <w:color w:val="000000"/>
                <w:sz w:val="17"/>
              </w:rPr>
              <w:t>10\. Version distinguishability</w:t>
            </w:r>
          </w:p>
        </w:tc>
        <w:tc>
          <w:tcPr>
            <w:tcW w:w="4968" w:type="dxa"/>
            <w:shd w:val="clear" w:color="auto" w:fill="F6F9FB"/>
            <w:tcMar>
              <w:top w:w="70" w:type="dxa"/>
              <w:left w:w="100" w:type="dxa"/>
              <w:bottom w:w="70" w:type="dxa"/>
              <w:right w:w="100" w:type="dxa"/>
            </w:tcMar>
            <w:vAlign w:val="center"/>
          </w:tcPr>
          <w:p w14:paraId="223D86E6" w14:textId="77777777" w:rsidR="00DD60C8" w:rsidRDefault="00DD60C8" w:rsidP="00F96983">
            <w:pPr>
              <w:spacing w:after="0" w:line="240" w:lineRule="auto"/>
            </w:pPr>
            <w:r>
              <w:rPr>
                <w:rFonts w:ascii="Times New Roman" w:eastAsia="Times New Roman" w:hAnsi="Times New Roman"/>
                <w:color w:val="000000"/>
                <w:sz w:val="17"/>
              </w:rPr>
              <w:t>Evidence, method, policy, and presentation changes are separately identifiable</w:t>
            </w:r>
          </w:p>
        </w:tc>
        <w:tc>
          <w:tcPr>
            <w:tcW w:w="2707" w:type="dxa"/>
            <w:shd w:val="clear" w:color="auto" w:fill="F6F9FB"/>
            <w:tcMar>
              <w:top w:w="70" w:type="dxa"/>
              <w:left w:w="100" w:type="dxa"/>
              <w:bottom w:w="70" w:type="dxa"/>
              <w:right w:w="100" w:type="dxa"/>
            </w:tcMar>
            <w:vAlign w:val="center"/>
          </w:tcPr>
          <w:p w14:paraId="2D6CF3EE" w14:textId="77777777" w:rsidR="00DD60C8" w:rsidRDefault="00DD60C8" w:rsidP="00F96983">
            <w:pPr>
              <w:spacing w:after="0" w:line="240" w:lineRule="auto"/>
            </w:pPr>
            <w:r>
              <w:rPr>
                <w:rFonts w:ascii="Times New Roman" w:eastAsia="Times New Roman" w:hAnsi="Times New Roman"/>
                <w:color w:val="000000"/>
                <w:sz w:val="17"/>
              </w:rPr>
              <w:t>Recomputed results overwrite their predecessors</w:t>
            </w:r>
          </w:p>
        </w:tc>
      </w:tr>
      <w:tr w:rsidR="00DD60C8" w14:paraId="6D5A94D2" w14:textId="77777777">
        <w:trPr>
          <w:cantSplit/>
          <w:jc w:val="center"/>
        </w:trPr>
        <w:tc>
          <w:tcPr>
            <w:tcW w:w="2044" w:type="dxa"/>
            <w:shd w:val="clear" w:color="auto" w:fill="FFFFFF"/>
            <w:tcMar>
              <w:top w:w="70" w:type="dxa"/>
              <w:left w:w="100" w:type="dxa"/>
              <w:bottom w:w="70" w:type="dxa"/>
              <w:right w:w="100" w:type="dxa"/>
            </w:tcMar>
            <w:vAlign w:val="center"/>
          </w:tcPr>
          <w:p w14:paraId="163C5AE8" w14:textId="77777777" w:rsidR="00DD60C8" w:rsidRDefault="00DD60C8" w:rsidP="00F96983">
            <w:pPr>
              <w:spacing w:after="0" w:line="240" w:lineRule="auto"/>
            </w:pPr>
            <w:r>
              <w:rPr>
                <w:rFonts w:ascii="Times New Roman" w:eastAsia="Times New Roman" w:hAnsi="Times New Roman"/>
                <w:color w:val="000000"/>
                <w:sz w:val="17"/>
              </w:rPr>
              <w:t>11\. Challenge retention</w:t>
            </w:r>
          </w:p>
        </w:tc>
        <w:tc>
          <w:tcPr>
            <w:tcW w:w="4968" w:type="dxa"/>
            <w:shd w:val="clear" w:color="auto" w:fill="FFFFFF"/>
            <w:tcMar>
              <w:top w:w="70" w:type="dxa"/>
              <w:left w:w="100" w:type="dxa"/>
              <w:bottom w:w="70" w:type="dxa"/>
              <w:right w:w="100" w:type="dxa"/>
            </w:tcMar>
            <w:vAlign w:val="center"/>
          </w:tcPr>
          <w:p w14:paraId="2478318D" w14:textId="77777777" w:rsidR="00DD60C8" w:rsidRDefault="00DD60C8" w:rsidP="00F96983">
            <w:pPr>
              <w:spacing w:after="0" w:line="240" w:lineRule="auto"/>
            </w:pPr>
            <w:r>
              <w:rPr>
                <w:rFonts w:ascii="Times New Roman" w:eastAsia="Times New Roman" w:hAnsi="Times New Roman"/>
                <w:color w:val="000000"/>
                <w:sz w:val="17"/>
              </w:rPr>
              <w:t>Challenges, counterevidence, review, and supersession remain attached to the affected objects</w:t>
            </w:r>
          </w:p>
        </w:tc>
        <w:tc>
          <w:tcPr>
            <w:tcW w:w="2707" w:type="dxa"/>
            <w:shd w:val="clear" w:color="auto" w:fill="FFFFFF"/>
            <w:tcMar>
              <w:top w:w="70" w:type="dxa"/>
              <w:left w:w="100" w:type="dxa"/>
              <w:bottom w:w="70" w:type="dxa"/>
              <w:right w:w="100" w:type="dxa"/>
            </w:tcMar>
            <w:vAlign w:val="center"/>
          </w:tcPr>
          <w:p w14:paraId="3211BBB3" w14:textId="77777777" w:rsidR="00DD60C8" w:rsidRDefault="00DD60C8" w:rsidP="00F96983">
            <w:pPr>
              <w:spacing w:after="0" w:line="240" w:lineRule="auto"/>
            </w:pPr>
            <w:r>
              <w:rPr>
                <w:rFonts w:ascii="Times New Roman" w:eastAsia="Times New Roman" w:hAnsi="Times New Roman"/>
                <w:color w:val="000000"/>
                <w:sz w:val="17"/>
              </w:rPr>
              <w:t>A disputed claim exports as uncontested</w:t>
            </w:r>
          </w:p>
        </w:tc>
      </w:tr>
      <w:tr w:rsidR="00DD60C8" w14:paraId="27B4CC42" w14:textId="77777777">
        <w:trPr>
          <w:cantSplit/>
          <w:jc w:val="center"/>
        </w:trPr>
        <w:tc>
          <w:tcPr>
            <w:tcW w:w="2044" w:type="dxa"/>
            <w:shd w:val="clear" w:color="auto" w:fill="F6F9FB"/>
            <w:tcMar>
              <w:top w:w="70" w:type="dxa"/>
              <w:left w:w="100" w:type="dxa"/>
              <w:bottom w:w="70" w:type="dxa"/>
              <w:right w:w="100" w:type="dxa"/>
            </w:tcMar>
            <w:vAlign w:val="center"/>
          </w:tcPr>
          <w:p w14:paraId="470C317A" w14:textId="77777777" w:rsidR="00DD60C8" w:rsidRDefault="00DD60C8" w:rsidP="00F96983">
            <w:pPr>
              <w:spacing w:after="0" w:line="240" w:lineRule="auto"/>
            </w:pPr>
            <w:r>
              <w:rPr>
                <w:rFonts w:ascii="Times New Roman" w:eastAsia="Times New Roman" w:hAnsi="Times New Roman"/>
                <w:color w:val="000000"/>
                <w:sz w:val="17"/>
              </w:rPr>
              <w:t>12\. Preservation fidelity</w:t>
            </w:r>
          </w:p>
        </w:tc>
        <w:tc>
          <w:tcPr>
            <w:tcW w:w="4968" w:type="dxa"/>
            <w:shd w:val="clear" w:color="auto" w:fill="F6F9FB"/>
            <w:tcMar>
              <w:top w:w="70" w:type="dxa"/>
              <w:left w:w="100" w:type="dxa"/>
              <w:bottom w:w="70" w:type="dxa"/>
              <w:right w:w="100" w:type="dxa"/>
            </w:tcMar>
            <w:vAlign w:val="center"/>
          </w:tcPr>
          <w:p w14:paraId="39D2F275" w14:textId="77777777" w:rsidR="00DD60C8" w:rsidRDefault="00DD60C8" w:rsidP="00F96983">
            <w:pPr>
              <w:spacing w:after="0" w:line="240" w:lineRule="auto"/>
            </w:pPr>
            <w:r>
              <w:rPr>
                <w:rFonts w:ascii="Times New Roman" w:eastAsia="Times New Roman" w:hAnsi="Times New Roman"/>
                <w:color w:val="000000"/>
                <w:sz w:val="17"/>
              </w:rPr>
              <w:t>Exports preserve or disclose the loss of identity, lineage, boundaries, and status</w:t>
            </w:r>
          </w:p>
        </w:tc>
        <w:tc>
          <w:tcPr>
            <w:tcW w:w="2707" w:type="dxa"/>
            <w:shd w:val="clear" w:color="auto" w:fill="F6F9FB"/>
            <w:tcMar>
              <w:top w:w="70" w:type="dxa"/>
              <w:left w:w="100" w:type="dxa"/>
              <w:bottom w:w="70" w:type="dxa"/>
              <w:right w:w="100" w:type="dxa"/>
            </w:tcMar>
            <w:vAlign w:val="center"/>
          </w:tcPr>
          <w:p w14:paraId="6CAC43E0" w14:textId="77777777" w:rsidR="00DD60C8" w:rsidRDefault="00DD60C8" w:rsidP="00F96983">
            <w:pPr>
              <w:spacing w:after="0" w:line="240" w:lineRule="auto"/>
            </w:pPr>
            <w:r>
              <w:rPr>
                <w:rFonts w:ascii="Times New Roman" w:eastAsia="Times New Roman" w:hAnsi="Times New Roman"/>
                <w:color w:val="000000"/>
                <w:sz w:val="17"/>
              </w:rPr>
              <w:t>A PDF preserves conclusions but not their authority path</w:t>
            </w:r>
          </w:p>
        </w:tc>
      </w:tr>
    </w:tbl>
    <w:p w14:paraId="5E0CB865" w14:textId="77777777" w:rsidR="00DD60C8" w:rsidRDefault="00DD60C8" w:rsidP="00DD60C8">
      <w:pPr>
        <w:spacing w:after="20"/>
      </w:pPr>
    </w:p>
    <w:p w14:paraId="290AF247" w14:textId="77777777" w:rsidR="00DD60C8" w:rsidRDefault="00DD60C8" w:rsidP="00DD60C8">
      <w:pPr>
        <w:pStyle w:val="Heading2"/>
      </w:pPr>
      <w:r>
        <w:rPr>
          <w:rFonts w:ascii="Arial" w:eastAsia="Times New Roman" w:hAnsi="Arial"/>
          <w:color w:val="000000"/>
          <w:sz w:val="23"/>
        </w:rPr>
        <w:t>Authority Non-Amplification Proposition</w:t>
      </w:r>
    </w:p>
    <w:p w14:paraId="23FD63BD" w14:textId="77777777" w:rsidR="00DD60C8" w:rsidRDefault="00DD60C8" w:rsidP="00DD60C8">
      <w:pPr>
        <w:keepLines/>
        <w:spacing w:after="94"/>
      </w:pPr>
      <w:r>
        <w:rPr>
          <w:rFonts w:ascii="Times New Roman" w:eastAsia="Times New Roman" w:hAnsi="Times New Roman"/>
          <w:color w:val="000000"/>
          <w:sz w:val="20"/>
        </w:rPr>
        <w:t>If every instrument emits only claims authorized by its contract, every projection emits only admitted claims or permitted renderings, and every egress surface has a valid binding, then no authoritative output can exceed the admitted claim set under the active contract.</w:t>
      </w:r>
    </w:p>
    <w:p w14:paraId="4AE80A3F" w14:textId="77777777" w:rsidR="00DD60C8" w:rsidRDefault="00DD60C8" w:rsidP="00DD60C8">
      <w:pPr>
        <w:spacing w:after="94"/>
      </w:pPr>
      <w:r>
        <w:rPr>
          <w:rFonts w:ascii="Times New Roman" w:eastAsia="Times New Roman" w:hAnsi="Times New Roman"/>
          <w:color w:val="000000"/>
          <w:sz w:val="20"/>
        </w:rPr>
        <w:t>This proposition follows by composition of the instrument, projection, and egress constraints. Its value is architectural: a violation can be localized to a contract, admission rule, or surface binding. It does not show that the admitted claims are true.</w:t>
      </w:r>
    </w:p>
    <w:p w14:paraId="42DE02C1" w14:textId="77777777" w:rsidR="00DD60C8" w:rsidRDefault="00DD60C8" w:rsidP="00DD60C8">
      <w:pPr>
        <w:pStyle w:val="Heading2"/>
      </w:pPr>
      <w:r>
        <w:rPr>
          <w:rFonts w:ascii="Arial" w:eastAsia="Times New Roman" w:hAnsi="Arial"/>
          <w:color w:val="000000"/>
          <w:sz w:val="23"/>
        </w:rPr>
        <w:t>Cross-Surface Congruence Proposition</w:t>
      </w:r>
    </w:p>
    <w:p w14:paraId="5A1C8738" w14:textId="77777777" w:rsidR="00DD60C8" w:rsidRDefault="00DD60C8" w:rsidP="00DD60C8">
      <w:pPr>
        <w:keepLines/>
        <w:spacing w:after="94"/>
      </w:pPr>
      <w:r>
        <w:rPr>
          <w:rFonts w:ascii="Times New Roman" w:eastAsia="Times New Roman" w:hAnsi="Times New Roman"/>
          <w:color w:val="000000"/>
          <w:sz w:val="20"/>
        </w:rPr>
        <w:t>Given a fixed evidence object and computation contract, two conforming surfaces may differ in representation but must resolve their authoritative propositions to the same admitted claim identities and preserve the same scopes, statuses, and limitations.</w:t>
      </w:r>
    </w:p>
    <w:p w14:paraId="137C58C5" w14:textId="77777777" w:rsidR="00DD60C8" w:rsidRDefault="00DD60C8" w:rsidP="00DD60C8">
      <w:pPr>
        <w:spacing w:after="94"/>
      </w:pPr>
      <w:r>
        <w:rPr>
          <w:rFonts w:ascii="Times New Roman" w:eastAsia="Times New Roman" w:hAnsi="Times New Roman"/>
          <w:color w:val="000000"/>
          <w:sz w:val="20"/>
        </w:rPr>
        <w:t xml:space="preserve">This proposition makes interface drift testable. If one surface says </w:t>
      </w:r>
      <w:r>
        <w:rPr>
          <w:rFonts w:ascii="Times New Roman" w:eastAsia="Times New Roman" w:hAnsi="Times New Roman"/>
          <w:i/>
          <w:color w:val="000000"/>
          <w:sz w:val="20"/>
        </w:rPr>
        <w:t>candidate boundary</w:t>
      </w:r>
      <w:r>
        <w:rPr>
          <w:rFonts w:ascii="Times New Roman" w:eastAsia="Times New Roman" w:hAnsi="Times New Roman"/>
          <w:color w:val="000000"/>
          <w:sz w:val="20"/>
        </w:rPr>
        <w:t xml:space="preserve"> and another says </w:t>
      </w:r>
      <w:r>
        <w:rPr>
          <w:rFonts w:ascii="Times New Roman" w:eastAsia="Times New Roman" w:hAnsi="Times New Roman"/>
          <w:i/>
          <w:color w:val="000000"/>
          <w:sz w:val="20"/>
        </w:rPr>
        <w:t>confirmed failure</w:t>
      </w:r>
      <w:r>
        <w:rPr>
          <w:rFonts w:ascii="Times New Roman" w:eastAsia="Times New Roman" w:hAnsi="Times New Roman"/>
          <w:color w:val="000000"/>
          <w:sz w:val="20"/>
        </w:rPr>
        <w:t>, either the claims must have different identities and authorities or at least one surface is non-conforming.</w:t>
      </w:r>
    </w:p>
    <w:p w14:paraId="246646D9" w14:textId="77777777" w:rsidR="00DD60C8" w:rsidRDefault="00DD60C8" w:rsidP="00DD60C8">
      <w:pPr>
        <w:pStyle w:val="Heading2"/>
      </w:pPr>
      <w:r>
        <w:rPr>
          <w:rFonts w:ascii="Arial" w:eastAsia="Times New Roman" w:hAnsi="Arial"/>
          <w:color w:val="000000"/>
          <w:sz w:val="23"/>
        </w:rPr>
        <w:t>Version Distinguishability Proposition</w:t>
      </w:r>
    </w:p>
    <w:p w14:paraId="02B8BF0A" w14:textId="77777777" w:rsidR="00DD60C8" w:rsidRDefault="00DD60C8" w:rsidP="00DD60C8">
      <w:pPr>
        <w:keepLines/>
        <w:spacing w:after="94"/>
      </w:pPr>
      <w:r>
        <w:rPr>
          <w:rFonts w:ascii="Times New Roman" w:eastAsia="Times New Roman" w:hAnsi="Times New Roman"/>
          <w:color w:val="000000"/>
          <w:sz w:val="20"/>
        </w:rPr>
        <w:t>Any change to canonical evidence, a claim-relevant method, or an admissibility policy must produce a distinguishable evidence, method, or policy version and retain its relation to prior results. Cosmetic presentation changes need not change canonical identity unless they alter an expressed proposition.</w:t>
      </w:r>
    </w:p>
    <w:p w14:paraId="04858BB3" w14:textId="77777777" w:rsidR="00DD60C8" w:rsidRDefault="00DD60C8" w:rsidP="00DD60C8">
      <w:pPr>
        <w:spacing w:after="94"/>
      </w:pPr>
      <w:r>
        <w:rPr>
          <w:rFonts w:ascii="Times New Roman" w:eastAsia="Times New Roman" w:hAnsi="Times New Roman"/>
          <w:color w:val="000000"/>
          <w:sz w:val="20"/>
        </w:rPr>
        <w:t>The proposition prevents silent reinterpretation while avoiding meaningless version churn for purely visual changes.</w:t>
      </w:r>
    </w:p>
    <w:p w14:paraId="124CF3D3" w14:textId="77777777" w:rsidR="00DD60C8" w:rsidRDefault="00DD60C8" w:rsidP="00DD60C8">
      <w:pPr>
        <w:pStyle w:val="Heading2"/>
      </w:pPr>
      <w:r>
        <w:rPr>
          <w:rFonts w:ascii="Arial" w:eastAsia="Times New Roman" w:hAnsi="Arial"/>
          <w:color w:val="000000"/>
          <w:sz w:val="23"/>
        </w:rPr>
        <w:t>Refusal Correctness Proposition</w:t>
      </w:r>
    </w:p>
    <w:p w14:paraId="2D32AD0D" w14:textId="77777777" w:rsidR="00DD60C8" w:rsidRDefault="00DD60C8" w:rsidP="00DD60C8">
      <w:pPr>
        <w:keepLines/>
        <w:spacing w:after="94"/>
      </w:pPr>
      <w:r>
        <w:rPr>
          <w:rFonts w:ascii="Times New Roman" w:eastAsia="Times New Roman" w:hAnsi="Times New Roman"/>
          <w:color w:val="000000"/>
          <w:sz w:val="20"/>
        </w:rPr>
        <w:t>When a claim's admissibility requirements are unsatisfied, a conforming system must return its defined non-admission state rather than an authoritative substitute. Correct refusal is therefore a positive conformance result.</w:t>
      </w:r>
    </w:p>
    <w:p w14:paraId="0C259A4A" w14:textId="77777777" w:rsidR="00DD60C8" w:rsidRDefault="00DD60C8" w:rsidP="00DD60C8">
      <w:pPr>
        <w:spacing w:after="94"/>
      </w:pPr>
      <w:r>
        <w:rPr>
          <w:rFonts w:ascii="Times New Roman" w:eastAsia="Times New Roman" w:hAnsi="Times New Roman"/>
          <w:color w:val="000000"/>
          <w:sz w:val="20"/>
        </w:rPr>
        <w:t>This property is crucial for probabilistic and generative components. The system is evaluated not only on what it says correctly, but also on whether it remains silent or explicitly bounded when authority is absent.</w:t>
      </w:r>
    </w:p>
    <w:p w14:paraId="199CBA73"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16. Conformance and Validation</w:t>
      </w:r>
    </w:p>
    <w:p w14:paraId="2CA99A65" w14:textId="77777777" w:rsidR="00DD60C8" w:rsidRDefault="00DD60C8" w:rsidP="00DD60C8">
      <w:pPr>
        <w:pStyle w:val="Heading2"/>
      </w:pPr>
      <w:r>
        <w:rPr>
          <w:rFonts w:ascii="Arial" w:eastAsia="Times New Roman" w:hAnsi="Arial"/>
          <w:color w:val="000000"/>
          <w:sz w:val="23"/>
        </w:rPr>
        <w:t>Four evaluation layers</w:t>
      </w:r>
    </w:p>
    <w:p w14:paraId="0194D0E7" w14:textId="77777777" w:rsidR="00DD60C8" w:rsidRDefault="00DD60C8" w:rsidP="00DD60C8">
      <w:pPr>
        <w:keepLines/>
        <w:spacing w:after="94"/>
      </w:pPr>
      <w:r>
        <w:rPr>
          <w:rFonts w:ascii="Times New Roman" w:eastAsia="Times New Roman" w:hAnsi="Times New Roman"/>
          <w:color w:val="000000"/>
          <w:sz w:val="20"/>
        </w:rPr>
        <w:t>Evidence governance can be implemented correctly while its measurements remain scientifically weak. Conversely, a valid measurement can be embedded in a non-conforming interface that overstates its meaning. Evaluation must separate four questions:</w:t>
      </w:r>
    </w:p>
    <w:p w14:paraId="451ECC3A" w14:textId="77777777" w:rsidR="00DD60C8" w:rsidRDefault="00DD60C8" w:rsidP="00DD60C8">
      <w:pPr>
        <w:keepNext/>
        <w:spacing w:before="140" w:after="80"/>
      </w:pPr>
      <w:r>
        <w:rPr>
          <w:rFonts w:ascii="Times New Roman" w:eastAsia="Times New Roman" w:hAnsi="Times New Roman"/>
          <w:i/>
          <w:color w:val="66717C"/>
          <w:sz w:val="18"/>
        </w:rPr>
        <w:t>Table 8. Four evaluation layers.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88"/>
        <w:gridCol w:w="4248"/>
        <w:gridCol w:w="3283"/>
      </w:tblGrid>
      <w:tr w:rsidR="00DD60C8" w14:paraId="2114C9A2" w14:textId="77777777">
        <w:trPr>
          <w:cantSplit/>
          <w:tblHeader/>
          <w:jc w:val="center"/>
        </w:trPr>
        <w:tc>
          <w:tcPr>
            <w:tcW w:w="2188" w:type="dxa"/>
            <w:shd w:val="clear" w:color="auto" w:fill="17324D"/>
            <w:tcMar>
              <w:top w:w="70" w:type="dxa"/>
              <w:left w:w="100" w:type="dxa"/>
              <w:bottom w:w="70" w:type="dxa"/>
              <w:right w:w="100" w:type="dxa"/>
            </w:tcMar>
            <w:vAlign w:val="center"/>
          </w:tcPr>
          <w:p w14:paraId="498DA5E6" w14:textId="77777777" w:rsidR="00DD60C8" w:rsidRDefault="00DD60C8" w:rsidP="00F96983">
            <w:pPr>
              <w:spacing w:after="0" w:line="240" w:lineRule="auto"/>
            </w:pPr>
            <w:r>
              <w:rPr>
                <w:rFonts w:ascii="Arial" w:eastAsia="Times New Roman" w:hAnsi="Arial"/>
                <w:b/>
                <w:color w:val="FFFFFF"/>
                <w:sz w:val="17"/>
              </w:rPr>
              <w:t>Evaluation layer</w:t>
            </w:r>
          </w:p>
        </w:tc>
        <w:tc>
          <w:tcPr>
            <w:tcW w:w="4248" w:type="dxa"/>
            <w:shd w:val="clear" w:color="auto" w:fill="17324D"/>
            <w:tcMar>
              <w:top w:w="70" w:type="dxa"/>
              <w:left w:w="100" w:type="dxa"/>
              <w:bottom w:w="70" w:type="dxa"/>
              <w:right w:w="100" w:type="dxa"/>
            </w:tcMar>
            <w:vAlign w:val="center"/>
          </w:tcPr>
          <w:p w14:paraId="5A224790" w14:textId="77777777" w:rsidR="00DD60C8" w:rsidRDefault="00DD60C8" w:rsidP="00F96983">
            <w:pPr>
              <w:spacing w:after="0" w:line="240" w:lineRule="auto"/>
            </w:pPr>
            <w:r>
              <w:rPr>
                <w:rFonts w:ascii="Arial" w:eastAsia="Times New Roman" w:hAnsi="Arial"/>
                <w:b/>
                <w:color w:val="FFFFFF"/>
                <w:sz w:val="17"/>
              </w:rPr>
              <w:t>Principal question</w:t>
            </w:r>
          </w:p>
        </w:tc>
        <w:tc>
          <w:tcPr>
            <w:tcW w:w="3283" w:type="dxa"/>
            <w:shd w:val="clear" w:color="auto" w:fill="17324D"/>
            <w:tcMar>
              <w:top w:w="70" w:type="dxa"/>
              <w:left w:w="100" w:type="dxa"/>
              <w:bottom w:w="70" w:type="dxa"/>
              <w:right w:w="100" w:type="dxa"/>
            </w:tcMar>
            <w:vAlign w:val="center"/>
          </w:tcPr>
          <w:p w14:paraId="70204570" w14:textId="77777777" w:rsidR="00DD60C8" w:rsidRDefault="00DD60C8" w:rsidP="00F96983">
            <w:pPr>
              <w:spacing w:after="0" w:line="240" w:lineRule="auto"/>
            </w:pPr>
            <w:r>
              <w:rPr>
                <w:rFonts w:ascii="Arial" w:eastAsia="Times New Roman" w:hAnsi="Arial"/>
                <w:b/>
                <w:color w:val="FFFFFF"/>
                <w:sz w:val="17"/>
              </w:rPr>
              <w:t>Example evidence</w:t>
            </w:r>
          </w:p>
        </w:tc>
      </w:tr>
      <w:tr w:rsidR="00DD60C8" w14:paraId="7CC6FF2B" w14:textId="77777777">
        <w:trPr>
          <w:cantSplit/>
          <w:jc w:val="center"/>
        </w:trPr>
        <w:tc>
          <w:tcPr>
            <w:tcW w:w="2188" w:type="dxa"/>
            <w:shd w:val="clear" w:color="auto" w:fill="FFFFFF"/>
            <w:tcMar>
              <w:top w:w="70" w:type="dxa"/>
              <w:left w:w="100" w:type="dxa"/>
              <w:bottom w:w="70" w:type="dxa"/>
              <w:right w:w="100" w:type="dxa"/>
            </w:tcMar>
            <w:vAlign w:val="center"/>
          </w:tcPr>
          <w:p w14:paraId="35880DB7" w14:textId="77777777" w:rsidR="00DD60C8" w:rsidRDefault="00DD60C8" w:rsidP="00F96983">
            <w:pPr>
              <w:spacing w:after="0" w:line="240" w:lineRule="auto"/>
            </w:pPr>
            <w:r>
              <w:rPr>
                <w:rFonts w:ascii="Times New Roman" w:eastAsia="Times New Roman" w:hAnsi="Times New Roman"/>
                <w:color w:val="000000"/>
                <w:sz w:val="17"/>
              </w:rPr>
              <w:t>Architectural conformance</w:t>
            </w:r>
          </w:p>
        </w:tc>
        <w:tc>
          <w:tcPr>
            <w:tcW w:w="4248" w:type="dxa"/>
            <w:shd w:val="clear" w:color="auto" w:fill="FFFFFF"/>
            <w:tcMar>
              <w:top w:w="70" w:type="dxa"/>
              <w:left w:w="100" w:type="dxa"/>
              <w:bottom w:w="70" w:type="dxa"/>
              <w:right w:w="100" w:type="dxa"/>
            </w:tcMar>
            <w:vAlign w:val="center"/>
          </w:tcPr>
          <w:p w14:paraId="3F82F25B" w14:textId="77777777" w:rsidR="00DD60C8" w:rsidRDefault="00DD60C8" w:rsidP="00F96983">
            <w:pPr>
              <w:spacing w:after="0" w:line="240" w:lineRule="auto"/>
            </w:pPr>
            <w:r>
              <w:rPr>
                <w:rFonts w:ascii="Times New Roman" w:eastAsia="Times New Roman" w:hAnsi="Times New Roman"/>
                <w:color w:val="000000"/>
                <w:sz w:val="17"/>
              </w:rPr>
              <w:t>Does the system preserve authority, boundaries, lineage, required states, and lifecycle distinctions?</w:t>
            </w:r>
          </w:p>
        </w:tc>
        <w:tc>
          <w:tcPr>
            <w:tcW w:w="3283" w:type="dxa"/>
            <w:shd w:val="clear" w:color="auto" w:fill="FFFFFF"/>
            <w:tcMar>
              <w:top w:w="70" w:type="dxa"/>
              <w:left w:w="100" w:type="dxa"/>
              <w:bottom w:w="70" w:type="dxa"/>
              <w:right w:w="100" w:type="dxa"/>
            </w:tcMar>
            <w:vAlign w:val="center"/>
          </w:tcPr>
          <w:p w14:paraId="1D9874D6" w14:textId="77777777" w:rsidR="00DD60C8" w:rsidRDefault="00DD60C8" w:rsidP="00F96983">
            <w:pPr>
              <w:spacing w:after="0" w:line="240" w:lineRule="auto"/>
            </w:pPr>
            <w:r>
              <w:rPr>
                <w:rFonts w:ascii="Times New Roman" w:eastAsia="Times New Roman" w:hAnsi="Times New Roman"/>
                <w:color w:val="000000"/>
                <w:sz w:val="17"/>
              </w:rPr>
              <w:t>Schema tests, lineage traversal, surface audits, export round trips</w:t>
            </w:r>
          </w:p>
        </w:tc>
      </w:tr>
      <w:tr w:rsidR="00DD60C8" w14:paraId="0DEE065F" w14:textId="77777777">
        <w:trPr>
          <w:cantSplit/>
          <w:jc w:val="center"/>
        </w:trPr>
        <w:tc>
          <w:tcPr>
            <w:tcW w:w="2188" w:type="dxa"/>
            <w:shd w:val="clear" w:color="auto" w:fill="F6F9FB"/>
            <w:tcMar>
              <w:top w:w="70" w:type="dxa"/>
              <w:left w:w="100" w:type="dxa"/>
              <w:bottom w:w="70" w:type="dxa"/>
              <w:right w:w="100" w:type="dxa"/>
            </w:tcMar>
            <w:vAlign w:val="center"/>
          </w:tcPr>
          <w:p w14:paraId="7938151F" w14:textId="77777777" w:rsidR="00DD60C8" w:rsidRDefault="00DD60C8" w:rsidP="00F96983">
            <w:pPr>
              <w:spacing w:after="0" w:line="240" w:lineRule="auto"/>
            </w:pPr>
            <w:r>
              <w:rPr>
                <w:rFonts w:ascii="Times New Roman" w:eastAsia="Times New Roman" w:hAnsi="Times New Roman"/>
                <w:color w:val="000000"/>
                <w:sz w:val="17"/>
              </w:rPr>
              <w:t>Measurement validity</w:t>
            </w:r>
          </w:p>
        </w:tc>
        <w:tc>
          <w:tcPr>
            <w:tcW w:w="4248" w:type="dxa"/>
            <w:shd w:val="clear" w:color="auto" w:fill="F6F9FB"/>
            <w:tcMar>
              <w:top w:w="70" w:type="dxa"/>
              <w:left w:w="100" w:type="dxa"/>
              <w:bottom w:w="70" w:type="dxa"/>
              <w:right w:w="100" w:type="dxa"/>
            </w:tcMar>
            <w:vAlign w:val="center"/>
          </w:tcPr>
          <w:p w14:paraId="778F33E1" w14:textId="77777777" w:rsidR="00DD60C8" w:rsidRDefault="00DD60C8" w:rsidP="00F96983">
            <w:pPr>
              <w:spacing w:after="0" w:line="240" w:lineRule="auto"/>
            </w:pPr>
            <w:r>
              <w:rPr>
                <w:rFonts w:ascii="Times New Roman" w:eastAsia="Times New Roman" w:hAnsi="Times New Roman"/>
                <w:color w:val="000000"/>
                <w:sz w:val="17"/>
              </w:rPr>
              <w:t>Does the method measure the intended construct under stated conditions?</w:t>
            </w:r>
          </w:p>
        </w:tc>
        <w:tc>
          <w:tcPr>
            <w:tcW w:w="3283" w:type="dxa"/>
            <w:shd w:val="clear" w:color="auto" w:fill="F6F9FB"/>
            <w:tcMar>
              <w:top w:w="70" w:type="dxa"/>
              <w:left w:w="100" w:type="dxa"/>
              <w:bottom w:w="70" w:type="dxa"/>
              <w:right w:w="100" w:type="dxa"/>
            </w:tcMar>
            <w:vAlign w:val="center"/>
          </w:tcPr>
          <w:p w14:paraId="4BC6350D" w14:textId="77777777" w:rsidR="00DD60C8" w:rsidRDefault="00DD60C8" w:rsidP="00F96983">
            <w:pPr>
              <w:spacing w:after="0" w:line="240" w:lineRule="auto"/>
            </w:pPr>
            <w:r>
              <w:rPr>
                <w:rFonts w:ascii="Times New Roman" w:eastAsia="Times New Roman" w:hAnsi="Times New Roman"/>
                <w:color w:val="000000"/>
                <w:sz w:val="17"/>
              </w:rPr>
              <w:t>Calibration, labeled datasets, sensitivity analysis, external replication</w:t>
            </w:r>
          </w:p>
        </w:tc>
      </w:tr>
      <w:tr w:rsidR="00DD60C8" w14:paraId="44D46DB5" w14:textId="77777777">
        <w:trPr>
          <w:cantSplit/>
          <w:jc w:val="center"/>
        </w:trPr>
        <w:tc>
          <w:tcPr>
            <w:tcW w:w="2188" w:type="dxa"/>
            <w:shd w:val="clear" w:color="auto" w:fill="FFFFFF"/>
            <w:tcMar>
              <w:top w:w="70" w:type="dxa"/>
              <w:left w:w="100" w:type="dxa"/>
              <w:bottom w:w="70" w:type="dxa"/>
              <w:right w:w="100" w:type="dxa"/>
            </w:tcMar>
            <w:vAlign w:val="center"/>
          </w:tcPr>
          <w:p w14:paraId="7F772B65" w14:textId="77777777" w:rsidR="00DD60C8" w:rsidRDefault="00DD60C8" w:rsidP="00F96983">
            <w:pPr>
              <w:spacing w:after="0" w:line="240" w:lineRule="auto"/>
            </w:pPr>
            <w:r>
              <w:rPr>
                <w:rFonts w:ascii="Times New Roman" w:eastAsia="Times New Roman" w:hAnsi="Times New Roman"/>
                <w:color w:val="000000"/>
                <w:sz w:val="17"/>
              </w:rPr>
              <w:t>Predictive or diagnostic utility</w:t>
            </w:r>
          </w:p>
        </w:tc>
        <w:tc>
          <w:tcPr>
            <w:tcW w:w="4248" w:type="dxa"/>
            <w:shd w:val="clear" w:color="auto" w:fill="FFFFFF"/>
            <w:tcMar>
              <w:top w:w="70" w:type="dxa"/>
              <w:left w:w="100" w:type="dxa"/>
              <w:bottom w:w="70" w:type="dxa"/>
              <w:right w:w="100" w:type="dxa"/>
            </w:tcMar>
            <w:vAlign w:val="center"/>
          </w:tcPr>
          <w:p w14:paraId="19C8CD6F" w14:textId="77777777" w:rsidR="00DD60C8" w:rsidRDefault="00DD60C8" w:rsidP="00F96983">
            <w:pPr>
              <w:spacing w:after="0" w:line="240" w:lineRule="auto"/>
            </w:pPr>
            <w:r>
              <w:rPr>
                <w:rFonts w:ascii="Times New Roman" w:eastAsia="Times New Roman" w:hAnsi="Times New Roman"/>
                <w:color w:val="000000"/>
                <w:sz w:val="17"/>
              </w:rPr>
              <w:t>Does the result identify relevant outcomes prospectively or discriminate cases?</w:t>
            </w:r>
          </w:p>
        </w:tc>
        <w:tc>
          <w:tcPr>
            <w:tcW w:w="3283" w:type="dxa"/>
            <w:shd w:val="clear" w:color="auto" w:fill="FFFFFF"/>
            <w:tcMar>
              <w:top w:w="70" w:type="dxa"/>
              <w:left w:w="100" w:type="dxa"/>
              <w:bottom w:w="70" w:type="dxa"/>
              <w:right w:w="100" w:type="dxa"/>
            </w:tcMar>
            <w:vAlign w:val="center"/>
          </w:tcPr>
          <w:p w14:paraId="477DEC06" w14:textId="77777777" w:rsidR="00DD60C8" w:rsidRDefault="00DD60C8" w:rsidP="00F96983">
            <w:pPr>
              <w:spacing w:after="0" w:line="240" w:lineRule="auto"/>
            </w:pPr>
            <w:r>
              <w:rPr>
                <w:rFonts w:ascii="Times New Roman" w:eastAsia="Times New Roman" w:hAnsi="Times New Roman"/>
                <w:color w:val="000000"/>
                <w:sz w:val="17"/>
              </w:rPr>
              <w:t>Protected tests, baselines, lead-time analysis, error rates</w:t>
            </w:r>
          </w:p>
        </w:tc>
      </w:tr>
      <w:tr w:rsidR="00DD60C8" w14:paraId="58D2E24D" w14:textId="77777777">
        <w:trPr>
          <w:cantSplit/>
          <w:jc w:val="center"/>
        </w:trPr>
        <w:tc>
          <w:tcPr>
            <w:tcW w:w="2188" w:type="dxa"/>
            <w:shd w:val="clear" w:color="auto" w:fill="F6F9FB"/>
            <w:tcMar>
              <w:top w:w="70" w:type="dxa"/>
              <w:left w:w="100" w:type="dxa"/>
              <w:bottom w:w="70" w:type="dxa"/>
              <w:right w:w="100" w:type="dxa"/>
            </w:tcMar>
            <w:vAlign w:val="center"/>
          </w:tcPr>
          <w:p w14:paraId="24819631" w14:textId="77777777" w:rsidR="00DD60C8" w:rsidRDefault="00DD60C8" w:rsidP="00F96983">
            <w:pPr>
              <w:spacing w:after="0" w:line="240" w:lineRule="auto"/>
            </w:pPr>
            <w:r>
              <w:rPr>
                <w:rFonts w:ascii="Times New Roman" w:eastAsia="Times New Roman" w:hAnsi="Times New Roman"/>
                <w:color w:val="000000"/>
                <w:sz w:val="17"/>
              </w:rPr>
              <w:t>Operational usefulness</w:t>
            </w:r>
          </w:p>
        </w:tc>
        <w:tc>
          <w:tcPr>
            <w:tcW w:w="4248" w:type="dxa"/>
            <w:shd w:val="clear" w:color="auto" w:fill="F6F9FB"/>
            <w:tcMar>
              <w:top w:w="70" w:type="dxa"/>
              <w:left w:w="100" w:type="dxa"/>
              <w:bottom w:w="70" w:type="dxa"/>
              <w:right w:w="100" w:type="dxa"/>
            </w:tcMar>
            <w:vAlign w:val="center"/>
          </w:tcPr>
          <w:p w14:paraId="1A6B9CB0" w14:textId="77777777" w:rsidR="00DD60C8" w:rsidRDefault="00DD60C8" w:rsidP="00F96983">
            <w:pPr>
              <w:spacing w:after="0" w:line="240" w:lineRule="auto"/>
            </w:pPr>
            <w:r>
              <w:rPr>
                <w:rFonts w:ascii="Times New Roman" w:eastAsia="Times New Roman" w:hAnsi="Times New Roman"/>
                <w:color w:val="000000"/>
                <w:sz w:val="17"/>
              </w:rPr>
              <w:t>Does the system improve investigation, decision quality, time, or accountability in practice?</w:t>
            </w:r>
          </w:p>
        </w:tc>
        <w:tc>
          <w:tcPr>
            <w:tcW w:w="3283" w:type="dxa"/>
            <w:shd w:val="clear" w:color="auto" w:fill="F6F9FB"/>
            <w:tcMar>
              <w:top w:w="70" w:type="dxa"/>
              <w:left w:w="100" w:type="dxa"/>
              <w:bottom w:w="70" w:type="dxa"/>
              <w:right w:w="100" w:type="dxa"/>
            </w:tcMar>
            <w:vAlign w:val="center"/>
          </w:tcPr>
          <w:p w14:paraId="2D66B8F9" w14:textId="77777777" w:rsidR="00DD60C8" w:rsidRDefault="00DD60C8" w:rsidP="00F96983">
            <w:pPr>
              <w:spacing w:after="0" w:line="240" w:lineRule="auto"/>
            </w:pPr>
            <w:r>
              <w:rPr>
                <w:rFonts w:ascii="Times New Roman" w:eastAsia="Times New Roman" w:hAnsi="Times New Roman"/>
                <w:color w:val="000000"/>
                <w:sz w:val="17"/>
              </w:rPr>
              <w:t>Operator studies, comparative workflows, incident outcomes</w:t>
            </w:r>
          </w:p>
        </w:tc>
      </w:tr>
    </w:tbl>
    <w:p w14:paraId="2D408681" w14:textId="77777777" w:rsidR="00DD60C8" w:rsidRDefault="00DD60C8" w:rsidP="00DD60C8">
      <w:pPr>
        <w:spacing w:after="20"/>
      </w:pPr>
    </w:p>
    <w:p w14:paraId="1F74D73C" w14:textId="77777777" w:rsidR="00DD60C8" w:rsidRDefault="00DD60C8" w:rsidP="00DD60C8">
      <w:pPr>
        <w:spacing w:after="94"/>
      </w:pPr>
      <w:r>
        <w:rPr>
          <w:rFonts w:ascii="Times New Roman" w:eastAsia="Times New Roman" w:hAnsi="Times New Roman"/>
          <w:color w:val="000000"/>
          <w:sz w:val="20"/>
        </w:rPr>
        <w:t xml:space="preserve">These layers answer </w:t>
      </w:r>
      <w:r>
        <w:rPr>
          <w:rFonts w:ascii="Times New Roman" w:eastAsia="Times New Roman" w:hAnsi="Times New Roman"/>
          <w:b/>
          <w:color w:val="000000"/>
          <w:sz w:val="20"/>
        </w:rPr>
        <w:t>what kind of evaluation is being performed</w:t>
      </w:r>
      <w:r>
        <w:rPr>
          <w:rFonts w:ascii="Times New Roman" w:eastAsia="Times New Roman" w:hAnsi="Times New Roman"/>
          <w:color w:val="000000"/>
          <w:sz w:val="20"/>
        </w:rPr>
        <w:t>. Passing one does not imply passing the next. A deterministic metric can fail construct validity. A discriminative measure can remain uncalibrated for production. A useful interface can violate preservation requirements.</w:t>
      </w:r>
    </w:p>
    <w:p w14:paraId="6071E080" w14:textId="77777777" w:rsidR="00DD60C8" w:rsidRDefault="00DD60C8" w:rsidP="00DD60C8">
      <w:pPr>
        <w:pStyle w:val="Heading2"/>
      </w:pPr>
      <w:r>
        <w:rPr>
          <w:rFonts w:ascii="Arial" w:eastAsia="Times New Roman" w:hAnsi="Arial"/>
          <w:color w:val="000000"/>
          <w:sz w:val="23"/>
        </w:rPr>
        <w:t>Six implementation conformance surfaces</w:t>
      </w:r>
    </w:p>
    <w:p w14:paraId="0BBE8830" w14:textId="77777777" w:rsidR="00DD60C8" w:rsidRDefault="00DD60C8" w:rsidP="00DD60C8">
      <w:pPr>
        <w:keepLines/>
        <w:spacing w:after="94"/>
      </w:pPr>
      <w:r>
        <w:rPr>
          <w:rFonts w:ascii="Times New Roman" w:eastAsia="Times New Roman" w:hAnsi="Times New Roman"/>
          <w:color w:val="000000"/>
          <w:sz w:val="20"/>
        </w:rPr>
        <w:t xml:space="preserve">The reference implementation also separates six surfaces that answer </w:t>
      </w:r>
      <w:r>
        <w:rPr>
          <w:rFonts w:ascii="Times New Roman" w:eastAsia="Times New Roman" w:hAnsi="Times New Roman"/>
          <w:b/>
          <w:color w:val="000000"/>
          <w:sz w:val="20"/>
        </w:rPr>
        <w:t>where conformance is being tested</w:t>
      </w:r>
      <w:r>
        <w:rPr>
          <w:rFonts w:ascii="Times New Roman" w:eastAsia="Times New Roman" w:hAnsi="Times New Roman"/>
          <w:color w:val="000000"/>
          <w:sz w:val="20"/>
        </w:rPr>
        <w:t>:</w:t>
      </w:r>
    </w:p>
    <w:p w14:paraId="277B4C51" w14:textId="77777777" w:rsidR="00DD60C8" w:rsidRDefault="00DD60C8" w:rsidP="00DD60C8">
      <w:pPr>
        <w:keepNext/>
        <w:spacing w:before="140" w:after="80"/>
      </w:pPr>
      <w:r>
        <w:rPr>
          <w:rFonts w:ascii="Times New Roman" w:eastAsia="Times New Roman" w:hAnsi="Times New Roman"/>
          <w:i/>
          <w:color w:val="66717C"/>
          <w:sz w:val="18"/>
        </w:rPr>
        <w:t>Table 9. Six implementation conformance surfaces.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5"/>
        <w:gridCol w:w="4536"/>
        <w:gridCol w:w="3168"/>
      </w:tblGrid>
      <w:tr w:rsidR="00DD60C8" w14:paraId="452984C9" w14:textId="77777777">
        <w:trPr>
          <w:cantSplit/>
          <w:tblHeader/>
          <w:jc w:val="center"/>
        </w:trPr>
        <w:tc>
          <w:tcPr>
            <w:tcW w:w="2015" w:type="dxa"/>
            <w:shd w:val="clear" w:color="auto" w:fill="17324D"/>
            <w:tcMar>
              <w:top w:w="70" w:type="dxa"/>
              <w:left w:w="100" w:type="dxa"/>
              <w:bottom w:w="70" w:type="dxa"/>
              <w:right w:w="100" w:type="dxa"/>
            </w:tcMar>
            <w:vAlign w:val="center"/>
          </w:tcPr>
          <w:p w14:paraId="402B7FB7" w14:textId="77777777" w:rsidR="00DD60C8" w:rsidRDefault="00DD60C8" w:rsidP="00F96983">
            <w:pPr>
              <w:spacing w:after="0" w:line="240" w:lineRule="auto"/>
            </w:pPr>
            <w:r>
              <w:rPr>
                <w:rFonts w:ascii="Arial" w:eastAsia="Times New Roman" w:hAnsi="Arial"/>
                <w:b/>
                <w:color w:val="FFFFFF"/>
                <w:sz w:val="17"/>
              </w:rPr>
              <w:t>Conformance surface</w:t>
            </w:r>
          </w:p>
        </w:tc>
        <w:tc>
          <w:tcPr>
            <w:tcW w:w="4536" w:type="dxa"/>
            <w:shd w:val="clear" w:color="auto" w:fill="17324D"/>
            <w:tcMar>
              <w:top w:w="70" w:type="dxa"/>
              <w:left w:w="100" w:type="dxa"/>
              <w:bottom w:w="70" w:type="dxa"/>
              <w:right w:w="100" w:type="dxa"/>
            </w:tcMar>
            <w:vAlign w:val="center"/>
          </w:tcPr>
          <w:p w14:paraId="5FCF6379" w14:textId="77777777" w:rsidR="00DD60C8" w:rsidRDefault="00DD60C8" w:rsidP="00F96983">
            <w:pPr>
              <w:spacing w:after="0" w:line="240" w:lineRule="auto"/>
            </w:pPr>
            <w:r>
              <w:rPr>
                <w:rFonts w:ascii="Arial" w:eastAsia="Times New Roman" w:hAnsi="Arial"/>
                <w:b/>
                <w:color w:val="FFFFFF"/>
                <w:sz w:val="17"/>
              </w:rPr>
              <w:t>What is tested</w:t>
            </w:r>
          </w:p>
        </w:tc>
        <w:tc>
          <w:tcPr>
            <w:tcW w:w="3168" w:type="dxa"/>
            <w:shd w:val="clear" w:color="auto" w:fill="17324D"/>
            <w:tcMar>
              <w:top w:w="70" w:type="dxa"/>
              <w:left w:w="100" w:type="dxa"/>
              <w:bottom w:w="70" w:type="dxa"/>
              <w:right w:w="100" w:type="dxa"/>
            </w:tcMar>
            <w:vAlign w:val="center"/>
          </w:tcPr>
          <w:p w14:paraId="32280A8D" w14:textId="77777777" w:rsidR="00DD60C8" w:rsidRDefault="00DD60C8" w:rsidP="00F96983">
            <w:pPr>
              <w:spacing w:after="0" w:line="240" w:lineRule="auto"/>
            </w:pPr>
            <w:r>
              <w:rPr>
                <w:rFonts w:ascii="Arial" w:eastAsia="Times New Roman" w:hAnsi="Arial"/>
                <w:b/>
                <w:color w:val="FFFFFF"/>
                <w:sz w:val="17"/>
              </w:rPr>
              <w:t>Representative evidence</w:t>
            </w:r>
          </w:p>
        </w:tc>
      </w:tr>
      <w:tr w:rsidR="00DD60C8" w14:paraId="1BEE6535" w14:textId="77777777">
        <w:trPr>
          <w:cantSplit/>
          <w:jc w:val="center"/>
        </w:trPr>
        <w:tc>
          <w:tcPr>
            <w:tcW w:w="2015" w:type="dxa"/>
            <w:shd w:val="clear" w:color="auto" w:fill="FFFFFF"/>
            <w:tcMar>
              <w:top w:w="70" w:type="dxa"/>
              <w:left w:w="100" w:type="dxa"/>
              <w:bottom w:w="70" w:type="dxa"/>
              <w:right w:w="100" w:type="dxa"/>
            </w:tcMar>
            <w:vAlign w:val="center"/>
          </w:tcPr>
          <w:p w14:paraId="64D7EA62" w14:textId="77777777" w:rsidR="00DD60C8" w:rsidRDefault="00DD60C8" w:rsidP="00F96983">
            <w:pPr>
              <w:spacing w:after="0" w:line="240" w:lineRule="auto"/>
            </w:pPr>
            <w:r>
              <w:rPr>
                <w:rFonts w:ascii="Times New Roman" w:eastAsia="Times New Roman" w:hAnsi="Times New Roman"/>
                <w:color w:val="000000"/>
                <w:sz w:val="17"/>
              </w:rPr>
              <w:t>Source conformance</w:t>
            </w:r>
          </w:p>
        </w:tc>
        <w:tc>
          <w:tcPr>
            <w:tcW w:w="4536" w:type="dxa"/>
            <w:shd w:val="clear" w:color="auto" w:fill="FFFFFF"/>
            <w:tcMar>
              <w:top w:w="70" w:type="dxa"/>
              <w:left w:w="100" w:type="dxa"/>
              <w:bottom w:w="70" w:type="dxa"/>
              <w:right w:w="100" w:type="dxa"/>
            </w:tcMar>
            <w:vAlign w:val="center"/>
          </w:tcPr>
          <w:p w14:paraId="4A47A9DC" w14:textId="77777777" w:rsidR="00DD60C8" w:rsidRDefault="00DD60C8" w:rsidP="00F96983">
            <w:pPr>
              <w:spacing w:after="0" w:line="240" w:lineRule="auto"/>
            </w:pPr>
            <w:r>
              <w:rPr>
                <w:rFonts w:ascii="Times New Roman" w:eastAsia="Times New Roman" w:hAnsi="Times New Roman"/>
                <w:color w:val="000000"/>
                <w:sz w:val="17"/>
              </w:rPr>
              <w:t>Preservation, qualification, adapter selection, role and event mapping, ordering, and source binding</w:t>
            </w:r>
          </w:p>
        </w:tc>
        <w:tc>
          <w:tcPr>
            <w:tcW w:w="3168" w:type="dxa"/>
            <w:shd w:val="clear" w:color="auto" w:fill="FFFFFF"/>
            <w:tcMar>
              <w:top w:w="70" w:type="dxa"/>
              <w:left w:w="100" w:type="dxa"/>
              <w:bottom w:w="70" w:type="dxa"/>
              <w:right w:w="100" w:type="dxa"/>
            </w:tcMar>
            <w:vAlign w:val="center"/>
          </w:tcPr>
          <w:p w14:paraId="3A4C4B38" w14:textId="77777777" w:rsidR="00DD60C8" w:rsidRDefault="00DD60C8" w:rsidP="00F96983">
            <w:pPr>
              <w:spacing w:after="0" w:line="240" w:lineRule="auto"/>
            </w:pPr>
            <w:r>
              <w:rPr>
                <w:rFonts w:ascii="Times New Roman" w:eastAsia="Times New Roman" w:hAnsi="Times New Roman"/>
                <w:color w:val="000000"/>
                <w:sz w:val="17"/>
              </w:rPr>
              <w:t>Bound source, qualification record, adapter provenance, source spans</w:t>
            </w:r>
          </w:p>
        </w:tc>
      </w:tr>
      <w:tr w:rsidR="00DD60C8" w14:paraId="3EB934FE" w14:textId="77777777">
        <w:trPr>
          <w:cantSplit/>
          <w:jc w:val="center"/>
        </w:trPr>
        <w:tc>
          <w:tcPr>
            <w:tcW w:w="2015" w:type="dxa"/>
            <w:shd w:val="clear" w:color="auto" w:fill="F6F9FB"/>
            <w:tcMar>
              <w:top w:w="70" w:type="dxa"/>
              <w:left w:w="100" w:type="dxa"/>
              <w:bottom w:w="70" w:type="dxa"/>
              <w:right w:w="100" w:type="dxa"/>
            </w:tcMar>
            <w:vAlign w:val="center"/>
          </w:tcPr>
          <w:p w14:paraId="23AD6F22" w14:textId="77777777" w:rsidR="00DD60C8" w:rsidRDefault="00DD60C8" w:rsidP="00F96983">
            <w:pPr>
              <w:spacing w:after="0" w:line="240" w:lineRule="auto"/>
            </w:pPr>
            <w:r>
              <w:rPr>
                <w:rFonts w:ascii="Times New Roman" w:eastAsia="Times New Roman" w:hAnsi="Times New Roman"/>
                <w:color w:val="000000"/>
                <w:sz w:val="17"/>
              </w:rPr>
              <w:t>Computational conformance</w:t>
            </w:r>
          </w:p>
        </w:tc>
        <w:tc>
          <w:tcPr>
            <w:tcW w:w="4536" w:type="dxa"/>
            <w:shd w:val="clear" w:color="auto" w:fill="F6F9FB"/>
            <w:tcMar>
              <w:top w:w="70" w:type="dxa"/>
              <w:left w:w="100" w:type="dxa"/>
              <w:bottom w:w="70" w:type="dxa"/>
              <w:right w:w="100" w:type="dxa"/>
            </w:tcMar>
            <w:vAlign w:val="center"/>
          </w:tcPr>
          <w:p w14:paraId="4F8D2CC3" w14:textId="77777777" w:rsidR="00DD60C8" w:rsidRDefault="00DD60C8" w:rsidP="00F96983">
            <w:pPr>
              <w:spacing w:after="0" w:line="240" w:lineRule="auto"/>
            </w:pPr>
            <w:r>
              <w:rPr>
                <w:rFonts w:ascii="Times New Roman" w:eastAsia="Times New Roman" w:hAnsi="Times New Roman"/>
                <w:color w:val="000000"/>
                <w:sz w:val="17"/>
              </w:rPr>
              <w:t>Methods, parameters, thresholds, dependencies, eligible horizons, precision, determinism, and missingness</w:t>
            </w:r>
          </w:p>
        </w:tc>
        <w:tc>
          <w:tcPr>
            <w:tcW w:w="3168" w:type="dxa"/>
            <w:shd w:val="clear" w:color="auto" w:fill="F6F9FB"/>
            <w:tcMar>
              <w:top w:w="70" w:type="dxa"/>
              <w:left w:w="100" w:type="dxa"/>
              <w:bottom w:w="70" w:type="dxa"/>
              <w:right w:w="100" w:type="dxa"/>
            </w:tcMar>
            <w:vAlign w:val="center"/>
          </w:tcPr>
          <w:p w14:paraId="75FB24A1" w14:textId="77777777" w:rsidR="00DD60C8" w:rsidRDefault="00DD60C8" w:rsidP="00F96983">
            <w:pPr>
              <w:spacing w:after="0" w:line="240" w:lineRule="auto"/>
            </w:pPr>
            <w:r>
              <w:rPr>
                <w:rFonts w:ascii="Times New Roman" w:eastAsia="Times New Roman" w:hAnsi="Times New Roman"/>
                <w:color w:val="000000"/>
                <w:sz w:val="17"/>
              </w:rPr>
              <w:t>Method registry, version manifest, replay comparison, dependency graph</w:t>
            </w:r>
          </w:p>
        </w:tc>
      </w:tr>
      <w:tr w:rsidR="00DD60C8" w14:paraId="7E2B37E1" w14:textId="77777777">
        <w:trPr>
          <w:cantSplit/>
          <w:jc w:val="center"/>
        </w:trPr>
        <w:tc>
          <w:tcPr>
            <w:tcW w:w="2015" w:type="dxa"/>
            <w:shd w:val="clear" w:color="auto" w:fill="FFFFFF"/>
            <w:tcMar>
              <w:top w:w="70" w:type="dxa"/>
              <w:left w:w="100" w:type="dxa"/>
              <w:bottom w:w="70" w:type="dxa"/>
              <w:right w:w="100" w:type="dxa"/>
            </w:tcMar>
            <w:vAlign w:val="center"/>
          </w:tcPr>
          <w:p w14:paraId="6232BB87" w14:textId="77777777" w:rsidR="00DD60C8" w:rsidRDefault="00DD60C8" w:rsidP="00F96983">
            <w:pPr>
              <w:spacing w:after="0" w:line="240" w:lineRule="auto"/>
            </w:pPr>
            <w:r>
              <w:rPr>
                <w:rFonts w:ascii="Times New Roman" w:eastAsia="Times New Roman" w:hAnsi="Times New Roman"/>
                <w:color w:val="000000"/>
                <w:sz w:val="17"/>
              </w:rPr>
              <w:t>Object conformance</w:t>
            </w:r>
          </w:p>
        </w:tc>
        <w:tc>
          <w:tcPr>
            <w:tcW w:w="4536" w:type="dxa"/>
            <w:shd w:val="clear" w:color="auto" w:fill="FFFFFF"/>
            <w:tcMar>
              <w:top w:w="70" w:type="dxa"/>
              <w:left w:w="100" w:type="dxa"/>
              <w:bottom w:w="70" w:type="dxa"/>
              <w:right w:w="100" w:type="dxa"/>
            </w:tcMar>
            <w:vAlign w:val="center"/>
          </w:tcPr>
          <w:p w14:paraId="4F512047" w14:textId="77777777" w:rsidR="00DD60C8" w:rsidRDefault="00DD60C8" w:rsidP="00F96983">
            <w:pPr>
              <w:spacing w:after="0" w:line="240" w:lineRule="auto"/>
            </w:pPr>
            <w:r>
              <w:rPr>
                <w:rFonts w:ascii="Times New Roman" w:eastAsia="Times New Roman" w:hAnsi="Times New Roman"/>
                <w:color w:val="000000"/>
                <w:sz w:val="17"/>
              </w:rPr>
              <w:t>Presence and schema validity of runtime, evidence, claim, finding, Passport, Seal, and challenge objects</w:t>
            </w:r>
          </w:p>
        </w:tc>
        <w:tc>
          <w:tcPr>
            <w:tcW w:w="3168" w:type="dxa"/>
            <w:shd w:val="clear" w:color="auto" w:fill="FFFFFF"/>
            <w:tcMar>
              <w:top w:w="70" w:type="dxa"/>
              <w:left w:w="100" w:type="dxa"/>
              <w:bottom w:w="70" w:type="dxa"/>
              <w:right w:w="100" w:type="dxa"/>
            </w:tcMar>
            <w:vAlign w:val="center"/>
          </w:tcPr>
          <w:p w14:paraId="765035C2" w14:textId="77777777" w:rsidR="00DD60C8" w:rsidRDefault="00DD60C8" w:rsidP="00F96983">
            <w:pPr>
              <w:spacing w:after="0" w:line="240" w:lineRule="auto"/>
            </w:pPr>
            <w:r>
              <w:rPr>
                <w:rFonts w:ascii="Times New Roman" w:eastAsia="Times New Roman" w:hAnsi="Times New Roman"/>
                <w:color w:val="000000"/>
                <w:sz w:val="17"/>
              </w:rPr>
              <w:t>Schema validation and required-field tests</w:t>
            </w:r>
          </w:p>
        </w:tc>
      </w:tr>
      <w:tr w:rsidR="00DD60C8" w14:paraId="004CEDC0" w14:textId="77777777">
        <w:trPr>
          <w:cantSplit/>
          <w:jc w:val="center"/>
        </w:trPr>
        <w:tc>
          <w:tcPr>
            <w:tcW w:w="2015" w:type="dxa"/>
            <w:shd w:val="clear" w:color="auto" w:fill="F6F9FB"/>
            <w:tcMar>
              <w:top w:w="70" w:type="dxa"/>
              <w:left w:w="100" w:type="dxa"/>
              <w:bottom w:w="70" w:type="dxa"/>
              <w:right w:w="100" w:type="dxa"/>
            </w:tcMar>
            <w:vAlign w:val="center"/>
          </w:tcPr>
          <w:p w14:paraId="5B0B9BDD" w14:textId="77777777" w:rsidR="00DD60C8" w:rsidRDefault="00DD60C8" w:rsidP="00F96983">
            <w:pPr>
              <w:spacing w:after="0" w:line="240" w:lineRule="auto"/>
            </w:pPr>
            <w:r>
              <w:rPr>
                <w:rFonts w:ascii="Times New Roman" w:eastAsia="Times New Roman" w:hAnsi="Times New Roman"/>
                <w:color w:val="000000"/>
                <w:sz w:val="17"/>
              </w:rPr>
              <w:t>Authority conformance</w:t>
            </w:r>
          </w:p>
        </w:tc>
        <w:tc>
          <w:tcPr>
            <w:tcW w:w="4536" w:type="dxa"/>
            <w:shd w:val="clear" w:color="auto" w:fill="F6F9FB"/>
            <w:tcMar>
              <w:top w:w="70" w:type="dxa"/>
              <w:left w:w="100" w:type="dxa"/>
              <w:bottom w:w="70" w:type="dxa"/>
              <w:right w:w="100" w:type="dxa"/>
            </w:tcMar>
            <w:vAlign w:val="center"/>
          </w:tcPr>
          <w:p w14:paraId="67674121" w14:textId="77777777" w:rsidR="00DD60C8" w:rsidRDefault="00DD60C8" w:rsidP="00F96983">
            <w:pPr>
              <w:spacing w:after="0" w:line="240" w:lineRule="auto"/>
            </w:pPr>
            <w:r>
              <w:rPr>
                <w:rFonts w:ascii="Times New Roman" w:eastAsia="Times New Roman" w:hAnsi="Times New Roman"/>
                <w:color w:val="000000"/>
                <w:sz w:val="17"/>
              </w:rPr>
              <w:t>Resolution of authoritative outputs to one eligible evidence authority and claim boundary</w:t>
            </w:r>
          </w:p>
        </w:tc>
        <w:tc>
          <w:tcPr>
            <w:tcW w:w="3168" w:type="dxa"/>
            <w:shd w:val="clear" w:color="auto" w:fill="F6F9FB"/>
            <w:tcMar>
              <w:top w:w="70" w:type="dxa"/>
              <w:left w:w="100" w:type="dxa"/>
              <w:bottom w:w="70" w:type="dxa"/>
              <w:right w:w="100" w:type="dxa"/>
            </w:tcMar>
            <w:vAlign w:val="center"/>
          </w:tcPr>
          <w:p w14:paraId="7F3A72A4" w14:textId="77777777" w:rsidR="00DD60C8" w:rsidRDefault="00DD60C8" w:rsidP="00F96983">
            <w:pPr>
              <w:spacing w:after="0" w:line="240" w:lineRule="auto"/>
            </w:pPr>
            <w:r>
              <w:rPr>
                <w:rFonts w:ascii="Times New Roman" w:eastAsia="Times New Roman" w:hAnsi="Times New Roman"/>
                <w:color w:val="000000"/>
                <w:sz w:val="17"/>
              </w:rPr>
              <w:t>Authority-graph traversal, contradiction guards, surface bindings</w:t>
            </w:r>
          </w:p>
        </w:tc>
      </w:tr>
      <w:tr w:rsidR="00DD60C8" w14:paraId="314B2576" w14:textId="77777777">
        <w:trPr>
          <w:cantSplit/>
          <w:jc w:val="center"/>
        </w:trPr>
        <w:tc>
          <w:tcPr>
            <w:tcW w:w="2015" w:type="dxa"/>
            <w:shd w:val="clear" w:color="auto" w:fill="FFFFFF"/>
            <w:tcMar>
              <w:top w:w="70" w:type="dxa"/>
              <w:left w:w="100" w:type="dxa"/>
              <w:bottom w:w="70" w:type="dxa"/>
              <w:right w:w="100" w:type="dxa"/>
            </w:tcMar>
            <w:vAlign w:val="center"/>
          </w:tcPr>
          <w:p w14:paraId="22498F15" w14:textId="77777777" w:rsidR="00DD60C8" w:rsidRDefault="00DD60C8" w:rsidP="00F96983">
            <w:pPr>
              <w:spacing w:after="0" w:line="240" w:lineRule="auto"/>
            </w:pPr>
            <w:r>
              <w:rPr>
                <w:rFonts w:ascii="Times New Roman" w:eastAsia="Times New Roman" w:hAnsi="Times New Roman"/>
                <w:color w:val="000000"/>
                <w:sz w:val="17"/>
              </w:rPr>
              <w:t>Artifact conformance</w:t>
            </w:r>
          </w:p>
        </w:tc>
        <w:tc>
          <w:tcPr>
            <w:tcW w:w="4536" w:type="dxa"/>
            <w:shd w:val="clear" w:color="auto" w:fill="FFFFFF"/>
            <w:tcMar>
              <w:top w:w="70" w:type="dxa"/>
              <w:left w:w="100" w:type="dxa"/>
              <w:bottom w:w="70" w:type="dxa"/>
              <w:right w:w="100" w:type="dxa"/>
            </w:tcMar>
            <w:vAlign w:val="center"/>
          </w:tcPr>
          <w:p w14:paraId="7B02D22C" w14:textId="77777777" w:rsidR="00DD60C8" w:rsidRDefault="00DD60C8" w:rsidP="00F96983">
            <w:pPr>
              <w:spacing w:after="0" w:line="240" w:lineRule="auto"/>
            </w:pPr>
            <w:r>
              <w:rPr>
                <w:rFonts w:ascii="Times New Roman" w:eastAsia="Times New Roman" w:hAnsi="Times New Roman"/>
                <w:color w:val="000000"/>
                <w:sz w:val="17"/>
              </w:rPr>
              <w:t>Preservation of identifiers, hashes, versions, omissions, status, lineage, and round-trip semantics</w:t>
            </w:r>
          </w:p>
        </w:tc>
        <w:tc>
          <w:tcPr>
            <w:tcW w:w="3168" w:type="dxa"/>
            <w:shd w:val="clear" w:color="auto" w:fill="FFFFFF"/>
            <w:tcMar>
              <w:top w:w="70" w:type="dxa"/>
              <w:left w:w="100" w:type="dxa"/>
              <w:bottom w:w="70" w:type="dxa"/>
              <w:right w:w="100" w:type="dxa"/>
            </w:tcMar>
            <w:vAlign w:val="center"/>
          </w:tcPr>
          <w:p w14:paraId="3645DD64" w14:textId="77777777" w:rsidR="00DD60C8" w:rsidRDefault="00DD60C8" w:rsidP="00F96983">
            <w:pPr>
              <w:spacing w:after="0" w:line="240" w:lineRule="auto"/>
            </w:pPr>
            <w:r>
              <w:rPr>
                <w:rFonts w:ascii="Times New Roman" w:eastAsia="Times New Roman" w:hAnsi="Times New Roman"/>
                <w:color w:val="000000"/>
                <w:sz w:val="17"/>
              </w:rPr>
              <w:t>Manifest checks, export and re-import comparison</w:t>
            </w:r>
          </w:p>
        </w:tc>
      </w:tr>
      <w:tr w:rsidR="00DD60C8" w14:paraId="47D9B8CC" w14:textId="77777777">
        <w:trPr>
          <w:cantSplit/>
          <w:jc w:val="center"/>
        </w:trPr>
        <w:tc>
          <w:tcPr>
            <w:tcW w:w="2015" w:type="dxa"/>
            <w:shd w:val="clear" w:color="auto" w:fill="F6F9FB"/>
            <w:tcMar>
              <w:top w:w="70" w:type="dxa"/>
              <w:left w:w="100" w:type="dxa"/>
              <w:bottom w:w="70" w:type="dxa"/>
              <w:right w:w="100" w:type="dxa"/>
            </w:tcMar>
            <w:vAlign w:val="center"/>
          </w:tcPr>
          <w:p w14:paraId="2AE8FB6E" w14:textId="77777777" w:rsidR="00DD60C8" w:rsidRDefault="00DD60C8" w:rsidP="00F96983">
            <w:pPr>
              <w:spacing w:after="0" w:line="240" w:lineRule="auto"/>
            </w:pPr>
            <w:r>
              <w:rPr>
                <w:rFonts w:ascii="Times New Roman" w:eastAsia="Times New Roman" w:hAnsi="Times New Roman"/>
                <w:color w:val="000000"/>
                <w:sz w:val="17"/>
              </w:rPr>
              <w:t>Validation conformance</w:t>
            </w:r>
          </w:p>
        </w:tc>
        <w:tc>
          <w:tcPr>
            <w:tcW w:w="4536" w:type="dxa"/>
            <w:shd w:val="clear" w:color="auto" w:fill="F6F9FB"/>
            <w:tcMar>
              <w:top w:w="70" w:type="dxa"/>
              <w:left w:w="100" w:type="dxa"/>
              <w:bottom w:w="70" w:type="dxa"/>
              <w:right w:w="100" w:type="dxa"/>
            </w:tcMar>
            <w:vAlign w:val="center"/>
          </w:tcPr>
          <w:p w14:paraId="47028373" w14:textId="77777777" w:rsidR="00DD60C8" w:rsidRDefault="00DD60C8" w:rsidP="00F96983">
            <w:pPr>
              <w:spacing w:after="0" w:line="240" w:lineRule="auto"/>
            </w:pPr>
            <w:r>
              <w:rPr>
                <w:rFonts w:ascii="Times New Roman" w:eastAsia="Times New Roman" w:hAnsi="Times New Roman"/>
                <w:color w:val="000000"/>
                <w:sz w:val="17"/>
              </w:rPr>
              <w:t>Binding of fixtures, expected outcomes, test environments, pass rules, and discrepancy states</w:t>
            </w:r>
          </w:p>
        </w:tc>
        <w:tc>
          <w:tcPr>
            <w:tcW w:w="3168" w:type="dxa"/>
            <w:shd w:val="clear" w:color="auto" w:fill="F6F9FB"/>
            <w:tcMar>
              <w:top w:w="70" w:type="dxa"/>
              <w:left w:w="100" w:type="dxa"/>
              <w:bottom w:w="70" w:type="dxa"/>
              <w:right w:w="100" w:type="dxa"/>
            </w:tcMar>
            <w:vAlign w:val="center"/>
          </w:tcPr>
          <w:p w14:paraId="4679C079" w14:textId="77777777" w:rsidR="00DD60C8" w:rsidRDefault="00DD60C8" w:rsidP="00F96983">
            <w:pPr>
              <w:spacing w:after="0" w:line="240" w:lineRule="auto"/>
            </w:pPr>
            <w:r>
              <w:rPr>
                <w:rFonts w:ascii="Times New Roman" w:eastAsia="Times New Roman" w:hAnsi="Times New Roman"/>
                <w:color w:val="000000"/>
                <w:sz w:val="17"/>
              </w:rPr>
              <w:t>Validation Comparison Records, negative controls, release reports</w:t>
            </w:r>
          </w:p>
        </w:tc>
      </w:tr>
    </w:tbl>
    <w:p w14:paraId="069357F5" w14:textId="77777777" w:rsidR="00DD60C8" w:rsidRDefault="00DD60C8" w:rsidP="00DD60C8">
      <w:pPr>
        <w:spacing w:after="20"/>
      </w:pPr>
    </w:p>
    <w:p w14:paraId="5DA2106B" w14:textId="77777777" w:rsidR="00DD60C8" w:rsidRDefault="00DD60C8" w:rsidP="00DD60C8">
      <w:pPr>
        <w:spacing w:after="94"/>
      </w:pPr>
      <w:r>
        <w:rPr>
          <w:rFonts w:ascii="Times New Roman" w:eastAsia="Times New Roman" w:hAnsi="Times New Roman"/>
          <w:color w:val="000000"/>
          <w:sz w:val="20"/>
        </w:rPr>
        <w:t>The four evaluation layers and six conformance surfaces are orthogonal. A study may test measurement validity on the computational surface, architectural conformance on the authority and artifact surfaces, or operational usefulness on presentation and investigation surfaces. Reporting should identify both the evaluation layer and the implementation surface.</w:t>
      </w:r>
    </w:p>
    <w:p w14:paraId="2D5CBE7A" w14:textId="77777777" w:rsidR="00DD60C8" w:rsidRDefault="00DD60C8" w:rsidP="00DD60C8">
      <w:pPr>
        <w:pStyle w:val="Heading2"/>
      </w:pPr>
      <w:r>
        <w:rPr>
          <w:rFonts w:ascii="Arial" w:eastAsia="Times New Roman" w:hAnsi="Arial"/>
          <w:color w:val="000000"/>
          <w:sz w:val="23"/>
        </w:rPr>
        <w:t>Minimum conformance tests</w:t>
      </w:r>
    </w:p>
    <w:p w14:paraId="5A040D7C" w14:textId="77777777" w:rsidR="00DD60C8" w:rsidRDefault="00DD60C8" w:rsidP="00DD60C8">
      <w:pPr>
        <w:keepLines/>
        <w:spacing w:after="94"/>
      </w:pPr>
      <w:r>
        <w:rPr>
          <w:rFonts w:ascii="Times New Roman" w:eastAsia="Times New Roman" w:hAnsi="Times New Roman"/>
          <w:color w:val="000000"/>
          <w:sz w:val="20"/>
        </w:rPr>
        <w:t>A conforming implementation should pass the following test families:</w:t>
      </w:r>
    </w:p>
    <w:p w14:paraId="68862C9B" w14:textId="77777777" w:rsidR="00DD60C8" w:rsidRDefault="00DD60C8" w:rsidP="00DD60C8">
      <w:pPr>
        <w:spacing w:after="60"/>
        <w:ind w:left="432" w:right="230" w:hanging="173"/>
      </w:pPr>
      <w:r>
        <w:rPr>
          <w:rFonts w:ascii="Times New Roman" w:eastAsia="Times New Roman" w:hAnsi="Times New Roman"/>
          <w:b/>
          <w:color w:val="000000"/>
          <w:sz w:val="19"/>
        </w:rPr>
        <w:t>1. Source-span traceability:</w:t>
      </w:r>
      <w:r>
        <w:rPr>
          <w:rFonts w:ascii="Times New Roman" w:eastAsia="Times New Roman" w:hAnsi="Times New Roman"/>
          <w:color w:val="000000"/>
          <w:sz w:val="19"/>
        </w:rPr>
        <w:t xml:space="preserve"> sample every authoritative claim and traverse it to qualified sources or admitted parents.</w:t>
      </w:r>
    </w:p>
    <w:p w14:paraId="7E6A18FC" w14:textId="77777777" w:rsidR="00DD60C8" w:rsidRDefault="00DD60C8" w:rsidP="00DD60C8">
      <w:pPr>
        <w:spacing w:after="60"/>
        <w:ind w:left="432" w:right="230" w:hanging="173"/>
      </w:pPr>
      <w:r>
        <w:rPr>
          <w:rFonts w:ascii="Times New Roman" w:eastAsia="Times New Roman" w:hAnsi="Times New Roman"/>
          <w:b/>
          <w:color w:val="000000"/>
          <w:sz w:val="19"/>
        </w:rPr>
        <w:t>2. Deterministic-core recomputation:</w:t>
      </w:r>
      <w:r>
        <w:rPr>
          <w:rFonts w:ascii="Times New Roman" w:eastAsia="Times New Roman" w:hAnsi="Times New Roman"/>
          <w:color w:val="000000"/>
          <w:sz w:val="19"/>
        </w:rPr>
        <w:t xml:space="preserve"> recompute fixed evidence and contract inputs across clean runs and compare canonical identities and claim outputs.</w:t>
      </w:r>
    </w:p>
    <w:p w14:paraId="474D8437" w14:textId="77777777" w:rsidR="00DD60C8" w:rsidRDefault="00DD60C8" w:rsidP="00DD60C8">
      <w:pPr>
        <w:spacing w:after="60"/>
        <w:ind w:left="432" w:right="230" w:hanging="173"/>
      </w:pPr>
      <w:r>
        <w:rPr>
          <w:rFonts w:ascii="Times New Roman" w:eastAsia="Times New Roman" w:hAnsi="Times New Roman"/>
          <w:b/>
          <w:color w:val="000000"/>
          <w:sz w:val="19"/>
        </w:rPr>
        <w:t>3. Policy rejection:</w:t>
      </w:r>
      <w:r>
        <w:rPr>
          <w:rFonts w:ascii="Times New Roman" w:eastAsia="Times New Roman" w:hAnsi="Times New Roman"/>
          <w:color w:val="000000"/>
          <w:sz w:val="19"/>
        </w:rPr>
        <w:t xml:space="preserve"> supply inputs that fail claim requirements and verify explicit non-admission rather than fallback invention.</w:t>
      </w:r>
    </w:p>
    <w:p w14:paraId="03D617D0" w14:textId="77777777" w:rsidR="00DD60C8" w:rsidRDefault="00DD60C8" w:rsidP="00DD60C8">
      <w:pPr>
        <w:spacing w:after="60"/>
        <w:ind w:left="432" w:right="230" w:hanging="173"/>
      </w:pPr>
      <w:r>
        <w:rPr>
          <w:rFonts w:ascii="Times New Roman" w:eastAsia="Times New Roman" w:hAnsi="Times New Roman"/>
          <w:b/>
          <w:color w:val="000000"/>
          <w:sz w:val="19"/>
        </w:rPr>
        <w:t>4. Projection congruence:</w:t>
      </w:r>
      <w:r>
        <w:rPr>
          <w:rFonts w:ascii="Times New Roman" w:eastAsia="Times New Roman" w:hAnsi="Times New Roman"/>
          <w:color w:val="000000"/>
          <w:sz w:val="19"/>
        </w:rPr>
        <w:t xml:space="preserve"> compare claims expressed across instruments, briefs, APIs, and exports.</w:t>
      </w:r>
    </w:p>
    <w:p w14:paraId="475C3445" w14:textId="77777777" w:rsidR="00DD60C8" w:rsidRDefault="00DD60C8" w:rsidP="00DD60C8">
      <w:pPr>
        <w:spacing w:after="60"/>
        <w:ind w:left="432" w:right="230" w:hanging="173"/>
      </w:pPr>
      <w:r>
        <w:rPr>
          <w:rFonts w:ascii="Times New Roman" w:eastAsia="Times New Roman" w:hAnsi="Times New Roman"/>
          <w:b/>
          <w:color w:val="000000"/>
          <w:sz w:val="19"/>
        </w:rPr>
        <w:t>5. Surface Binding Audit:</w:t>
      </w:r>
      <w:r>
        <w:rPr>
          <w:rFonts w:ascii="Times New Roman" w:eastAsia="Times New Roman" w:hAnsi="Times New Roman"/>
          <w:color w:val="000000"/>
          <w:sz w:val="19"/>
        </w:rPr>
        <w:t xml:space="preserve"> enumerate authoritative visible and machine-readable outputs and validate their bindings.</w:t>
      </w:r>
    </w:p>
    <w:p w14:paraId="374E0D43" w14:textId="77777777" w:rsidR="00DD60C8" w:rsidRDefault="00DD60C8" w:rsidP="00DD60C8">
      <w:pPr>
        <w:spacing w:after="60"/>
        <w:ind w:left="432" w:right="230" w:hanging="173"/>
      </w:pPr>
      <w:r>
        <w:rPr>
          <w:rFonts w:ascii="Times New Roman" w:eastAsia="Times New Roman" w:hAnsi="Times New Roman"/>
          <w:b/>
          <w:color w:val="000000"/>
          <w:sz w:val="19"/>
        </w:rPr>
        <w:t>6. Missingness differentiation:</w:t>
      </w:r>
      <w:r>
        <w:rPr>
          <w:rFonts w:ascii="Times New Roman" w:eastAsia="Times New Roman" w:hAnsi="Times New Roman"/>
          <w:color w:val="000000"/>
          <w:sz w:val="19"/>
        </w:rPr>
        <w:t xml:space="preserve"> remove or corrupt required fields and verify distinct absence and conflict states.</w:t>
      </w:r>
    </w:p>
    <w:p w14:paraId="485FA725" w14:textId="77777777" w:rsidR="00DD60C8" w:rsidRDefault="00DD60C8" w:rsidP="00DD60C8">
      <w:pPr>
        <w:spacing w:after="60"/>
        <w:ind w:left="432" w:right="230" w:hanging="173"/>
      </w:pPr>
      <w:r>
        <w:rPr>
          <w:rFonts w:ascii="Times New Roman" w:eastAsia="Times New Roman" w:hAnsi="Times New Roman"/>
          <w:b/>
          <w:color w:val="000000"/>
          <w:sz w:val="19"/>
        </w:rPr>
        <w:t>7. Temporal leakage test:</w:t>
      </w:r>
      <w:r>
        <w:rPr>
          <w:rFonts w:ascii="Times New Roman" w:eastAsia="Times New Roman" w:hAnsi="Times New Roman"/>
          <w:color w:val="000000"/>
          <w:sz w:val="19"/>
        </w:rPr>
        <w:t xml:space="preserve"> confirm that an output asserted at time </w:t>
      </w:r>
      <w:r>
        <w:rPr>
          <w:rFonts w:ascii="Times New Roman" w:eastAsia="Times New Roman" w:hAnsi="Times New Roman"/>
          <w:b/>
          <w:color w:val="000000"/>
          <w:sz w:val="19"/>
        </w:rPr>
        <w:t>t</w:t>
      </w:r>
      <w:r>
        <w:rPr>
          <w:rFonts w:ascii="Times New Roman" w:eastAsia="Times New Roman" w:hAnsi="Times New Roman"/>
          <w:color w:val="000000"/>
          <w:sz w:val="19"/>
        </w:rPr>
        <w:t xml:space="preserve"> does not depend on evidence available only after </w:t>
      </w:r>
      <w:r>
        <w:rPr>
          <w:rFonts w:ascii="Times New Roman" w:eastAsia="Times New Roman" w:hAnsi="Times New Roman"/>
          <w:b/>
          <w:color w:val="000000"/>
          <w:sz w:val="19"/>
        </w:rPr>
        <w:t>t</w:t>
      </w:r>
      <w:r>
        <w:rPr>
          <w:rFonts w:ascii="Times New Roman" w:eastAsia="Times New Roman" w:hAnsi="Times New Roman"/>
          <w:color w:val="000000"/>
          <w:sz w:val="19"/>
        </w:rPr>
        <w:t>, unless labeled retrospective.</w:t>
      </w:r>
    </w:p>
    <w:p w14:paraId="189C0E2F" w14:textId="77777777" w:rsidR="00DD60C8" w:rsidRDefault="00DD60C8" w:rsidP="00DD60C8">
      <w:pPr>
        <w:spacing w:after="60"/>
        <w:ind w:left="432" w:right="230" w:hanging="173"/>
      </w:pPr>
      <w:r>
        <w:rPr>
          <w:rFonts w:ascii="Times New Roman" w:eastAsia="Times New Roman" w:hAnsi="Times New Roman"/>
          <w:b/>
          <w:color w:val="000000"/>
          <w:sz w:val="19"/>
        </w:rPr>
        <w:t>8. Version separation:</w:t>
      </w:r>
      <w:r>
        <w:rPr>
          <w:rFonts w:ascii="Times New Roman" w:eastAsia="Times New Roman" w:hAnsi="Times New Roman"/>
          <w:color w:val="000000"/>
          <w:sz w:val="19"/>
        </w:rPr>
        <w:t xml:space="preserve"> alter evidence, method, and policy independently and verify distinguishable identities and retained lineage.</w:t>
      </w:r>
    </w:p>
    <w:p w14:paraId="35D8EF73" w14:textId="77777777" w:rsidR="00DD60C8" w:rsidRDefault="00DD60C8" w:rsidP="00DD60C8">
      <w:pPr>
        <w:spacing w:after="60"/>
        <w:ind w:left="432" w:right="230" w:hanging="173"/>
      </w:pPr>
      <w:r>
        <w:rPr>
          <w:rFonts w:ascii="Times New Roman" w:eastAsia="Times New Roman" w:hAnsi="Times New Roman"/>
          <w:b/>
          <w:color w:val="000000"/>
          <w:sz w:val="19"/>
        </w:rPr>
        <w:t>9. Export round trip:</w:t>
      </w:r>
      <w:r>
        <w:rPr>
          <w:rFonts w:ascii="Times New Roman" w:eastAsia="Times New Roman" w:hAnsi="Times New Roman"/>
          <w:color w:val="000000"/>
          <w:sz w:val="19"/>
        </w:rPr>
        <w:t xml:space="preserve"> export, re-import, and compare the authoritative core, claim status, Passport, Evidence Seal, and disclosed redactions.</w:t>
      </w:r>
    </w:p>
    <w:p w14:paraId="5E66E877" w14:textId="77777777" w:rsidR="00DD60C8" w:rsidRDefault="00DD60C8" w:rsidP="00DD60C8">
      <w:pPr>
        <w:spacing w:after="60"/>
        <w:ind w:left="432" w:right="230" w:hanging="173"/>
      </w:pPr>
      <w:r>
        <w:rPr>
          <w:rFonts w:ascii="Times New Roman" w:eastAsia="Times New Roman" w:hAnsi="Times New Roman"/>
          <w:b/>
          <w:color w:val="000000"/>
          <w:sz w:val="19"/>
        </w:rPr>
        <w:t>10. Challenge propagation:</w:t>
      </w:r>
      <w:r>
        <w:rPr>
          <w:rFonts w:ascii="Times New Roman" w:eastAsia="Times New Roman" w:hAnsi="Times New Roman"/>
          <w:color w:val="000000"/>
          <w:sz w:val="19"/>
        </w:rPr>
        <w:t xml:space="preserve"> attach a challenge, revise or dispute the claim, and confirm that every surface and artifact reflects the new state without erasing history.</w:t>
      </w:r>
    </w:p>
    <w:p w14:paraId="2CF10755" w14:textId="77777777" w:rsidR="00DD60C8" w:rsidRDefault="00DD60C8" w:rsidP="00DD60C8">
      <w:pPr>
        <w:spacing w:after="60"/>
        <w:ind w:left="432" w:right="230" w:hanging="173"/>
      </w:pPr>
      <w:r>
        <w:rPr>
          <w:rFonts w:ascii="Times New Roman" w:eastAsia="Times New Roman" w:hAnsi="Times New Roman"/>
          <w:b/>
          <w:color w:val="000000"/>
          <w:sz w:val="19"/>
        </w:rPr>
        <w:t>11. Narrative proposition containment:</w:t>
      </w:r>
      <w:r>
        <w:rPr>
          <w:rFonts w:ascii="Times New Roman" w:eastAsia="Times New Roman" w:hAnsi="Times New Roman"/>
          <w:color w:val="000000"/>
          <w:sz w:val="19"/>
        </w:rPr>
        <w:t xml:space="preserve"> test generated summaries for unsupported, broadened, causal, or certainty-inflated propositions.</w:t>
      </w:r>
    </w:p>
    <w:p w14:paraId="35B30326" w14:textId="77777777" w:rsidR="00DD60C8" w:rsidRDefault="00DD60C8" w:rsidP="00DD60C8">
      <w:pPr>
        <w:spacing w:after="60"/>
        <w:ind w:left="432" w:right="230" w:hanging="173"/>
      </w:pPr>
      <w:r>
        <w:rPr>
          <w:rFonts w:ascii="Times New Roman" w:eastAsia="Times New Roman" w:hAnsi="Times New Roman"/>
          <w:b/>
          <w:color w:val="000000"/>
          <w:sz w:val="19"/>
        </w:rPr>
        <w:t>12. Adversarial source isolation:</w:t>
      </w:r>
      <w:r>
        <w:rPr>
          <w:rFonts w:ascii="Times New Roman" w:eastAsia="Times New Roman" w:hAnsi="Times New Roman"/>
          <w:color w:val="000000"/>
          <w:sz w:val="19"/>
        </w:rPr>
        <w:t xml:space="preserve"> include instructions or misleading text inside source records and verify that they remain evidence content rather than executable system policy.</w:t>
      </w:r>
    </w:p>
    <w:p w14:paraId="2F8C9648" w14:textId="77777777" w:rsidR="00DD60C8" w:rsidRDefault="00DD60C8" w:rsidP="00DD60C8">
      <w:pPr>
        <w:pStyle w:val="Heading2"/>
      </w:pPr>
      <w:r>
        <w:rPr>
          <w:rFonts w:ascii="Arial" w:eastAsia="Times New Roman" w:hAnsi="Arial"/>
          <w:color w:val="000000"/>
          <w:sz w:val="23"/>
        </w:rPr>
        <w:t>Temporal validity and lead-time claims</w:t>
      </w:r>
    </w:p>
    <w:p w14:paraId="3F6E1AF4" w14:textId="77777777" w:rsidR="00DD60C8" w:rsidRDefault="00DD60C8" w:rsidP="00DD60C8">
      <w:pPr>
        <w:keepLines/>
        <w:spacing w:after="94"/>
      </w:pPr>
      <w:r>
        <w:rPr>
          <w:rFonts w:ascii="Times New Roman" w:eastAsia="Times New Roman" w:hAnsi="Times New Roman"/>
          <w:color w:val="000000"/>
          <w:sz w:val="20"/>
        </w:rPr>
        <w:t xml:space="preserve">Prospective warning claims require special discipline. The architecture must distinguish formation time, detection time, confirmation time, and outcome time. Lead time is admissible only when the detector at time </w:t>
      </w:r>
      <w:r>
        <w:rPr>
          <w:rFonts w:ascii="Times New Roman" w:eastAsia="Times New Roman" w:hAnsi="Times New Roman"/>
          <w:b/>
          <w:color w:val="000000"/>
          <w:sz w:val="20"/>
        </w:rPr>
        <w:t>t</w:t>
      </w:r>
      <w:r>
        <w:rPr>
          <w:rFonts w:ascii="Times New Roman" w:eastAsia="Times New Roman" w:hAnsi="Times New Roman"/>
          <w:color w:val="000000"/>
          <w:sz w:val="20"/>
        </w:rPr>
        <w:t xml:space="preserve"> used evidence available at or before </w:t>
      </w:r>
      <w:r>
        <w:rPr>
          <w:rFonts w:ascii="Times New Roman" w:eastAsia="Times New Roman" w:hAnsi="Times New Roman"/>
          <w:b/>
          <w:color w:val="000000"/>
          <w:sz w:val="20"/>
        </w:rPr>
        <w:t>t</w:t>
      </w:r>
      <w:r>
        <w:rPr>
          <w:rFonts w:ascii="Times New Roman" w:eastAsia="Times New Roman" w:hAnsi="Times New Roman"/>
          <w:color w:val="000000"/>
          <w:sz w:val="20"/>
        </w:rPr>
        <w:t xml:space="preserve"> and both the qualifying boundary marker and independently qualified outcome marker are available under the declared temporal method. A retrospectively identified precursor is not a prospective warning.</w:t>
      </w:r>
    </w:p>
    <w:p w14:paraId="7E0CD176" w14:textId="77777777" w:rsidR="00DD60C8" w:rsidRDefault="00DD60C8" w:rsidP="00DD60C8">
      <w:pPr>
        <w:spacing w:after="94"/>
      </w:pPr>
      <w:r>
        <w:rPr>
          <w:rFonts w:ascii="Times New Roman" w:eastAsia="Times New Roman" w:hAnsi="Times New Roman"/>
          <w:color w:val="000000"/>
          <w:sz w:val="20"/>
        </w:rPr>
        <w:t>The contract must define which event counts as the outcome, how censored or missing outcomes are handled, which coordinate system governs the interval, and which false-positive and false-negative costs apply. If the failure anchor is absent, the system may report a post-exit observation interval or open warning window. It must not report formal Lead-Time.</w:t>
      </w:r>
    </w:p>
    <w:p w14:paraId="4CCC9F5E" w14:textId="77777777" w:rsidR="00DD60C8" w:rsidRDefault="00DD60C8" w:rsidP="00DD60C8">
      <w:pPr>
        <w:pStyle w:val="Heading2"/>
      </w:pPr>
      <w:r>
        <w:rPr>
          <w:rFonts w:ascii="Arial" w:eastAsia="Times New Roman" w:hAnsi="Arial"/>
          <w:color w:val="000000"/>
          <w:sz w:val="23"/>
        </w:rPr>
        <w:t>Current bounded validation status</w:t>
      </w:r>
    </w:p>
    <w:p w14:paraId="610AAA98" w14:textId="77777777" w:rsidR="00DD60C8" w:rsidRDefault="00DD60C8" w:rsidP="00DD60C8">
      <w:pPr>
        <w:keepLines/>
        <w:spacing w:after="94"/>
      </w:pPr>
      <w:r>
        <w:rPr>
          <w:rFonts w:ascii="Times New Roman" w:eastAsia="Times New Roman" w:hAnsi="Times New Roman"/>
          <w:color w:val="000000"/>
          <w:sz w:val="20"/>
        </w:rPr>
        <w:t>Paper II reports two propositions as confirmed within the declared controlled Aperture validation program (Asadi, 2026b):</w:t>
      </w:r>
    </w:p>
    <w:p w14:paraId="713F7410" w14:textId="77777777" w:rsidR="00DD60C8" w:rsidRDefault="00DD60C8" w:rsidP="00DD60C8">
      <w:pPr>
        <w:keepNext/>
        <w:spacing w:before="140" w:after="80"/>
      </w:pPr>
      <w:r>
        <w:rPr>
          <w:rFonts w:ascii="Times New Roman" w:eastAsia="Times New Roman" w:hAnsi="Times New Roman"/>
          <w:i/>
          <w:color w:val="66717C"/>
          <w:sz w:val="18"/>
        </w:rPr>
        <w:t>Table 10. Current bounded validation status.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1944"/>
        <w:gridCol w:w="3067"/>
        <w:gridCol w:w="2664"/>
      </w:tblGrid>
      <w:tr w:rsidR="00DD60C8" w14:paraId="1AF551DC" w14:textId="77777777">
        <w:trPr>
          <w:cantSplit/>
          <w:tblHeader/>
          <w:jc w:val="center"/>
        </w:trPr>
        <w:tc>
          <w:tcPr>
            <w:tcW w:w="2044" w:type="dxa"/>
            <w:shd w:val="clear" w:color="auto" w:fill="17324D"/>
            <w:tcMar>
              <w:top w:w="70" w:type="dxa"/>
              <w:left w:w="100" w:type="dxa"/>
              <w:bottom w:w="70" w:type="dxa"/>
              <w:right w:w="100" w:type="dxa"/>
            </w:tcMar>
            <w:vAlign w:val="center"/>
          </w:tcPr>
          <w:p w14:paraId="2A548AC4" w14:textId="77777777" w:rsidR="00DD60C8" w:rsidRDefault="00DD60C8" w:rsidP="00F96983">
            <w:pPr>
              <w:spacing w:after="0" w:line="240" w:lineRule="auto"/>
            </w:pPr>
            <w:r>
              <w:rPr>
                <w:rFonts w:ascii="Arial" w:eastAsia="Times New Roman" w:hAnsi="Arial"/>
                <w:b/>
                <w:color w:val="FFFFFF"/>
                <w:sz w:val="17"/>
              </w:rPr>
              <w:t>Proposition</w:t>
            </w:r>
          </w:p>
        </w:tc>
        <w:tc>
          <w:tcPr>
            <w:tcW w:w="1944" w:type="dxa"/>
            <w:shd w:val="clear" w:color="auto" w:fill="17324D"/>
            <w:tcMar>
              <w:top w:w="70" w:type="dxa"/>
              <w:left w:w="100" w:type="dxa"/>
              <w:bottom w:w="70" w:type="dxa"/>
              <w:right w:w="100" w:type="dxa"/>
            </w:tcMar>
            <w:vAlign w:val="center"/>
          </w:tcPr>
          <w:p w14:paraId="085C4BE9" w14:textId="77777777" w:rsidR="00DD60C8" w:rsidRDefault="00DD60C8" w:rsidP="00F96983">
            <w:pPr>
              <w:spacing w:after="0" w:line="240" w:lineRule="auto"/>
            </w:pPr>
            <w:r>
              <w:rPr>
                <w:rFonts w:ascii="Arial" w:eastAsia="Times New Roman" w:hAnsi="Arial"/>
                <w:b/>
                <w:color w:val="FFFFFF"/>
                <w:sz w:val="17"/>
              </w:rPr>
              <w:t>Reported status</w:t>
            </w:r>
          </w:p>
        </w:tc>
        <w:tc>
          <w:tcPr>
            <w:tcW w:w="3067" w:type="dxa"/>
            <w:shd w:val="clear" w:color="auto" w:fill="17324D"/>
            <w:tcMar>
              <w:top w:w="70" w:type="dxa"/>
              <w:left w:w="100" w:type="dxa"/>
              <w:bottom w:w="70" w:type="dxa"/>
              <w:right w:w="100" w:type="dxa"/>
            </w:tcMar>
            <w:vAlign w:val="center"/>
          </w:tcPr>
          <w:p w14:paraId="57D8E0CA" w14:textId="77777777" w:rsidR="00DD60C8" w:rsidRDefault="00DD60C8" w:rsidP="00F96983">
            <w:pPr>
              <w:spacing w:after="0" w:line="240" w:lineRule="auto"/>
            </w:pPr>
            <w:r>
              <w:rPr>
                <w:rFonts w:ascii="Arial" w:eastAsia="Times New Roman" w:hAnsi="Arial"/>
                <w:b/>
                <w:color w:val="FFFFFF"/>
                <w:sz w:val="17"/>
              </w:rPr>
              <w:t>Established within scope</w:t>
            </w:r>
          </w:p>
        </w:tc>
        <w:tc>
          <w:tcPr>
            <w:tcW w:w="2664" w:type="dxa"/>
            <w:shd w:val="clear" w:color="auto" w:fill="17324D"/>
            <w:tcMar>
              <w:top w:w="70" w:type="dxa"/>
              <w:left w:w="100" w:type="dxa"/>
              <w:bottom w:w="70" w:type="dxa"/>
              <w:right w:w="100" w:type="dxa"/>
            </w:tcMar>
            <w:vAlign w:val="center"/>
          </w:tcPr>
          <w:p w14:paraId="36349999" w14:textId="77777777" w:rsidR="00DD60C8" w:rsidRDefault="00DD60C8" w:rsidP="00F96983">
            <w:pPr>
              <w:spacing w:after="0" w:line="240" w:lineRule="auto"/>
            </w:pPr>
            <w:r>
              <w:rPr>
                <w:rFonts w:ascii="Arial" w:eastAsia="Times New Roman" w:hAnsi="Arial"/>
                <w:b/>
                <w:color w:val="FFFFFF"/>
                <w:sz w:val="17"/>
              </w:rPr>
              <w:t>Not established</w:t>
            </w:r>
          </w:p>
        </w:tc>
      </w:tr>
      <w:tr w:rsidR="00DD60C8" w14:paraId="5F79DB20" w14:textId="77777777">
        <w:trPr>
          <w:cantSplit/>
          <w:jc w:val="center"/>
        </w:trPr>
        <w:tc>
          <w:tcPr>
            <w:tcW w:w="2044" w:type="dxa"/>
            <w:shd w:val="clear" w:color="auto" w:fill="FFFFFF"/>
            <w:tcMar>
              <w:top w:w="70" w:type="dxa"/>
              <w:left w:w="100" w:type="dxa"/>
              <w:bottom w:w="70" w:type="dxa"/>
              <w:right w:w="100" w:type="dxa"/>
            </w:tcMar>
            <w:vAlign w:val="center"/>
          </w:tcPr>
          <w:p w14:paraId="50521F24" w14:textId="77777777" w:rsidR="00DD60C8" w:rsidRDefault="00DD60C8" w:rsidP="00F96983">
            <w:pPr>
              <w:spacing w:after="0" w:line="240" w:lineRule="auto"/>
            </w:pPr>
            <w:r>
              <w:rPr>
                <w:rFonts w:ascii="Times New Roman" w:eastAsia="Times New Roman" w:hAnsi="Times New Roman"/>
                <w:color w:val="000000"/>
                <w:sz w:val="17"/>
              </w:rPr>
              <w:t>Deterministic evidence reproduction</w:t>
            </w:r>
          </w:p>
        </w:tc>
        <w:tc>
          <w:tcPr>
            <w:tcW w:w="1944" w:type="dxa"/>
            <w:shd w:val="clear" w:color="auto" w:fill="FFFFFF"/>
            <w:tcMar>
              <w:top w:w="70" w:type="dxa"/>
              <w:left w:w="100" w:type="dxa"/>
              <w:bottom w:w="70" w:type="dxa"/>
              <w:right w:w="100" w:type="dxa"/>
            </w:tcMar>
            <w:vAlign w:val="center"/>
          </w:tcPr>
          <w:p w14:paraId="79818716" w14:textId="77777777" w:rsidR="00DD60C8" w:rsidRDefault="00DD60C8" w:rsidP="00F96983">
            <w:pPr>
              <w:spacing w:after="0" w:line="240" w:lineRule="auto"/>
            </w:pPr>
            <w:r>
              <w:rPr>
                <w:rFonts w:ascii="Times New Roman" w:eastAsia="Times New Roman" w:hAnsi="Times New Roman"/>
                <w:color w:val="000000"/>
                <w:sz w:val="17"/>
              </w:rPr>
              <w:t>Confirmed under controlled version conditions</w:t>
            </w:r>
          </w:p>
        </w:tc>
        <w:tc>
          <w:tcPr>
            <w:tcW w:w="3067" w:type="dxa"/>
            <w:shd w:val="clear" w:color="auto" w:fill="FFFFFF"/>
            <w:tcMar>
              <w:top w:w="70" w:type="dxa"/>
              <w:left w:w="100" w:type="dxa"/>
              <w:bottom w:w="70" w:type="dxa"/>
              <w:right w:w="100" w:type="dxa"/>
            </w:tcMar>
            <w:vAlign w:val="center"/>
          </w:tcPr>
          <w:p w14:paraId="79283D1E" w14:textId="77777777" w:rsidR="00DD60C8" w:rsidRDefault="00DD60C8" w:rsidP="00F96983">
            <w:pPr>
              <w:spacing w:after="0" w:line="240" w:lineRule="auto"/>
            </w:pPr>
            <w:r>
              <w:rPr>
                <w:rFonts w:ascii="Times New Roman" w:eastAsia="Times New Roman" w:hAnsi="Times New Roman"/>
                <w:color w:val="000000"/>
                <w:sz w:val="17"/>
              </w:rPr>
              <w:t>The same qualified source, configuration, canonicalization, and governing versions reproduced the same core evidence identity and Runtime Evidence Record</w:t>
            </w:r>
          </w:p>
        </w:tc>
        <w:tc>
          <w:tcPr>
            <w:tcW w:w="2664" w:type="dxa"/>
            <w:shd w:val="clear" w:color="auto" w:fill="FFFFFF"/>
            <w:tcMar>
              <w:top w:w="70" w:type="dxa"/>
              <w:left w:w="100" w:type="dxa"/>
              <w:bottom w:w="70" w:type="dxa"/>
              <w:right w:w="100" w:type="dxa"/>
            </w:tcMar>
            <w:vAlign w:val="center"/>
          </w:tcPr>
          <w:p w14:paraId="17BD97EB" w14:textId="77777777" w:rsidR="00DD60C8" w:rsidRDefault="00DD60C8" w:rsidP="00F96983">
            <w:pPr>
              <w:spacing w:after="0" w:line="240" w:lineRule="auto"/>
            </w:pPr>
            <w:r>
              <w:rPr>
                <w:rFonts w:ascii="Times New Roman" w:eastAsia="Times New Roman" w:hAnsi="Times New Roman"/>
                <w:color w:val="000000"/>
                <w:sz w:val="17"/>
              </w:rPr>
              <w:t>Source truth, scientific validity, or stochastic real-world determinism</w:t>
            </w:r>
          </w:p>
        </w:tc>
      </w:tr>
      <w:tr w:rsidR="00DD60C8" w14:paraId="1253B455" w14:textId="77777777">
        <w:trPr>
          <w:cantSplit/>
          <w:jc w:val="center"/>
        </w:trPr>
        <w:tc>
          <w:tcPr>
            <w:tcW w:w="2044" w:type="dxa"/>
            <w:shd w:val="clear" w:color="auto" w:fill="F6F9FB"/>
            <w:tcMar>
              <w:top w:w="70" w:type="dxa"/>
              <w:left w:w="100" w:type="dxa"/>
              <w:bottom w:w="70" w:type="dxa"/>
              <w:right w:w="100" w:type="dxa"/>
            </w:tcMar>
            <w:vAlign w:val="center"/>
          </w:tcPr>
          <w:p w14:paraId="60D842C6" w14:textId="77777777" w:rsidR="00DD60C8" w:rsidRDefault="00DD60C8" w:rsidP="00F96983">
            <w:pPr>
              <w:spacing w:after="0" w:line="240" w:lineRule="auto"/>
            </w:pPr>
            <w:r>
              <w:rPr>
                <w:rFonts w:ascii="Times New Roman" w:eastAsia="Times New Roman" w:hAnsi="Times New Roman"/>
                <w:color w:val="000000"/>
                <w:sz w:val="17"/>
              </w:rPr>
              <w:t>Controlled transition discrimination</w:t>
            </w:r>
          </w:p>
        </w:tc>
        <w:tc>
          <w:tcPr>
            <w:tcW w:w="1944" w:type="dxa"/>
            <w:shd w:val="clear" w:color="auto" w:fill="F6F9FB"/>
            <w:tcMar>
              <w:top w:w="70" w:type="dxa"/>
              <w:left w:w="100" w:type="dxa"/>
              <w:bottom w:w="70" w:type="dxa"/>
              <w:right w:w="100" w:type="dxa"/>
            </w:tcMar>
            <w:vAlign w:val="center"/>
          </w:tcPr>
          <w:p w14:paraId="63869233" w14:textId="77777777" w:rsidR="00DD60C8" w:rsidRDefault="00DD60C8" w:rsidP="00F96983">
            <w:pPr>
              <w:spacing w:after="0" w:line="240" w:lineRule="auto"/>
            </w:pPr>
            <w:r>
              <w:rPr>
                <w:rFonts w:ascii="Times New Roman" w:eastAsia="Times New Roman" w:hAnsi="Times New Roman"/>
                <w:color w:val="000000"/>
                <w:sz w:val="17"/>
              </w:rPr>
              <w:t>Confirmed for the specified controlled cases</w:t>
            </w:r>
          </w:p>
        </w:tc>
        <w:tc>
          <w:tcPr>
            <w:tcW w:w="3067" w:type="dxa"/>
            <w:shd w:val="clear" w:color="auto" w:fill="F6F9FB"/>
            <w:tcMar>
              <w:top w:w="70" w:type="dxa"/>
              <w:left w:w="100" w:type="dxa"/>
              <w:bottom w:w="70" w:type="dxa"/>
              <w:right w:w="100" w:type="dxa"/>
            </w:tcMar>
            <w:vAlign w:val="center"/>
          </w:tcPr>
          <w:p w14:paraId="3CA39A6D" w14:textId="77777777" w:rsidR="00DD60C8" w:rsidRDefault="00DD60C8" w:rsidP="00F96983">
            <w:pPr>
              <w:spacing w:after="0" w:line="240" w:lineRule="auto"/>
            </w:pPr>
            <w:r>
              <w:rPr>
                <w:rFonts w:ascii="Times New Roman" w:eastAsia="Times New Roman" w:hAnsi="Times New Roman"/>
                <w:color w:val="000000"/>
                <w:sz w:val="17"/>
              </w:rPr>
              <w:t>Selected longitudinal measurements distinguished declared transition cases from stable and negative controls better than declared simple baselines</w:t>
            </w:r>
          </w:p>
        </w:tc>
        <w:tc>
          <w:tcPr>
            <w:tcW w:w="2664" w:type="dxa"/>
            <w:shd w:val="clear" w:color="auto" w:fill="F6F9FB"/>
            <w:tcMar>
              <w:top w:w="70" w:type="dxa"/>
              <w:left w:w="100" w:type="dxa"/>
              <w:bottom w:w="70" w:type="dxa"/>
              <w:right w:w="100" w:type="dxa"/>
            </w:tcMar>
            <w:vAlign w:val="center"/>
          </w:tcPr>
          <w:p w14:paraId="6B6810A7" w14:textId="77777777" w:rsidR="00DD60C8" w:rsidRDefault="00DD60C8" w:rsidP="00F96983">
            <w:pPr>
              <w:spacing w:after="0" w:line="240" w:lineRule="auto"/>
            </w:pPr>
            <w:r>
              <w:rPr>
                <w:rFonts w:ascii="Times New Roman" w:eastAsia="Times New Roman" w:hAnsi="Times New Roman"/>
                <w:color w:val="000000"/>
                <w:sz w:val="17"/>
              </w:rPr>
              <w:t>Universal validity, calibrated production prediction, causality, cross-domain transfer, or independent replication</w:t>
            </w:r>
          </w:p>
        </w:tc>
      </w:tr>
    </w:tbl>
    <w:p w14:paraId="3039D674" w14:textId="77777777" w:rsidR="00DD60C8" w:rsidRDefault="00DD60C8" w:rsidP="00DD60C8">
      <w:pPr>
        <w:spacing w:after="20"/>
      </w:pPr>
    </w:p>
    <w:p w14:paraId="35E4F51C" w14:textId="77777777" w:rsidR="00DD60C8" w:rsidRDefault="00DD60C8" w:rsidP="00DD60C8">
      <w:pPr>
        <w:spacing w:after="94"/>
      </w:pPr>
      <w:r>
        <w:rPr>
          <w:rFonts w:ascii="Times New Roman" w:eastAsia="Times New Roman" w:hAnsi="Times New Roman"/>
          <w:color w:val="000000"/>
          <w:sz w:val="20"/>
        </w:rPr>
        <w:t>The current public validation paper does not bind a complete case manifest, protected split, case-level numerical results, uncertainty intervals, effect sizes, error tables, full ablation outputs, or frozen public release hashes. The findings are therefore stronger than an implementation assertion and narrower than a complete independently reproducible performance claim. EGC requires the confirmed scope and the missing publication dependencies to remain visible together.</w:t>
      </w:r>
    </w:p>
    <w:p w14:paraId="2B9C0C43"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17. Threat Model and Failure Modes</w:t>
      </w:r>
    </w:p>
    <w:p w14:paraId="1C8F3F0F" w14:textId="77777777" w:rsidR="00DD60C8" w:rsidRDefault="00DD60C8" w:rsidP="00DD60C8">
      <w:pPr>
        <w:keepLines/>
        <w:spacing w:after="94"/>
      </w:pPr>
      <w:r>
        <w:rPr>
          <w:rFonts w:ascii="Times New Roman" w:eastAsia="Times New Roman" w:hAnsi="Times New Roman"/>
          <w:color w:val="000000"/>
          <w:sz w:val="20"/>
        </w:rPr>
        <w:t>Evidence-governed systems introduce new controls but remain exposed to adversarial and ordinary failure. The following threats should be part of implementation review:</w:t>
      </w:r>
    </w:p>
    <w:p w14:paraId="3E72D853" w14:textId="77777777" w:rsidR="00DD60C8" w:rsidRDefault="00DD60C8" w:rsidP="00DD60C8">
      <w:pPr>
        <w:pStyle w:val="Heading2"/>
      </w:pPr>
      <w:r>
        <w:rPr>
          <w:rFonts w:ascii="Arial" w:eastAsia="Times New Roman" w:hAnsi="Arial"/>
          <w:color w:val="000000"/>
          <w:sz w:val="23"/>
        </w:rPr>
        <w:t>Authority bypass</w:t>
      </w:r>
    </w:p>
    <w:p w14:paraId="56E1B2A1" w14:textId="77777777" w:rsidR="00DD60C8" w:rsidRDefault="00DD60C8" w:rsidP="00DD60C8">
      <w:pPr>
        <w:keepLines/>
        <w:spacing w:after="94"/>
      </w:pPr>
      <w:r>
        <w:rPr>
          <w:rFonts w:ascii="Times New Roman" w:eastAsia="Times New Roman" w:hAnsi="Times New Roman"/>
          <w:color w:val="000000"/>
          <w:sz w:val="20"/>
        </w:rPr>
        <w:t>A component writes directly to an alert, report, or API without passing claim admission. Mitigation requires centralized or cryptographically verifiable egress gating, output enumeration, and surface audits.</w:t>
      </w:r>
    </w:p>
    <w:p w14:paraId="2B8EB975" w14:textId="77777777" w:rsidR="00DD60C8" w:rsidRDefault="00DD60C8" w:rsidP="00DD60C8">
      <w:pPr>
        <w:pStyle w:val="Heading2"/>
      </w:pPr>
      <w:r>
        <w:rPr>
          <w:rFonts w:ascii="Arial" w:eastAsia="Times New Roman" w:hAnsi="Arial"/>
          <w:color w:val="000000"/>
          <w:sz w:val="23"/>
        </w:rPr>
        <w:t>Provenance laundering</w:t>
      </w:r>
    </w:p>
    <w:p w14:paraId="1D6D97B8" w14:textId="77777777" w:rsidR="00DD60C8" w:rsidRDefault="00DD60C8" w:rsidP="00DD60C8">
      <w:pPr>
        <w:keepLines/>
        <w:spacing w:after="94"/>
      </w:pPr>
      <w:r>
        <w:rPr>
          <w:rFonts w:ascii="Times New Roman" w:eastAsia="Times New Roman" w:hAnsi="Times New Roman"/>
          <w:color w:val="000000"/>
          <w:sz w:val="20"/>
        </w:rPr>
        <w:t>A derived value is presented as a direct observation or an external assertion is absorbed into the canonical record without preserving its declared status. Mitigation requires typed evidence classes and immutable derivation edges.</w:t>
      </w:r>
    </w:p>
    <w:p w14:paraId="10623BFF" w14:textId="77777777" w:rsidR="00DD60C8" w:rsidRDefault="00DD60C8" w:rsidP="00DD60C8">
      <w:pPr>
        <w:pStyle w:val="Heading2"/>
      </w:pPr>
      <w:r>
        <w:rPr>
          <w:rFonts w:ascii="Arial" w:eastAsia="Times New Roman" w:hAnsi="Arial"/>
          <w:color w:val="000000"/>
          <w:sz w:val="23"/>
        </w:rPr>
        <w:t>Threshold and ontology substitution</w:t>
      </w:r>
    </w:p>
    <w:p w14:paraId="23A46A6C" w14:textId="77777777" w:rsidR="00DD60C8" w:rsidRDefault="00DD60C8" w:rsidP="00DD60C8">
      <w:pPr>
        <w:keepLines/>
        <w:spacing w:after="94"/>
      </w:pPr>
      <w:r>
        <w:rPr>
          <w:rFonts w:ascii="Times New Roman" w:eastAsia="Times New Roman" w:hAnsi="Times New Roman"/>
          <w:color w:val="000000"/>
          <w:sz w:val="20"/>
        </w:rPr>
        <w:t>A local instrument changes a threshold, category, or label without changing the computation contract. Mitigation requires registry-controlled semantics and version distinguishability.</w:t>
      </w:r>
    </w:p>
    <w:p w14:paraId="75938154" w14:textId="77777777" w:rsidR="00DD60C8" w:rsidRDefault="00DD60C8" w:rsidP="00DD60C8">
      <w:pPr>
        <w:pStyle w:val="Heading2"/>
      </w:pPr>
      <w:r>
        <w:rPr>
          <w:rFonts w:ascii="Arial" w:eastAsia="Times New Roman" w:hAnsi="Arial"/>
          <w:color w:val="000000"/>
          <w:sz w:val="23"/>
        </w:rPr>
        <w:t>Future leakage</w:t>
      </w:r>
    </w:p>
    <w:p w14:paraId="36D57A63" w14:textId="77777777" w:rsidR="00DD60C8" w:rsidRDefault="00DD60C8" w:rsidP="00DD60C8">
      <w:pPr>
        <w:keepLines/>
        <w:spacing w:after="94"/>
      </w:pPr>
      <w:r>
        <w:rPr>
          <w:rFonts w:ascii="Times New Roman" w:eastAsia="Times New Roman" w:hAnsi="Times New Roman"/>
          <w:color w:val="000000"/>
          <w:sz w:val="20"/>
        </w:rPr>
        <w:t>A purported early-warning output uses later evidence during retrospective analysis. Mitigation requires temporal eligibility constraints and replay at each decision boundary.</w:t>
      </w:r>
    </w:p>
    <w:p w14:paraId="36C50002" w14:textId="77777777" w:rsidR="00DD60C8" w:rsidRDefault="00DD60C8" w:rsidP="00DD60C8">
      <w:pPr>
        <w:pStyle w:val="Heading2"/>
      </w:pPr>
      <w:r>
        <w:rPr>
          <w:rFonts w:ascii="Arial" w:eastAsia="Times New Roman" w:hAnsi="Arial"/>
          <w:color w:val="000000"/>
          <w:sz w:val="23"/>
        </w:rPr>
        <w:t>Source instruction injection</w:t>
      </w:r>
    </w:p>
    <w:p w14:paraId="3E9E109D" w14:textId="77777777" w:rsidR="00DD60C8" w:rsidRDefault="00DD60C8" w:rsidP="00DD60C8">
      <w:pPr>
        <w:keepLines/>
        <w:spacing w:after="94"/>
      </w:pPr>
      <w:r>
        <w:rPr>
          <w:rFonts w:ascii="Times New Roman" w:eastAsia="Times New Roman" w:hAnsi="Times New Roman"/>
          <w:color w:val="000000"/>
          <w:sz w:val="20"/>
        </w:rPr>
        <w:t>Logs or transcripts contain natural-language instructions that a generative component treats as control messages. Mitigation requires strict separation between evidence content, system policy, and executable prompts.</w:t>
      </w:r>
    </w:p>
    <w:p w14:paraId="50F0203D" w14:textId="77777777" w:rsidR="00DD60C8" w:rsidRDefault="00DD60C8" w:rsidP="00DD60C8">
      <w:pPr>
        <w:pStyle w:val="Heading2"/>
      </w:pPr>
      <w:r>
        <w:rPr>
          <w:rFonts w:ascii="Arial" w:eastAsia="Times New Roman" w:hAnsi="Arial"/>
          <w:color w:val="000000"/>
          <w:sz w:val="23"/>
        </w:rPr>
        <w:t>Narrative proposition injection</w:t>
      </w:r>
    </w:p>
    <w:p w14:paraId="2711AFC2" w14:textId="77777777" w:rsidR="00DD60C8" w:rsidRDefault="00DD60C8" w:rsidP="00DD60C8">
      <w:pPr>
        <w:keepLines/>
        <w:spacing w:after="94"/>
      </w:pPr>
      <w:r>
        <w:rPr>
          <w:rFonts w:ascii="Times New Roman" w:eastAsia="Times New Roman" w:hAnsi="Times New Roman"/>
          <w:color w:val="000000"/>
          <w:sz w:val="20"/>
        </w:rPr>
        <w:t>A generated explanation adds intent, causation, blame, or certainty not present in the admitted claim set. Mitigation requires constrained generation, proposition checking, deterministic templates for critical outputs, and review.</w:t>
      </w:r>
    </w:p>
    <w:p w14:paraId="6C907905" w14:textId="77777777" w:rsidR="00DD60C8" w:rsidRDefault="00DD60C8" w:rsidP="00DD60C8">
      <w:pPr>
        <w:pStyle w:val="Heading2"/>
      </w:pPr>
      <w:r>
        <w:rPr>
          <w:rFonts w:ascii="Arial" w:eastAsia="Times New Roman" w:hAnsi="Arial"/>
          <w:color w:val="000000"/>
          <w:sz w:val="23"/>
        </w:rPr>
        <w:t>Corroboration inflation</w:t>
      </w:r>
    </w:p>
    <w:p w14:paraId="7D7FA2F5" w14:textId="77777777" w:rsidR="00DD60C8" w:rsidRDefault="00DD60C8" w:rsidP="00DD60C8">
      <w:pPr>
        <w:keepLines/>
        <w:spacing w:after="94"/>
      </w:pPr>
      <w:r>
        <w:rPr>
          <w:rFonts w:ascii="Times New Roman" w:eastAsia="Times New Roman" w:hAnsi="Times New Roman"/>
          <w:color w:val="000000"/>
          <w:sz w:val="20"/>
        </w:rPr>
        <w:t>Several instruments are described as independent confirmation even though they share evidence or parent metrics. Mitigation requires dependency graphs and explicit independence criteria.</w:t>
      </w:r>
    </w:p>
    <w:p w14:paraId="249B91CF" w14:textId="77777777" w:rsidR="00DD60C8" w:rsidRDefault="00DD60C8" w:rsidP="00DD60C8">
      <w:pPr>
        <w:pStyle w:val="Heading2"/>
      </w:pPr>
      <w:r>
        <w:rPr>
          <w:rFonts w:ascii="Arial" w:eastAsia="Times New Roman" w:hAnsi="Arial"/>
          <w:color w:val="000000"/>
          <w:sz w:val="23"/>
        </w:rPr>
        <w:t>Redaction concealment</w:t>
      </w:r>
    </w:p>
    <w:p w14:paraId="7F356EF6" w14:textId="77777777" w:rsidR="00DD60C8" w:rsidRDefault="00DD60C8" w:rsidP="00DD60C8">
      <w:pPr>
        <w:keepLines/>
        <w:spacing w:after="94"/>
      </w:pPr>
      <w:r>
        <w:rPr>
          <w:rFonts w:ascii="Times New Roman" w:eastAsia="Times New Roman" w:hAnsi="Times New Roman"/>
          <w:color w:val="000000"/>
          <w:sz w:val="20"/>
        </w:rPr>
        <w:t>An export removes supporting material without changing apparent verification status. Mitigation requires redaction manifests and automatic status reevaluation.</w:t>
      </w:r>
    </w:p>
    <w:p w14:paraId="3FEEDF7C" w14:textId="77777777" w:rsidR="00DD60C8" w:rsidRDefault="00DD60C8" w:rsidP="00DD60C8">
      <w:pPr>
        <w:pStyle w:val="Heading2"/>
      </w:pPr>
      <w:r>
        <w:rPr>
          <w:rFonts w:ascii="Arial" w:eastAsia="Times New Roman" w:hAnsi="Arial"/>
          <w:color w:val="000000"/>
          <w:sz w:val="23"/>
        </w:rPr>
        <w:t>Local-state drift</w:t>
      </w:r>
    </w:p>
    <w:p w14:paraId="4A00654C" w14:textId="77777777" w:rsidR="00DD60C8" w:rsidRDefault="00DD60C8" w:rsidP="00DD60C8">
      <w:pPr>
        <w:keepLines/>
        <w:spacing w:after="94"/>
      </w:pPr>
      <w:r>
        <w:rPr>
          <w:rFonts w:ascii="Times New Roman" w:eastAsia="Times New Roman" w:hAnsi="Times New Roman"/>
          <w:color w:val="000000"/>
          <w:sz w:val="20"/>
        </w:rPr>
        <w:t>Mutable interface state becomes the de facto evidence record. Mitigation requires separation of canonical identity, operator annotation, presentation state, and preserved run state.</w:t>
      </w:r>
    </w:p>
    <w:p w14:paraId="0C3AF8DE" w14:textId="77777777" w:rsidR="00DD60C8" w:rsidRDefault="00DD60C8" w:rsidP="00DD60C8">
      <w:pPr>
        <w:pStyle w:val="Heading2"/>
      </w:pPr>
      <w:r>
        <w:rPr>
          <w:rFonts w:ascii="Arial" w:eastAsia="Times New Roman" w:hAnsi="Arial"/>
          <w:color w:val="000000"/>
          <w:sz w:val="23"/>
        </w:rPr>
        <w:t>Circular validation</w:t>
      </w:r>
    </w:p>
    <w:p w14:paraId="4D6A1179" w14:textId="77777777" w:rsidR="00DD60C8" w:rsidRDefault="00DD60C8" w:rsidP="00DD60C8">
      <w:pPr>
        <w:keepLines/>
        <w:spacing w:after="94"/>
      </w:pPr>
      <w:r>
        <w:rPr>
          <w:rFonts w:ascii="Times New Roman" w:eastAsia="Times New Roman" w:hAnsi="Times New Roman"/>
          <w:color w:val="000000"/>
          <w:sz w:val="20"/>
        </w:rPr>
        <w:t>Synthetic cases designed from a metric's own assumptions are used as proof that the metric is valid. Mitigation requires independent datasets, blinded external evaluation, baseline comparisons, and clear distinction between implementation fixtures and scientific validation.</w:t>
      </w:r>
    </w:p>
    <w:p w14:paraId="792D2AF7" w14:textId="77777777" w:rsidR="00DD60C8" w:rsidRDefault="00DD60C8" w:rsidP="00DD60C8">
      <w:pPr>
        <w:pStyle w:val="Heading2"/>
      </w:pPr>
      <w:r>
        <w:rPr>
          <w:rFonts w:ascii="Arial" w:eastAsia="Times New Roman" w:hAnsi="Arial"/>
          <w:color w:val="000000"/>
          <w:sz w:val="23"/>
        </w:rPr>
        <w:t>Authority concentration</w:t>
      </w:r>
    </w:p>
    <w:p w14:paraId="54D64808" w14:textId="77777777" w:rsidR="00DD60C8" w:rsidRDefault="00DD60C8" w:rsidP="00DD60C8">
      <w:pPr>
        <w:keepLines/>
        <w:spacing w:after="94"/>
      </w:pPr>
      <w:r>
        <w:rPr>
          <w:rFonts w:ascii="Times New Roman" w:eastAsia="Times New Roman" w:hAnsi="Times New Roman"/>
          <w:color w:val="000000"/>
          <w:sz w:val="20"/>
        </w:rPr>
        <w:t>A single evidence authority can be misread as a single institutional authority with unilateral control over truth. EGC's single-object principle concerns computational coherence within a run, not exclusive social power. Governance should support external verification, competing evidence, transparent policies, appeals, and portable artifacts.</w:t>
      </w:r>
    </w:p>
    <w:p w14:paraId="3B962FF3" w14:textId="77777777" w:rsidR="00DD60C8" w:rsidRDefault="00DD60C8" w:rsidP="00DD60C8">
      <w:pPr>
        <w:pStyle w:val="Heading2"/>
      </w:pPr>
      <w:r>
        <w:rPr>
          <w:rFonts w:ascii="Arial" w:eastAsia="Times New Roman" w:hAnsi="Arial"/>
          <w:color w:val="000000"/>
          <w:sz w:val="23"/>
        </w:rPr>
        <w:t>Privacy and surveillance expansion</w:t>
      </w:r>
    </w:p>
    <w:p w14:paraId="0BBA5D57" w14:textId="77777777" w:rsidR="00DD60C8" w:rsidRDefault="00DD60C8" w:rsidP="00DD60C8">
      <w:pPr>
        <w:keepLines/>
        <w:spacing w:after="94"/>
      </w:pPr>
      <w:r>
        <w:rPr>
          <w:rFonts w:ascii="Times New Roman" w:eastAsia="Times New Roman" w:hAnsi="Times New Roman"/>
          <w:color w:val="000000"/>
          <w:sz w:val="20"/>
        </w:rPr>
        <w:t>Improved evidence infrastructure can encourage excessive collection. EGC requires data minimization, purpose limitation, audience controls, and redaction, but architecture cannot settle the political and legal question of which evidence should be collected. Evidence preservation is not a blanket mandate for permanent retention.</w:t>
      </w:r>
    </w:p>
    <w:p w14:paraId="079B80D7"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18. SubstrateX Aperture as the Reference Implementation</w:t>
      </w:r>
    </w:p>
    <w:p w14:paraId="73AA6E5A" w14:textId="77777777" w:rsidR="00DD60C8" w:rsidRDefault="00DD60C8" w:rsidP="00DD60C8">
      <w:pPr>
        <w:pStyle w:val="Heading2"/>
      </w:pPr>
      <w:r>
        <w:rPr>
          <w:rFonts w:ascii="Arial" w:eastAsia="Times New Roman" w:hAnsi="Arial"/>
          <w:color w:val="000000"/>
          <w:sz w:val="23"/>
        </w:rPr>
        <w:t>From Longitudinal Computational Dynamics to evidence-governed runtime evidence</w:t>
      </w:r>
    </w:p>
    <w:p w14:paraId="6C586003" w14:textId="77777777" w:rsidR="00DD60C8" w:rsidRDefault="00DD60C8" w:rsidP="00DD60C8">
      <w:pPr>
        <w:keepLines/>
        <w:spacing w:after="94"/>
      </w:pPr>
      <w:r>
        <w:rPr>
          <w:rFonts w:ascii="Times New Roman" w:eastAsia="Times New Roman" w:hAnsi="Times New Roman"/>
          <w:color w:val="000000"/>
          <w:sz w:val="20"/>
        </w:rPr>
        <w:t>Longitudinal Computational Dynamics defines the scientific field and Longitudinal Computational Behavior defines the empirical object. Runtime Evidence identifies the qualified, source-bound record through which that object can be reconstructed. EGC governs what a computational system may claim from the record. SubstrateX Aperture implements these relationships as a browser-local Runtime Evidence Observatory.</w:t>
      </w:r>
    </w:p>
    <w:p w14:paraId="156853E5" w14:textId="77777777" w:rsidR="00DD60C8" w:rsidRDefault="00DD60C8" w:rsidP="00DD60C8">
      <w:pPr>
        <w:spacing w:after="94"/>
      </w:pPr>
      <w:r>
        <w:rPr>
          <w:rFonts w:ascii="Times New Roman" w:eastAsia="Times New Roman" w:hAnsi="Times New Roman"/>
          <w:color w:val="000000"/>
          <w:sz w:val="20"/>
        </w:rPr>
        <w:t>Aperture qualifies heterogeneous operational sources, constructs a canonical runtime spine and event ledger, computes registered behavioral measurements, forms a Current Evidence Run, issues a Runtime Evidence Record, and exposes bounded findings through instruments, interpretation, synthesis, investigation, adaptive presentation, and preservation. Paper III documents the detailed methods (Asadi, 2026c). The present section uses Aperture as a reference architecture without making its implementation details the definition of EGC.</w:t>
      </w:r>
    </w:p>
    <w:p w14:paraId="5E6734F5" w14:textId="77777777" w:rsidR="00DD60C8" w:rsidRDefault="00DD60C8" w:rsidP="00DD60C8">
      <w:pPr>
        <w:pStyle w:val="Heading2"/>
      </w:pPr>
      <w:r>
        <w:rPr>
          <w:rFonts w:ascii="Arial" w:eastAsia="Times New Roman" w:hAnsi="Arial"/>
          <w:color w:val="000000"/>
          <w:sz w:val="23"/>
        </w:rPr>
        <w:t>Implementation mapping</w:t>
      </w:r>
    </w:p>
    <w:p w14:paraId="386780C2" w14:textId="77777777" w:rsidR="00DD60C8" w:rsidRDefault="00DD60C8" w:rsidP="00DD60C8">
      <w:pPr>
        <w:keepNext/>
        <w:spacing w:before="140" w:after="80"/>
      </w:pPr>
      <w:r>
        <w:rPr>
          <w:rFonts w:ascii="Times New Roman" w:eastAsia="Times New Roman" w:hAnsi="Times New Roman"/>
          <w:i/>
          <w:color w:val="66717C"/>
          <w:sz w:val="18"/>
        </w:rPr>
        <w:t>Table 11. Mapping from Evidence-Governed Computation to the SubstrateX Aperture reference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88"/>
        <w:gridCol w:w="4248"/>
        <w:gridCol w:w="3283"/>
      </w:tblGrid>
      <w:tr w:rsidR="00DD60C8" w14:paraId="31B35EB7" w14:textId="77777777">
        <w:trPr>
          <w:cantSplit/>
          <w:tblHeader/>
          <w:jc w:val="center"/>
        </w:trPr>
        <w:tc>
          <w:tcPr>
            <w:tcW w:w="2188" w:type="dxa"/>
            <w:shd w:val="clear" w:color="auto" w:fill="17324D"/>
            <w:tcMar>
              <w:top w:w="70" w:type="dxa"/>
              <w:left w:w="100" w:type="dxa"/>
              <w:bottom w:w="70" w:type="dxa"/>
              <w:right w:w="100" w:type="dxa"/>
            </w:tcMar>
            <w:vAlign w:val="center"/>
          </w:tcPr>
          <w:p w14:paraId="75C35F93" w14:textId="77777777" w:rsidR="00DD60C8" w:rsidRDefault="00DD60C8" w:rsidP="00F96983">
            <w:pPr>
              <w:spacing w:after="0" w:line="240" w:lineRule="auto"/>
            </w:pPr>
            <w:r>
              <w:rPr>
                <w:rFonts w:ascii="Arial" w:eastAsia="Times New Roman" w:hAnsi="Arial"/>
                <w:b/>
                <w:color w:val="FFFFFF"/>
                <w:sz w:val="17"/>
              </w:rPr>
              <w:t>EGC responsibility</w:t>
            </w:r>
          </w:p>
        </w:tc>
        <w:tc>
          <w:tcPr>
            <w:tcW w:w="4248" w:type="dxa"/>
            <w:shd w:val="clear" w:color="auto" w:fill="17324D"/>
            <w:tcMar>
              <w:top w:w="70" w:type="dxa"/>
              <w:left w:w="100" w:type="dxa"/>
              <w:bottom w:w="70" w:type="dxa"/>
              <w:right w:w="100" w:type="dxa"/>
            </w:tcMar>
            <w:vAlign w:val="center"/>
          </w:tcPr>
          <w:p w14:paraId="63368715" w14:textId="77777777" w:rsidR="00DD60C8" w:rsidRDefault="00DD60C8" w:rsidP="00F96983">
            <w:pPr>
              <w:spacing w:after="0" w:line="240" w:lineRule="auto"/>
            </w:pPr>
            <w:r>
              <w:rPr>
                <w:rFonts w:ascii="Arial" w:eastAsia="Times New Roman" w:hAnsi="Arial"/>
                <w:b/>
                <w:color w:val="FFFFFF"/>
                <w:sz w:val="17"/>
              </w:rPr>
              <w:t>Aperture implementation</w:t>
            </w:r>
          </w:p>
        </w:tc>
        <w:tc>
          <w:tcPr>
            <w:tcW w:w="3283" w:type="dxa"/>
            <w:shd w:val="clear" w:color="auto" w:fill="17324D"/>
            <w:tcMar>
              <w:top w:w="70" w:type="dxa"/>
              <w:left w:w="100" w:type="dxa"/>
              <w:bottom w:w="70" w:type="dxa"/>
              <w:right w:w="100" w:type="dxa"/>
            </w:tcMar>
            <w:vAlign w:val="center"/>
          </w:tcPr>
          <w:p w14:paraId="3DE9140F" w14:textId="77777777" w:rsidR="00DD60C8" w:rsidRDefault="00DD60C8" w:rsidP="00F96983">
            <w:pPr>
              <w:spacing w:after="0" w:line="240" w:lineRule="auto"/>
            </w:pPr>
            <w:r>
              <w:rPr>
                <w:rFonts w:ascii="Arial" w:eastAsia="Times New Roman" w:hAnsi="Arial"/>
                <w:b/>
                <w:color w:val="FFFFFF"/>
                <w:sz w:val="17"/>
              </w:rPr>
              <w:t>Authority boundary</w:t>
            </w:r>
          </w:p>
        </w:tc>
      </w:tr>
      <w:tr w:rsidR="00DD60C8" w14:paraId="1A7C3A21" w14:textId="77777777">
        <w:trPr>
          <w:cantSplit/>
          <w:jc w:val="center"/>
        </w:trPr>
        <w:tc>
          <w:tcPr>
            <w:tcW w:w="2188" w:type="dxa"/>
            <w:shd w:val="clear" w:color="auto" w:fill="FFFFFF"/>
            <w:tcMar>
              <w:top w:w="70" w:type="dxa"/>
              <w:left w:w="100" w:type="dxa"/>
              <w:bottom w:w="70" w:type="dxa"/>
              <w:right w:w="100" w:type="dxa"/>
            </w:tcMar>
            <w:vAlign w:val="center"/>
          </w:tcPr>
          <w:p w14:paraId="49454F19" w14:textId="77777777" w:rsidR="00DD60C8" w:rsidRDefault="00DD60C8" w:rsidP="00F96983">
            <w:pPr>
              <w:spacing w:after="0" w:line="240" w:lineRule="auto"/>
            </w:pPr>
            <w:r>
              <w:rPr>
                <w:rFonts w:ascii="Times New Roman" w:eastAsia="Times New Roman" w:hAnsi="Times New Roman"/>
                <w:color w:val="000000"/>
                <w:sz w:val="17"/>
              </w:rPr>
              <w:t>Controlled source acquisition</w:t>
            </w:r>
          </w:p>
        </w:tc>
        <w:tc>
          <w:tcPr>
            <w:tcW w:w="4248" w:type="dxa"/>
            <w:shd w:val="clear" w:color="auto" w:fill="FFFFFF"/>
            <w:tcMar>
              <w:top w:w="70" w:type="dxa"/>
              <w:left w:w="100" w:type="dxa"/>
              <w:bottom w:w="70" w:type="dxa"/>
              <w:right w:w="100" w:type="dxa"/>
            </w:tcMar>
            <w:vAlign w:val="center"/>
          </w:tcPr>
          <w:p w14:paraId="02F849E7" w14:textId="77777777" w:rsidR="00DD60C8" w:rsidRDefault="00DD60C8" w:rsidP="00F96983">
            <w:pPr>
              <w:spacing w:after="0" w:line="240" w:lineRule="auto"/>
            </w:pPr>
            <w:r>
              <w:rPr>
                <w:rFonts w:ascii="Times New Roman" w:eastAsia="Times New Roman" w:hAnsi="Times New Roman"/>
                <w:color w:val="000000"/>
                <w:sz w:val="17"/>
              </w:rPr>
              <w:t>Ingestion Engine with source binding, preflight qualification, and versioned adapters</w:t>
            </w:r>
          </w:p>
        </w:tc>
        <w:tc>
          <w:tcPr>
            <w:tcW w:w="3283" w:type="dxa"/>
            <w:shd w:val="clear" w:color="auto" w:fill="FFFFFF"/>
            <w:tcMar>
              <w:top w:w="70" w:type="dxa"/>
              <w:left w:w="100" w:type="dxa"/>
              <w:bottom w:w="70" w:type="dxa"/>
              <w:right w:w="100" w:type="dxa"/>
            </w:tcMar>
            <w:vAlign w:val="center"/>
          </w:tcPr>
          <w:p w14:paraId="0A37D1E7" w14:textId="77777777" w:rsidR="00DD60C8" w:rsidRDefault="00DD60C8" w:rsidP="00F96983">
            <w:pPr>
              <w:spacing w:after="0" w:line="240" w:lineRule="auto"/>
            </w:pPr>
            <w:r>
              <w:rPr>
                <w:rFonts w:ascii="Times New Roman" w:eastAsia="Times New Roman" w:hAnsi="Times New Roman"/>
                <w:color w:val="000000"/>
                <w:sz w:val="17"/>
              </w:rPr>
              <w:t>May normalize supported structure; may not invent source facts or telemetry</w:t>
            </w:r>
          </w:p>
        </w:tc>
      </w:tr>
      <w:tr w:rsidR="00DD60C8" w14:paraId="6C115F9E" w14:textId="77777777">
        <w:trPr>
          <w:cantSplit/>
          <w:jc w:val="center"/>
        </w:trPr>
        <w:tc>
          <w:tcPr>
            <w:tcW w:w="2188" w:type="dxa"/>
            <w:shd w:val="clear" w:color="auto" w:fill="F6F9FB"/>
            <w:tcMar>
              <w:top w:w="70" w:type="dxa"/>
              <w:left w:w="100" w:type="dxa"/>
              <w:bottom w:w="70" w:type="dxa"/>
              <w:right w:w="100" w:type="dxa"/>
            </w:tcMar>
            <w:vAlign w:val="center"/>
          </w:tcPr>
          <w:p w14:paraId="2ACEB8BB" w14:textId="77777777" w:rsidR="00DD60C8" w:rsidRDefault="00DD60C8" w:rsidP="00F96983">
            <w:pPr>
              <w:spacing w:after="0" w:line="240" w:lineRule="auto"/>
            </w:pPr>
            <w:r>
              <w:rPr>
                <w:rFonts w:ascii="Times New Roman" w:eastAsia="Times New Roman" w:hAnsi="Times New Roman"/>
                <w:color w:val="000000"/>
                <w:sz w:val="17"/>
              </w:rPr>
              <w:t>Canonical evidence</w:t>
            </w:r>
          </w:p>
        </w:tc>
        <w:tc>
          <w:tcPr>
            <w:tcW w:w="4248" w:type="dxa"/>
            <w:shd w:val="clear" w:color="auto" w:fill="F6F9FB"/>
            <w:tcMar>
              <w:top w:w="70" w:type="dxa"/>
              <w:left w:w="100" w:type="dxa"/>
              <w:bottom w:w="70" w:type="dxa"/>
              <w:right w:w="100" w:type="dxa"/>
            </w:tcMar>
            <w:vAlign w:val="center"/>
          </w:tcPr>
          <w:p w14:paraId="5791A3BA" w14:textId="77777777" w:rsidR="00DD60C8" w:rsidRDefault="00DD60C8" w:rsidP="00F96983">
            <w:pPr>
              <w:spacing w:after="0" w:line="240" w:lineRule="auto"/>
            </w:pPr>
            <w:r>
              <w:rPr>
                <w:rFonts w:ascii="Times New Roman" w:eastAsia="Times New Roman" w:hAnsi="Times New Roman"/>
                <w:color w:val="000000"/>
                <w:sz w:val="17"/>
              </w:rPr>
              <w:t>Canonical runtime spine, runtime frames, and event ledger</w:t>
            </w:r>
          </w:p>
        </w:tc>
        <w:tc>
          <w:tcPr>
            <w:tcW w:w="3283" w:type="dxa"/>
            <w:shd w:val="clear" w:color="auto" w:fill="F6F9FB"/>
            <w:tcMar>
              <w:top w:w="70" w:type="dxa"/>
              <w:left w:w="100" w:type="dxa"/>
              <w:bottom w:w="70" w:type="dxa"/>
              <w:right w:w="100" w:type="dxa"/>
            </w:tcMar>
            <w:vAlign w:val="center"/>
          </w:tcPr>
          <w:p w14:paraId="09430B33" w14:textId="77777777" w:rsidR="00DD60C8" w:rsidRDefault="00DD60C8" w:rsidP="00F96983">
            <w:pPr>
              <w:spacing w:after="0" w:line="240" w:lineRule="auto"/>
            </w:pPr>
            <w:r>
              <w:rPr>
                <w:rFonts w:ascii="Times New Roman" w:eastAsia="Times New Roman" w:hAnsi="Times New Roman"/>
                <w:color w:val="000000"/>
                <w:sz w:val="17"/>
              </w:rPr>
              <w:t>Organizes the record while preserving source identity, order, spans, and transformation provenance</w:t>
            </w:r>
          </w:p>
        </w:tc>
      </w:tr>
      <w:tr w:rsidR="00DD60C8" w14:paraId="35A7C6C9" w14:textId="77777777">
        <w:trPr>
          <w:cantSplit/>
          <w:jc w:val="center"/>
        </w:trPr>
        <w:tc>
          <w:tcPr>
            <w:tcW w:w="2188" w:type="dxa"/>
            <w:shd w:val="clear" w:color="auto" w:fill="FFFFFF"/>
            <w:tcMar>
              <w:top w:w="70" w:type="dxa"/>
              <w:left w:w="100" w:type="dxa"/>
              <w:bottom w:w="70" w:type="dxa"/>
              <w:right w:w="100" w:type="dxa"/>
            </w:tcMar>
            <w:vAlign w:val="center"/>
          </w:tcPr>
          <w:p w14:paraId="718E2429" w14:textId="77777777" w:rsidR="00DD60C8" w:rsidRDefault="00DD60C8" w:rsidP="00F96983">
            <w:pPr>
              <w:spacing w:after="0" w:line="240" w:lineRule="auto"/>
            </w:pPr>
            <w:r>
              <w:rPr>
                <w:rFonts w:ascii="Times New Roman" w:eastAsia="Times New Roman" w:hAnsi="Times New Roman"/>
                <w:color w:val="000000"/>
                <w:sz w:val="17"/>
              </w:rPr>
              <w:t>Active evidence authority</w:t>
            </w:r>
          </w:p>
        </w:tc>
        <w:tc>
          <w:tcPr>
            <w:tcW w:w="4248" w:type="dxa"/>
            <w:shd w:val="clear" w:color="auto" w:fill="FFFFFF"/>
            <w:tcMar>
              <w:top w:w="70" w:type="dxa"/>
              <w:left w:w="100" w:type="dxa"/>
              <w:bottom w:w="70" w:type="dxa"/>
              <w:right w:w="100" w:type="dxa"/>
            </w:tcMar>
            <w:vAlign w:val="center"/>
          </w:tcPr>
          <w:p w14:paraId="750E2B28" w14:textId="77777777" w:rsidR="00DD60C8" w:rsidRDefault="00DD60C8" w:rsidP="00F96983">
            <w:pPr>
              <w:spacing w:after="0" w:line="240" w:lineRule="auto"/>
            </w:pPr>
            <w:r>
              <w:rPr>
                <w:rFonts w:ascii="Times New Roman" w:eastAsia="Times New Roman" w:hAnsi="Times New Roman"/>
                <w:color w:val="000000"/>
                <w:sz w:val="17"/>
              </w:rPr>
              <w:t>Current Evidence Run</w:t>
            </w:r>
          </w:p>
        </w:tc>
        <w:tc>
          <w:tcPr>
            <w:tcW w:w="3283" w:type="dxa"/>
            <w:shd w:val="clear" w:color="auto" w:fill="FFFFFF"/>
            <w:tcMar>
              <w:top w:w="70" w:type="dxa"/>
              <w:left w:w="100" w:type="dxa"/>
              <w:bottom w:w="70" w:type="dxa"/>
              <w:right w:w="100" w:type="dxa"/>
            </w:tcMar>
            <w:vAlign w:val="center"/>
          </w:tcPr>
          <w:p w14:paraId="3B9A9DE2" w14:textId="77777777" w:rsidR="00DD60C8" w:rsidRDefault="00DD60C8" w:rsidP="00F96983">
            <w:pPr>
              <w:spacing w:after="0" w:line="240" w:lineRule="auto"/>
            </w:pPr>
            <w:r>
              <w:rPr>
                <w:rFonts w:ascii="Times New Roman" w:eastAsia="Times New Roman" w:hAnsi="Times New Roman"/>
                <w:color w:val="000000"/>
                <w:sz w:val="17"/>
              </w:rPr>
              <w:t>Governs eligible evidence, measurements, markers, findings, missingness, and claim limits during active computation</w:t>
            </w:r>
          </w:p>
        </w:tc>
      </w:tr>
      <w:tr w:rsidR="00DD60C8" w14:paraId="208B74BD" w14:textId="77777777">
        <w:trPr>
          <w:cantSplit/>
          <w:jc w:val="center"/>
        </w:trPr>
        <w:tc>
          <w:tcPr>
            <w:tcW w:w="2188" w:type="dxa"/>
            <w:shd w:val="clear" w:color="auto" w:fill="F6F9FB"/>
            <w:tcMar>
              <w:top w:w="70" w:type="dxa"/>
              <w:left w:w="100" w:type="dxa"/>
              <w:bottom w:w="70" w:type="dxa"/>
              <w:right w:w="100" w:type="dxa"/>
            </w:tcMar>
            <w:vAlign w:val="center"/>
          </w:tcPr>
          <w:p w14:paraId="0081E524" w14:textId="77777777" w:rsidR="00DD60C8" w:rsidRDefault="00DD60C8" w:rsidP="00F96983">
            <w:pPr>
              <w:spacing w:after="0" w:line="240" w:lineRule="auto"/>
            </w:pPr>
            <w:r>
              <w:rPr>
                <w:rFonts w:ascii="Times New Roman" w:eastAsia="Times New Roman" w:hAnsi="Times New Roman"/>
                <w:color w:val="000000"/>
                <w:sz w:val="17"/>
              </w:rPr>
              <w:t>Machine-readable evidence</w:t>
            </w:r>
          </w:p>
        </w:tc>
        <w:tc>
          <w:tcPr>
            <w:tcW w:w="4248" w:type="dxa"/>
            <w:shd w:val="clear" w:color="auto" w:fill="F6F9FB"/>
            <w:tcMar>
              <w:top w:w="70" w:type="dxa"/>
              <w:left w:w="100" w:type="dxa"/>
              <w:bottom w:w="70" w:type="dxa"/>
              <w:right w:w="100" w:type="dxa"/>
            </w:tcMar>
            <w:vAlign w:val="center"/>
          </w:tcPr>
          <w:p w14:paraId="12403A92" w14:textId="77777777" w:rsidR="00DD60C8" w:rsidRDefault="00DD60C8" w:rsidP="00F96983">
            <w:pPr>
              <w:spacing w:after="0" w:line="240" w:lineRule="auto"/>
            </w:pPr>
            <w:r>
              <w:rPr>
                <w:rFonts w:ascii="Times New Roman" w:eastAsia="Times New Roman" w:hAnsi="Times New Roman"/>
                <w:color w:val="000000"/>
                <w:sz w:val="17"/>
              </w:rPr>
              <w:t>Runtime Evidence Record and, after issuance, Certified Runtime Evidence Record</w:t>
            </w:r>
          </w:p>
        </w:tc>
        <w:tc>
          <w:tcPr>
            <w:tcW w:w="3283" w:type="dxa"/>
            <w:shd w:val="clear" w:color="auto" w:fill="F6F9FB"/>
            <w:tcMar>
              <w:top w:w="70" w:type="dxa"/>
              <w:left w:w="100" w:type="dxa"/>
              <w:bottom w:w="70" w:type="dxa"/>
              <w:right w:w="100" w:type="dxa"/>
            </w:tcMar>
            <w:vAlign w:val="center"/>
          </w:tcPr>
          <w:p w14:paraId="4513B820" w14:textId="77777777" w:rsidR="00DD60C8" w:rsidRDefault="00DD60C8" w:rsidP="00F96983">
            <w:pPr>
              <w:spacing w:after="0" w:line="240" w:lineRule="auto"/>
            </w:pPr>
            <w:r>
              <w:rPr>
                <w:rFonts w:ascii="Times New Roman" w:eastAsia="Times New Roman" w:hAnsi="Times New Roman"/>
                <w:color w:val="000000"/>
                <w:sz w:val="17"/>
              </w:rPr>
              <w:t>Records the governed evidence state; certification is bounded to declared conformance and integrity scope</w:t>
            </w:r>
          </w:p>
        </w:tc>
      </w:tr>
      <w:tr w:rsidR="00DD60C8" w14:paraId="2184C377" w14:textId="77777777">
        <w:trPr>
          <w:cantSplit/>
          <w:jc w:val="center"/>
        </w:trPr>
        <w:tc>
          <w:tcPr>
            <w:tcW w:w="2188" w:type="dxa"/>
            <w:shd w:val="clear" w:color="auto" w:fill="FFFFFF"/>
            <w:tcMar>
              <w:top w:w="70" w:type="dxa"/>
              <w:left w:w="100" w:type="dxa"/>
              <w:bottom w:w="70" w:type="dxa"/>
              <w:right w:w="100" w:type="dxa"/>
            </w:tcMar>
            <w:vAlign w:val="center"/>
          </w:tcPr>
          <w:p w14:paraId="210A2F02" w14:textId="77777777" w:rsidR="00DD60C8" w:rsidRDefault="00DD60C8" w:rsidP="00F96983">
            <w:pPr>
              <w:spacing w:after="0" w:line="240" w:lineRule="auto"/>
            </w:pPr>
            <w:r>
              <w:rPr>
                <w:rFonts w:ascii="Times New Roman" w:eastAsia="Times New Roman" w:hAnsi="Times New Roman"/>
                <w:color w:val="000000"/>
                <w:sz w:val="17"/>
              </w:rPr>
              <w:t>Signal governance</w:t>
            </w:r>
          </w:p>
        </w:tc>
        <w:tc>
          <w:tcPr>
            <w:tcW w:w="4248" w:type="dxa"/>
            <w:shd w:val="clear" w:color="auto" w:fill="FFFFFF"/>
            <w:tcMar>
              <w:top w:w="70" w:type="dxa"/>
              <w:left w:w="100" w:type="dxa"/>
              <w:bottom w:w="70" w:type="dxa"/>
              <w:right w:w="100" w:type="dxa"/>
            </w:tcMar>
            <w:vAlign w:val="center"/>
          </w:tcPr>
          <w:p w14:paraId="1EBA29FC" w14:textId="77777777" w:rsidR="00DD60C8" w:rsidRDefault="00DD60C8" w:rsidP="00F96983">
            <w:pPr>
              <w:spacing w:after="0" w:line="240" w:lineRule="auto"/>
            </w:pPr>
            <w:r>
              <w:rPr>
                <w:rFonts w:ascii="Times New Roman" w:eastAsia="Times New Roman" w:hAnsi="Times New Roman"/>
                <w:color w:val="000000"/>
                <w:sz w:val="17"/>
              </w:rPr>
              <w:t>Versioned Runtime Signal Authority</w:t>
            </w:r>
          </w:p>
        </w:tc>
        <w:tc>
          <w:tcPr>
            <w:tcW w:w="3283" w:type="dxa"/>
            <w:shd w:val="clear" w:color="auto" w:fill="FFFFFF"/>
            <w:tcMar>
              <w:top w:w="70" w:type="dxa"/>
              <w:left w:w="100" w:type="dxa"/>
              <w:bottom w:w="70" w:type="dxa"/>
              <w:right w:w="100" w:type="dxa"/>
            </w:tcMar>
            <w:vAlign w:val="center"/>
          </w:tcPr>
          <w:p w14:paraId="66E95C3F" w14:textId="77777777" w:rsidR="00DD60C8" w:rsidRDefault="00DD60C8" w:rsidP="00F96983">
            <w:pPr>
              <w:spacing w:after="0" w:line="240" w:lineRule="auto"/>
            </w:pPr>
            <w:r>
              <w:rPr>
                <w:rFonts w:ascii="Times New Roman" w:eastAsia="Times New Roman" w:hAnsi="Times New Roman"/>
                <w:color w:val="000000"/>
                <w:sz w:val="17"/>
              </w:rPr>
              <w:t>Registers dependencies, methods, horizons, status, interpretation limits, and missingness behavior</w:t>
            </w:r>
          </w:p>
        </w:tc>
      </w:tr>
      <w:tr w:rsidR="00DD60C8" w14:paraId="6E443726" w14:textId="77777777">
        <w:trPr>
          <w:cantSplit/>
          <w:jc w:val="center"/>
        </w:trPr>
        <w:tc>
          <w:tcPr>
            <w:tcW w:w="2188" w:type="dxa"/>
            <w:shd w:val="clear" w:color="auto" w:fill="F6F9FB"/>
            <w:tcMar>
              <w:top w:w="70" w:type="dxa"/>
              <w:left w:w="100" w:type="dxa"/>
              <w:bottom w:w="70" w:type="dxa"/>
              <w:right w:w="100" w:type="dxa"/>
            </w:tcMar>
            <w:vAlign w:val="center"/>
          </w:tcPr>
          <w:p w14:paraId="7D4B7941" w14:textId="77777777" w:rsidR="00DD60C8" w:rsidRDefault="00DD60C8" w:rsidP="00F96983">
            <w:pPr>
              <w:spacing w:after="0" w:line="240" w:lineRule="auto"/>
            </w:pPr>
            <w:r>
              <w:rPr>
                <w:rFonts w:ascii="Times New Roman" w:eastAsia="Times New Roman" w:hAnsi="Times New Roman"/>
                <w:color w:val="000000"/>
                <w:sz w:val="17"/>
              </w:rPr>
              <w:t>Measurement legitimacy</w:t>
            </w:r>
          </w:p>
        </w:tc>
        <w:tc>
          <w:tcPr>
            <w:tcW w:w="4248" w:type="dxa"/>
            <w:shd w:val="clear" w:color="auto" w:fill="F6F9FB"/>
            <w:tcMar>
              <w:top w:w="70" w:type="dxa"/>
              <w:left w:w="100" w:type="dxa"/>
              <w:bottom w:w="70" w:type="dxa"/>
              <w:right w:w="100" w:type="dxa"/>
            </w:tcMar>
            <w:vAlign w:val="center"/>
          </w:tcPr>
          <w:p w14:paraId="5377A853" w14:textId="77777777" w:rsidR="00DD60C8" w:rsidRDefault="00DD60C8" w:rsidP="00F96983">
            <w:pPr>
              <w:spacing w:after="0" w:line="240" w:lineRule="auto"/>
            </w:pPr>
            <w:r>
              <w:rPr>
                <w:rFonts w:ascii="Times New Roman" w:eastAsia="Times New Roman" w:hAnsi="Times New Roman"/>
                <w:color w:val="000000"/>
                <w:sz w:val="17"/>
              </w:rPr>
              <w:t>Metric-legitimacy matrix and claim-boundary rules</w:t>
            </w:r>
          </w:p>
        </w:tc>
        <w:tc>
          <w:tcPr>
            <w:tcW w:w="3283" w:type="dxa"/>
            <w:shd w:val="clear" w:color="auto" w:fill="F6F9FB"/>
            <w:tcMar>
              <w:top w:w="70" w:type="dxa"/>
              <w:left w:w="100" w:type="dxa"/>
              <w:bottom w:w="70" w:type="dxa"/>
              <w:right w:w="100" w:type="dxa"/>
            </w:tcMar>
            <w:vAlign w:val="center"/>
          </w:tcPr>
          <w:p w14:paraId="30815FC8" w14:textId="77777777" w:rsidR="00DD60C8" w:rsidRDefault="00DD60C8" w:rsidP="00F96983">
            <w:pPr>
              <w:spacing w:after="0" w:line="240" w:lineRule="auto"/>
            </w:pPr>
            <w:r>
              <w:rPr>
                <w:rFonts w:ascii="Times New Roman" w:eastAsia="Times New Roman" w:hAnsi="Times New Roman"/>
                <w:color w:val="000000"/>
                <w:sz w:val="17"/>
              </w:rPr>
              <w:t>Prevents direct, derived, proxy, interpretive, and experimental quantities from being conflated</w:t>
            </w:r>
          </w:p>
        </w:tc>
      </w:tr>
      <w:tr w:rsidR="00DD60C8" w14:paraId="6DB5E5D4" w14:textId="77777777">
        <w:trPr>
          <w:cantSplit/>
          <w:jc w:val="center"/>
        </w:trPr>
        <w:tc>
          <w:tcPr>
            <w:tcW w:w="2188" w:type="dxa"/>
            <w:shd w:val="clear" w:color="auto" w:fill="FFFFFF"/>
            <w:tcMar>
              <w:top w:w="70" w:type="dxa"/>
              <w:left w:w="100" w:type="dxa"/>
              <w:bottom w:w="70" w:type="dxa"/>
              <w:right w:w="100" w:type="dxa"/>
            </w:tcMar>
            <w:vAlign w:val="center"/>
          </w:tcPr>
          <w:p w14:paraId="4A048F2F" w14:textId="77777777" w:rsidR="00DD60C8" w:rsidRDefault="00DD60C8" w:rsidP="00F96983">
            <w:pPr>
              <w:spacing w:after="0" w:line="240" w:lineRule="auto"/>
            </w:pPr>
            <w:r>
              <w:rPr>
                <w:rFonts w:ascii="Times New Roman" w:eastAsia="Times New Roman" w:hAnsi="Times New Roman"/>
                <w:color w:val="000000"/>
                <w:sz w:val="17"/>
              </w:rPr>
              <w:t>Shared stability context</w:t>
            </w:r>
          </w:p>
        </w:tc>
        <w:tc>
          <w:tcPr>
            <w:tcW w:w="4248" w:type="dxa"/>
            <w:shd w:val="clear" w:color="auto" w:fill="FFFFFF"/>
            <w:tcMar>
              <w:top w:w="70" w:type="dxa"/>
              <w:left w:w="100" w:type="dxa"/>
              <w:bottom w:w="70" w:type="dxa"/>
              <w:right w:w="100" w:type="dxa"/>
            </w:tcMar>
            <w:vAlign w:val="center"/>
          </w:tcPr>
          <w:p w14:paraId="2BF5EAF2" w14:textId="77777777" w:rsidR="00DD60C8" w:rsidRDefault="00DD60C8" w:rsidP="00F96983">
            <w:pPr>
              <w:spacing w:after="0" w:line="240" w:lineRule="auto"/>
            </w:pPr>
            <w:r>
              <w:rPr>
                <w:rFonts w:ascii="Times New Roman" w:eastAsia="Times New Roman" w:hAnsi="Times New Roman"/>
                <w:color w:val="000000"/>
                <w:sz w:val="17"/>
              </w:rPr>
              <w:t>Runtime Stability Foundation</w:t>
            </w:r>
          </w:p>
        </w:tc>
        <w:tc>
          <w:tcPr>
            <w:tcW w:w="3283" w:type="dxa"/>
            <w:shd w:val="clear" w:color="auto" w:fill="FFFFFF"/>
            <w:tcMar>
              <w:top w:w="70" w:type="dxa"/>
              <w:left w:w="100" w:type="dxa"/>
              <w:bottom w:w="70" w:type="dxa"/>
              <w:right w:w="100" w:type="dxa"/>
            </w:tcMar>
            <w:vAlign w:val="center"/>
          </w:tcPr>
          <w:p w14:paraId="14431CD5" w14:textId="77777777" w:rsidR="00DD60C8" w:rsidRDefault="00DD60C8" w:rsidP="00F96983">
            <w:pPr>
              <w:spacing w:after="0" w:line="240" w:lineRule="auto"/>
            </w:pPr>
            <w:r>
              <w:rPr>
                <w:rFonts w:ascii="Times New Roman" w:eastAsia="Times New Roman" w:hAnsi="Times New Roman"/>
                <w:color w:val="000000"/>
                <w:sz w:val="17"/>
              </w:rPr>
              <w:t>Organizes source-bound stability, regime, boundary, recovery, and re-entry evidence without creating new source facts</w:t>
            </w:r>
          </w:p>
        </w:tc>
      </w:tr>
      <w:tr w:rsidR="00DD60C8" w14:paraId="55FB98FB" w14:textId="77777777">
        <w:trPr>
          <w:cantSplit/>
          <w:jc w:val="center"/>
        </w:trPr>
        <w:tc>
          <w:tcPr>
            <w:tcW w:w="2188" w:type="dxa"/>
            <w:shd w:val="clear" w:color="auto" w:fill="F6F9FB"/>
            <w:tcMar>
              <w:top w:w="70" w:type="dxa"/>
              <w:left w:w="100" w:type="dxa"/>
              <w:bottom w:w="70" w:type="dxa"/>
              <w:right w:w="100" w:type="dxa"/>
            </w:tcMar>
            <w:vAlign w:val="center"/>
          </w:tcPr>
          <w:p w14:paraId="763ED6AC" w14:textId="77777777" w:rsidR="00DD60C8" w:rsidRDefault="00DD60C8" w:rsidP="00F96983">
            <w:pPr>
              <w:spacing w:after="0" w:line="240" w:lineRule="auto"/>
            </w:pPr>
            <w:r>
              <w:rPr>
                <w:rFonts w:ascii="Times New Roman" w:eastAsia="Times New Roman" w:hAnsi="Times New Roman"/>
                <w:color w:val="000000"/>
                <w:sz w:val="17"/>
              </w:rPr>
              <w:t>Scientific projection</w:t>
            </w:r>
          </w:p>
        </w:tc>
        <w:tc>
          <w:tcPr>
            <w:tcW w:w="4248" w:type="dxa"/>
            <w:shd w:val="clear" w:color="auto" w:fill="F6F9FB"/>
            <w:tcMar>
              <w:top w:w="70" w:type="dxa"/>
              <w:left w:w="100" w:type="dxa"/>
              <w:bottom w:w="70" w:type="dxa"/>
              <w:right w:w="100" w:type="dxa"/>
            </w:tcMar>
            <w:vAlign w:val="center"/>
          </w:tcPr>
          <w:p w14:paraId="63BE6A9C" w14:textId="77777777" w:rsidR="00DD60C8" w:rsidRDefault="00DD60C8" w:rsidP="00F96983">
            <w:pPr>
              <w:spacing w:after="0" w:line="240" w:lineRule="auto"/>
            </w:pPr>
            <w:r>
              <w:rPr>
                <w:rFonts w:ascii="Times New Roman" w:eastAsia="Times New Roman" w:hAnsi="Times New Roman"/>
                <w:color w:val="000000"/>
                <w:sz w:val="17"/>
              </w:rPr>
              <w:t>Nine Instrument Findings from Seismo, Chronos, Drift, Pressure, Bridge, Noesis, Scope, Dynamics, and Interferometer</w:t>
            </w:r>
          </w:p>
        </w:tc>
        <w:tc>
          <w:tcPr>
            <w:tcW w:w="3283" w:type="dxa"/>
            <w:shd w:val="clear" w:color="auto" w:fill="F6F9FB"/>
            <w:tcMar>
              <w:top w:w="70" w:type="dxa"/>
              <w:left w:w="100" w:type="dxa"/>
              <w:bottom w:w="70" w:type="dxa"/>
              <w:right w:w="100" w:type="dxa"/>
            </w:tcMar>
            <w:vAlign w:val="center"/>
          </w:tcPr>
          <w:p w14:paraId="1B0CD2B1" w14:textId="77777777" w:rsidR="00DD60C8" w:rsidRDefault="00DD60C8" w:rsidP="00F96983">
            <w:pPr>
              <w:spacing w:after="0" w:line="240" w:lineRule="auto"/>
            </w:pPr>
            <w:r>
              <w:rPr>
                <w:rFonts w:ascii="Times New Roman" w:eastAsia="Times New Roman" w:hAnsi="Times New Roman"/>
                <w:color w:val="000000"/>
                <w:sz w:val="17"/>
              </w:rPr>
              <w:t>Each instrument reads authorized evidence and writes only its bounded finding</w:t>
            </w:r>
          </w:p>
        </w:tc>
      </w:tr>
      <w:tr w:rsidR="00DD60C8" w14:paraId="5CDE0A96" w14:textId="77777777">
        <w:trPr>
          <w:cantSplit/>
          <w:jc w:val="center"/>
        </w:trPr>
        <w:tc>
          <w:tcPr>
            <w:tcW w:w="2188" w:type="dxa"/>
            <w:shd w:val="clear" w:color="auto" w:fill="FFFFFF"/>
            <w:tcMar>
              <w:top w:w="70" w:type="dxa"/>
              <w:left w:w="100" w:type="dxa"/>
              <w:bottom w:w="70" w:type="dxa"/>
              <w:right w:w="100" w:type="dxa"/>
            </w:tcMar>
            <w:vAlign w:val="center"/>
          </w:tcPr>
          <w:p w14:paraId="3028B65E" w14:textId="77777777" w:rsidR="00DD60C8" w:rsidRDefault="00DD60C8" w:rsidP="00F96983">
            <w:pPr>
              <w:spacing w:after="0" w:line="240" w:lineRule="auto"/>
            </w:pPr>
            <w:r>
              <w:rPr>
                <w:rFonts w:ascii="Times New Roman" w:eastAsia="Times New Roman" w:hAnsi="Times New Roman"/>
                <w:color w:val="000000"/>
                <w:sz w:val="17"/>
              </w:rPr>
              <w:t>Interpretation posture</w:t>
            </w:r>
          </w:p>
        </w:tc>
        <w:tc>
          <w:tcPr>
            <w:tcW w:w="4248" w:type="dxa"/>
            <w:shd w:val="clear" w:color="auto" w:fill="FFFFFF"/>
            <w:tcMar>
              <w:top w:w="70" w:type="dxa"/>
              <w:left w:w="100" w:type="dxa"/>
              <w:bottom w:w="70" w:type="dxa"/>
              <w:right w:w="100" w:type="dxa"/>
            </w:tcMar>
            <w:vAlign w:val="center"/>
          </w:tcPr>
          <w:p w14:paraId="24E8FE2E" w14:textId="77777777" w:rsidR="00DD60C8" w:rsidRDefault="00DD60C8" w:rsidP="00F96983">
            <w:pPr>
              <w:spacing w:after="0" w:line="240" w:lineRule="auto"/>
            </w:pPr>
            <w:r>
              <w:rPr>
                <w:rFonts w:ascii="Times New Roman" w:eastAsia="Times New Roman" w:hAnsi="Times New Roman"/>
                <w:color w:val="000000"/>
                <w:sz w:val="17"/>
              </w:rPr>
              <w:t>REIM-0.1</w:t>
            </w:r>
          </w:p>
        </w:tc>
        <w:tc>
          <w:tcPr>
            <w:tcW w:w="3283" w:type="dxa"/>
            <w:shd w:val="clear" w:color="auto" w:fill="FFFFFF"/>
            <w:tcMar>
              <w:top w:w="70" w:type="dxa"/>
              <w:left w:w="100" w:type="dxa"/>
              <w:bottom w:w="70" w:type="dxa"/>
              <w:right w:w="100" w:type="dxa"/>
            </w:tcMar>
            <w:vAlign w:val="center"/>
          </w:tcPr>
          <w:p w14:paraId="196BEFDF" w14:textId="77777777" w:rsidR="00DD60C8" w:rsidRDefault="00DD60C8" w:rsidP="00F96983">
            <w:pPr>
              <w:spacing w:after="0" w:line="240" w:lineRule="auto"/>
            </w:pPr>
            <w:r>
              <w:rPr>
                <w:rFonts w:ascii="Times New Roman" w:eastAsia="Times New Roman" w:hAnsi="Times New Roman"/>
                <w:color w:val="000000"/>
                <w:sz w:val="17"/>
              </w:rPr>
              <w:t>Selects an evidence-supported class, alternatives, drivers, confidence, and investigation route; it is not a tenth instrument or causal oracle</w:t>
            </w:r>
          </w:p>
        </w:tc>
      </w:tr>
      <w:tr w:rsidR="00DD60C8" w14:paraId="1049955E" w14:textId="77777777">
        <w:trPr>
          <w:cantSplit/>
          <w:jc w:val="center"/>
        </w:trPr>
        <w:tc>
          <w:tcPr>
            <w:tcW w:w="2188" w:type="dxa"/>
            <w:shd w:val="clear" w:color="auto" w:fill="F6F9FB"/>
            <w:tcMar>
              <w:top w:w="70" w:type="dxa"/>
              <w:left w:w="100" w:type="dxa"/>
              <w:bottom w:w="70" w:type="dxa"/>
              <w:right w:w="100" w:type="dxa"/>
            </w:tcMar>
            <w:vAlign w:val="center"/>
          </w:tcPr>
          <w:p w14:paraId="4D490EC2" w14:textId="77777777" w:rsidR="00DD60C8" w:rsidRDefault="00DD60C8" w:rsidP="00F96983">
            <w:pPr>
              <w:spacing w:after="0" w:line="240" w:lineRule="auto"/>
            </w:pPr>
            <w:r>
              <w:rPr>
                <w:rFonts w:ascii="Times New Roman" w:eastAsia="Times New Roman" w:hAnsi="Times New Roman"/>
                <w:color w:val="000000"/>
                <w:sz w:val="17"/>
              </w:rPr>
              <w:t>Evaluation and synthesis</w:t>
            </w:r>
          </w:p>
        </w:tc>
        <w:tc>
          <w:tcPr>
            <w:tcW w:w="4248" w:type="dxa"/>
            <w:shd w:val="clear" w:color="auto" w:fill="F6F9FB"/>
            <w:tcMar>
              <w:top w:w="70" w:type="dxa"/>
              <w:left w:w="100" w:type="dxa"/>
              <w:bottom w:w="70" w:type="dxa"/>
              <w:right w:w="100" w:type="dxa"/>
            </w:tcMar>
            <w:vAlign w:val="center"/>
          </w:tcPr>
          <w:p w14:paraId="06C80265" w14:textId="77777777" w:rsidR="00DD60C8" w:rsidRDefault="00DD60C8" w:rsidP="00F96983">
            <w:pPr>
              <w:spacing w:after="0" w:line="240" w:lineRule="auto"/>
            </w:pPr>
            <w:r>
              <w:rPr>
                <w:rFonts w:ascii="Times New Roman" w:eastAsia="Times New Roman" w:hAnsi="Times New Roman"/>
                <w:color w:val="000000"/>
                <w:sz w:val="17"/>
              </w:rPr>
              <w:t>ESL v2</w:t>
            </w:r>
          </w:p>
        </w:tc>
        <w:tc>
          <w:tcPr>
            <w:tcW w:w="3283" w:type="dxa"/>
            <w:shd w:val="clear" w:color="auto" w:fill="F6F9FB"/>
            <w:tcMar>
              <w:top w:w="70" w:type="dxa"/>
              <w:left w:w="100" w:type="dxa"/>
              <w:bottom w:w="70" w:type="dxa"/>
              <w:right w:w="100" w:type="dxa"/>
            </w:tcMar>
            <w:vAlign w:val="center"/>
          </w:tcPr>
          <w:p w14:paraId="42108EF8" w14:textId="77777777" w:rsidR="00DD60C8" w:rsidRDefault="00DD60C8" w:rsidP="00F96983">
            <w:pPr>
              <w:spacing w:after="0" w:line="240" w:lineRule="auto"/>
            </w:pPr>
            <w:r>
              <w:rPr>
                <w:rFonts w:ascii="Times New Roman" w:eastAsia="Times New Roman" w:hAnsi="Times New Roman"/>
                <w:color w:val="000000"/>
                <w:sz w:val="17"/>
              </w:rPr>
              <w:t>Builds a read-only structured evidence bundle and deterministic synthesis without changing telemetry or markers</w:t>
            </w:r>
          </w:p>
        </w:tc>
      </w:tr>
      <w:tr w:rsidR="00DD60C8" w14:paraId="1266D250" w14:textId="77777777">
        <w:trPr>
          <w:cantSplit/>
          <w:jc w:val="center"/>
        </w:trPr>
        <w:tc>
          <w:tcPr>
            <w:tcW w:w="2188" w:type="dxa"/>
            <w:shd w:val="clear" w:color="auto" w:fill="FFFFFF"/>
            <w:tcMar>
              <w:top w:w="70" w:type="dxa"/>
              <w:left w:w="100" w:type="dxa"/>
              <w:bottom w:w="70" w:type="dxa"/>
              <w:right w:w="100" w:type="dxa"/>
            </w:tcMar>
            <w:vAlign w:val="center"/>
          </w:tcPr>
          <w:p w14:paraId="71F3DF62" w14:textId="77777777" w:rsidR="00DD60C8" w:rsidRDefault="00DD60C8" w:rsidP="00F96983">
            <w:pPr>
              <w:spacing w:after="0" w:line="240" w:lineRule="auto"/>
            </w:pPr>
            <w:r>
              <w:rPr>
                <w:rFonts w:ascii="Times New Roman" w:eastAsia="Times New Roman" w:hAnsi="Times New Roman"/>
                <w:color w:val="000000"/>
                <w:sz w:val="17"/>
              </w:rPr>
              <w:t>Operator-readable translation</w:t>
            </w:r>
          </w:p>
        </w:tc>
        <w:tc>
          <w:tcPr>
            <w:tcW w:w="4248" w:type="dxa"/>
            <w:shd w:val="clear" w:color="auto" w:fill="FFFFFF"/>
            <w:tcMar>
              <w:top w:w="70" w:type="dxa"/>
              <w:left w:w="100" w:type="dxa"/>
              <w:bottom w:w="70" w:type="dxa"/>
              <w:right w:w="100" w:type="dxa"/>
            </w:tcMar>
            <w:vAlign w:val="center"/>
          </w:tcPr>
          <w:p w14:paraId="33CDA132" w14:textId="77777777" w:rsidR="00DD60C8" w:rsidRDefault="00DD60C8" w:rsidP="00F96983">
            <w:pPr>
              <w:spacing w:after="0" w:line="240" w:lineRule="auto"/>
            </w:pPr>
            <w:r>
              <w:rPr>
                <w:rFonts w:ascii="Times New Roman" w:eastAsia="Times New Roman" w:hAnsi="Times New Roman"/>
                <w:color w:val="000000"/>
                <w:sz w:val="17"/>
              </w:rPr>
              <w:t>Human Read</w:t>
            </w:r>
          </w:p>
        </w:tc>
        <w:tc>
          <w:tcPr>
            <w:tcW w:w="3283" w:type="dxa"/>
            <w:shd w:val="clear" w:color="auto" w:fill="FFFFFF"/>
            <w:tcMar>
              <w:top w:w="70" w:type="dxa"/>
              <w:left w:w="100" w:type="dxa"/>
              <w:bottom w:w="70" w:type="dxa"/>
              <w:right w:w="100" w:type="dxa"/>
            </w:tcMar>
            <w:vAlign w:val="center"/>
          </w:tcPr>
          <w:p w14:paraId="72ADD8E6" w14:textId="77777777" w:rsidR="00DD60C8" w:rsidRDefault="00DD60C8" w:rsidP="00F96983">
            <w:pPr>
              <w:spacing w:after="0" w:line="240" w:lineRule="auto"/>
            </w:pPr>
            <w:r>
              <w:rPr>
                <w:rFonts w:ascii="Times New Roman" w:eastAsia="Times New Roman" w:hAnsi="Times New Roman"/>
                <w:color w:val="000000"/>
                <w:sz w:val="17"/>
              </w:rPr>
              <w:t>Expresses authorized propositions and limits in readable language without inventing measurements or explanations</w:t>
            </w:r>
          </w:p>
        </w:tc>
      </w:tr>
      <w:tr w:rsidR="00DD60C8" w14:paraId="73C31A78" w14:textId="77777777">
        <w:trPr>
          <w:cantSplit/>
          <w:jc w:val="center"/>
        </w:trPr>
        <w:tc>
          <w:tcPr>
            <w:tcW w:w="2188" w:type="dxa"/>
            <w:shd w:val="clear" w:color="auto" w:fill="F6F9FB"/>
            <w:tcMar>
              <w:top w:w="70" w:type="dxa"/>
              <w:left w:w="100" w:type="dxa"/>
              <w:bottom w:w="70" w:type="dxa"/>
              <w:right w:w="100" w:type="dxa"/>
            </w:tcMar>
            <w:vAlign w:val="center"/>
          </w:tcPr>
          <w:p w14:paraId="0D9F0A20" w14:textId="77777777" w:rsidR="00DD60C8" w:rsidRDefault="00DD60C8" w:rsidP="00F96983">
            <w:pPr>
              <w:spacing w:after="0" w:line="240" w:lineRule="auto"/>
            </w:pPr>
            <w:r>
              <w:rPr>
                <w:rFonts w:ascii="Times New Roman" w:eastAsia="Times New Roman" w:hAnsi="Times New Roman"/>
                <w:color w:val="000000"/>
                <w:sz w:val="17"/>
              </w:rPr>
              <w:t>Evidence navigation</w:t>
            </w:r>
          </w:p>
        </w:tc>
        <w:tc>
          <w:tcPr>
            <w:tcW w:w="4248" w:type="dxa"/>
            <w:shd w:val="clear" w:color="auto" w:fill="F6F9FB"/>
            <w:tcMar>
              <w:top w:w="70" w:type="dxa"/>
              <w:left w:w="100" w:type="dxa"/>
              <w:bottom w:w="70" w:type="dxa"/>
              <w:right w:w="100" w:type="dxa"/>
            </w:tcMar>
            <w:vAlign w:val="center"/>
          </w:tcPr>
          <w:p w14:paraId="295436E8" w14:textId="77777777" w:rsidR="00DD60C8" w:rsidRDefault="00DD60C8" w:rsidP="00F96983">
            <w:pPr>
              <w:spacing w:after="0" w:line="240" w:lineRule="auto"/>
            </w:pPr>
            <w:r>
              <w:rPr>
                <w:rFonts w:ascii="Times New Roman" w:eastAsia="Times New Roman" w:hAnsi="Times New Roman"/>
                <w:color w:val="000000"/>
                <w:sz w:val="17"/>
              </w:rPr>
              <w:t>Guided Investigation</w:t>
            </w:r>
          </w:p>
        </w:tc>
        <w:tc>
          <w:tcPr>
            <w:tcW w:w="3283" w:type="dxa"/>
            <w:shd w:val="clear" w:color="auto" w:fill="F6F9FB"/>
            <w:tcMar>
              <w:top w:w="70" w:type="dxa"/>
              <w:left w:w="100" w:type="dxa"/>
              <w:bottom w:w="70" w:type="dxa"/>
              <w:right w:w="100" w:type="dxa"/>
            </w:tcMar>
            <w:vAlign w:val="center"/>
          </w:tcPr>
          <w:p w14:paraId="1ECB2E7C" w14:textId="77777777" w:rsidR="00DD60C8" w:rsidRDefault="00DD60C8" w:rsidP="00F96983">
            <w:pPr>
              <w:spacing w:after="0" w:line="240" w:lineRule="auto"/>
            </w:pPr>
            <w:r>
              <w:rPr>
                <w:rFonts w:ascii="Times New Roman" w:eastAsia="Times New Roman" w:hAnsi="Times New Roman"/>
                <w:color w:val="000000"/>
                <w:sz w:val="17"/>
              </w:rPr>
              <w:t>Connects questions, chapters, findings, frames, events, and source spans while preserving operator judgment</w:t>
            </w:r>
          </w:p>
        </w:tc>
      </w:tr>
      <w:tr w:rsidR="00DD60C8" w14:paraId="514E3A9F" w14:textId="77777777">
        <w:trPr>
          <w:cantSplit/>
          <w:jc w:val="center"/>
        </w:trPr>
        <w:tc>
          <w:tcPr>
            <w:tcW w:w="2188" w:type="dxa"/>
            <w:shd w:val="clear" w:color="auto" w:fill="FFFFFF"/>
            <w:tcMar>
              <w:top w:w="70" w:type="dxa"/>
              <w:left w:w="100" w:type="dxa"/>
              <w:bottom w:w="70" w:type="dxa"/>
              <w:right w:w="100" w:type="dxa"/>
            </w:tcMar>
            <w:vAlign w:val="center"/>
          </w:tcPr>
          <w:p w14:paraId="1EDB5C1E" w14:textId="77777777" w:rsidR="00DD60C8" w:rsidRDefault="00DD60C8" w:rsidP="00F96983">
            <w:pPr>
              <w:spacing w:after="0" w:line="240" w:lineRule="auto"/>
            </w:pPr>
            <w:r>
              <w:rPr>
                <w:rFonts w:ascii="Times New Roman" w:eastAsia="Times New Roman" w:hAnsi="Times New Roman"/>
                <w:color w:val="000000"/>
                <w:sz w:val="17"/>
              </w:rPr>
              <w:t>Domain context</w:t>
            </w:r>
          </w:p>
        </w:tc>
        <w:tc>
          <w:tcPr>
            <w:tcW w:w="4248" w:type="dxa"/>
            <w:shd w:val="clear" w:color="auto" w:fill="FFFFFF"/>
            <w:tcMar>
              <w:top w:w="70" w:type="dxa"/>
              <w:left w:w="100" w:type="dxa"/>
              <w:bottom w:w="70" w:type="dxa"/>
              <w:right w:w="100" w:type="dxa"/>
            </w:tcMar>
            <w:vAlign w:val="center"/>
          </w:tcPr>
          <w:p w14:paraId="60699B60" w14:textId="77777777" w:rsidR="00DD60C8" w:rsidRDefault="00DD60C8" w:rsidP="00F96983">
            <w:pPr>
              <w:spacing w:after="0" w:line="240" w:lineRule="auto"/>
            </w:pPr>
            <w:r>
              <w:rPr>
                <w:rFonts w:ascii="Times New Roman" w:eastAsia="Times New Roman" w:hAnsi="Times New Roman"/>
                <w:color w:val="000000"/>
                <w:sz w:val="17"/>
              </w:rPr>
              <w:t>Operational World Mapping</w:t>
            </w:r>
          </w:p>
        </w:tc>
        <w:tc>
          <w:tcPr>
            <w:tcW w:w="3283" w:type="dxa"/>
            <w:shd w:val="clear" w:color="auto" w:fill="FFFFFF"/>
            <w:tcMar>
              <w:top w:w="70" w:type="dxa"/>
              <w:left w:w="100" w:type="dxa"/>
              <w:bottom w:w="70" w:type="dxa"/>
              <w:right w:w="100" w:type="dxa"/>
            </w:tcMar>
            <w:vAlign w:val="center"/>
          </w:tcPr>
          <w:p w14:paraId="4E7A9FB8" w14:textId="77777777" w:rsidR="00DD60C8" w:rsidRDefault="00DD60C8" w:rsidP="00F96983">
            <w:pPr>
              <w:spacing w:after="0" w:line="240" w:lineRule="auto"/>
            </w:pPr>
            <w:r>
              <w:rPr>
                <w:rFonts w:ascii="Times New Roman" w:eastAsia="Times New Roman" w:hAnsi="Times New Roman"/>
                <w:color w:val="000000"/>
                <w:sz w:val="17"/>
              </w:rPr>
              <w:t>Changes terminology and investigative emphasis without changing canonicalization, telemetry, classification, or evidence identity</w:t>
            </w:r>
          </w:p>
        </w:tc>
      </w:tr>
      <w:tr w:rsidR="00DD60C8" w14:paraId="73737971" w14:textId="77777777">
        <w:trPr>
          <w:cantSplit/>
          <w:jc w:val="center"/>
        </w:trPr>
        <w:tc>
          <w:tcPr>
            <w:tcW w:w="2188" w:type="dxa"/>
            <w:shd w:val="clear" w:color="auto" w:fill="F6F9FB"/>
            <w:tcMar>
              <w:top w:w="70" w:type="dxa"/>
              <w:left w:w="100" w:type="dxa"/>
              <w:bottom w:w="70" w:type="dxa"/>
              <w:right w:w="100" w:type="dxa"/>
            </w:tcMar>
            <w:vAlign w:val="center"/>
          </w:tcPr>
          <w:p w14:paraId="412BCB5D" w14:textId="77777777" w:rsidR="00DD60C8" w:rsidRDefault="00DD60C8" w:rsidP="00F96983">
            <w:pPr>
              <w:spacing w:after="0" w:line="240" w:lineRule="auto"/>
            </w:pPr>
            <w:r>
              <w:rPr>
                <w:rFonts w:ascii="Times New Roman" w:eastAsia="Times New Roman" w:hAnsi="Times New Roman"/>
                <w:color w:val="000000"/>
                <w:sz w:val="17"/>
              </w:rPr>
              <w:t>Adaptive presentation</w:t>
            </w:r>
          </w:p>
        </w:tc>
        <w:tc>
          <w:tcPr>
            <w:tcW w:w="4248" w:type="dxa"/>
            <w:shd w:val="clear" w:color="auto" w:fill="F6F9FB"/>
            <w:tcMar>
              <w:top w:w="70" w:type="dxa"/>
              <w:left w:w="100" w:type="dxa"/>
              <w:bottom w:w="70" w:type="dxa"/>
              <w:right w:w="100" w:type="dxa"/>
            </w:tcMar>
            <w:vAlign w:val="center"/>
          </w:tcPr>
          <w:p w14:paraId="48259450" w14:textId="77777777" w:rsidR="00DD60C8" w:rsidRDefault="00DD60C8" w:rsidP="00F96983">
            <w:pPr>
              <w:spacing w:after="0" w:line="240" w:lineRule="auto"/>
            </w:pPr>
            <w:r>
              <w:rPr>
                <w:rFonts w:ascii="Times New Roman" w:eastAsia="Times New Roman" w:hAnsi="Times New Roman"/>
                <w:color w:val="000000"/>
                <w:sz w:val="17"/>
              </w:rPr>
              <w:t>Adaptive Evidence Cockpit</w:t>
            </w:r>
          </w:p>
        </w:tc>
        <w:tc>
          <w:tcPr>
            <w:tcW w:w="3283" w:type="dxa"/>
            <w:shd w:val="clear" w:color="auto" w:fill="F6F9FB"/>
            <w:tcMar>
              <w:top w:w="70" w:type="dxa"/>
              <w:left w:w="100" w:type="dxa"/>
              <w:bottom w:w="70" w:type="dxa"/>
              <w:right w:w="100" w:type="dxa"/>
            </w:tcMar>
            <w:vAlign w:val="center"/>
          </w:tcPr>
          <w:p w14:paraId="64B79F9F" w14:textId="77777777" w:rsidR="00DD60C8" w:rsidRDefault="00DD60C8" w:rsidP="00F96983">
            <w:pPr>
              <w:spacing w:after="0" w:line="240" w:lineRule="auto"/>
            </w:pPr>
            <w:r>
              <w:rPr>
                <w:rFonts w:ascii="Times New Roman" w:eastAsia="Times New Roman" w:hAnsi="Times New Roman"/>
                <w:color w:val="000000"/>
                <w:sz w:val="17"/>
              </w:rPr>
              <w:t>Changes navigation, density, role orientation, and panel priority; cockpit state is not evidence input</w:t>
            </w:r>
          </w:p>
        </w:tc>
      </w:tr>
      <w:tr w:rsidR="00DD60C8" w14:paraId="324477F8" w14:textId="77777777">
        <w:trPr>
          <w:cantSplit/>
          <w:jc w:val="center"/>
        </w:trPr>
        <w:tc>
          <w:tcPr>
            <w:tcW w:w="2188" w:type="dxa"/>
            <w:shd w:val="clear" w:color="auto" w:fill="FFFFFF"/>
            <w:tcMar>
              <w:top w:w="70" w:type="dxa"/>
              <w:left w:w="100" w:type="dxa"/>
              <w:bottom w:w="70" w:type="dxa"/>
              <w:right w:w="100" w:type="dxa"/>
            </w:tcMar>
            <w:vAlign w:val="center"/>
          </w:tcPr>
          <w:p w14:paraId="3006C65C" w14:textId="77777777" w:rsidR="00DD60C8" w:rsidRDefault="00DD60C8" w:rsidP="00F96983">
            <w:pPr>
              <w:spacing w:after="0" w:line="240" w:lineRule="auto"/>
            </w:pPr>
            <w:r>
              <w:rPr>
                <w:rFonts w:ascii="Times New Roman" w:eastAsia="Times New Roman" w:hAnsi="Times New Roman"/>
                <w:color w:val="000000"/>
                <w:sz w:val="17"/>
              </w:rPr>
              <w:t>Portable run identity</w:t>
            </w:r>
          </w:p>
        </w:tc>
        <w:tc>
          <w:tcPr>
            <w:tcW w:w="4248" w:type="dxa"/>
            <w:shd w:val="clear" w:color="auto" w:fill="FFFFFF"/>
            <w:tcMar>
              <w:top w:w="70" w:type="dxa"/>
              <w:left w:w="100" w:type="dxa"/>
              <w:bottom w:w="70" w:type="dxa"/>
              <w:right w:w="100" w:type="dxa"/>
            </w:tcMar>
            <w:vAlign w:val="center"/>
          </w:tcPr>
          <w:p w14:paraId="0EF476E4" w14:textId="77777777" w:rsidR="00DD60C8" w:rsidRDefault="00DD60C8" w:rsidP="00F96983">
            <w:pPr>
              <w:spacing w:after="0" w:line="240" w:lineRule="auto"/>
            </w:pPr>
            <w:r>
              <w:rPr>
                <w:rFonts w:ascii="Times New Roman" w:eastAsia="Times New Roman" w:hAnsi="Times New Roman"/>
                <w:color w:val="000000"/>
                <w:sz w:val="17"/>
              </w:rPr>
              <w:t>Runtime Evidence Passport</w:t>
            </w:r>
          </w:p>
        </w:tc>
        <w:tc>
          <w:tcPr>
            <w:tcW w:w="3283" w:type="dxa"/>
            <w:shd w:val="clear" w:color="auto" w:fill="FFFFFF"/>
            <w:tcMar>
              <w:top w:w="70" w:type="dxa"/>
              <w:left w:w="100" w:type="dxa"/>
              <w:bottom w:w="70" w:type="dxa"/>
              <w:right w:w="100" w:type="dxa"/>
            </w:tcMar>
            <w:vAlign w:val="center"/>
          </w:tcPr>
          <w:p w14:paraId="5381B689" w14:textId="77777777" w:rsidR="00DD60C8" w:rsidRDefault="00DD60C8" w:rsidP="00F96983">
            <w:pPr>
              <w:spacing w:after="0" w:line="240" w:lineRule="auto"/>
            </w:pPr>
            <w:r>
              <w:rPr>
                <w:rFonts w:ascii="Times New Roman" w:eastAsia="Times New Roman" w:hAnsi="Times New Roman"/>
                <w:color w:val="000000"/>
                <w:sz w:val="17"/>
              </w:rPr>
              <w:t>Carries identity, provenance, disclosure, issuance, certification scope, claim boundary, and explicit non-certifications</w:t>
            </w:r>
          </w:p>
        </w:tc>
      </w:tr>
      <w:tr w:rsidR="00DD60C8" w14:paraId="7702716B" w14:textId="77777777">
        <w:trPr>
          <w:cantSplit/>
          <w:jc w:val="center"/>
        </w:trPr>
        <w:tc>
          <w:tcPr>
            <w:tcW w:w="2188" w:type="dxa"/>
            <w:shd w:val="clear" w:color="auto" w:fill="F6F9FB"/>
            <w:tcMar>
              <w:top w:w="70" w:type="dxa"/>
              <w:left w:w="100" w:type="dxa"/>
              <w:bottom w:w="70" w:type="dxa"/>
              <w:right w:w="100" w:type="dxa"/>
            </w:tcMar>
            <w:vAlign w:val="center"/>
          </w:tcPr>
          <w:p w14:paraId="07BB228A" w14:textId="77777777" w:rsidR="00DD60C8" w:rsidRDefault="00DD60C8" w:rsidP="00F96983">
            <w:pPr>
              <w:spacing w:after="0" w:line="240" w:lineRule="auto"/>
            </w:pPr>
            <w:r>
              <w:rPr>
                <w:rFonts w:ascii="Times New Roman" w:eastAsia="Times New Roman" w:hAnsi="Times New Roman"/>
                <w:color w:val="000000"/>
                <w:sz w:val="17"/>
              </w:rPr>
              <w:t>Integrity reference</w:t>
            </w:r>
          </w:p>
        </w:tc>
        <w:tc>
          <w:tcPr>
            <w:tcW w:w="4248" w:type="dxa"/>
            <w:shd w:val="clear" w:color="auto" w:fill="F6F9FB"/>
            <w:tcMar>
              <w:top w:w="70" w:type="dxa"/>
              <w:left w:w="100" w:type="dxa"/>
              <w:bottom w:w="70" w:type="dxa"/>
              <w:right w:w="100" w:type="dxa"/>
            </w:tcMar>
            <w:vAlign w:val="center"/>
          </w:tcPr>
          <w:p w14:paraId="3128B983" w14:textId="77777777" w:rsidR="00DD60C8" w:rsidRDefault="00DD60C8" w:rsidP="00F96983">
            <w:pPr>
              <w:spacing w:after="0" w:line="240" w:lineRule="auto"/>
            </w:pPr>
            <w:r>
              <w:rPr>
                <w:rFonts w:ascii="Times New Roman" w:eastAsia="Times New Roman" w:hAnsi="Times New Roman"/>
                <w:color w:val="000000"/>
                <w:sz w:val="17"/>
              </w:rPr>
              <w:t>Evidence Seal</w:t>
            </w:r>
          </w:p>
        </w:tc>
        <w:tc>
          <w:tcPr>
            <w:tcW w:w="3283" w:type="dxa"/>
            <w:shd w:val="clear" w:color="auto" w:fill="F6F9FB"/>
            <w:tcMar>
              <w:top w:w="70" w:type="dxa"/>
              <w:left w:w="100" w:type="dxa"/>
              <w:bottom w:w="70" w:type="dxa"/>
              <w:right w:w="100" w:type="dxa"/>
            </w:tcMar>
            <w:vAlign w:val="center"/>
          </w:tcPr>
          <w:p w14:paraId="0261A4F8" w14:textId="77777777" w:rsidR="00DD60C8" w:rsidRDefault="00DD60C8" w:rsidP="00F96983">
            <w:pPr>
              <w:spacing w:after="0" w:line="240" w:lineRule="auto"/>
            </w:pPr>
            <w:r>
              <w:rPr>
                <w:rFonts w:ascii="Times New Roman" w:eastAsia="Times New Roman" w:hAnsi="Times New Roman"/>
                <w:color w:val="000000"/>
                <w:sz w:val="17"/>
              </w:rPr>
              <w:t>Identifies the declared evidence-bearing core without replacing source, build, contract, or artifact hashes</w:t>
            </w:r>
          </w:p>
        </w:tc>
      </w:tr>
      <w:tr w:rsidR="00DD60C8" w14:paraId="0FBA7C7C" w14:textId="77777777">
        <w:trPr>
          <w:cantSplit/>
          <w:jc w:val="center"/>
        </w:trPr>
        <w:tc>
          <w:tcPr>
            <w:tcW w:w="2188" w:type="dxa"/>
            <w:shd w:val="clear" w:color="auto" w:fill="FFFFFF"/>
            <w:tcMar>
              <w:top w:w="70" w:type="dxa"/>
              <w:left w:w="100" w:type="dxa"/>
              <w:bottom w:w="70" w:type="dxa"/>
              <w:right w:w="100" w:type="dxa"/>
            </w:tcMar>
            <w:vAlign w:val="center"/>
          </w:tcPr>
          <w:p w14:paraId="33C5FFF9" w14:textId="77777777" w:rsidR="00DD60C8" w:rsidRDefault="00DD60C8" w:rsidP="00F96983">
            <w:pPr>
              <w:spacing w:after="0" w:line="240" w:lineRule="auto"/>
            </w:pPr>
            <w:r>
              <w:rPr>
                <w:rFonts w:ascii="Times New Roman" w:eastAsia="Times New Roman" w:hAnsi="Times New Roman"/>
                <w:color w:val="000000"/>
                <w:sz w:val="17"/>
              </w:rPr>
              <w:t>Preservation lineage</w:t>
            </w:r>
          </w:p>
        </w:tc>
        <w:tc>
          <w:tcPr>
            <w:tcW w:w="4248" w:type="dxa"/>
            <w:shd w:val="clear" w:color="auto" w:fill="FFFFFF"/>
            <w:tcMar>
              <w:top w:w="70" w:type="dxa"/>
              <w:left w:w="100" w:type="dxa"/>
              <w:bottom w:w="70" w:type="dxa"/>
              <w:right w:w="100" w:type="dxa"/>
            </w:tcMar>
            <w:vAlign w:val="center"/>
          </w:tcPr>
          <w:p w14:paraId="4DF9C5CD" w14:textId="77777777" w:rsidR="00DD60C8" w:rsidRDefault="00DD60C8" w:rsidP="00F96983">
            <w:pPr>
              <w:spacing w:after="0" w:line="240" w:lineRule="auto"/>
            </w:pPr>
            <w:r>
              <w:rPr>
                <w:rFonts w:ascii="Times New Roman" w:eastAsia="Times New Roman" w:hAnsi="Times New Roman"/>
                <w:color w:val="000000"/>
                <w:sz w:val="17"/>
              </w:rPr>
              <w:t>Runtime Evidence Conveyor</w:t>
            </w:r>
          </w:p>
        </w:tc>
        <w:tc>
          <w:tcPr>
            <w:tcW w:w="3283" w:type="dxa"/>
            <w:shd w:val="clear" w:color="auto" w:fill="FFFFFF"/>
            <w:tcMar>
              <w:top w:w="70" w:type="dxa"/>
              <w:left w:w="100" w:type="dxa"/>
              <w:bottom w:w="70" w:type="dxa"/>
              <w:right w:w="100" w:type="dxa"/>
            </w:tcMar>
            <w:vAlign w:val="center"/>
          </w:tcPr>
          <w:p w14:paraId="02263B38" w14:textId="77777777" w:rsidR="00DD60C8" w:rsidRDefault="00DD60C8" w:rsidP="00F96983">
            <w:pPr>
              <w:spacing w:after="0" w:line="240" w:lineRule="auto"/>
            </w:pPr>
            <w:r>
              <w:rPr>
                <w:rFonts w:ascii="Times New Roman" w:eastAsia="Times New Roman" w:hAnsi="Times New Roman"/>
                <w:color w:val="000000"/>
                <w:sz w:val="17"/>
              </w:rPr>
              <w:t>Verifies stage presence, identity alignment, source paths, fingerprints, availability, and claim limits across preservation</w:t>
            </w:r>
          </w:p>
        </w:tc>
      </w:tr>
      <w:tr w:rsidR="00DD60C8" w14:paraId="22D7D00B" w14:textId="77777777">
        <w:trPr>
          <w:cantSplit/>
          <w:jc w:val="center"/>
        </w:trPr>
        <w:tc>
          <w:tcPr>
            <w:tcW w:w="2188" w:type="dxa"/>
            <w:shd w:val="clear" w:color="auto" w:fill="F6F9FB"/>
            <w:tcMar>
              <w:top w:w="70" w:type="dxa"/>
              <w:left w:w="100" w:type="dxa"/>
              <w:bottom w:w="70" w:type="dxa"/>
              <w:right w:w="100" w:type="dxa"/>
            </w:tcMar>
            <w:vAlign w:val="center"/>
          </w:tcPr>
          <w:p w14:paraId="004649D0" w14:textId="77777777" w:rsidR="00DD60C8" w:rsidRDefault="00DD60C8" w:rsidP="00F96983">
            <w:pPr>
              <w:spacing w:after="0" w:line="240" w:lineRule="auto"/>
            </w:pPr>
            <w:r>
              <w:rPr>
                <w:rFonts w:ascii="Times New Roman" w:eastAsia="Times New Roman" w:hAnsi="Times New Roman"/>
                <w:color w:val="000000"/>
                <w:sz w:val="17"/>
              </w:rPr>
              <w:t>Portable evidence package</w:t>
            </w:r>
          </w:p>
        </w:tc>
        <w:tc>
          <w:tcPr>
            <w:tcW w:w="4248" w:type="dxa"/>
            <w:shd w:val="clear" w:color="auto" w:fill="F6F9FB"/>
            <w:tcMar>
              <w:top w:w="70" w:type="dxa"/>
              <w:left w:w="100" w:type="dxa"/>
              <w:bottom w:w="70" w:type="dxa"/>
              <w:right w:w="100" w:type="dxa"/>
            </w:tcMar>
            <w:vAlign w:val="center"/>
          </w:tcPr>
          <w:p w14:paraId="238A73DA" w14:textId="77777777" w:rsidR="00DD60C8" w:rsidRDefault="00DD60C8" w:rsidP="00F96983">
            <w:pPr>
              <w:spacing w:after="0" w:line="240" w:lineRule="auto"/>
            </w:pPr>
            <w:r>
              <w:rPr>
                <w:rFonts w:ascii="Times New Roman" w:eastAsia="Times New Roman" w:hAnsi="Times New Roman"/>
                <w:color w:val="000000"/>
                <w:sz w:val="17"/>
              </w:rPr>
              <w:t>Evidence Commons manifest and preservation artifact</w:t>
            </w:r>
          </w:p>
        </w:tc>
        <w:tc>
          <w:tcPr>
            <w:tcW w:w="3283" w:type="dxa"/>
            <w:shd w:val="clear" w:color="auto" w:fill="F6F9FB"/>
            <w:tcMar>
              <w:top w:w="70" w:type="dxa"/>
              <w:left w:w="100" w:type="dxa"/>
              <w:bottom w:w="70" w:type="dxa"/>
              <w:right w:w="100" w:type="dxa"/>
            </w:tcMar>
            <w:vAlign w:val="center"/>
          </w:tcPr>
          <w:p w14:paraId="118B2A06" w14:textId="77777777" w:rsidR="00DD60C8" w:rsidRDefault="00DD60C8" w:rsidP="00F96983">
            <w:pPr>
              <w:spacing w:after="0" w:line="240" w:lineRule="auto"/>
            </w:pPr>
            <w:r>
              <w:rPr>
                <w:rFonts w:ascii="Times New Roman" w:eastAsia="Times New Roman" w:hAnsi="Times New Roman"/>
                <w:color w:val="000000"/>
                <w:sz w:val="17"/>
              </w:rPr>
              <w:t>Carries authorized objects, omissions, hashes, versions, replay information, and challenge lineage beyond the interface</w:t>
            </w:r>
          </w:p>
        </w:tc>
      </w:tr>
    </w:tbl>
    <w:p w14:paraId="4C5501C0" w14:textId="77777777" w:rsidR="00DD60C8" w:rsidRDefault="00DD60C8" w:rsidP="00DD60C8">
      <w:pPr>
        <w:spacing w:after="20"/>
      </w:pPr>
    </w:p>
    <w:p w14:paraId="7430EEB9" w14:textId="77777777" w:rsidR="00DD60C8" w:rsidRDefault="00DD60C8" w:rsidP="00DD60C8">
      <w:pPr>
        <w:spacing w:after="94"/>
      </w:pPr>
      <w:r>
        <w:rPr>
          <w:rFonts w:ascii="Times New Roman" w:eastAsia="Times New Roman" w:hAnsi="Times New Roman"/>
          <w:color w:val="000000"/>
          <w:sz w:val="20"/>
        </w:rPr>
        <w:t xml:space="preserve">The reviewed RL1331 implementation maintains a </w:t>
      </w:r>
      <w:r>
        <w:rPr>
          <w:rFonts w:ascii="Times New Roman" w:eastAsia="Times New Roman" w:hAnsi="Times New Roman"/>
          <w:b/>
          <w:color w:val="000000"/>
          <w:sz w:val="20"/>
        </w:rPr>
        <w:t>25-entry active Runtime Signal Authority</w:t>
      </w:r>
      <w:r>
        <w:rPr>
          <w:rFonts w:ascii="Times New Roman" w:eastAsia="Times New Roman" w:hAnsi="Times New Roman"/>
          <w:color w:val="000000"/>
          <w:sz w:val="20"/>
        </w:rPr>
        <w:t xml:space="preserve">, comprising six Level 0 features, ten Level 1 runtime dynamics, and nine Level 2 projections. The </w:t>
      </w:r>
      <w:r>
        <w:rPr>
          <w:rFonts w:ascii="Times New Roman" w:eastAsia="Times New Roman" w:hAnsi="Times New Roman"/>
          <w:b/>
          <w:color w:val="000000"/>
          <w:sz w:val="20"/>
        </w:rPr>
        <w:t>FG-TVS-2026.1</w:t>
      </w:r>
      <w:r>
        <w:rPr>
          <w:rFonts w:ascii="Times New Roman" w:eastAsia="Times New Roman" w:hAnsi="Times New Roman"/>
          <w:color w:val="000000"/>
          <w:sz w:val="20"/>
        </w:rPr>
        <w:t xml:space="preserve"> technical supplement separately defines </w:t>
      </w:r>
      <w:r>
        <w:rPr>
          <w:rFonts w:ascii="Times New Roman" w:eastAsia="Times New Roman" w:hAnsi="Times New Roman"/>
          <w:b/>
          <w:color w:val="000000"/>
          <w:sz w:val="20"/>
        </w:rPr>
        <w:t>28 research-facing signal contracts</w:t>
      </w:r>
      <w:r>
        <w:rPr>
          <w:rFonts w:ascii="Times New Roman" w:eastAsia="Times New Roman" w:hAnsi="Times New Roman"/>
          <w:color w:val="000000"/>
          <w:sz w:val="20"/>
        </w:rPr>
        <w:t>. The counts refer to different layers. A conforming release must publish a versioned crosswalk rather than treating them as interchangeable. The nine-instrument count remains the implemented instrument suite.</w:t>
      </w:r>
    </w:p>
    <w:p w14:paraId="14433675" w14:textId="77777777" w:rsidR="00DD60C8" w:rsidRDefault="00DD60C8" w:rsidP="00DD60C8">
      <w:pPr>
        <w:pStyle w:val="Heading2"/>
      </w:pPr>
      <w:r>
        <w:rPr>
          <w:rFonts w:ascii="Arial" w:eastAsia="Times New Roman" w:hAnsi="Arial"/>
          <w:color w:val="000000"/>
          <w:sz w:val="23"/>
        </w:rPr>
        <w:t>One runtime one evidence authority multiple bounded projections</w:t>
      </w:r>
    </w:p>
    <w:p w14:paraId="718CD4BB" w14:textId="77777777" w:rsidR="00DD60C8" w:rsidRDefault="00DD60C8" w:rsidP="00DD60C8">
      <w:pPr>
        <w:keepLines/>
        <w:spacing w:after="94"/>
      </w:pPr>
      <w:r>
        <w:rPr>
          <w:rFonts w:ascii="Times New Roman" w:eastAsia="Times New Roman" w:hAnsi="Times New Roman"/>
          <w:color w:val="000000"/>
          <w:sz w:val="20"/>
        </w:rPr>
        <w:t>Aperture reconstructs the runtime once. The Current Evidence Run authorizes the qualified source, canonical runtime, measurements, regimes, markers, findings, missingness, and claim boundaries. Instruments do not construct separate source histories. REIM does not rewrite their findings. Human Read does not create a new classification. Operational World and cockpit profiles do not become computational inputs.</w:t>
      </w:r>
    </w:p>
    <w:p w14:paraId="42CA0CE9" w14:textId="77777777" w:rsidR="00DD60C8" w:rsidRDefault="00DD60C8" w:rsidP="00DD60C8">
      <w:pPr>
        <w:spacing w:after="94"/>
      </w:pPr>
      <w:r>
        <w:rPr>
          <w:rFonts w:ascii="Times New Roman" w:eastAsia="Times New Roman" w:hAnsi="Times New Roman"/>
          <w:color w:val="000000"/>
          <w:sz w:val="20"/>
        </w:rPr>
        <w:t>This arrangement permits analytical plurality without evidentiary fragmentation. Seismo may locate transition support, Chronos may expose temporal organization, Drift may show cumulative displacement, Pressure may show accumulated strain, and Bridge may expose interaction structure. Their agreement can support a shared interpretation, but it is not independent corroboration when the projections share source fields or parent measurements. Their disagreement remains evidence context rather than a defect to conceal.</w:t>
      </w:r>
    </w:p>
    <w:p w14:paraId="5C5E0D9A" w14:textId="77777777" w:rsidR="00DD60C8" w:rsidRDefault="00DD60C8" w:rsidP="00DD60C8">
      <w:pPr>
        <w:pStyle w:val="Heading2"/>
      </w:pPr>
      <w:r>
        <w:rPr>
          <w:rFonts w:ascii="Arial" w:eastAsia="Times New Roman" w:hAnsi="Arial"/>
          <w:color w:val="000000"/>
          <w:sz w:val="23"/>
        </w:rPr>
        <w:t>Deterministic evidence formation and Passport issuance</w:t>
      </w:r>
    </w:p>
    <w:p w14:paraId="1F3CA750" w14:textId="77777777" w:rsidR="00DD60C8" w:rsidRDefault="00DD60C8" w:rsidP="00DD60C8">
      <w:pPr>
        <w:keepLines/>
        <w:spacing w:after="94"/>
      </w:pPr>
      <w:r>
        <w:rPr>
          <w:rFonts w:ascii="Times New Roman" w:eastAsia="Times New Roman" w:hAnsi="Times New Roman"/>
          <w:color w:val="000000"/>
          <w:sz w:val="20"/>
        </w:rPr>
        <w:t>Aperture separates source loading, evidence formation, conformance evaluation, and issuance. The deterministic core is bound to the qualified source, canonicalization, configuration, contracts, methods, and governing versions. Interface state, viewport sampling, selected panels, animation, and ordinary cockpit preferences remain outside that core.</w:t>
      </w:r>
    </w:p>
    <w:p w14:paraId="74EB5DC8" w14:textId="77777777" w:rsidR="00DD60C8" w:rsidRDefault="00DD60C8" w:rsidP="00DD60C8">
      <w:pPr>
        <w:spacing w:after="94"/>
      </w:pPr>
      <w:r>
        <w:rPr>
          <w:rFonts w:ascii="Times New Roman" w:eastAsia="Times New Roman" w:hAnsi="Times New Roman"/>
          <w:color w:val="000000"/>
          <w:sz w:val="20"/>
        </w:rPr>
        <w:t>When formation succeeds, the Runtime Evidence Record can advance to an issued Certified Runtime Evidence Record under the declared conformance and integrity conditions. The Runtime Evidence Passport identifies the run, source and formation basis, disclosure state, certification scope, claim boundary, and explicit non-certifications. The Evidence Seal provides an integrity reference for the declared evidence-bearing core. A failed or cancelled formation does not receive an issued Passport merely because a source was loaded or a partial measurement exists.</w:t>
      </w:r>
    </w:p>
    <w:p w14:paraId="0479CAEE" w14:textId="77777777" w:rsidR="00DD60C8" w:rsidRDefault="00DD60C8" w:rsidP="00DD60C8">
      <w:pPr>
        <w:spacing w:after="94"/>
      </w:pPr>
      <w:r>
        <w:rPr>
          <w:rFonts w:ascii="Times New Roman" w:eastAsia="Times New Roman" w:hAnsi="Times New Roman"/>
          <w:color w:val="000000"/>
          <w:sz w:val="20"/>
        </w:rPr>
        <w:t>The Passport does not certify source truth, causality, safety, correctness, or universal scientific validity. The Seal does not replace the raw source hash, canonical hash, computation-contract identity, build identity, or artifact hash. Their purpose is authority continuity: later projections and artifacts can demonstrate that they refer to the same governed run.</w:t>
      </w:r>
    </w:p>
    <w:p w14:paraId="4F6AB6F2" w14:textId="77777777" w:rsidR="00DD60C8" w:rsidRDefault="00DD60C8" w:rsidP="00DD60C8">
      <w:pPr>
        <w:pStyle w:val="Heading2"/>
      </w:pPr>
      <w:r>
        <w:rPr>
          <w:rFonts w:ascii="Arial" w:eastAsia="Times New Roman" w:hAnsi="Arial"/>
          <w:color w:val="000000"/>
          <w:sz w:val="23"/>
        </w:rPr>
        <w:t>Validation Harness and Controlled Evidence Chamber</w:t>
      </w:r>
    </w:p>
    <w:p w14:paraId="4BF93B61" w14:textId="77777777" w:rsidR="00DD60C8" w:rsidRDefault="00DD60C8" w:rsidP="00DD60C8">
      <w:pPr>
        <w:keepLines/>
        <w:spacing w:after="94"/>
      </w:pPr>
      <w:r>
        <w:rPr>
          <w:rFonts w:ascii="Times New Roman" w:eastAsia="Times New Roman" w:hAnsi="Times New Roman"/>
          <w:color w:val="000000"/>
          <w:sz w:val="20"/>
        </w:rPr>
        <w:t>The Aperture Validation Harness exercises known scenarios through the same production evidence pipeline used for operator-supplied records. Each Controlled Evidence Chamber binds a preserved source, scenario and adapter versions, locked expectation map, positive and negative expectations, unavailable states, claim boundaries, and comparison rules. Expected outcomes remain outside evidence computation until the resulting Runtime Evidence Record has been formed.</w:t>
      </w:r>
    </w:p>
    <w:p w14:paraId="3367CD6F" w14:textId="77777777" w:rsidR="00DD60C8" w:rsidRDefault="00DD60C8" w:rsidP="00DD60C8">
      <w:pPr>
        <w:spacing w:after="94"/>
      </w:pPr>
      <w:r>
        <w:rPr>
          <w:rFonts w:ascii="Times New Roman" w:eastAsia="Times New Roman" w:hAnsi="Times New Roman"/>
          <w:color w:val="000000"/>
          <w:sz w:val="20"/>
        </w:rPr>
        <w:t>The architecture produces two objects. The Runtime Evidence Record contains what Aperture computed without access to the expected result. The Validation Comparison Record compares that evidence with the locked expectation map and preserves matched, partially matched, not matched, unexpected, unavailable, and inadmissible states. Sample identity, fixture metadata, expected labels, rubric scores, case framing, and interface state are excluded from telemetry, Instrument Findings, REIM, Human Read, Passport issuance, and the Evidence Seal.</w:t>
      </w:r>
    </w:p>
    <w:p w14:paraId="3040E2F5" w14:textId="77777777" w:rsidR="00DD60C8" w:rsidRDefault="00DD60C8" w:rsidP="00DD60C8">
      <w:pPr>
        <w:spacing w:after="94"/>
      </w:pPr>
      <w:r>
        <w:rPr>
          <w:rFonts w:ascii="Times New Roman" w:eastAsia="Times New Roman" w:hAnsi="Times New Roman"/>
          <w:color w:val="000000"/>
          <w:sz w:val="20"/>
        </w:rPr>
        <w:t>This design supports conformance testing and controlled scientific discrimination. It does not make the implementation self-validating. Paper II reports the current bounded results and the remaining publication dependencies.</w:t>
      </w:r>
    </w:p>
    <w:p w14:paraId="444F9D5B" w14:textId="77777777" w:rsidR="00DD60C8" w:rsidRDefault="00DD60C8" w:rsidP="00DD60C8">
      <w:pPr>
        <w:pStyle w:val="Heading2"/>
      </w:pPr>
      <w:r>
        <w:rPr>
          <w:rFonts w:ascii="Arial" w:eastAsia="Times New Roman" w:hAnsi="Arial"/>
          <w:color w:val="000000"/>
          <w:sz w:val="23"/>
        </w:rPr>
        <w:t>Preservation through the Runtime Evidence Conveyor</w:t>
      </w:r>
    </w:p>
    <w:p w14:paraId="3D54896B" w14:textId="77777777" w:rsidR="00DD60C8" w:rsidRDefault="00DD60C8" w:rsidP="00DD60C8">
      <w:pPr>
        <w:keepLines/>
        <w:spacing w:after="94"/>
      </w:pPr>
      <w:r>
        <w:rPr>
          <w:rFonts w:ascii="Times New Roman" w:eastAsia="Times New Roman" w:hAnsi="Times New Roman"/>
          <w:color w:val="000000"/>
          <w:sz w:val="20"/>
        </w:rPr>
        <w:t>The Runtime Evidence Conveyor organizes preservation through nine stages:</w:t>
      </w:r>
    </w:p>
    <w:p w14:paraId="6F28B425" w14:textId="77777777" w:rsidR="00DD60C8" w:rsidRDefault="00DD60C8" w:rsidP="00DD60C8">
      <w:pPr>
        <w:spacing w:before="120"/>
        <w:ind w:left="720" w:right="720"/>
        <w:jc w:val="center"/>
      </w:pPr>
      <w:r>
        <w:rPr>
          <w:rFonts w:ascii="Times New Roman" w:eastAsia="Times New Roman" w:hAnsi="Times New Roman"/>
          <w:b/>
          <w:i/>
          <w:color w:val="17324D"/>
          <w:sz w:val="20"/>
        </w:rPr>
        <w:t>Source → Canonical → Spine → Recorder → Telemetry → Projection → Translation → Passport → Evidence Commons</w:t>
      </w:r>
    </w:p>
    <w:p w14:paraId="0793ED53" w14:textId="77777777" w:rsidR="00DD60C8" w:rsidRDefault="00DD60C8" w:rsidP="00DD60C8">
      <w:pPr>
        <w:spacing w:after="94"/>
      </w:pPr>
      <w:r>
        <w:rPr>
          <w:rFonts w:ascii="Times New Roman" w:eastAsia="Times New Roman" w:hAnsi="Times New Roman"/>
          <w:color w:val="000000"/>
          <w:sz w:val="20"/>
        </w:rPr>
        <w:t>Each available stage retains its source path, evidence class, availability, object count, fingerprint, run identity, Passport identity, and claim boundary. Conformance checks require the Current Evidence Run and Passport to be present and identity-aligned before a preservation route can represent the artifact as issued. The resulting Evidence Commons manifest inventories included and omitted objects, signal and instrument references, metric-legitimacy state, method and schema versions, integrity materials, replay information, and preservation lineage.</w:t>
      </w:r>
    </w:p>
    <w:p w14:paraId="5104429F" w14:textId="77777777" w:rsidR="00DD60C8" w:rsidRDefault="00DD60C8" w:rsidP="00DD60C8">
      <w:pPr>
        <w:spacing w:after="94"/>
      </w:pPr>
      <w:r>
        <w:rPr>
          <w:rFonts w:ascii="Times New Roman" w:eastAsia="Times New Roman" w:hAnsi="Times New Roman"/>
          <w:color w:val="000000"/>
          <w:sz w:val="20"/>
        </w:rPr>
        <w:t>Preservation does not strengthen the record. It carries the record's identity, findings, missingness, limitations, challenges, and non-certifications beyond the interface so another investigator can inspect or contest the same evidence authority.</w:t>
      </w:r>
    </w:p>
    <w:p w14:paraId="2B7CB3D1"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19. Generality Beyond Runtime Evidence</w:t>
      </w:r>
    </w:p>
    <w:p w14:paraId="6A0B1B89" w14:textId="77777777" w:rsidR="00DD60C8" w:rsidRDefault="00DD60C8" w:rsidP="00DD60C8">
      <w:pPr>
        <w:keepLines/>
        <w:spacing w:after="94"/>
      </w:pPr>
      <w:r>
        <w:rPr>
          <w:rFonts w:ascii="Times New Roman" w:eastAsia="Times New Roman" w:hAnsi="Times New Roman"/>
          <w:color w:val="000000"/>
          <w:sz w:val="20"/>
        </w:rPr>
        <w:t>Runtime Evidence is the first complete object through which EGC has been operationalized, but the framework is not limited to longitudinal AI behavior. An evidence-governed scientific instrument could bind measurements and plots to datasets, protocols, calibration, and uncertainty. A compliance engine could bind findings to policies, records, jurisdiction, and review state. A public-administration system could preserve the records, rules, and reasons supporting a decision while distinguishing recommendation from legal authority. An intelligence-analysis platform could keep source reliability, analytic confidence, competing hypotheses, and redactions attached to each claim.</w:t>
      </w:r>
    </w:p>
    <w:p w14:paraId="472C42F7" w14:textId="77777777" w:rsidR="00DD60C8" w:rsidRDefault="00DD60C8" w:rsidP="00DD60C8">
      <w:pPr>
        <w:spacing w:after="94"/>
      </w:pPr>
      <w:r>
        <w:rPr>
          <w:rFonts w:ascii="Times New Roman" w:eastAsia="Times New Roman" w:hAnsi="Times New Roman"/>
          <w:color w:val="000000"/>
          <w:sz w:val="20"/>
        </w:rPr>
        <w:t>Generality must be demonstrated rather than assumed. Each domain defines different evidence classes, admissibility rules, harms, privacy constraints, and institutional authorities. The portable core is the constitutional pattern: identified evidence, declared methods, typed claims, bounded projections, surface binding, egress closure, challenge, and preservation.</w:t>
      </w:r>
    </w:p>
    <w:p w14:paraId="0811E2AA" w14:textId="77777777" w:rsidR="00DD60C8" w:rsidRDefault="00DD60C8" w:rsidP="00DD60C8">
      <w:pPr>
        <w:pStyle w:val="Heading2"/>
      </w:pPr>
      <w:r>
        <w:rPr>
          <w:rFonts w:ascii="Arial" w:eastAsia="Times New Roman" w:hAnsi="Arial"/>
          <w:color w:val="000000"/>
          <w:sz w:val="23"/>
        </w:rPr>
        <w:t>Interoperability</w:t>
      </w:r>
    </w:p>
    <w:p w14:paraId="31313A92" w14:textId="77777777" w:rsidR="00DD60C8" w:rsidRDefault="00DD60C8" w:rsidP="00DD60C8">
      <w:pPr>
        <w:keepLines/>
        <w:spacing w:after="94"/>
      </w:pPr>
      <w:r>
        <w:rPr>
          <w:rFonts w:ascii="Times New Roman" w:eastAsia="Times New Roman" w:hAnsi="Times New Roman"/>
          <w:color w:val="000000"/>
          <w:sz w:val="20"/>
        </w:rPr>
        <w:t>EGC should interoperate with rather than replace existing standards. Provenance graphs can map to W3C PROV. Signed source and export manifests can use established cryptographic and content-provenance formats. Attestation evidence can enter as a typed source with an explicit appraisal policy. Assurance-case structures can represent higher-level arguments. Domain telemetry can retain OpenTelemetry or other established semantics. Privacy, retention, and access controls can bind to organizational policy systems.</w:t>
      </w:r>
    </w:p>
    <w:p w14:paraId="48A0D053" w14:textId="77777777" w:rsidR="00DD60C8" w:rsidRDefault="00DD60C8" w:rsidP="00DD60C8">
      <w:pPr>
        <w:spacing w:after="94"/>
      </w:pPr>
      <w:r>
        <w:rPr>
          <w:rFonts w:ascii="Times New Roman" w:eastAsia="Times New Roman" w:hAnsi="Times New Roman"/>
          <w:color w:val="000000"/>
          <w:sz w:val="20"/>
        </w:rPr>
        <w:t xml:space="preserve">Interoperability requires semantic mapping. Reusing a field name is insufficient if two systems mean different things by </w:t>
      </w:r>
      <w:r>
        <w:rPr>
          <w:rFonts w:ascii="Times New Roman" w:eastAsia="Times New Roman" w:hAnsi="Times New Roman"/>
          <w:i/>
          <w:color w:val="000000"/>
          <w:sz w:val="20"/>
        </w:rPr>
        <w:t>claim</w:t>
      </w:r>
      <w:r>
        <w:rPr>
          <w:rFonts w:ascii="Times New Roman" w:eastAsia="Times New Roman" w:hAnsi="Times New Roman"/>
          <w:color w:val="000000"/>
          <w:sz w:val="20"/>
        </w:rPr>
        <w:t xml:space="preserve">, </w:t>
      </w:r>
      <w:r>
        <w:rPr>
          <w:rFonts w:ascii="Times New Roman" w:eastAsia="Times New Roman" w:hAnsi="Times New Roman"/>
          <w:i/>
          <w:color w:val="000000"/>
          <w:sz w:val="20"/>
        </w:rPr>
        <w:t>evidence</w:t>
      </w:r>
      <w:r>
        <w:rPr>
          <w:rFonts w:ascii="Times New Roman" w:eastAsia="Times New Roman" w:hAnsi="Times New Roman"/>
          <w:color w:val="000000"/>
          <w:sz w:val="20"/>
        </w:rPr>
        <w:t xml:space="preserve">, </w:t>
      </w:r>
      <w:r>
        <w:rPr>
          <w:rFonts w:ascii="Times New Roman" w:eastAsia="Times New Roman" w:hAnsi="Times New Roman"/>
          <w:i/>
          <w:color w:val="000000"/>
          <w:sz w:val="20"/>
        </w:rPr>
        <w:t>confidence</w:t>
      </w:r>
      <w:r>
        <w:rPr>
          <w:rFonts w:ascii="Times New Roman" w:eastAsia="Times New Roman" w:hAnsi="Times New Roman"/>
          <w:color w:val="000000"/>
          <w:sz w:val="20"/>
        </w:rPr>
        <w:t xml:space="preserve">, </w:t>
      </w:r>
      <w:r>
        <w:rPr>
          <w:rFonts w:ascii="Times New Roman" w:eastAsia="Times New Roman" w:hAnsi="Times New Roman"/>
          <w:i/>
          <w:color w:val="000000"/>
          <w:sz w:val="20"/>
        </w:rPr>
        <w:t>verified</w:t>
      </w:r>
      <w:r>
        <w:rPr>
          <w:rFonts w:ascii="Times New Roman" w:eastAsia="Times New Roman" w:hAnsi="Times New Roman"/>
          <w:color w:val="000000"/>
          <w:sz w:val="20"/>
        </w:rPr>
        <w:t xml:space="preserve">, or </w:t>
      </w:r>
      <w:r>
        <w:rPr>
          <w:rFonts w:ascii="Times New Roman" w:eastAsia="Times New Roman" w:hAnsi="Times New Roman"/>
          <w:i/>
          <w:color w:val="000000"/>
          <w:sz w:val="20"/>
        </w:rPr>
        <w:t>certified</w:t>
      </w:r>
      <w:r>
        <w:rPr>
          <w:rFonts w:ascii="Times New Roman" w:eastAsia="Times New Roman" w:hAnsi="Times New Roman"/>
          <w:color w:val="000000"/>
          <w:sz w:val="20"/>
        </w:rPr>
        <w:t>. The EGC reference architecture therefore requires published schemas, controlled vocabularies, conformance profiles, and migration rules.</w:t>
      </w:r>
    </w:p>
    <w:p w14:paraId="5C64DF76" w14:textId="77777777" w:rsidR="00DD60C8" w:rsidRDefault="00DD60C8" w:rsidP="00DD60C8">
      <w:pPr>
        <w:pStyle w:val="Heading2"/>
      </w:pPr>
      <w:r>
        <w:rPr>
          <w:rFonts w:ascii="Arial" w:eastAsia="Times New Roman" w:hAnsi="Arial"/>
          <w:color w:val="000000"/>
          <w:sz w:val="23"/>
        </w:rPr>
        <w:t>Evidence Commons</w:t>
      </w:r>
    </w:p>
    <w:p w14:paraId="24DD8D82" w14:textId="77777777" w:rsidR="00DD60C8" w:rsidRDefault="00DD60C8" w:rsidP="00DD60C8">
      <w:pPr>
        <w:keepLines/>
        <w:spacing w:after="94"/>
      </w:pPr>
      <w:r>
        <w:rPr>
          <w:rFonts w:ascii="Times New Roman" w:eastAsia="Times New Roman" w:hAnsi="Times New Roman"/>
          <w:color w:val="000000"/>
          <w:sz w:val="20"/>
        </w:rPr>
        <w:t>Portable evidence artifacts create the possibility of an Evidence Commons: shared infrastructure through which evidence can be preserved, compared, challenged, reproduced, and governed beyond the originating instrument or institution. EGC supplies the minimum constitutional properties such a commons would need. Portability without claim boundaries can spread overstatement; centralization without challenge can concentrate authority; public disclosure without privacy controls can create harm.</w:t>
      </w:r>
    </w:p>
    <w:p w14:paraId="628A6D52" w14:textId="77777777" w:rsidR="00DD60C8" w:rsidRDefault="00DD60C8" w:rsidP="00DD60C8">
      <w:pPr>
        <w:spacing w:after="94"/>
      </w:pPr>
      <w:r>
        <w:rPr>
          <w:rFonts w:ascii="Times New Roman" w:eastAsia="Times New Roman" w:hAnsi="Times New Roman"/>
          <w:color w:val="000000"/>
          <w:sz w:val="20"/>
        </w:rPr>
        <w:t>An Evidence Commons must therefore preserve provenance and contestability while supporting selective disclosure, independent recomputation, competing analyses, and explicit institutional roles. It is a civic and governance layer built upon evidence-governed artifacts, not a universal repository of unrestricted operational data.</w:t>
      </w:r>
    </w:p>
    <w:p w14:paraId="7390CC5C"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20. Limitations and Open Research</w:t>
      </w:r>
    </w:p>
    <w:p w14:paraId="14FCE301" w14:textId="77777777" w:rsidR="00DD60C8" w:rsidRDefault="00DD60C8" w:rsidP="00DD60C8">
      <w:pPr>
        <w:pStyle w:val="Heading2"/>
      </w:pPr>
      <w:r>
        <w:rPr>
          <w:rFonts w:ascii="Arial" w:eastAsia="Times New Roman" w:hAnsi="Arial"/>
          <w:color w:val="000000"/>
          <w:sz w:val="23"/>
        </w:rPr>
        <w:t>Architectural governance cannot guarantee truth</w:t>
      </w:r>
    </w:p>
    <w:p w14:paraId="449D6153" w14:textId="77777777" w:rsidR="00DD60C8" w:rsidRDefault="00DD60C8" w:rsidP="00DD60C8">
      <w:pPr>
        <w:keepLines/>
        <w:spacing w:after="94"/>
      </w:pPr>
      <w:r>
        <w:rPr>
          <w:rFonts w:ascii="Times New Roman" w:eastAsia="Times New Roman" w:hAnsi="Times New Roman"/>
          <w:color w:val="000000"/>
          <w:sz w:val="20"/>
        </w:rPr>
        <w:t>EGC can demonstrate that a claim was admitted from identified evidence under declared rules. It cannot guarantee that the evidence accurately represents the world, that the rules are scientifically justified, or that the claim is true. External observation, calibration, replication, domain review, and institutional accountability remain necessary.</w:t>
      </w:r>
    </w:p>
    <w:p w14:paraId="64AB7D53" w14:textId="77777777" w:rsidR="00DD60C8" w:rsidRDefault="00DD60C8" w:rsidP="00DD60C8">
      <w:pPr>
        <w:pStyle w:val="Heading2"/>
      </w:pPr>
      <w:r>
        <w:rPr>
          <w:rFonts w:ascii="Arial" w:eastAsia="Times New Roman" w:hAnsi="Arial"/>
          <w:color w:val="000000"/>
          <w:sz w:val="23"/>
        </w:rPr>
        <w:t>Claim normalization is difficult</w:t>
      </w:r>
    </w:p>
    <w:p w14:paraId="21F3C0A1" w14:textId="77777777" w:rsidR="00DD60C8" w:rsidRDefault="00DD60C8" w:rsidP="00DD60C8">
      <w:pPr>
        <w:keepLines/>
        <w:spacing w:after="94"/>
      </w:pPr>
      <w:r>
        <w:rPr>
          <w:rFonts w:ascii="Times New Roman" w:eastAsia="Times New Roman" w:hAnsi="Times New Roman"/>
          <w:color w:val="000000"/>
          <w:sz w:val="20"/>
        </w:rPr>
        <w:t>Natural-language propositions can be ambiguous, nested, presuppositional, or pragmatically stronger than their literal wording. Reliable mapping between rendered language and normalized claim identity is an open problem, particularly for generated explanations. Constrained templates, controlled vocabularies, semantic tests, and human review may be required in high-consequence settings.</w:t>
      </w:r>
    </w:p>
    <w:p w14:paraId="1F31B469" w14:textId="77777777" w:rsidR="00DD60C8" w:rsidRDefault="00DD60C8" w:rsidP="00DD60C8">
      <w:pPr>
        <w:pStyle w:val="Heading2"/>
      </w:pPr>
      <w:r>
        <w:rPr>
          <w:rFonts w:ascii="Arial" w:eastAsia="Times New Roman" w:hAnsi="Arial"/>
          <w:color w:val="000000"/>
          <w:sz w:val="23"/>
        </w:rPr>
        <w:t>Authority policies encode values</w:t>
      </w:r>
    </w:p>
    <w:p w14:paraId="50E2E467" w14:textId="77777777" w:rsidR="00DD60C8" w:rsidRDefault="00DD60C8" w:rsidP="00DD60C8">
      <w:pPr>
        <w:keepLines/>
        <w:spacing w:after="94"/>
      </w:pPr>
      <w:r>
        <w:rPr>
          <w:rFonts w:ascii="Times New Roman" w:eastAsia="Times New Roman" w:hAnsi="Times New Roman"/>
          <w:color w:val="000000"/>
          <w:sz w:val="20"/>
        </w:rPr>
        <w:t>Admissibility thresholds and evidence requirements are not neutral. They reflect judgments about acceptable uncertainty, harm, audience, and purpose. EGC makes those choices explicit and versioned; it does not remove the need to justify them or decide who has authority to set them.</w:t>
      </w:r>
    </w:p>
    <w:p w14:paraId="2B612F77" w14:textId="77777777" w:rsidR="00DD60C8" w:rsidRDefault="00DD60C8" w:rsidP="00DD60C8">
      <w:pPr>
        <w:pStyle w:val="Heading2"/>
      </w:pPr>
      <w:r>
        <w:rPr>
          <w:rFonts w:ascii="Arial" w:eastAsia="Times New Roman" w:hAnsi="Arial"/>
          <w:color w:val="000000"/>
          <w:sz w:val="23"/>
        </w:rPr>
        <w:t>Longitudinal reconstruction remains partial</w:t>
      </w:r>
    </w:p>
    <w:p w14:paraId="4A66BF39" w14:textId="77777777" w:rsidR="00DD60C8" w:rsidRDefault="00DD60C8" w:rsidP="00DD60C8">
      <w:pPr>
        <w:keepLines/>
        <w:spacing w:after="94"/>
      </w:pPr>
      <w:r>
        <w:rPr>
          <w:rFonts w:ascii="Times New Roman" w:eastAsia="Times New Roman" w:hAnsi="Times New Roman"/>
          <w:color w:val="000000"/>
          <w:sz w:val="20"/>
        </w:rPr>
        <w:t>Operational records are projections of activity, not complete access to internal or external reality. Runtime Evidence can reconstruct observable trajectories within a source and method boundary. It cannot recover unrecorded events, hidden model state, human intent, or causal mechanism merely from output patterns.</w:t>
      </w:r>
    </w:p>
    <w:p w14:paraId="62C2C320" w14:textId="77777777" w:rsidR="00DD60C8" w:rsidRDefault="00DD60C8" w:rsidP="00DD60C8">
      <w:pPr>
        <w:pStyle w:val="Heading2"/>
      </w:pPr>
      <w:r>
        <w:rPr>
          <w:rFonts w:ascii="Arial" w:eastAsia="Times New Roman" w:hAnsi="Arial"/>
          <w:color w:val="000000"/>
          <w:sz w:val="23"/>
        </w:rPr>
        <w:t>Determinism has a boundary</w:t>
      </w:r>
    </w:p>
    <w:p w14:paraId="64C47F29" w14:textId="77777777" w:rsidR="00DD60C8" w:rsidRDefault="00DD60C8" w:rsidP="00DD60C8">
      <w:pPr>
        <w:keepLines/>
        <w:spacing w:after="94"/>
      </w:pPr>
      <w:r>
        <w:rPr>
          <w:rFonts w:ascii="Times New Roman" w:eastAsia="Times New Roman" w:hAnsi="Times New Roman"/>
          <w:color w:val="000000"/>
          <w:sz w:val="20"/>
        </w:rPr>
        <w:t>Browser, hardware, library, floating-point, model, and dependency differences can affect reproducibility. A contract must specify acceptable equivalence, canonical precision, and volatile exclusions. Generated or stochastic components require seeds, model versions, constrained output schemas, or non-authoritative status if exact recomputation is not available.</w:t>
      </w:r>
    </w:p>
    <w:p w14:paraId="614F2E3F" w14:textId="77777777" w:rsidR="00DD60C8" w:rsidRDefault="00DD60C8" w:rsidP="00DD60C8">
      <w:pPr>
        <w:pStyle w:val="Heading2"/>
      </w:pPr>
      <w:r>
        <w:rPr>
          <w:rFonts w:ascii="Arial" w:eastAsia="Times New Roman" w:hAnsi="Arial"/>
          <w:color w:val="000000"/>
          <w:sz w:val="23"/>
        </w:rPr>
        <w:t>Remaining validation debt</w:t>
      </w:r>
    </w:p>
    <w:p w14:paraId="35AE055F" w14:textId="77777777" w:rsidR="00DD60C8" w:rsidRDefault="00DD60C8" w:rsidP="00DD60C8">
      <w:pPr>
        <w:keepLines/>
        <w:spacing w:after="94"/>
      </w:pPr>
      <w:r>
        <w:rPr>
          <w:rFonts w:ascii="Times New Roman" w:eastAsia="Times New Roman" w:hAnsi="Times New Roman"/>
          <w:color w:val="000000"/>
          <w:sz w:val="20"/>
        </w:rPr>
        <w:t>The controlled validation program has moved two propositions beyond architecture alone. Paper II reports deterministic reproduction of the core evidence record and directional discrimination of specified transition cases from stable and negative controls relative to declared simple baselines. Those results reduce, but do not eliminate, validation debt.</w:t>
      </w:r>
    </w:p>
    <w:p w14:paraId="7010E939" w14:textId="77777777" w:rsidR="00DD60C8" w:rsidRDefault="00DD60C8" w:rsidP="00DD60C8">
      <w:pPr>
        <w:spacing w:after="94"/>
      </w:pPr>
      <w:r>
        <w:rPr>
          <w:rFonts w:ascii="Times New Roman" w:eastAsia="Times New Roman" w:hAnsi="Times New Roman"/>
          <w:color w:val="000000"/>
          <w:sz w:val="20"/>
        </w:rPr>
        <w:t>The remaining work includes publication of the bound case manifest, protected case allocations, exact measurement and baseline definitions, case-level numerical results, error tables, effect sizes and uncertainty intervals, complete ablation and perturbation outputs, cross-source-family studies, prospective warning tests, frozen release and artifact hashes, and unaffiliated replication. EGC requires each method's maturity state to remain explicit while that work proceeds.</w:t>
      </w:r>
    </w:p>
    <w:p w14:paraId="53D01622" w14:textId="77777777" w:rsidR="00DD60C8" w:rsidRDefault="00DD60C8" w:rsidP="00DD60C8">
      <w:pPr>
        <w:pStyle w:val="Heading2"/>
      </w:pPr>
      <w:r>
        <w:rPr>
          <w:rFonts w:ascii="Arial" w:eastAsia="Times New Roman" w:hAnsi="Arial"/>
          <w:color w:val="000000"/>
          <w:sz w:val="23"/>
        </w:rPr>
        <w:t>Institutional and legal admissibility are external</w:t>
      </w:r>
    </w:p>
    <w:p w14:paraId="70EDFBE0" w14:textId="77777777" w:rsidR="00DD60C8" w:rsidRDefault="00DD60C8" w:rsidP="00DD60C8">
      <w:pPr>
        <w:keepLines/>
        <w:spacing w:after="94"/>
      </w:pPr>
      <w:r>
        <w:rPr>
          <w:rFonts w:ascii="Times New Roman" w:eastAsia="Times New Roman" w:hAnsi="Times New Roman"/>
          <w:color w:val="000000"/>
          <w:sz w:val="20"/>
        </w:rPr>
        <w:t>Computational claim admissibility is not evidentiary admissibility in a court, regulator, scientific journal, or organizational process. Those institutions have additional rules concerning authentication, expertise, procedure, disclosure, fairness, and appeal. EGC can preserve materials needed for those determinations but cannot confer their authority upon itself.</w:t>
      </w:r>
    </w:p>
    <w:p w14:paraId="74E4C54B" w14:textId="77777777" w:rsidR="00DD60C8" w:rsidRDefault="00DD60C8" w:rsidP="00DD60C8">
      <w:pPr>
        <w:pStyle w:val="Heading2"/>
      </w:pPr>
      <w:r>
        <w:rPr>
          <w:rFonts w:ascii="Arial" w:eastAsia="Times New Roman" w:hAnsi="Arial"/>
          <w:color w:val="000000"/>
          <w:sz w:val="23"/>
        </w:rPr>
        <w:t>Research agenda</w:t>
      </w:r>
    </w:p>
    <w:p w14:paraId="0771D772" w14:textId="77777777" w:rsidR="00DD60C8" w:rsidRDefault="00DD60C8" w:rsidP="00DD60C8">
      <w:pPr>
        <w:keepLines/>
        <w:spacing w:after="94"/>
      </w:pPr>
      <w:r>
        <w:rPr>
          <w:rFonts w:ascii="Times New Roman" w:eastAsia="Times New Roman" w:hAnsi="Times New Roman"/>
          <w:color w:val="000000"/>
          <w:sz w:val="20"/>
        </w:rPr>
        <w:t>Priority research questions include:</w:t>
      </w:r>
    </w:p>
    <w:p w14:paraId="3562D402" w14:textId="77777777" w:rsidR="00DD60C8" w:rsidRDefault="00DD60C8" w:rsidP="00DD60C8">
      <w:pPr>
        <w:spacing w:after="60"/>
        <w:ind w:left="432" w:right="230" w:hanging="173"/>
      </w:pPr>
      <w:r>
        <w:rPr>
          <w:rFonts w:ascii="Times New Roman" w:eastAsia="Times New Roman" w:hAnsi="Times New Roman"/>
          <w:color w:val="000000"/>
          <w:sz w:val="19"/>
        </w:rPr>
        <w:t>• Can claim-boundary policies be expressed in interoperable declarative languages?</w:t>
      </w:r>
    </w:p>
    <w:p w14:paraId="2B6C0EEB" w14:textId="77777777" w:rsidR="00DD60C8" w:rsidRDefault="00DD60C8" w:rsidP="00DD60C8">
      <w:pPr>
        <w:spacing w:after="60"/>
        <w:ind w:left="432" w:right="230" w:hanging="173"/>
      </w:pPr>
      <w:r>
        <w:rPr>
          <w:rFonts w:ascii="Times New Roman" w:eastAsia="Times New Roman" w:hAnsi="Times New Roman"/>
          <w:color w:val="000000"/>
          <w:sz w:val="19"/>
        </w:rPr>
        <w:t>• Which formal semantics best capture scope-preserving paraphrase across human and generated interfaces?</w:t>
      </w:r>
    </w:p>
    <w:p w14:paraId="6B851E11" w14:textId="77777777" w:rsidR="00DD60C8" w:rsidRDefault="00DD60C8" w:rsidP="00DD60C8">
      <w:pPr>
        <w:spacing w:after="60"/>
        <w:ind w:left="432" w:right="230" w:hanging="173"/>
      </w:pPr>
      <w:r>
        <w:rPr>
          <w:rFonts w:ascii="Times New Roman" w:eastAsia="Times New Roman" w:hAnsi="Times New Roman"/>
          <w:color w:val="000000"/>
          <w:sz w:val="19"/>
        </w:rPr>
        <w:t>• How should dependent instruments report agreement without overstating corroboration?</w:t>
      </w:r>
    </w:p>
    <w:p w14:paraId="6CDF6410" w14:textId="77777777" w:rsidR="00DD60C8" w:rsidRDefault="00DD60C8" w:rsidP="00DD60C8">
      <w:pPr>
        <w:spacing w:after="60"/>
        <w:ind w:left="432" w:right="230" w:hanging="173"/>
      </w:pPr>
      <w:r>
        <w:rPr>
          <w:rFonts w:ascii="Times New Roman" w:eastAsia="Times New Roman" w:hAnsi="Times New Roman"/>
          <w:color w:val="000000"/>
          <w:sz w:val="19"/>
        </w:rPr>
        <w:t>• Which cryptographic structures best support selective disclosure and later challenge?</w:t>
      </w:r>
    </w:p>
    <w:p w14:paraId="510EBD9C" w14:textId="77777777" w:rsidR="00DD60C8" w:rsidRDefault="00DD60C8" w:rsidP="00DD60C8">
      <w:pPr>
        <w:spacing w:after="60"/>
        <w:ind w:left="432" w:right="230" w:hanging="173"/>
      </w:pPr>
      <w:r>
        <w:rPr>
          <w:rFonts w:ascii="Times New Roman" w:eastAsia="Times New Roman" w:hAnsi="Times New Roman"/>
          <w:color w:val="000000"/>
          <w:sz w:val="19"/>
        </w:rPr>
        <w:t>• How can Passport and Evidence Seal semantics remain interoperable without collapsing identity, integrity, certification, and truth?</w:t>
      </w:r>
    </w:p>
    <w:p w14:paraId="3D8CF6FE" w14:textId="77777777" w:rsidR="00DD60C8" w:rsidRDefault="00DD60C8" w:rsidP="00DD60C8">
      <w:pPr>
        <w:spacing w:after="60"/>
        <w:ind w:left="432" w:right="230" w:hanging="173"/>
      </w:pPr>
      <w:r>
        <w:rPr>
          <w:rFonts w:ascii="Times New Roman" w:eastAsia="Times New Roman" w:hAnsi="Times New Roman"/>
          <w:color w:val="000000"/>
          <w:sz w:val="19"/>
        </w:rPr>
        <w:t>• How can evidence objects preserve privacy while remaining independently reproducible?</w:t>
      </w:r>
    </w:p>
    <w:p w14:paraId="63EC48A3" w14:textId="77777777" w:rsidR="00DD60C8" w:rsidRDefault="00DD60C8" w:rsidP="00DD60C8">
      <w:pPr>
        <w:spacing w:after="60"/>
        <w:ind w:left="432" w:right="230" w:hanging="173"/>
      </w:pPr>
      <w:r>
        <w:rPr>
          <w:rFonts w:ascii="Times New Roman" w:eastAsia="Times New Roman" w:hAnsi="Times New Roman"/>
          <w:color w:val="000000"/>
          <w:sz w:val="19"/>
        </w:rPr>
        <w:t>• What prospective designs establish valid lead-time and regime-transition claims?</w:t>
      </w:r>
    </w:p>
    <w:p w14:paraId="7AAB714C" w14:textId="77777777" w:rsidR="00DD60C8" w:rsidRDefault="00DD60C8" w:rsidP="00DD60C8">
      <w:pPr>
        <w:spacing w:after="60"/>
        <w:ind w:left="432" w:right="230" w:hanging="173"/>
      </w:pPr>
      <w:r>
        <w:rPr>
          <w:rFonts w:ascii="Times New Roman" w:eastAsia="Times New Roman" w:hAnsi="Times New Roman"/>
          <w:color w:val="000000"/>
          <w:sz w:val="19"/>
        </w:rPr>
        <w:t>• How stable are longitudinal measurements across source families, systems, models, and institutions?</w:t>
      </w:r>
    </w:p>
    <w:p w14:paraId="1E2679E1" w14:textId="77777777" w:rsidR="00DD60C8" w:rsidRDefault="00DD60C8" w:rsidP="00DD60C8">
      <w:pPr>
        <w:spacing w:after="60"/>
        <w:ind w:left="432" w:right="230" w:hanging="173"/>
      </w:pPr>
      <w:r>
        <w:rPr>
          <w:rFonts w:ascii="Times New Roman" w:eastAsia="Times New Roman" w:hAnsi="Times New Roman"/>
          <w:color w:val="000000"/>
          <w:sz w:val="19"/>
        </w:rPr>
        <w:t>• How should authority conflicts be resolved across institutions with different policies?</w:t>
      </w:r>
    </w:p>
    <w:p w14:paraId="451E7D96" w14:textId="77777777" w:rsidR="00DD60C8" w:rsidRDefault="00DD60C8" w:rsidP="00DD60C8">
      <w:pPr>
        <w:spacing w:after="60"/>
        <w:ind w:left="432" w:right="230" w:hanging="173"/>
      </w:pPr>
      <w:r>
        <w:rPr>
          <w:rFonts w:ascii="Times New Roman" w:eastAsia="Times New Roman" w:hAnsi="Times New Roman"/>
          <w:color w:val="000000"/>
          <w:sz w:val="19"/>
        </w:rPr>
        <w:t>• What usability methods help operators understand admissibility, absence, and uncertainty without overwhelming them?</w:t>
      </w:r>
    </w:p>
    <w:p w14:paraId="3DC4BCF5" w14:textId="77777777" w:rsidR="00DD60C8" w:rsidRDefault="00DD60C8" w:rsidP="00DD60C8">
      <w:pPr>
        <w:spacing w:after="60"/>
        <w:ind w:left="432" w:right="230" w:hanging="173"/>
      </w:pPr>
      <w:r>
        <w:rPr>
          <w:rFonts w:ascii="Times New Roman" w:eastAsia="Times New Roman" w:hAnsi="Times New Roman"/>
          <w:color w:val="000000"/>
          <w:sz w:val="19"/>
        </w:rPr>
        <w:t>• Which minimum profile is sufficient for cross-platform Evidence Commons exchange?</w:t>
      </w:r>
    </w:p>
    <w:p w14:paraId="3F91D833"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21. Conclusion</w:t>
      </w:r>
    </w:p>
    <w:p w14:paraId="591FE428" w14:textId="77777777" w:rsidR="00DD60C8" w:rsidRDefault="00DD60C8" w:rsidP="00DD60C8">
      <w:pPr>
        <w:keepLines/>
        <w:spacing w:after="94"/>
      </w:pPr>
      <w:r>
        <w:rPr>
          <w:rFonts w:ascii="Times New Roman" w:eastAsia="Times New Roman" w:hAnsi="Times New Roman"/>
          <w:color w:val="000000"/>
          <w:sz w:val="20"/>
        </w:rPr>
        <w:t>Computational systems increasingly mediate the passage from records to claims. They measure, classify, visualize, explain, recommend, and preserve. Yet the authority of those outputs is often implicit, fragmented, or created locally by the surface that displays them. Provenance can reveal where information came from; deterministic computation can reproduce a transformation; integrity mechanisms can detect alteration; and governance frameworks can state responsibilities. The missing constitutional layer is an executable rule that binds every authoritative output to what its evidence and declared method permit.</w:t>
      </w:r>
    </w:p>
    <w:p w14:paraId="3780C53F" w14:textId="77777777" w:rsidR="00DD60C8" w:rsidRDefault="00DD60C8" w:rsidP="00DD60C8">
      <w:pPr>
        <w:spacing w:after="94"/>
      </w:pPr>
      <w:r>
        <w:rPr>
          <w:rFonts w:ascii="Times New Roman" w:eastAsia="Times New Roman" w:hAnsi="Times New Roman"/>
          <w:color w:val="000000"/>
          <w:sz w:val="20"/>
        </w:rPr>
        <w:t>Evidence-Governed Computation supplies that layer. It treats evidence authority as scoped computational permission; claims as typed and status-bearing objects; admissibility as an executable relation; instruments as bounded contracts; interfaces as projections rather than independent truth authorities; and preservation as the retention of identity, lineage, missingness, limits, and challenge paths. Authority non-creation, bounded projection, surface binding, egress closure, challenge retention, and preservation fidelity make overclaiming a locatable and testable architectural failure.</w:t>
      </w:r>
    </w:p>
    <w:p w14:paraId="621BDF3F" w14:textId="77777777" w:rsidR="00DD60C8" w:rsidRDefault="00DD60C8" w:rsidP="00DD60C8">
      <w:pPr>
        <w:spacing w:after="94"/>
      </w:pPr>
      <w:r>
        <w:rPr>
          <w:rFonts w:ascii="Times New Roman" w:eastAsia="Times New Roman" w:hAnsi="Times New Roman"/>
          <w:color w:val="000000"/>
          <w:sz w:val="20"/>
        </w:rPr>
        <w:t>The revised research hierarchy clarifies the division of labor. Intelligence in Motion is the governing idea. Longitudinal Computational Dynamics studies observable computational organization across runtime. Longitudinal Computational Behavior is the empirical object. Runtime Evidence is the source-bound evidentiary object. EGC governs what computation may assert from that object. Aperture implements the discipline as a Runtime Evidence Observatory.</w:t>
      </w:r>
    </w:p>
    <w:p w14:paraId="62505A29" w14:textId="77777777" w:rsidR="00DD60C8" w:rsidRDefault="00DD60C8" w:rsidP="00DD60C8">
      <w:pPr>
        <w:spacing w:after="94"/>
      </w:pPr>
      <w:r>
        <w:rPr>
          <w:rFonts w:ascii="Times New Roman" w:eastAsia="Times New Roman" w:hAnsi="Times New Roman"/>
          <w:color w:val="000000"/>
          <w:sz w:val="20"/>
        </w:rPr>
        <w:t>The implementation mapping also clarifies the lifecycle. The Current Evidence Run is the active computational authority. The Runtime Evidence Record is the structured evidence state. The Certified Runtime Evidence Record is the issued form after declared conformance and integrity requirements. The Runtime Evidence Passport carries identity, provenance, disclosure, certification scope, and claim boundaries. The Evidence Seal identifies the declared evidence-bearing core. The preservation artifact carries an authorized representation beyond the active interface. None of these objects turns procedural conformance into truth.</w:t>
      </w:r>
    </w:p>
    <w:p w14:paraId="3F9FD4C6" w14:textId="77777777" w:rsidR="00DD60C8" w:rsidRDefault="00DD60C8" w:rsidP="00DD60C8">
      <w:pPr>
        <w:spacing w:after="94"/>
      </w:pPr>
      <w:r>
        <w:rPr>
          <w:rFonts w:ascii="Times New Roman" w:eastAsia="Times New Roman" w:hAnsi="Times New Roman"/>
          <w:color w:val="000000"/>
          <w:sz w:val="20"/>
        </w:rPr>
        <w:t>The present validation state is stronger than a proposal and narrower than universal validation. Under the declared controlled conditions reported in Paper II, the same qualified source and governing versions reproduced the same core evidence record, and selected longitudinal measurements discriminated specified transition cases from stable and negative controls better than declared simple baselines. Independent replication, calibrated production prediction, causality, cross-domain transfer, and universal construct validity remain open.</w:t>
      </w:r>
    </w:p>
    <w:p w14:paraId="71B28FC3" w14:textId="77777777" w:rsidR="00DD60C8" w:rsidRDefault="00DD60C8" w:rsidP="00DD60C8">
      <w:pPr>
        <w:spacing w:after="94"/>
      </w:pPr>
      <w:r>
        <w:rPr>
          <w:rFonts w:ascii="Times New Roman" w:eastAsia="Times New Roman" w:hAnsi="Times New Roman"/>
          <w:color w:val="000000"/>
          <w:sz w:val="20"/>
        </w:rPr>
        <w:t>The lasting requirement is straightforward: every authoritative computational output should carry an inspectable answer to four questions.</w:t>
      </w:r>
    </w:p>
    <w:p w14:paraId="6A4211E4" w14:textId="77777777" w:rsidR="00DD60C8" w:rsidRDefault="00DD60C8" w:rsidP="00DD60C8">
      <w:pPr>
        <w:spacing w:before="120"/>
        <w:ind w:left="720" w:right="720"/>
        <w:jc w:val="center"/>
      </w:pPr>
      <w:r>
        <w:rPr>
          <w:rFonts w:ascii="Times New Roman" w:eastAsia="Times New Roman" w:hAnsi="Times New Roman"/>
          <w:i/>
          <w:color w:val="17324D"/>
          <w:sz w:val="20"/>
        </w:rPr>
        <w:t>*</w:t>
      </w:r>
      <w:r>
        <w:rPr>
          <w:rFonts w:ascii="Times New Roman" w:eastAsia="Times New Roman" w:hAnsi="Times New Roman"/>
          <w:b/>
          <w:i/>
          <w:color w:val="17324D"/>
          <w:sz w:val="20"/>
        </w:rPr>
        <w:t>What evidence authorized this claim, through which method, within which boundary, and how can that authority be independently examined and challenged?</w:t>
      </w:r>
      <w:r>
        <w:rPr>
          <w:rFonts w:ascii="Times New Roman" w:eastAsia="Times New Roman" w:hAnsi="Times New Roman"/>
          <w:i/>
          <w:color w:val="17324D"/>
          <w:sz w:val="20"/>
        </w:rPr>
        <w:t>*</w:t>
      </w:r>
    </w:p>
    <w:p w14:paraId="03B540F5" w14:textId="77777777" w:rsidR="00DD60C8" w:rsidRPr="00DD60C8" w:rsidRDefault="00DD60C8" w:rsidP="00DD60C8">
      <w:pPr>
        <w:pStyle w:val="Heading1"/>
        <w:pageBreakBefore/>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Appendix A. Minimal Normative Objects</w:t>
      </w:r>
    </w:p>
    <w:p w14:paraId="5B89A469" w14:textId="77777777" w:rsidR="00DD60C8" w:rsidRDefault="00DD60C8" w:rsidP="00DD60C8">
      <w:pPr>
        <w:keepLines/>
        <w:spacing w:after="94"/>
      </w:pPr>
      <w:r>
        <w:rPr>
          <w:rFonts w:ascii="Times New Roman" w:eastAsia="Times New Roman" w:hAnsi="Times New Roman"/>
          <w:color w:val="000000"/>
          <w:sz w:val="20"/>
        </w:rPr>
        <w:t>The schemas below identify minimum normative fields. Implementations may add domain-specific fields, but they should not remove the identity, status, boundary, disclosure, conformance, challenge, or preservation relationships needed to reconstruct authority.</w:t>
      </w:r>
    </w:p>
    <w:p w14:paraId="4A752CD5" w14:textId="77777777" w:rsidR="00DD60C8" w:rsidRDefault="00DD60C8" w:rsidP="00DD60C8">
      <w:pPr>
        <w:pStyle w:val="Heading2"/>
      </w:pPr>
      <w:r>
        <w:rPr>
          <w:rFonts w:ascii="Arial" w:eastAsia="Times New Roman" w:hAnsi="Arial"/>
          <w:color w:val="000000"/>
          <w:sz w:val="23"/>
        </w:rPr>
        <w:t>A.1 Runtime evidence authority record</w:t>
      </w:r>
    </w:p>
    <w:p w14:paraId="0C45B54F"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6949479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"source_identity": {},</w:t>
      </w:r>
    </w:p>
    <w:p w14:paraId="3B4BD53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"canonical_identity": {},</w:t>
      </w:r>
    </w:p>
    <w:p w14:paraId="673FF17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w:t>
      </w:r>
    </w:p>
    <w:p w14:paraId="1B1ED1C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"artifact_identity": {},</w:t>
      </w:r>
    </w:p>
    <w:p w14:paraId="086167B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"current_evidence_run_reference": "...",</w:t>
      </w:r>
    </w:p>
    <w:p w14:paraId="1BD50E28"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"runtime_evidence_record_reference": "...",</w:t>
      </w:r>
    </w:p>
    <w:p w14:paraId="578CE83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"certified_record_reference": "...|null",</w:t>
      </w:r>
    </w:p>
    <w:p w14:paraId="53B5CEC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"qualification": {},</w:t>
      </w:r>
    </w:p>
    <w:p w14:paraId="00CAED6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"evidence_status": "computed|partial|unavailable|not_computable|withheld",</w:t>
      </w:r>
    </w:p>
    <w:p w14:paraId="04036AD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"source_basis": [],</w:t>
      </w:r>
    </w:p>
    <w:p w14:paraId="1226270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"source_spans": [],</w:t>
      </w:r>
    </w:p>
    <w:p w14:paraId="5CB3041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"computation_contract": {},</w:t>
      </w:r>
    </w:p>
    <w:p w14:paraId="5AB2010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"provenance_graph": {},</w:t>
      </w:r>
    </w:p>
    <w:p w14:paraId="79DDEE1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"missingness_and_uncertainty": {},</w:t>
      </w:r>
    </w:p>
    <w:p w14:paraId="5204AB7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"disclosure_state": {},</w:t>
      </w:r>
    </w:p>
    <w:p w14:paraId="1832173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"conformance_state": {},</w:t>
      </w:r>
    </w:p>
    <w:p w14:paraId="54B295C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"claim_boundary": {},</w:t>
      </w:r>
    </w:p>
    <w:p w14:paraId="62285DC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"forbidden_claims": [],</w:t>
      </w:r>
    </w:p>
    <w:p w14:paraId="41A2E33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"passport_reference": "...|null",</w:t>
      </w:r>
    </w:p>
    <w:p w14:paraId="20F30D0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"evidence_seal_reference": "...|null",</w:t>
      </w:r>
    </w:p>
    <w:p w14:paraId="27483FF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"challenge_lineage": [],</w:t>
      </w:r>
    </w:p>
    <w:p w14:paraId="19CA4F2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"supersession_lineage": [],</w:t>
      </w:r>
    </w:p>
    <w:p w14:paraId="014A768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"preservation_status": {}</w:t>
      </w:r>
    </w:p>
    <w:p w14:paraId="20B14B0B"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4C98BB77" w14:textId="77777777" w:rsidR="00DD60C8" w:rsidRDefault="00DD60C8" w:rsidP="00DD60C8">
      <w:pPr>
        <w:pStyle w:val="Heading2"/>
      </w:pPr>
      <w:r>
        <w:rPr>
          <w:rFonts w:ascii="Arial" w:eastAsia="Times New Roman" w:hAnsi="Arial"/>
          <w:color w:val="000000"/>
          <w:sz w:val="23"/>
        </w:rPr>
        <w:t>A.2 Claim object</w:t>
      </w:r>
    </w:p>
    <w:p w14:paraId="1A5C9ABD"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6DA9000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"claim_id": "stable normalized identity",</w:t>
      </w:r>
    </w:p>
    <w:p w14:paraId="0771FAD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w:t>
      </w:r>
    </w:p>
    <w:p w14:paraId="3AAFA5F3"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"passport_reference": "...|null",</w:t>
      </w:r>
    </w:p>
    <w:p w14:paraId="7F7E317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"proposition": {},</w:t>
      </w:r>
    </w:p>
    <w:p w14:paraId="273BB7E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"claim_class": "source|measurement|classification|interpretation|context|recommendation",</w:t>
      </w:r>
    </w:p>
    <w:p w14:paraId="390B22DD"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"evidence_status": "admissible|conditional|provisional|disputed|superseded|withheld|not_computable|prohibited",</w:t>
      </w:r>
    </w:p>
    <w:p w14:paraId="7B453B1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"source_basis": [],</w:t>
      </w:r>
    </w:p>
    <w:p w14:paraId="29F9EF0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"source_spans": [],</w:t>
      </w:r>
    </w:p>
    <w:p w14:paraId="7452ABA3"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"temporal_scope": {},</w:t>
      </w:r>
    </w:p>
    <w:p w14:paraId="228F87D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"operational_scope": {},</w:t>
      </w:r>
    </w:p>
    <w:p w14:paraId="775B5E9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"derivation": [],</w:t>
      </w:r>
    </w:p>
    <w:p w14:paraId="0748504D"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"method_and_version": {},</w:t>
      </w:r>
    </w:p>
    <w:p w14:paraId="7C3D494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"assumptions": [],</w:t>
      </w:r>
    </w:p>
    <w:p w14:paraId="56300DB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"uncertainty": {},</w:t>
      </w:r>
    </w:p>
    <w:p w14:paraId="0C8A197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"claim_boundary": {},</w:t>
      </w:r>
    </w:p>
    <w:p w14:paraId="28FECB3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"forbidden_claims": [],</w:t>
      </w:r>
    </w:p>
    <w:p w14:paraId="51C785B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"disclosure_state": {},</w:t>
      </w:r>
    </w:p>
    <w:p w14:paraId="6E611A1D"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"conformance_state": {},</w:t>
      </w:r>
    </w:p>
    <w:p w14:paraId="1E33AE9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"challenge_and_supersession": [],</w:t>
      </w:r>
    </w:p>
    <w:p w14:paraId="3FBCB70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"preservation_status": {}</w:t>
      </w:r>
    </w:p>
    <w:p w14:paraId="45C69D40"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6F8B76F1" w14:textId="77777777" w:rsidR="00DD60C8" w:rsidRDefault="00DD60C8" w:rsidP="00DD60C8">
      <w:pPr>
        <w:pStyle w:val="Heading2"/>
      </w:pPr>
      <w:r>
        <w:rPr>
          <w:rFonts w:ascii="Arial" w:eastAsia="Times New Roman" w:hAnsi="Arial"/>
          <w:color w:val="000000"/>
          <w:sz w:val="23"/>
        </w:rPr>
        <w:t>A.3 Surface binding</w:t>
      </w:r>
    </w:p>
    <w:p w14:paraId="545EDB75"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56160486"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"surface_id": "operator-brief.summary-04",</w:t>
      </w:r>
    </w:p>
    <w:p w14:paraId="25B86D8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"output_id": "rendered-output identity",</w:t>
      </w:r>
    </w:p>
    <w:p w14:paraId="2F4EE6FB"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"active or cited run",</w:t>
      </w:r>
    </w:p>
    <w:p w14:paraId="00FFE63B"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"evidence_record_reference": "...",</w:t>
      </w:r>
    </w:p>
    <w:p w14:paraId="74301E0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"passport_reference": "...|null",</w:t>
      </w:r>
    </w:p>
    <w:p w14:paraId="74FBEB8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"claim_id": "normalized admitted claim",</w:t>
      </w:r>
    </w:p>
    <w:p w14:paraId="7F874CE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"method_id": "method and version",</w:t>
      </w:r>
    </w:p>
    <w:p w14:paraId="049EBA1A"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"source_basis": [],</w:t>
      </w:r>
    </w:p>
    <w:p w14:paraId="58562C1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"scope": {},</w:t>
      </w:r>
    </w:p>
    <w:p w14:paraId="7CE76F5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"status": "admissible",</w:t>
      </w:r>
    </w:p>
    <w:p w14:paraId="55A71A6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"rendering_contract": "permitted paraphrase or visual encoding",</w:t>
      </w:r>
    </w:p>
    <w:p w14:paraId="06AD7588"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"forbidden_claims": [],</w:t>
      </w:r>
    </w:p>
    <w:p w14:paraId="4782A32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"disclosure_state": {},</w:t>
      </w:r>
    </w:p>
    <w:p w14:paraId="79B999E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"export_policy": {}</w:t>
      </w:r>
    </w:p>
    <w:p w14:paraId="60514BF7"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29DC2D0E" w14:textId="77777777" w:rsidR="00DD60C8" w:rsidRDefault="00DD60C8" w:rsidP="00DD60C8">
      <w:pPr>
        <w:pStyle w:val="Heading2"/>
      </w:pPr>
      <w:r>
        <w:rPr>
          <w:rFonts w:ascii="Arial" w:eastAsia="Times New Roman" w:hAnsi="Arial"/>
          <w:color w:val="000000"/>
          <w:sz w:val="23"/>
        </w:rPr>
        <w:t>A.4 Runtime Evidence Passport</w:t>
      </w:r>
    </w:p>
    <w:p w14:paraId="7EB94241"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242FC57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"passport_id": "stable issued identity",</w:t>
      </w:r>
    </w:p>
    <w:p w14:paraId="57B6C72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w:t>
      </w:r>
    </w:p>
    <w:p w14:paraId="1A0254F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"source_identity": {},</w:t>
      </w:r>
    </w:p>
    <w:p w14:paraId="6681897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"canonical_identity": {},</w:t>
      </w:r>
    </w:p>
    <w:p w14:paraId="1283E4B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"formation_identity": {},</w:t>
      </w:r>
    </w:p>
    <w:p w14:paraId="68E905D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"runtime_evidence_record_reference": "...",</w:t>
      </w:r>
    </w:p>
    <w:p w14:paraId="4E91AAA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"certification_scope": [],</w:t>
      </w:r>
    </w:p>
    <w:p w14:paraId="454D70B6"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"explicit_non_certifications": [],</w:t>
      </w:r>
    </w:p>
    <w:p w14:paraId="46E9C2F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"evidence_coverage_and_sufficiency": {},</w:t>
      </w:r>
    </w:p>
    <w:p w14:paraId="10EA720D"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"metric_legitimacy_summary": {},</w:t>
      </w:r>
    </w:p>
    <w:p w14:paraId="0D262628"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"disclosure_state": {},</w:t>
      </w:r>
    </w:p>
    <w:p w14:paraId="0B92804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"claim_boundary": {},</w:t>
      </w:r>
    </w:p>
    <w:p w14:paraId="0E511DE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"forbidden_claims": [],</w:t>
      </w:r>
    </w:p>
    <w:p w14:paraId="58F4300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"conformance_state": {},</w:t>
      </w:r>
    </w:p>
    <w:p w14:paraId="2AE28C7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"evidence_seal_reference": "...",</w:t>
      </w:r>
    </w:p>
    <w:p w14:paraId="5032FBC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"export_authority": {},</w:t>
      </w:r>
    </w:p>
    <w:p w14:paraId="4EF2FA7B"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"preservation_readiness": {},</w:t>
      </w:r>
    </w:p>
    <w:p w14:paraId="5A80290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"challenge_and_supersession": []</w:t>
      </w:r>
    </w:p>
    <w:p w14:paraId="01B3FF44"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71548CDF" w14:textId="77777777" w:rsidR="00DD60C8" w:rsidRDefault="00DD60C8" w:rsidP="00DD60C8">
      <w:pPr>
        <w:pStyle w:val="Heading2"/>
      </w:pPr>
      <w:r>
        <w:rPr>
          <w:rFonts w:ascii="Arial" w:eastAsia="Times New Roman" w:hAnsi="Arial"/>
          <w:color w:val="000000"/>
          <w:sz w:val="23"/>
        </w:rPr>
        <w:t>A.5 Evidence Seal</w:t>
      </w:r>
    </w:p>
    <w:p w14:paraId="53AD378E"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37392CC3"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"seal_id": "stable integrity reference",</w:t>
      </w:r>
    </w:p>
    <w:p w14:paraId="2776F71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w:t>
      </w:r>
    </w:p>
    <w:p w14:paraId="19F183A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"passport_id": "...",</w:t>
      </w:r>
    </w:p>
    <w:p w14:paraId="61533DE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"sealed_scope": "declared evidence-bearing core",</w:t>
      </w:r>
    </w:p>
    <w:p w14:paraId="517BC52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"canonicalization_version": "...",</w:t>
      </w:r>
    </w:p>
    <w:p w14:paraId="14464B86"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"contract_bundle_version": "...",</w:t>
      </w:r>
    </w:p>
    <w:p w14:paraId="67CC008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"digest_algorithm": "...",</w:t>
      </w:r>
    </w:p>
    <w:p w14:paraId="183E6696"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"digest": "...",</w:t>
      </w:r>
    </w:p>
    <w:p w14:paraId="2CF24CE7"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"excluded_or_volatile_fields": [],</w:t>
      </w:r>
    </w:p>
    <w:p w14:paraId="667D0D8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"creation_conditions": {},</w:t>
      </w:r>
    </w:p>
    <w:p w14:paraId="667D35E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"verification_status": {},</w:t>
      </w:r>
    </w:p>
    <w:p w14:paraId="6C88F54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"supersession_reference": "...|null"</w:t>
      </w:r>
    </w:p>
    <w:p w14:paraId="5D362D8F"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027EAA88" w14:textId="77777777" w:rsidR="00DD60C8" w:rsidRDefault="00DD60C8" w:rsidP="00DD60C8">
      <w:pPr>
        <w:pStyle w:val="Heading2"/>
      </w:pPr>
      <w:r>
        <w:rPr>
          <w:rFonts w:ascii="Arial" w:eastAsia="Times New Roman" w:hAnsi="Arial"/>
          <w:color w:val="000000"/>
          <w:sz w:val="23"/>
        </w:rPr>
        <w:t>A.6 Challenge and supersession object</w:t>
      </w:r>
    </w:p>
    <w:p w14:paraId="5060E63E"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306DB344"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"challenge_id": "stable identity",</w:t>
      </w:r>
    </w:p>
    <w:p w14:paraId="7B8300E8"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"target_id": "source|method|claim|surface|passport|seal|artifact",</w:t>
      </w:r>
    </w:p>
    <w:p w14:paraId="6BC6AFE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"basis": "structured reason",</w:t>
      </w:r>
    </w:p>
    <w:p w14:paraId="40561E4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"counterevidence": [],</w:t>
      </w:r>
    </w:p>
    <w:p w14:paraId="42D49E60"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"actor_and_time": {},</w:t>
      </w:r>
    </w:p>
    <w:p w14:paraId="71CCAA2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"requested_resolution": "review|recompute|restrict|withdraw|supersede",</w:t>
      </w:r>
    </w:p>
    <w:p w14:paraId="53A7AB59"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"status": "submitted|under_review|sustained|rejected|partially_sustained|appealed",</w:t>
      </w:r>
    </w:p>
    <w:p w14:paraId="62655CC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"resulting_version_or_status": {},</w:t>
      </w:r>
    </w:p>
    <w:p w14:paraId="65A6451E"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"retained_prior_state": true</w:t>
      </w:r>
    </w:p>
    <w:p w14:paraId="36B67A86"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11872C5E" w14:textId="77777777" w:rsidR="00DD60C8" w:rsidRDefault="00DD60C8" w:rsidP="00DD60C8">
      <w:pPr>
        <w:pStyle w:val="Heading2"/>
      </w:pPr>
      <w:r>
        <w:rPr>
          <w:rFonts w:ascii="Arial" w:eastAsia="Times New Roman" w:hAnsi="Arial"/>
          <w:color w:val="000000"/>
          <w:sz w:val="23"/>
        </w:rPr>
        <w:t>A.7 Preservation artifact</w:t>
      </w:r>
    </w:p>
    <w:p w14:paraId="09BDC2C8" w14:textId="77777777" w:rsidR="00DD60C8" w:rsidRDefault="00DD60C8" w:rsidP="00DD60C8">
      <w:pPr>
        <w:keepNext/>
        <w:keepLines/>
        <w:shd w:val="clear" w:color="auto" w:fill="F3F5F7"/>
        <w:spacing w:before="60" w:after="0" w:line="240" w:lineRule="auto"/>
        <w:ind w:left="317" w:right="317"/>
      </w:pPr>
      <w:r>
        <w:rPr>
          <w:rFonts w:ascii="Courier New" w:eastAsia="Courier New" w:hAnsi="Courier New"/>
          <w:color w:val="000000"/>
          <w:sz w:val="15"/>
        </w:rPr>
        <w:t>{</w:t>
      </w:r>
    </w:p>
    <w:p w14:paraId="4FE621B6"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"artifact_id": "portable artifact identity",</w:t>
      </w:r>
    </w:p>
    <w:p w14:paraId="4AA81FA7"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"run_identity": "...",</w:t>
      </w:r>
    </w:p>
    <w:p w14:paraId="2ED3300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"passport_reference": "...",</w:t>
      </w:r>
    </w:p>
    <w:p w14:paraId="76E60E4C"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"evidence_seal_reference": "...",</w:t>
      </w:r>
    </w:p>
    <w:p w14:paraId="72BF7BA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"included_objects": [],</w:t>
      </w:r>
    </w:p>
    <w:p w14:paraId="36F8CF01"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"omitted_or_redacted_objects": [],</w:t>
      </w:r>
    </w:p>
    <w:p w14:paraId="022A1888"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"method_schema_and_release_versions": {},</w:t>
      </w:r>
    </w:p>
    <w:p w14:paraId="23FBD19B"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"artifact_hashes": [],</w:t>
      </w:r>
    </w:p>
    <w:p w14:paraId="0EA4E3A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"claim_lineage": [],</w:t>
      </w:r>
    </w:p>
    <w:p w14:paraId="66BD6A6F"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"challenge_and_supersession": [],</w:t>
      </w:r>
    </w:p>
    <w:p w14:paraId="0BA90117"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"replay_requirements": {},</w:t>
      </w:r>
    </w:p>
    <w:p w14:paraId="6D9B7DE2"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"export_authority": {},</w:t>
      </w:r>
    </w:p>
    <w:p w14:paraId="01393F97"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"preservation_status": {},</w:t>
      </w:r>
    </w:p>
    <w:p w14:paraId="0C493A55" w14:textId="77777777" w:rsidR="00DD60C8" w:rsidRDefault="00DD60C8" w:rsidP="00DD60C8">
      <w:pPr>
        <w:keepNext/>
        <w:keepLines/>
        <w:shd w:val="clear" w:color="auto" w:fill="F3F5F7"/>
        <w:spacing w:after="0" w:line="240" w:lineRule="auto"/>
        <w:ind w:left="317" w:right="317"/>
      </w:pPr>
      <w:r>
        <w:rPr>
          <w:rFonts w:ascii="Courier New" w:eastAsia="Courier New" w:hAnsi="Courier New"/>
          <w:color w:val="000000"/>
          <w:sz w:val="15"/>
        </w:rPr>
        <w:t xml:space="preserve">  "evidence_commons_manifest_reference": "...|null"</w:t>
      </w:r>
    </w:p>
    <w:p w14:paraId="704F8460" w14:textId="77777777" w:rsidR="00DD60C8" w:rsidRDefault="00DD60C8" w:rsidP="00DD60C8">
      <w:pPr>
        <w:keepLines/>
        <w:shd w:val="clear" w:color="auto" w:fill="F3F5F7"/>
        <w:spacing w:after="80" w:line="240" w:lineRule="auto"/>
        <w:ind w:left="317" w:right="317"/>
      </w:pPr>
      <w:r>
        <w:rPr>
          <w:rFonts w:ascii="Courier New" w:eastAsia="Courier New" w:hAnsi="Courier New"/>
          <w:color w:val="000000"/>
          <w:sz w:val="15"/>
        </w:rPr>
        <w:t>}</w:t>
      </w:r>
    </w:p>
    <w:p w14:paraId="359656BE" w14:textId="77777777" w:rsidR="00DD60C8" w:rsidRPr="00DD60C8" w:rsidRDefault="00DD60C8" w:rsidP="00DD60C8">
      <w:pPr>
        <w:pStyle w:val="Heading1"/>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Appendix B. EGC Conformance Checklist</w:t>
      </w:r>
    </w:p>
    <w:p w14:paraId="638A7CA1" w14:textId="77777777" w:rsidR="00DD60C8" w:rsidRDefault="00DD60C8" w:rsidP="00DD60C8">
      <w:pPr>
        <w:keepLines/>
        <w:spacing w:after="94"/>
      </w:pPr>
      <w:r>
        <w:rPr>
          <w:rFonts w:ascii="Times New Roman" w:eastAsia="Times New Roman" w:hAnsi="Times New Roman"/>
          <w:color w:val="000000"/>
          <w:sz w:val="20"/>
        </w:rPr>
        <w:t xml:space="preserve">A system seeking baseline conformance should be able to answer </w:t>
      </w:r>
      <w:r>
        <w:rPr>
          <w:rFonts w:ascii="Times New Roman" w:eastAsia="Times New Roman" w:hAnsi="Times New Roman"/>
          <w:b/>
          <w:color w:val="000000"/>
          <w:sz w:val="20"/>
        </w:rPr>
        <w:t>yes</w:t>
      </w:r>
      <w:r>
        <w:rPr>
          <w:rFonts w:ascii="Times New Roman" w:eastAsia="Times New Roman" w:hAnsi="Times New Roman"/>
          <w:color w:val="000000"/>
          <w:sz w:val="20"/>
        </w:rPr>
        <w:t xml:space="preserve"> to every required item:</w:t>
      </w:r>
    </w:p>
    <w:p w14:paraId="52DC22E0" w14:textId="77777777" w:rsidR="00DD60C8" w:rsidRDefault="00DD60C8" w:rsidP="00DD60C8">
      <w:pPr>
        <w:spacing w:after="60"/>
        <w:ind w:left="432" w:right="230" w:hanging="173"/>
      </w:pPr>
      <w:r>
        <w:rPr>
          <w:rFonts w:ascii="Times New Roman" w:eastAsia="Times New Roman" w:hAnsi="Times New Roman"/>
          <w:b/>
          <w:color w:val="000000"/>
          <w:sz w:val="19"/>
        </w:rPr>
        <w:t>1.</w:t>
      </w:r>
      <w:r>
        <w:rPr>
          <w:rFonts w:ascii="Times New Roman" w:eastAsia="Times New Roman" w:hAnsi="Times New Roman"/>
          <w:color w:val="000000"/>
          <w:sz w:val="19"/>
        </w:rPr>
        <w:t xml:space="preserve"> Is every authoritative output bound to stable source, canonical, run, evidence-record, claim, and, where applicable, artifact identities?</w:t>
      </w:r>
    </w:p>
    <w:p w14:paraId="6232C4EA" w14:textId="77777777" w:rsidR="00DD60C8" w:rsidRDefault="00DD60C8" w:rsidP="00DD60C8">
      <w:pPr>
        <w:spacing w:after="60"/>
        <w:ind w:left="432" w:right="230" w:hanging="173"/>
      </w:pPr>
      <w:r>
        <w:rPr>
          <w:rFonts w:ascii="Times New Roman" w:eastAsia="Times New Roman" w:hAnsi="Times New Roman"/>
          <w:b/>
          <w:color w:val="000000"/>
          <w:sz w:val="19"/>
        </w:rPr>
        <w:t>2.</w:t>
      </w:r>
      <w:r>
        <w:rPr>
          <w:rFonts w:ascii="Times New Roman" w:eastAsia="Times New Roman" w:hAnsi="Times New Roman"/>
          <w:color w:val="000000"/>
          <w:sz w:val="19"/>
        </w:rPr>
        <w:t xml:space="preserve"> Are source, operator-declared, contextual, derived, proxy, interpretive, and experimental materials distinguishable?</w:t>
      </w:r>
    </w:p>
    <w:p w14:paraId="50B9212B" w14:textId="77777777" w:rsidR="00DD60C8" w:rsidRDefault="00DD60C8" w:rsidP="00DD60C8">
      <w:pPr>
        <w:spacing w:after="60"/>
        <w:ind w:left="432" w:right="230" w:hanging="173"/>
      </w:pPr>
      <w:r>
        <w:rPr>
          <w:rFonts w:ascii="Times New Roman" w:eastAsia="Times New Roman" w:hAnsi="Times New Roman"/>
          <w:b/>
          <w:color w:val="000000"/>
          <w:sz w:val="19"/>
        </w:rPr>
        <w:t>3.</w:t>
      </w:r>
      <w:r>
        <w:rPr>
          <w:rFonts w:ascii="Times New Roman" w:eastAsia="Times New Roman" w:hAnsi="Times New Roman"/>
          <w:color w:val="000000"/>
          <w:sz w:val="19"/>
        </w:rPr>
        <w:t xml:space="preserve"> Are the Current Evidence Run, Runtime Evidence Record, Certified Runtime Evidence Record, Runtime Evidence Passport, Evidence Seal, and preservation artifact kept distinct?</w:t>
      </w:r>
    </w:p>
    <w:p w14:paraId="693A587E" w14:textId="77777777" w:rsidR="00DD60C8" w:rsidRDefault="00DD60C8" w:rsidP="00DD60C8">
      <w:pPr>
        <w:spacing w:after="60"/>
        <w:ind w:left="432" w:right="230" w:hanging="173"/>
      </w:pPr>
      <w:r>
        <w:rPr>
          <w:rFonts w:ascii="Times New Roman" w:eastAsia="Times New Roman" w:hAnsi="Times New Roman"/>
          <w:b/>
          <w:color w:val="000000"/>
          <w:sz w:val="19"/>
        </w:rPr>
        <w:t>4.</w:t>
      </w:r>
      <w:r>
        <w:rPr>
          <w:rFonts w:ascii="Times New Roman" w:eastAsia="Times New Roman" w:hAnsi="Times New Roman"/>
          <w:color w:val="000000"/>
          <w:sz w:val="19"/>
        </w:rPr>
        <w:t xml:space="preserve"> Are evidence, method, policy, schema, release, and presentation versions separately identifiable?</w:t>
      </w:r>
    </w:p>
    <w:p w14:paraId="7E61CCDC" w14:textId="77777777" w:rsidR="00DD60C8" w:rsidRDefault="00DD60C8" w:rsidP="00DD60C8">
      <w:pPr>
        <w:spacing w:after="60"/>
        <w:ind w:left="432" w:right="230" w:hanging="173"/>
      </w:pPr>
      <w:r>
        <w:rPr>
          <w:rFonts w:ascii="Times New Roman" w:eastAsia="Times New Roman" w:hAnsi="Times New Roman"/>
          <w:b/>
          <w:color w:val="000000"/>
          <w:sz w:val="19"/>
        </w:rPr>
        <w:t>5.</w:t>
      </w:r>
      <w:r>
        <w:rPr>
          <w:rFonts w:ascii="Times New Roman" w:eastAsia="Times New Roman" w:hAnsi="Times New Roman"/>
          <w:color w:val="000000"/>
          <w:sz w:val="19"/>
        </w:rPr>
        <w:t xml:space="preserve"> Are eligible inputs, transformations, thresholds, horizons, and dependencies declared for every derived claim?</w:t>
      </w:r>
    </w:p>
    <w:p w14:paraId="08FD1421" w14:textId="77777777" w:rsidR="00DD60C8" w:rsidRDefault="00DD60C8" w:rsidP="00DD60C8">
      <w:pPr>
        <w:spacing w:after="60"/>
        <w:ind w:left="432" w:right="230" w:hanging="173"/>
      </w:pPr>
      <w:r>
        <w:rPr>
          <w:rFonts w:ascii="Times New Roman" w:eastAsia="Times New Roman" w:hAnsi="Times New Roman"/>
          <w:b/>
          <w:color w:val="000000"/>
          <w:sz w:val="19"/>
        </w:rPr>
        <w:t>6.</w:t>
      </w:r>
      <w:r>
        <w:rPr>
          <w:rFonts w:ascii="Times New Roman" w:eastAsia="Times New Roman" w:hAnsi="Times New Roman"/>
          <w:color w:val="000000"/>
          <w:sz w:val="19"/>
        </w:rPr>
        <w:t xml:space="preserve"> Are claim class, source basis, source spans, scope, assumptions, uncertainty, claim boundary, forbidden claims, disclosure state, and status machine-readable?</w:t>
      </w:r>
    </w:p>
    <w:p w14:paraId="6FF9E15F" w14:textId="77777777" w:rsidR="00DD60C8" w:rsidRDefault="00DD60C8" w:rsidP="00DD60C8">
      <w:pPr>
        <w:spacing w:after="60"/>
        <w:ind w:left="432" w:right="230" w:hanging="173"/>
      </w:pPr>
      <w:r>
        <w:rPr>
          <w:rFonts w:ascii="Times New Roman" w:eastAsia="Times New Roman" w:hAnsi="Times New Roman"/>
          <w:b/>
          <w:color w:val="000000"/>
          <w:sz w:val="19"/>
        </w:rPr>
        <w:t>7.</w:t>
      </w:r>
      <w:r>
        <w:rPr>
          <w:rFonts w:ascii="Times New Roman" w:eastAsia="Times New Roman" w:hAnsi="Times New Roman"/>
          <w:color w:val="000000"/>
          <w:sz w:val="19"/>
        </w:rPr>
        <w:t xml:space="preserve"> Are missing, conflicting, withheld, partial, unavailable, and not-computable states preserved without substitution?</w:t>
      </w:r>
    </w:p>
    <w:p w14:paraId="6047D9DE" w14:textId="77777777" w:rsidR="00DD60C8" w:rsidRDefault="00DD60C8" w:rsidP="00DD60C8">
      <w:pPr>
        <w:spacing w:after="60"/>
        <w:ind w:left="432" w:right="230" w:hanging="173"/>
      </w:pPr>
      <w:r>
        <w:rPr>
          <w:rFonts w:ascii="Times New Roman" w:eastAsia="Times New Roman" w:hAnsi="Times New Roman"/>
          <w:b/>
          <w:color w:val="000000"/>
          <w:sz w:val="19"/>
        </w:rPr>
        <w:t>8.</w:t>
      </w:r>
      <w:r>
        <w:rPr>
          <w:rFonts w:ascii="Times New Roman" w:eastAsia="Times New Roman" w:hAnsi="Times New Roman"/>
          <w:color w:val="000000"/>
          <w:sz w:val="19"/>
        </w:rPr>
        <w:t xml:space="preserve"> Can every instrument demonstrate a bounded contract, dependency set, evidence status, and forbidden-claim set?</w:t>
      </w:r>
    </w:p>
    <w:p w14:paraId="3F7E0A44" w14:textId="77777777" w:rsidR="00DD60C8" w:rsidRDefault="00DD60C8" w:rsidP="00DD60C8">
      <w:pPr>
        <w:spacing w:after="60"/>
        <w:ind w:left="432" w:right="230" w:hanging="173"/>
      </w:pPr>
      <w:r>
        <w:rPr>
          <w:rFonts w:ascii="Times New Roman" w:eastAsia="Times New Roman" w:hAnsi="Times New Roman"/>
          <w:b/>
          <w:color w:val="000000"/>
          <w:sz w:val="19"/>
        </w:rPr>
        <w:t>9.</w:t>
      </w:r>
      <w:r>
        <w:rPr>
          <w:rFonts w:ascii="Times New Roman" w:eastAsia="Times New Roman" w:hAnsi="Times New Roman"/>
          <w:color w:val="000000"/>
          <w:sz w:val="19"/>
        </w:rPr>
        <w:t xml:space="preserve"> Can every interface, API, narrative, alert, recommendation, and export pass a Surface Binding Audit?</w:t>
      </w:r>
    </w:p>
    <w:p w14:paraId="615CACC4" w14:textId="77777777" w:rsidR="00DD60C8" w:rsidRDefault="00DD60C8" w:rsidP="00DD60C8">
      <w:pPr>
        <w:spacing w:after="60"/>
        <w:ind w:left="432" w:right="230" w:hanging="173"/>
      </w:pPr>
      <w:r>
        <w:rPr>
          <w:rFonts w:ascii="Times New Roman" w:eastAsia="Times New Roman" w:hAnsi="Times New Roman"/>
          <w:b/>
          <w:color w:val="000000"/>
          <w:sz w:val="19"/>
        </w:rPr>
        <w:t>10.</w:t>
      </w:r>
      <w:r>
        <w:rPr>
          <w:rFonts w:ascii="Times New Roman" w:eastAsia="Times New Roman" w:hAnsi="Times New Roman"/>
          <w:color w:val="000000"/>
          <w:sz w:val="19"/>
        </w:rPr>
        <w:t xml:space="preserve"> Can generated language be tested against the authorized claim set and permitted renderings?</w:t>
      </w:r>
    </w:p>
    <w:p w14:paraId="3B5CC1C8" w14:textId="77777777" w:rsidR="00DD60C8" w:rsidRDefault="00DD60C8" w:rsidP="00DD60C8">
      <w:pPr>
        <w:spacing w:after="60"/>
        <w:ind w:left="432" w:right="230" w:hanging="173"/>
      </w:pPr>
      <w:r>
        <w:rPr>
          <w:rFonts w:ascii="Times New Roman" w:eastAsia="Times New Roman" w:hAnsi="Times New Roman"/>
          <w:b/>
          <w:color w:val="000000"/>
          <w:sz w:val="19"/>
        </w:rPr>
        <w:t>11.</w:t>
      </w:r>
      <w:r>
        <w:rPr>
          <w:rFonts w:ascii="Times New Roman" w:eastAsia="Times New Roman" w:hAnsi="Times New Roman"/>
          <w:color w:val="000000"/>
          <w:sz w:val="19"/>
        </w:rPr>
        <w:t xml:space="preserve"> Are recommendation authority, execution authority, and action records separated?</w:t>
      </w:r>
    </w:p>
    <w:p w14:paraId="7082E2AE" w14:textId="77777777" w:rsidR="00DD60C8" w:rsidRDefault="00DD60C8" w:rsidP="00DD60C8">
      <w:pPr>
        <w:spacing w:after="60"/>
        <w:ind w:left="432" w:right="230" w:hanging="173"/>
      </w:pPr>
      <w:r>
        <w:rPr>
          <w:rFonts w:ascii="Times New Roman" w:eastAsia="Times New Roman" w:hAnsi="Times New Roman"/>
          <w:b/>
          <w:color w:val="000000"/>
          <w:sz w:val="19"/>
        </w:rPr>
        <w:t>12.</w:t>
      </w:r>
      <w:r>
        <w:rPr>
          <w:rFonts w:ascii="Times New Roman" w:eastAsia="Times New Roman" w:hAnsi="Times New Roman"/>
          <w:color w:val="000000"/>
          <w:sz w:val="19"/>
        </w:rPr>
        <w:t xml:space="preserve"> Do Passport and Current Evidence Run identities align before issuance?</w:t>
      </w:r>
    </w:p>
    <w:p w14:paraId="683F22EC" w14:textId="77777777" w:rsidR="00DD60C8" w:rsidRDefault="00DD60C8" w:rsidP="00DD60C8">
      <w:pPr>
        <w:spacing w:after="60"/>
        <w:ind w:left="432" w:right="230" w:hanging="173"/>
      </w:pPr>
      <w:r>
        <w:rPr>
          <w:rFonts w:ascii="Times New Roman" w:eastAsia="Times New Roman" w:hAnsi="Times New Roman"/>
          <w:b/>
          <w:color w:val="000000"/>
          <w:sz w:val="19"/>
        </w:rPr>
        <w:t>13.</w:t>
      </w:r>
      <w:r>
        <w:rPr>
          <w:rFonts w:ascii="Times New Roman" w:eastAsia="Times New Roman" w:hAnsi="Times New Roman"/>
          <w:color w:val="000000"/>
          <w:sz w:val="19"/>
        </w:rPr>
        <w:t xml:space="preserve"> Does the Evidence Seal identify its exact scope, algorithm, exclusions, and governing versions?</w:t>
      </w:r>
    </w:p>
    <w:p w14:paraId="592B9F5C" w14:textId="77777777" w:rsidR="00DD60C8" w:rsidRDefault="00DD60C8" w:rsidP="00DD60C8">
      <w:pPr>
        <w:spacing w:after="60"/>
        <w:ind w:left="432" w:right="230" w:hanging="173"/>
      </w:pPr>
      <w:r>
        <w:rPr>
          <w:rFonts w:ascii="Times New Roman" w:eastAsia="Times New Roman" w:hAnsi="Times New Roman"/>
          <w:b/>
          <w:color w:val="000000"/>
          <w:sz w:val="19"/>
        </w:rPr>
        <w:t>14.</w:t>
      </w:r>
      <w:r>
        <w:rPr>
          <w:rFonts w:ascii="Times New Roman" w:eastAsia="Times New Roman" w:hAnsi="Times New Roman"/>
          <w:color w:val="000000"/>
          <w:sz w:val="19"/>
        </w:rPr>
        <w:t xml:space="preserve"> Does export authority evaluate audience, privacy, retention, licensing, security, redaction, and claim admissibility?</w:t>
      </w:r>
    </w:p>
    <w:p w14:paraId="798D6E46" w14:textId="77777777" w:rsidR="00DD60C8" w:rsidRDefault="00DD60C8" w:rsidP="00DD60C8">
      <w:pPr>
        <w:spacing w:after="60"/>
        <w:ind w:left="432" w:right="230" w:hanging="173"/>
      </w:pPr>
      <w:r>
        <w:rPr>
          <w:rFonts w:ascii="Times New Roman" w:eastAsia="Times New Roman" w:hAnsi="Times New Roman"/>
          <w:b/>
          <w:color w:val="000000"/>
          <w:sz w:val="19"/>
        </w:rPr>
        <w:t>15.</w:t>
      </w:r>
      <w:r>
        <w:rPr>
          <w:rFonts w:ascii="Times New Roman" w:eastAsia="Times New Roman" w:hAnsi="Times New Roman"/>
          <w:color w:val="000000"/>
          <w:sz w:val="19"/>
        </w:rPr>
        <w:t xml:space="preserve"> Does the preservation artifact retain or disclose the loss of identity, lineage, boundaries, status, conformance, and replay requirements?</w:t>
      </w:r>
    </w:p>
    <w:p w14:paraId="41CC7C2D" w14:textId="77777777" w:rsidR="00DD60C8" w:rsidRDefault="00DD60C8" w:rsidP="00DD60C8">
      <w:pPr>
        <w:spacing w:after="60"/>
        <w:ind w:left="432" w:right="230" w:hanging="173"/>
      </w:pPr>
      <w:r>
        <w:rPr>
          <w:rFonts w:ascii="Times New Roman" w:eastAsia="Times New Roman" w:hAnsi="Times New Roman"/>
          <w:b/>
          <w:color w:val="000000"/>
          <w:sz w:val="19"/>
        </w:rPr>
        <w:t>16.</w:t>
      </w:r>
      <w:r>
        <w:rPr>
          <w:rFonts w:ascii="Times New Roman" w:eastAsia="Times New Roman" w:hAnsi="Times New Roman"/>
          <w:color w:val="000000"/>
          <w:sz w:val="19"/>
        </w:rPr>
        <w:t xml:space="preserve"> Can challenges, counterevidence, and supersession be attached without erasing prior states?</w:t>
      </w:r>
    </w:p>
    <w:p w14:paraId="5CC490DB" w14:textId="77777777" w:rsidR="00DD60C8" w:rsidRDefault="00DD60C8" w:rsidP="00DD60C8">
      <w:pPr>
        <w:spacing w:after="60"/>
        <w:ind w:left="432" w:right="230" w:hanging="173"/>
      </w:pPr>
      <w:r>
        <w:rPr>
          <w:rFonts w:ascii="Times New Roman" w:eastAsia="Times New Roman" w:hAnsi="Times New Roman"/>
          <w:b/>
          <w:color w:val="000000"/>
          <w:sz w:val="19"/>
        </w:rPr>
        <w:t>17.</w:t>
      </w:r>
      <w:r>
        <w:rPr>
          <w:rFonts w:ascii="Times New Roman" w:eastAsia="Times New Roman" w:hAnsi="Times New Roman"/>
          <w:color w:val="000000"/>
          <w:sz w:val="19"/>
        </w:rPr>
        <w:t xml:space="preserve"> Do evidence, method, and policy revisions produce distinguishable versions and retained lineage?</w:t>
      </w:r>
    </w:p>
    <w:p w14:paraId="7BF5F879" w14:textId="77777777" w:rsidR="00DD60C8" w:rsidRDefault="00DD60C8" w:rsidP="00DD60C8">
      <w:pPr>
        <w:spacing w:after="60"/>
        <w:ind w:left="432" w:right="230" w:hanging="173"/>
      </w:pPr>
      <w:r>
        <w:rPr>
          <w:rFonts w:ascii="Times New Roman" w:eastAsia="Times New Roman" w:hAnsi="Times New Roman"/>
          <w:b/>
          <w:color w:val="000000"/>
          <w:sz w:val="19"/>
        </w:rPr>
        <w:t>18.</w:t>
      </w:r>
      <w:r>
        <w:rPr>
          <w:rFonts w:ascii="Times New Roman" w:eastAsia="Times New Roman" w:hAnsi="Times New Roman"/>
          <w:color w:val="000000"/>
          <w:sz w:val="19"/>
        </w:rPr>
        <w:t xml:space="preserve"> Are dependent instruments prevented from being presented as independent corroboration?</w:t>
      </w:r>
    </w:p>
    <w:p w14:paraId="264A2EC6" w14:textId="77777777" w:rsidR="00DD60C8" w:rsidRDefault="00DD60C8" w:rsidP="00DD60C8">
      <w:pPr>
        <w:spacing w:after="60"/>
        <w:ind w:left="432" w:right="230" w:hanging="173"/>
      </w:pPr>
      <w:r>
        <w:rPr>
          <w:rFonts w:ascii="Times New Roman" w:eastAsia="Times New Roman" w:hAnsi="Times New Roman"/>
          <w:b/>
          <w:color w:val="000000"/>
          <w:sz w:val="19"/>
        </w:rPr>
        <w:t>19.</w:t>
      </w:r>
      <w:r>
        <w:rPr>
          <w:rFonts w:ascii="Times New Roman" w:eastAsia="Times New Roman" w:hAnsi="Times New Roman"/>
          <w:color w:val="000000"/>
          <w:sz w:val="19"/>
        </w:rPr>
        <w:t xml:space="preserve"> Are the four evaluation layers and six conformance surfaces reported separately?</w:t>
      </w:r>
    </w:p>
    <w:p w14:paraId="06F11C4D" w14:textId="77777777" w:rsidR="00DD60C8" w:rsidRDefault="00DD60C8" w:rsidP="00DD60C8">
      <w:pPr>
        <w:spacing w:after="60"/>
        <w:ind w:left="432" w:right="230" w:hanging="173"/>
      </w:pPr>
      <w:r>
        <w:rPr>
          <w:rFonts w:ascii="Times New Roman" w:eastAsia="Times New Roman" w:hAnsi="Times New Roman"/>
          <w:b/>
          <w:color w:val="000000"/>
          <w:sz w:val="19"/>
        </w:rPr>
        <w:t>20.</w:t>
      </w:r>
      <w:r>
        <w:rPr>
          <w:rFonts w:ascii="Times New Roman" w:eastAsia="Times New Roman" w:hAnsi="Times New Roman"/>
          <w:color w:val="000000"/>
          <w:sz w:val="19"/>
        </w:rPr>
        <w:t xml:space="preserve"> Are scientific maturity, bounded validation results, unresolved dependencies, and explicit non-certifications published together?</w:t>
      </w:r>
    </w:p>
    <w:p w14:paraId="6AD77C8E" w14:textId="77777777" w:rsidR="00DD60C8" w:rsidRPr="00DD60C8" w:rsidRDefault="00DD60C8" w:rsidP="00DD60C8">
      <w:pPr>
        <w:pStyle w:val="Heading1"/>
        <w:pageBreakBefore/>
        <w:rPr>
          <w:rFonts w:asciiTheme="minorHAnsi" w:hAnsiTheme="minorHAnsi" w:cstheme="minorHAnsi"/>
          <w:b/>
          <w:bCs/>
          <w:color w:val="4F46E5"/>
          <w:sz w:val="28"/>
          <w:szCs w:val="28"/>
        </w:rPr>
      </w:pPr>
      <w:r w:rsidRPr="00DD60C8">
        <w:rPr>
          <w:rFonts w:asciiTheme="minorHAnsi" w:eastAsia="Times New Roman" w:hAnsiTheme="minorHAnsi" w:cstheme="minorHAnsi"/>
          <w:b/>
          <w:bCs/>
          <w:color w:val="4F46E5"/>
          <w:sz w:val="28"/>
          <w:szCs w:val="28"/>
        </w:rPr>
        <w:t>References</w:t>
      </w:r>
    </w:p>
    <w:p w14:paraId="67D23178"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Asadi, A. (2026a). </w:t>
      </w:r>
      <w:r>
        <w:rPr>
          <w:rFonts w:ascii="Times New Roman" w:eastAsia="Times New Roman" w:hAnsi="Times New Roman"/>
          <w:i/>
          <w:color w:val="000000"/>
          <w:sz w:val="17"/>
        </w:rPr>
        <w:t>Longitudinal Computational Dynamics: Foundations for the Study of Computational Organization Across Extended Runtime</w:t>
      </w:r>
      <w:r>
        <w:rPr>
          <w:rFonts w:ascii="Times New Roman" w:eastAsia="Times New Roman" w:hAnsi="Times New Roman"/>
          <w:color w:val="000000"/>
          <w:sz w:val="17"/>
        </w:rPr>
        <w:t>. Version 1.0. SubstrateX.</w:t>
      </w:r>
    </w:p>
    <w:p w14:paraId="05C0B95D"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Asadi, A. (2026b). </w:t>
      </w:r>
      <w:r>
        <w:rPr>
          <w:rFonts w:ascii="Times New Roman" w:eastAsia="Times New Roman" w:hAnsi="Times New Roman"/>
          <w:i/>
          <w:color w:val="000000"/>
          <w:sz w:val="17"/>
        </w:rPr>
        <w:t>Validating Longitudinal Computational Dynamics: Deterministic Runtime Evidence and Discrimination of Computational Regime Transitions</w:t>
      </w:r>
      <w:r>
        <w:rPr>
          <w:rFonts w:ascii="Times New Roman" w:eastAsia="Times New Roman" w:hAnsi="Times New Roman"/>
          <w:color w:val="000000"/>
          <w:sz w:val="17"/>
        </w:rPr>
        <w:t>. Version 1.0. SubstrateX.</w:t>
      </w:r>
    </w:p>
    <w:p w14:paraId="4D93E66C"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Asadi, A. (2026c). </w:t>
      </w:r>
      <w:r>
        <w:rPr>
          <w:rFonts w:ascii="Times New Roman" w:eastAsia="Times New Roman" w:hAnsi="Times New Roman"/>
          <w:i/>
          <w:color w:val="000000"/>
          <w:sz w:val="17"/>
        </w:rPr>
        <w:t>Aperture Methods: A Reference Implementation for Evidence-Governed Runtime Reconstruction</w:t>
      </w:r>
      <w:r>
        <w:rPr>
          <w:rFonts w:ascii="Times New Roman" w:eastAsia="Times New Roman" w:hAnsi="Times New Roman"/>
          <w:color w:val="000000"/>
          <w:sz w:val="17"/>
        </w:rPr>
        <w:t>. Version 1.0. SubstrateX.</w:t>
      </w:r>
    </w:p>
    <w:p w14:paraId="3DFB9B92"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Birkholz, H., Thaler, D., Richardson, M., Smith, N., and Pan, W. (2023). </w:t>
      </w:r>
      <w:r>
        <w:rPr>
          <w:rFonts w:ascii="Times New Roman" w:eastAsia="Times New Roman" w:hAnsi="Times New Roman"/>
          <w:i/>
          <w:color w:val="000000"/>
          <w:sz w:val="17"/>
        </w:rPr>
        <w:t>Remote ATtestation procedureS (RATS) Architecture</w:t>
      </w:r>
      <w:r>
        <w:rPr>
          <w:rFonts w:ascii="Times New Roman" w:eastAsia="Times New Roman" w:hAnsi="Times New Roman"/>
          <w:color w:val="000000"/>
          <w:sz w:val="17"/>
        </w:rPr>
        <w:t xml:space="preserve">. RFC 9334. Internet Engineering Task Force. </w:t>
      </w:r>
      <w:hyperlink r:id="rId11">
        <w:r>
          <w:rPr>
            <w:rFonts w:ascii="Times New Roman" w:hAnsi="Times New Roman"/>
            <w:color w:val="2E5D83"/>
            <w:sz w:val="18"/>
            <w:u w:val="single"/>
          </w:rPr>
          <w:t>https://doi.org/10.17487/RFC9334</w:t>
        </w:r>
      </w:hyperlink>
    </w:p>
    <w:p w14:paraId="788BFDD0"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Coalition for Content Provenance and Authenticity. (2026). </w:t>
      </w:r>
      <w:r>
        <w:rPr>
          <w:rFonts w:ascii="Times New Roman" w:eastAsia="Times New Roman" w:hAnsi="Times New Roman"/>
          <w:i/>
          <w:color w:val="000000"/>
          <w:sz w:val="17"/>
        </w:rPr>
        <w:t>C2PA Technical Specification, Version 2.4</w:t>
      </w:r>
      <w:r>
        <w:rPr>
          <w:rFonts w:ascii="Times New Roman" w:eastAsia="Times New Roman" w:hAnsi="Times New Roman"/>
          <w:color w:val="000000"/>
          <w:sz w:val="17"/>
        </w:rPr>
        <w:t xml:space="preserve">. </w:t>
      </w:r>
      <w:hyperlink r:id="rId12">
        <w:r>
          <w:rPr>
            <w:rFonts w:ascii="Times New Roman" w:hAnsi="Times New Roman"/>
            <w:color w:val="2E5D83"/>
            <w:sz w:val="18"/>
            <w:u w:val="single"/>
          </w:rPr>
          <w:t>https://spec.c2pa.org/specifications/specifications/2.4/specs/C2PA_Specification.html</w:t>
        </w:r>
      </w:hyperlink>
    </w:p>
    <w:p w14:paraId="2D95033C"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Cobbe, J., Lee, M. S. A., and Singh, J. (2021). Reviewable automated decision-making: A framework for accountable algorithmic systems. </w:t>
      </w:r>
      <w:r>
        <w:rPr>
          <w:rFonts w:ascii="Times New Roman" w:eastAsia="Times New Roman" w:hAnsi="Times New Roman"/>
          <w:i/>
          <w:color w:val="000000"/>
          <w:sz w:val="17"/>
        </w:rPr>
        <w:t>Proceedings of the 2021 ACM Conference on Fairness, Accountability, and Transparency</w:t>
      </w:r>
      <w:r>
        <w:rPr>
          <w:rFonts w:ascii="Times New Roman" w:eastAsia="Times New Roman" w:hAnsi="Times New Roman"/>
          <w:color w:val="000000"/>
          <w:sz w:val="17"/>
        </w:rPr>
        <w:t xml:space="preserve">, 598–609. </w:t>
      </w:r>
      <w:hyperlink r:id="rId13">
        <w:r>
          <w:rPr>
            <w:rFonts w:ascii="Times New Roman" w:hAnsi="Times New Roman"/>
            <w:color w:val="2E5D83"/>
            <w:sz w:val="18"/>
            <w:u w:val="single"/>
          </w:rPr>
          <w:t>https://doi.org/10.1145/3442188.3445921</w:t>
        </w:r>
      </w:hyperlink>
    </w:p>
    <w:p w14:paraId="48A9D336"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Denning, D. E. (1976). A lattice model of secure information flow. </w:t>
      </w:r>
      <w:r>
        <w:rPr>
          <w:rFonts w:ascii="Times New Roman" w:eastAsia="Times New Roman" w:hAnsi="Times New Roman"/>
          <w:i/>
          <w:color w:val="000000"/>
          <w:sz w:val="17"/>
        </w:rPr>
        <w:t>Communications of the ACM, 19</w:t>
      </w:r>
      <w:r>
        <w:rPr>
          <w:rFonts w:ascii="Times New Roman" w:eastAsia="Times New Roman" w:hAnsi="Times New Roman"/>
          <w:color w:val="000000"/>
          <w:sz w:val="17"/>
        </w:rPr>
        <w:t xml:space="preserve">(5), 236–243. </w:t>
      </w:r>
      <w:hyperlink r:id="rId14">
        <w:r>
          <w:rPr>
            <w:rFonts w:ascii="Times New Roman" w:hAnsi="Times New Roman"/>
            <w:color w:val="2E5D83"/>
            <w:sz w:val="18"/>
            <w:u w:val="single"/>
          </w:rPr>
          <w:t>https://doi.org/10.1145/360051.360056</w:t>
        </w:r>
      </w:hyperlink>
    </w:p>
    <w:p w14:paraId="3618A439"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Leucker, M., and Schallhart, C. (2009). A brief account of runtime verification. </w:t>
      </w:r>
      <w:r>
        <w:rPr>
          <w:rFonts w:ascii="Times New Roman" w:eastAsia="Times New Roman" w:hAnsi="Times New Roman"/>
          <w:i/>
          <w:color w:val="000000"/>
          <w:sz w:val="17"/>
        </w:rPr>
        <w:t>The Journal of Logic and Algebraic Programming, 78</w:t>
      </w:r>
      <w:r>
        <w:rPr>
          <w:rFonts w:ascii="Times New Roman" w:eastAsia="Times New Roman" w:hAnsi="Times New Roman"/>
          <w:color w:val="000000"/>
          <w:sz w:val="17"/>
        </w:rPr>
        <w:t xml:space="preserve">(5), 293–303. </w:t>
      </w:r>
      <w:hyperlink r:id="rId15">
        <w:r>
          <w:rPr>
            <w:rFonts w:ascii="Times New Roman" w:hAnsi="Times New Roman"/>
            <w:color w:val="2E5D83"/>
            <w:sz w:val="18"/>
            <w:u w:val="single"/>
          </w:rPr>
          <w:t>https://doi.org/10.1016/j.jlap.2008.08.004</w:t>
        </w:r>
      </w:hyperlink>
    </w:p>
    <w:p w14:paraId="6A60DDDF"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National Academies of Sciences, Engineering, and Medicine. (2019). </w:t>
      </w:r>
      <w:r>
        <w:rPr>
          <w:rFonts w:ascii="Times New Roman" w:eastAsia="Times New Roman" w:hAnsi="Times New Roman"/>
          <w:i/>
          <w:color w:val="000000"/>
          <w:sz w:val="17"/>
        </w:rPr>
        <w:t>Reproducibility and Replicability in Science</w:t>
      </w:r>
      <w:r>
        <w:rPr>
          <w:rFonts w:ascii="Times New Roman" w:eastAsia="Times New Roman" w:hAnsi="Times New Roman"/>
          <w:color w:val="000000"/>
          <w:sz w:val="17"/>
        </w:rPr>
        <w:t xml:space="preserve">. The National Academies Press. </w:t>
      </w:r>
      <w:hyperlink r:id="rId16">
        <w:r>
          <w:rPr>
            <w:rFonts w:ascii="Times New Roman" w:hAnsi="Times New Roman"/>
            <w:color w:val="2E5D83"/>
            <w:sz w:val="18"/>
            <w:u w:val="single"/>
          </w:rPr>
          <w:t>https://doi.org/10.17226/25303</w:t>
        </w:r>
      </w:hyperlink>
    </w:p>
    <w:p w14:paraId="212C9293"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National Institute of Standards and Technology. (2023). </w:t>
      </w:r>
      <w:r>
        <w:rPr>
          <w:rFonts w:ascii="Times New Roman" w:eastAsia="Times New Roman" w:hAnsi="Times New Roman"/>
          <w:i/>
          <w:color w:val="000000"/>
          <w:sz w:val="17"/>
        </w:rPr>
        <w:t>Artificial Intelligence Risk Management Framework (AI RMF 1.0)</w:t>
      </w:r>
      <w:r>
        <w:rPr>
          <w:rFonts w:ascii="Times New Roman" w:eastAsia="Times New Roman" w:hAnsi="Times New Roman"/>
          <w:color w:val="000000"/>
          <w:sz w:val="17"/>
        </w:rPr>
        <w:t xml:space="preserve">. NIST AI 100-1. </w:t>
      </w:r>
      <w:hyperlink r:id="rId17">
        <w:r>
          <w:rPr>
            <w:rFonts w:ascii="Times New Roman" w:hAnsi="Times New Roman"/>
            <w:color w:val="2E5D83"/>
            <w:sz w:val="18"/>
            <w:u w:val="single"/>
          </w:rPr>
          <w:t>https://doi.org/10.6028/NIST.AI.100-1</w:t>
        </w:r>
      </w:hyperlink>
    </w:p>
    <w:p w14:paraId="45FFCDB8"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Necula, G. C. (1997). Proof-carrying code. </w:t>
      </w:r>
      <w:r>
        <w:rPr>
          <w:rFonts w:ascii="Times New Roman" w:eastAsia="Times New Roman" w:hAnsi="Times New Roman"/>
          <w:i/>
          <w:color w:val="000000"/>
          <w:sz w:val="17"/>
        </w:rPr>
        <w:t>Proceedings of the 24th ACM SIGPLAN-SIGACT Symposium on Principles of Programming Languages</w:t>
      </w:r>
      <w:r>
        <w:rPr>
          <w:rFonts w:ascii="Times New Roman" w:eastAsia="Times New Roman" w:hAnsi="Times New Roman"/>
          <w:color w:val="000000"/>
          <w:sz w:val="17"/>
        </w:rPr>
        <w:t xml:space="preserve">, 106–119. </w:t>
      </w:r>
      <w:hyperlink r:id="rId18">
        <w:r>
          <w:rPr>
            <w:rFonts w:ascii="Times New Roman" w:hAnsi="Times New Roman"/>
            <w:color w:val="2E5D83"/>
            <w:sz w:val="18"/>
            <w:u w:val="single"/>
          </w:rPr>
          <w:t>https://doi.org/10.1145/263699.263712</w:t>
        </w:r>
      </w:hyperlink>
    </w:p>
    <w:p w14:paraId="0183EE27"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Object Management Group. (2021). </w:t>
      </w:r>
      <w:r>
        <w:rPr>
          <w:rFonts w:ascii="Times New Roman" w:eastAsia="Times New Roman" w:hAnsi="Times New Roman"/>
          <w:i/>
          <w:color w:val="000000"/>
          <w:sz w:val="17"/>
        </w:rPr>
        <w:t>Structured Assurance Case Metamodel, Version 2.2</w:t>
      </w:r>
      <w:r>
        <w:rPr>
          <w:rFonts w:ascii="Times New Roman" w:eastAsia="Times New Roman" w:hAnsi="Times New Roman"/>
          <w:color w:val="000000"/>
          <w:sz w:val="17"/>
        </w:rPr>
        <w:t xml:space="preserve">. </w:t>
      </w:r>
      <w:hyperlink r:id="rId19">
        <w:r>
          <w:rPr>
            <w:rFonts w:ascii="Times New Roman" w:hAnsi="Times New Roman"/>
            <w:color w:val="2E5D83"/>
            <w:sz w:val="18"/>
            <w:u w:val="single"/>
          </w:rPr>
          <w:t>https://www.omg.org/spec/SACM/2.2</w:t>
        </w:r>
      </w:hyperlink>
    </w:p>
    <w:p w14:paraId="3D540DA2"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Singh, J., Cobbe, J., and Norval, C. (2019). Decision provenance: Harnessing data flow for accountable systems. </w:t>
      </w:r>
      <w:r>
        <w:rPr>
          <w:rFonts w:ascii="Times New Roman" w:eastAsia="Times New Roman" w:hAnsi="Times New Roman"/>
          <w:i/>
          <w:color w:val="000000"/>
          <w:sz w:val="17"/>
        </w:rPr>
        <w:t>IEEE Access, 7</w:t>
      </w:r>
      <w:r>
        <w:rPr>
          <w:rFonts w:ascii="Times New Roman" w:eastAsia="Times New Roman" w:hAnsi="Times New Roman"/>
          <w:color w:val="000000"/>
          <w:sz w:val="17"/>
        </w:rPr>
        <w:t xml:space="preserve">, 6562–6574. </w:t>
      </w:r>
      <w:hyperlink r:id="rId20">
        <w:r>
          <w:rPr>
            <w:rFonts w:ascii="Times New Roman" w:hAnsi="Times New Roman"/>
            <w:color w:val="2E5D83"/>
            <w:sz w:val="18"/>
            <w:u w:val="single"/>
          </w:rPr>
          <w:t>https://doi.org/10.1109/ACCESS.2018.2887201</w:t>
        </w:r>
      </w:hyperlink>
    </w:p>
    <w:p w14:paraId="5C9BD3EC"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van der Aalst, W. M. P. (2016). </w:t>
      </w:r>
      <w:r>
        <w:rPr>
          <w:rFonts w:ascii="Times New Roman" w:eastAsia="Times New Roman" w:hAnsi="Times New Roman"/>
          <w:i/>
          <w:color w:val="000000"/>
          <w:sz w:val="17"/>
        </w:rPr>
        <w:t>Process Mining: Data Science in Action</w:t>
      </w:r>
      <w:r>
        <w:rPr>
          <w:rFonts w:ascii="Times New Roman" w:eastAsia="Times New Roman" w:hAnsi="Times New Roman"/>
          <w:color w:val="000000"/>
          <w:sz w:val="17"/>
        </w:rPr>
        <w:t xml:space="preserve"> (2nd ed.). Springer. </w:t>
      </w:r>
      <w:hyperlink r:id="rId21">
        <w:r>
          <w:rPr>
            <w:rFonts w:ascii="Times New Roman" w:hAnsi="Times New Roman"/>
            <w:color w:val="2E5D83"/>
            <w:sz w:val="18"/>
            <w:u w:val="single"/>
          </w:rPr>
          <w:t>https://doi.org/10.1007/978-3-662-49851-4</w:t>
        </w:r>
      </w:hyperlink>
    </w:p>
    <w:p w14:paraId="611DE265"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World Wide Web Consortium. (2013a). </w:t>
      </w:r>
      <w:r>
        <w:rPr>
          <w:rFonts w:ascii="Times New Roman" w:eastAsia="Times New Roman" w:hAnsi="Times New Roman"/>
          <w:i/>
          <w:color w:val="000000"/>
          <w:sz w:val="17"/>
        </w:rPr>
        <w:t>PROV-DM: The PROV Data Model</w:t>
      </w:r>
      <w:r>
        <w:rPr>
          <w:rFonts w:ascii="Times New Roman" w:eastAsia="Times New Roman" w:hAnsi="Times New Roman"/>
          <w:color w:val="000000"/>
          <w:sz w:val="17"/>
        </w:rPr>
        <w:t xml:space="preserve">. W3C Recommendation. </w:t>
      </w:r>
      <w:hyperlink r:id="rId22">
        <w:r>
          <w:rPr>
            <w:rFonts w:ascii="Times New Roman" w:hAnsi="Times New Roman"/>
            <w:color w:val="2E5D83"/>
            <w:sz w:val="18"/>
            <w:u w:val="single"/>
          </w:rPr>
          <w:t>https://www.w3.org/TR/prov-dm/</w:t>
        </w:r>
      </w:hyperlink>
    </w:p>
    <w:p w14:paraId="5283187A" w14:textId="77777777" w:rsidR="00DD60C8" w:rsidRDefault="00DD60C8" w:rsidP="00DD60C8">
      <w:pPr>
        <w:spacing w:after="94" w:line="240" w:lineRule="auto"/>
        <w:ind w:left="346" w:hanging="346"/>
      </w:pPr>
      <w:r>
        <w:rPr>
          <w:rFonts w:ascii="Times New Roman" w:eastAsia="Times New Roman" w:hAnsi="Times New Roman"/>
          <w:color w:val="000000"/>
          <w:sz w:val="17"/>
        </w:rPr>
        <w:t xml:space="preserve">World Wide Web Consortium. (2013b). </w:t>
      </w:r>
      <w:r>
        <w:rPr>
          <w:rFonts w:ascii="Times New Roman" w:eastAsia="Times New Roman" w:hAnsi="Times New Roman"/>
          <w:i/>
          <w:color w:val="000000"/>
          <w:sz w:val="17"/>
        </w:rPr>
        <w:t>PROV-O: The PROV Ontology</w:t>
      </w:r>
      <w:r>
        <w:rPr>
          <w:rFonts w:ascii="Times New Roman" w:eastAsia="Times New Roman" w:hAnsi="Times New Roman"/>
          <w:color w:val="000000"/>
          <w:sz w:val="17"/>
        </w:rPr>
        <w:t xml:space="preserve">. W3C Recommendation. </w:t>
      </w:r>
      <w:hyperlink r:id="rId23">
        <w:r>
          <w:rPr>
            <w:rFonts w:ascii="Times New Roman" w:hAnsi="Times New Roman"/>
            <w:color w:val="2E5D83"/>
            <w:sz w:val="18"/>
            <w:u w:val="single"/>
          </w:rPr>
          <w:t>https://www.w3.org/TR/prov-o/</w:t>
        </w:r>
      </w:hyperlink>
    </w:p>
    <w:p w14:paraId="0A4EEDB8" w14:textId="77777777" w:rsidR="00DD60C8" w:rsidRDefault="00DD60C8" w:rsidP="00DD60C8">
      <w:pPr>
        <w:pStyle w:val="Heading2"/>
      </w:pPr>
      <w:r>
        <w:rPr>
          <w:rFonts w:ascii="Arial" w:eastAsia="Times New Roman" w:hAnsi="Arial"/>
          <w:color w:val="000000"/>
          <w:sz w:val="23"/>
        </w:rPr>
        <w:t>Trademark Notice</w:t>
      </w:r>
    </w:p>
    <w:p w14:paraId="110266D1" w14:textId="77777777" w:rsidR="00DD60C8" w:rsidRDefault="00DD60C8" w:rsidP="00DD60C8">
      <w:pPr>
        <w:spacing w:after="94" w:line="240" w:lineRule="auto"/>
        <w:ind w:left="346" w:hanging="346"/>
      </w:pPr>
      <w:r>
        <w:rPr>
          <w:rFonts w:ascii="Times New Roman" w:eastAsia="Times New Roman" w:hAnsi="Times New Roman"/>
          <w:color w:val="000000"/>
          <w:sz w:val="17"/>
        </w:rPr>
        <w:t>SubstrateX®, Aperture™, Intelligence in Motion™, and Evidence-Governed Computation™ are identifiers used by their respective owner. Longitudinal Computational Dynamics names the proposed scientific field. SubstrateX Aperture names the reference implementation discussed in this paper.</w:t>
      </w:r>
    </w:p>
    <w:bookmarkEnd w:id="2"/>
    <w:bookmarkEnd w:id="3"/>
    <w:bookmarkEnd w:id="4"/>
    <w:bookmarkEnd w:id="5"/>
    <w:p w14:paraId="01E66033" w14:textId="77777777" w:rsidR="005B7C5B" w:rsidRPr="00002650" w:rsidRDefault="005B7C5B" w:rsidP="000B6C24">
      <w:pPr>
        <w:pStyle w:val="Heading1"/>
        <w:spacing w:after="100"/>
        <w:rPr>
          <w:rFonts w:asciiTheme="minorHAnsi" w:hAnsiTheme="minorHAnsi" w:cstheme="minorHAnsi"/>
          <w:b/>
          <w:bCs/>
          <w:color w:val="4F46E5"/>
          <w:sz w:val="28"/>
          <w:szCs w:val="28"/>
        </w:rPr>
      </w:pPr>
    </w:p>
    <w:sectPr w:rsidR="005B7C5B" w:rsidRPr="00002650">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656C" w14:textId="77777777" w:rsidR="00570AF1" w:rsidRDefault="00570AF1" w:rsidP="00710D05">
      <w:pPr>
        <w:spacing w:after="0" w:line="240" w:lineRule="auto"/>
      </w:pPr>
      <w:r>
        <w:separator/>
      </w:r>
    </w:p>
  </w:endnote>
  <w:endnote w:type="continuationSeparator" w:id="0">
    <w:p w14:paraId="6E798128" w14:textId="77777777" w:rsidR="00570AF1" w:rsidRDefault="00570AF1"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9030" w14:textId="77777777" w:rsidR="00570AF1" w:rsidRDefault="00570AF1" w:rsidP="00710D05">
      <w:pPr>
        <w:spacing w:after="0" w:line="240" w:lineRule="auto"/>
      </w:pPr>
      <w:r>
        <w:separator/>
      </w:r>
    </w:p>
  </w:footnote>
  <w:footnote w:type="continuationSeparator" w:id="0">
    <w:p w14:paraId="37A84137" w14:textId="77777777" w:rsidR="00570AF1" w:rsidRDefault="00570AF1"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02650"/>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31A0"/>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0AF1"/>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D60C8"/>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235F3"/>
    <w:rsid w:val="00F30603"/>
    <w:rsid w:val="00F3622F"/>
    <w:rsid w:val="00F458CC"/>
    <w:rsid w:val="00F551C4"/>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442188.3445921" TargetMode="External"/><Relationship Id="rId18" Type="http://schemas.openxmlformats.org/officeDocument/2006/relationships/hyperlink" Target="https://doi.org/10.1145/263699.26371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07/978-3-662-49851-4" TargetMode="External"/><Relationship Id="rId7" Type="http://schemas.openxmlformats.org/officeDocument/2006/relationships/endnotes" Target="endnotes.xml"/><Relationship Id="rId12" Type="http://schemas.openxmlformats.org/officeDocument/2006/relationships/hyperlink" Target="https://spec.c2pa.org/specifications/specifications/2.4/specs/C2PA_Specification.html" TargetMode="External"/><Relationship Id="rId17" Type="http://schemas.openxmlformats.org/officeDocument/2006/relationships/hyperlink" Target="https://doi.org/10.6028/NIST.AI.100-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7226/25303" TargetMode="External"/><Relationship Id="rId20" Type="http://schemas.openxmlformats.org/officeDocument/2006/relationships/hyperlink" Target="https://doi.org/10.1109/ACCESS.2018.28872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487/RFC9334"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jlap.2008.08.004" TargetMode="External"/><Relationship Id="rId23" Type="http://schemas.openxmlformats.org/officeDocument/2006/relationships/hyperlink" Target="https://www.w3.org/TR/prov-o/" TargetMode="External"/><Relationship Id="rId10" Type="http://schemas.openxmlformats.org/officeDocument/2006/relationships/hyperlink" Target="http://www.arjayasadi.com" TargetMode="External"/><Relationship Id="rId19" Type="http://schemas.openxmlformats.org/officeDocument/2006/relationships/hyperlink" Target="https://www.omg.org/spec/SACM/2.2" TargetMode="External"/><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hyperlink" Target="https://doi.org/10.1145/360051.360056" TargetMode="External"/><Relationship Id="rId22" Type="http://schemas.openxmlformats.org/officeDocument/2006/relationships/hyperlink" Target="https://www.w3.org/TR/prov-d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16452</Words>
  <Characters>93779</Characters>
  <Application>Microsoft Office Word</Application>
  <DocSecurity>0</DocSecurity>
  <Lines>781</Lines>
  <Paragraphs>220</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Constructive Inference Computing</vt:lpstr>
      <vt:lpstr>Table of Content</vt:lpstr>
      <vt:lpstr>    Abstract</vt:lpstr>
      <vt:lpstr>    Research Status and Scope</vt:lpstr>
      <vt:lpstr>    Version 2.0 Release Note</vt:lpstr>
      <vt:lpstr>    Contributions</vt:lpstr>
      <vt:lpstr>Introduction</vt:lpstr>
      <vt:lpstr>Operational Records and Runtime Evidence</vt:lpstr>
      <vt:lpstr>    Runtime Evidence as Object</vt:lpstr>
      <vt:lpstr>    Qualification Is Claim Specific</vt:lpstr>
      <vt:lpstr>Scientific and Architectural Position</vt:lpstr>
      <vt:lpstr>    Scientific Hierarchy</vt:lpstr>
      <vt:lpstr>    Established Lineages</vt:lpstr>
      <vt:lpstr>    Distinctive Scope</vt:lpstr>
      <vt:lpstr>Definition and Formal Model</vt:lpstr>
      <vt:lpstr>    Canonical Formation Sequence</vt:lpstr>
      <vt:lpstr>    Evidence Core and Variable Envelope</vt:lpstr>
      <vt:lpstr>Source Binding Qualification and Coverage</vt:lpstr>
      <vt:lpstr>    Evidence and Legitimacy States</vt:lpstr>
      <vt:lpstr>    Contradiction and Absence</vt:lpstr>
      <vt:lpstr>Canonical Longitudinal Reconstruction</vt:lpstr>
      <vt:lpstr>    Ledger Spine Frames and Worldline</vt:lpstr>
      <vt:lpstr>    Temporal Authority</vt:lpstr>
      <vt:lpstr>    Evidence Horizons</vt:lpstr>
      <vt:lpstr>Measurement Legitimacy and Behavioral Representation</vt:lpstr>
      <vt:lpstr>    Runtime Signal Authority and Metric Legitimacy</vt:lpstr>
      <vt:lpstr>    Regimes Boundaries Collapse and Recovery</vt:lpstr>
      <vt:lpstr>    Formal Lead Time</vt:lpstr>
      <vt:lpstr>Evidence Authority Lifecycle</vt:lpstr>
      <vt:lpstr>    Current Evidence Run</vt:lpstr>
      <vt:lpstr>    Runtime Evidence Record and Certification</vt:lpstr>
      <vt:lpstr>    Runtime Evidence Passport</vt:lpstr>
      <vt:lpstr>    Evidence Seal</vt:lpstr>
      <vt:lpstr>    Preservation Artifact</vt:lpstr>
      <vt:lpstr>Deterministic Identity and Reproducibility</vt:lpstr>
      <vt:lpstr>    Identity Layers</vt:lpstr>
      <vt:lpstr>    What Reproducibility Establishes</vt:lpstr>
      <vt:lpstr>Claim Lineage and Evidence Governed Computation</vt:lpstr>
      <vt:lpstr>    Claim Specific Limits</vt:lpstr>
      <vt:lpstr>Instruments Interpretation and Human Read</vt:lpstr>
      <vt:lpstr>Conformance Issuance Export and Preservation</vt:lpstr>
      <vt:lpstr>    Six Conformance Surfaces</vt:lpstr>
      <vt:lpstr>    Certification Scope and Non Certifications</vt:lpstr>
      <vt:lpstr>    Export Authority and Preservation Readiness</vt:lpstr>
      <vt:lpstr>Architectural Invariants</vt:lpstr>
      <vt:lpstr>SubstrateX Aperture as the Reference Implementation</vt:lpstr>
      <vt:lpstr>    Controlled Validation</vt:lpstr>
      <vt:lpstr>    Implementation and Theory</vt:lpstr>
      <vt:lpstr>Trust Model Threats and Failure Modes</vt:lpstr>
      <vt:lpstr>    Threat Summary</vt:lpstr>
      <vt:lpstr>Conformance and Scientific Validation</vt:lpstr>
      <vt:lpstr>    Four Evaluation Layers</vt:lpstr>
      <vt:lpstr>    Bounded Validation Status</vt:lpstr>
      <vt:lpstr>    Validation Maturity</vt:lpstr>
      <vt:lpstr>Interoperability and Institutional Use</vt:lpstr>
      <vt:lpstr>Implications</vt:lpstr>
      <vt:lpstr>    From Observability to Evidence</vt:lpstr>
      <vt:lpstr>    Behavioral Science Without Hidden State</vt:lpstr>
      <vt:lpstr>    Evidence Objects as Infrastructure</vt:lpstr>
      <vt:lpstr>Limitations</vt:lpstr>
      <vt:lpstr>Conclusion</vt:lpstr>
      <vt:lpstr>References</vt:lpstr>
      <vt:lpstr>Appendix A Minimum Runtime Evidence Record</vt:lpstr>
      <vt:lpstr>Appendix B Authority Object Definitions</vt:lpstr>
      <vt:lpstr>Appendix C Claim Boundary</vt:lpstr>
      <vt:lpstr>    Trademark Notice</vt:lpstr>
    </vt:vector>
  </TitlesOfParts>
  <Company>Recursive Science Foundation</Company>
  <LinksUpToDate>false</LinksUpToDate>
  <CharactersWithSpaces>110011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2026-10-10T22:51:00Z</dcterms:created>
  <dcterms:modified xsi:type="dcterms:W3CDTF">2026-10-10T22:53:00Z</dcterms:modified>
  <cp:category/>
</cp:coreProperties>
</file>