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0.png" ContentType="image/png"/>
  <Override PartName="/word/media/rId61.png" ContentType="image/png"/>
  <Override PartName="/word/media/rId64.png" ContentType="image/png"/>
  <Override PartName="/word/media/rId73.png" ContentType="image/png"/>
  <Override PartName="/word/media/rId96.png" ContentType="image/png"/>
  <Override PartName="/word/media/rId115.png" ContentType="image/png"/>
  <Override PartName="/word/media/rId52.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AIRGUARD 360: An Interactive Air Quality Intelligence, Multi-Pollutant Analytics &amp; Environmental Decision-Support System</w:t>
      </w:r>
    </w:p>
    <w:p>
      <w:pPr>
        <w:pStyle w:val="Subtitle"/>
      </w:pPr>
      <w:r>
        <w:t xml:space="preserve">INT232: Data Science Toolbox : R Programming — Project Report</w:t>
      </w:r>
    </w:p>
    <w:p>
      <w:pPr>
        <w:pStyle w:val="Author"/>
      </w:pPr>
      <w:r>
        <w:t xml:space="preserve">Subrat Panigrahi (Reg No: 26143073, Section: N1)</w:t>
      </w:r>
    </w:p>
    <w:p>
      <w:pPr>
        <w:pStyle w:val="Date"/>
      </w:pPr>
      <w:r>
        <w:t xml:space="preserve">Academic Year 2025-2026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cover-page"/>
    <w:p>
      <w:pPr>
        <w:pStyle w:val="Heading1"/>
      </w:pPr>
      <w:r>
        <w:t xml:space="preserve">COVER PAGE</w:t>
      </w:r>
    </w:p>
    <w:p>
      <w:pPr>
        <w:pStyle w:val="FirstParagraph"/>
      </w:pPr>
    </w:p>
    <w:p>
      <w:pPr>
        <w:pStyle w:val="BodyText"/>
      </w:pPr>
      <w:r>
        <w:t xml:space="preserve">INT232: DATA SCIENCE TOOLBOX : R PROGRAMMING</w:t>
      </w:r>
    </w:p>
    <w:p>
      <w:pPr>
        <w:pStyle w:val="BodyText"/>
      </w:pPr>
      <w:r>
        <w:t xml:space="preserve">PROJECT REPORT</w:t>
      </w:r>
    </w:p>
    <w:p>
      <w:pPr>
        <w:pStyle w:val="BodyText"/>
      </w:pPr>
      <w:r>
        <w:t xml:space="preserve">(Project Semester: August-January 2026 / Academic Session 2025-2026)</w:t>
      </w:r>
    </w:p>
    <w:p>
      <w:pPr>
        <w:pStyle w:val="BodyText"/>
      </w:pPr>
      <w:r>
        <w:t xml:space="preserve">AIRGUARD 360</w:t>
      </w:r>
    </w:p>
    <w:p>
      <w:pPr>
        <w:pStyle w:val="BodyText"/>
      </w:pPr>
      <w:r>
        <w:t xml:space="preserve">An Interactive Air Quality Intelligence, Multi-Pollutant Analytics &amp; Environmental Decision-Support System</w:t>
      </w:r>
    </w:p>
    <w:p>
      <w:pPr>
        <w:pStyle w:val="BodyText"/>
      </w:pPr>
      <w:r>
        <w:t xml:space="preserve">Discipline of Computer Science &amp; Engineering</w:t>
      </w:r>
    </w:p>
    <w:p>
      <w:pPr>
        <w:pStyle w:val="BodyText"/>
      </w:pPr>
      <w:r>
        <w:t xml:space="preserve">Lovely School of Computer Science &amp; Engineering</w:t>
      </w:r>
    </w:p>
    <w:p>
      <w:pPr>
        <w:pStyle w:val="BodyText"/>
      </w:pPr>
      <w:r>
        <w:t xml:space="preserve">Lovely Professional University, Phagwara, Punjab</w:t>
      </w:r>
    </w:p>
    <w:p>
      <w:pPr>
        <w:pStyle w:val="BodyText"/>
      </w:pPr>
      <w:r>
        <w:t xml:space="preserve">Submitted by:</w:t>
      </w:r>
    </w:p>
    <w:p>
      <w:pPr>
        <w:pStyle w:val="BodyText"/>
      </w:pPr>
      <w:r>
        <w:t xml:space="preserve">Name: Subrat Panigrahi</w:t>
      </w:r>
    </w:p>
    <w:p>
      <w:pPr>
        <w:pStyle w:val="BodyText"/>
      </w:pPr>
      <w:r>
        <w:t xml:space="preserve">Registration Number: 26143073</w:t>
      </w:r>
    </w:p>
    <w:p>
      <w:pPr>
        <w:pStyle w:val="BodyText"/>
      </w:pPr>
      <w:r>
        <w:t xml:space="preserve">Programme: B.Tech Computer Science &amp; Engineering</w:t>
      </w:r>
    </w:p>
    <w:p>
      <w:pPr>
        <w:pStyle w:val="BodyText"/>
      </w:pPr>
      <w:r>
        <w:t xml:space="preserve">Section: N1 | Course Code: INT232</w:t>
      </w:r>
    </w:p>
    <w:p>
      <w:pPr>
        <w:pStyle w:val="BodyText"/>
      </w:pPr>
    </w:p>
    <w:p>
      <w:pPr>
        <w:pStyle w:val="BodyText"/>
      </w:pPr>
      <w:r>
        <w:t xml:space="preserve">Under the Guidance of:</w:t>
      </w:r>
    </w:p>
    <w:p>
      <w:pPr>
        <w:pStyle w:val="BodyText"/>
      </w:pPr>
      <w:r>
        <w:t xml:space="preserve">Mr. Jaffar Amin Chacket (30453)</w:t>
      </w:r>
    </w:p>
    <w:p>
      <w:pPr>
        <w:pStyle w:val="BodyText"/>
      </w:pPr>
      <w:r>
        <w:t xml:space="preserve">Associate Professor, Lovely School of Computer Science &amp; Engineering</w:t>
      </w:r>
    </w:p>
    <w:p>
      <w:pPr>
        <w:pStyle w:val="BodyText"/>
      </w:pPr>
      <w:r>
        <w:t xml:space="preserve">GitHub Project Repository:</w:t>
      </w:r>
      <w:r>
        <w:t xml:space="preserve"> </w:t>
      </w:r>
      <w:r>
        <w:t xml:space="preserve">https://github.com/Subu2006/AIRGUARD-360</w:t>
      </w:r>
    </w:p>
    <w:bookmarkEnd w:id="9"/>
    <w:bookmarkStart w:id="10" w:name="certificate"/>
    <w:p>
      <w:pPr>
        <w:pStyle w:val="Heading1"/>
      </w:pPr>
      <w:r>
        <w:t xml:space="preserve">CERTIFICATE</w:t>
      </w:r>
    </w:p>
    <w:p>
      <w:pPr>
        <w:pStyle w:val="FirstParagraph"/>
      </w:pPr>
      <w:r>
        <w:t xml:space="preserve">This is to certify that</w:t>
      </w:r>
      <w:r>
        <w:t xml:space="preserve"> </w:t>
      </w:r>
      <w:r>
        <w:rPr>
          <w:b/>
          <w:bCs/>
        </w:rPr>
        <w:t xml:space="preserve">Subrat Panigrahi</w:t>
      </w:r>
      <w:r>
        <w:t xml:space="preserve">, bearing Registration Number</w:t>
      </w:r>
      <w:r>
        <w:t xml:space="preserve"> </w:t>
      </w:r>
      <w:r>
        <w:rPr>
          <w:b/>
          <w:bCs/>
        </w:rPr>
        <w:t xml:space="preserve">26143073</w:t>
      </w:r>
      <w:r>
        <w:t xml:space="preserve">, student of Bachelor of Technology in Computer Science &amp; Engineering at</w:t>
      </w:r>
      <w:r>
        <w:t xml:space="preserve"> </w:t>
      </w:r>
      <w:r>
        <w:rPr>
          <w:b/>
          <w:bCs/>
        </w:rPr>
        <w:t xml:space="preserve">Lovely Professional University</w:t>
      </w:r>
      <w:r>
        <w:t xml:space="preserve">, Phagwara, Punjab, has completed the course project titled:</w:t>
      </w:r>
    </w:p>
    <w:p>
      <w:pPr>
        <w:pStyle w:val="BlockText"/>
      </w:pPr>
      <w:r>
        <w:rPr>
          <w:b/>
          <w:bCs/>
        </w:rPr>
        <w:t xml:space="preserve">“AIRGUARD 360: An Interactive Air Quality Intelligence, Multi-Pollutant Analytics &amp; Environmental Decision-Support System”</w:t>
      </w:r>
    </w:p>
    <w:p>
      <w:pPr>
        <w:pStyle w:val="FirstParagraph"/>
      </w:pPr>
      <w:r>
        <w:t xml:space="preserve">for the course</w:t>
      </w:r>
      <w:r>
        <w:t xml:space="preserve"> </w:t>
      </w:r>
      <w:r>
        <w:rPr>
          <w:b/>
          <w:bCs/>
        </w:rPr>
        <w:t xml:space="preserve">INT232: Data Science Toolbox : R Programming</w:t>
      </w:r>
      <w:r>
        <w:t xml:space="preserve">, under my guidance and supervision.</w:t>
      </w:r>
    </w:p>
    <w:p>
      <w:pPr>
        <w:pStyle w:val="BodyText"/>
      </w:pPr>
      <w:r>
        <w:t xml:space="preserve">The project demonstrates an end-to-end analytical pipeline built natively in R, comprising statutory ambient data ingestion, missing-value auditing, multi-grain data reconciliation, seasonal feature engineering, Bollinger band volatility anomaly detection, formal parametric and non-parametric hypothesis testing, native time-series predictive modeling (ARIMA &amp; Holt-Winters), CPCB health advisory text mining, embedded relational SQL database management via</w:t>
      </w:r>
      <w:r>
        <w:t xml:space="preserve"> </w:t>
      </w:r>
      <w:r>
        <w:rPr>
          <w:rStyle w:val="VerbatimChar"/>
        </w:rPr>
        <w:t xml:space="preserve">RSQLite</w:t>
      </w:r>
      <w:r>
        <w:t xml:space="preserve">, and an interactive reactive dashboard implemented in R Shiny with</w:t>
      </w:r>
      <w:r>
        <w:t xml:space="preserve"> </w:t>
      </w:r>
      <w:r>
        <w:rPr>
          <w:rStyle w:val="VerbatimChar"/>
        </w:rPr>
        <w:t xml:space="preserve">bslib</w:t>
      </w:r>
      <w:r>
        <w:t xml:space="preserve"> </w:t>
      </w:r>
      <w:r>
        <w:t xml:space="preserve">and</w:t>
      </w:r>
      <w:r>
        <w:t xml:space="preserve"> </w:t>
      </w:r>
      <w:r>
        <w:rPr>
          <w:rStyle w:val="VerbatimChar"/>
        </w:rPr>
        <w:t xml:space="preserve">plotly</w:t>
      </w:r>
      <w:r>
        <w:t xml:space="preserve">.</w:t>
      </w:r>
    </w:p>
    <w:p>
      <w:pPr>
        <w:pStyle w:val="BodyText"/>
      </w:pPr>
      <w:r>
        <w:t xml:space="preserve">To the best of my knowledge, the present work is the result of his original effort, development, and study.</w:t>
      </w:r>
    </w:p>
    <w:p>
      <w:pPr>
        <w:pStyle w:val="BodyText"/>
      </w:pPr>
    </w:p>
    <w:p>
      <w:pPr>
        <w:pStyle w:val="BodyText"/>
      </w:pPr>
      <w:r>
        <w:rPr>
          <w:b/>
          <w:bCs/>
        </w:rPr>
        <w:t xml:space="preserve">Signature of Course Instructor / Supervisor:</w:t>
      </w:r>
      <w:r>
        <w:t xml:space="preserve"> </w:t>
      </w:r>
      <w:r>
        <w:t xml:space="preserve">__________________________________</w:t>
      </w:r>
    </w:p>
    <w:p>
      <w:pPr>
        <w:pStyle w:val="BodyText"/>
      </w:pPr>
      <w:r>
        <w:rPr>
          <w:b/>
          <w:bCs/>
        </w:rPr>
        <w:t xml:space="preserve">Mr. Jaffar Amin Chacket (30453)</w:t>
      </w:r>
      <w:r>
        <w:br/>
      </w:r>
      <w:r>
        <w:t xml:space="preserve">Associate Professor</w:t>
      </w:r>
      <w:r>
        <w:br/>
      </w:r>
      <w:r>
        <w:t xml:space="preserve">Lovely School of Computer Science &amp; Engineering</w:t>
      </w:r>
      <w:r>
        <w:br/>
      </w:r>
      <w:r>
        <w:t xml:space="preserve">Lovely Professional University, Phagwara, Punjab</w:t>
      </w:r>
    </w:p>
    <w:p>
      <w:pPr>
        <w:pStyle w:val="BodyText"/>
      </w:pPr>
      <w:r>
        <w:rPr>
          <w:b/>
          <w:bCs/>
        </w:rPr>
        <w:t xml:space="preserve">Date:</w:t>
      </w:r>
      <w:r>
        <w:t xml:space="preserve"> </w:t>
      </w:r>
      <w:r>
        <w:t xml:space="preserve">24/10/2026</w:t>
      </w:r>
    </w:p>
    <w:bookmarkEnd w:id="10"/>
    <w:bookmarkStart w:id="11" w:name="declaration"/>
    <w:p>
      <w:pPr>
        <w:pStyle w:val="Heading1"/>
      </w:pPr>
      <w:r>
        <w:t xml:space="preserve">DECLARATION</w:t>
      </w:r>
    </w:p>
    <w:p>
      <w:pPr>
        <w:pStyle w:val="FirstParagraph"/>
      </w:pPr>
      <w:r>
        <w:t xml:space="preserve">I,</w:t>
      </w:r>
      <w:r>
        <w:t xml:space="preserve"> </w:t>
      </w:r>
      <w:r>
        <w:rPr>
          <w:b/>
          <w:bCs/>
        </w:rPr>
        <w:t xml:space="preserve">Subrat Panigrahi</w:t>
      </w:r>
      <w:r>
        <w:t xml:space="preserve">, student of B.Tech Computer Science &amp; Engineering at</w:t>
      </w:r>
      <w:r>
        <w:t xml:space="preserve"> </w:t>
      </w:r>
      <w:r>
        <w:rPr>
          <w:b/>
          <w:bCs/>
        </w:rPr>
        <w:t xml:space="preserve">Lovely Professional University</w:t>
      </w:r>
      <w:r>
        <w:t xml:space="preserve">, Punjab, bearing Registration Number</w:t>
      </w:r>
      <w:r>
        <w:t xml:space="preserve"> </w:t>
      </w:r>
      <w:r>
        <w:rPr>
          <w:b/>
          <w:bCs/>
        </w:rPr>
        <w:t xml:space="preserve">26143073</w:t>
      </w:r>
      <w:r>
        <w:t xml:space="preserve">, hereby declare that the project report titled:</w:t>
      </w:r>
    </w:p>
    <w:p>
      <w:pPr>
        <w:pStyle w:val="BlockText"/>
      </w:pPr>
      <w:r>
        <w:rPr>
          <w:b/>
          <w:bCs/>
        </w:rPr>
        <w:t xml:space="preserve">“AIRGUARD 360: An Interactive Air Quality Intelligence, Multi-Pollutant Analytics &amp; Environmental Decision-Support System”</w:t>
      </w:r>
    </w:p>
    <w:p>
      <w:pPr>
        <w:pStyle w:val="FirstParagraph"/>
      </w:pPr>
      <w:r>
        <w:t xml:space="preserve">has been prepared for the course</w:t>
      </w:r>
      <w:r>
        <w:t xml:space="preserve"> </w:t>
      </w:r>
      <w:r>
        <w:rPr>
          <w:b/>
          <w:bCs/>
        </w:rPr>
        <w:t xml:space="preserve">INT232: Data Science Toolbox : R Programming</w:t>
      </w:r>
      <w:r>
        <w:t xml:space="preserve">.</w:t>
      </w:r>
    </w:p>
    <w:p>
      <w:pPr>
        <w:pStyle w:val="BodyText"/>
      </w:pPr>
      <w:r>
        <w:t xml:space="preserve">The entire codebase, analytical formulations, statistical tests, predictive modeling algorithms, visualization generators, database queries, and interactive Shiny application presented in this report represent my own intensive work and original analytical implementations.</w:t>
      </w:r>
    </w:p>
    <w:p>
      <w:pPr>
        <w:pStyle w:val="BodyText"/>
      </w:pPr>
      <w:r>
        <w:t xml:space="preserve">The underlying statutory ambient air quality monitoring datasets originate from the continuous ambient air quality monitoring network (CAAQMS) maintained by the Central Pollution Control Board (CPCB), Ministry of Environment, Forest and Climate Change (MoEFCC), Government of India, distributed via Kaggle. Station geographical coordinates were cross-referenced from statutory monitoring station catalogues and validated for spatial analysis.</w:t>
      </w:r>
    </w:p>
    <w:p>
      <w:pPr>
        <w:pStyle w:val="BodyText"/>
      </w:pPr>
      <w:r>
        <w:t xml:space="preserve">All external scientific guidelines, statutory standards, algorithmic methodologies, and software dependencies are duly cited and acknowledged in the References section.</w:t>
      </w:r>
    </w:p>
    <w:p>
      <w:pPr>
        <w:pStyle w:val="BodyText"/>
      </w:pPr>
    </w:p>
    <w:p>
      <w:pPr>
        <w:pStyle w:val="BodyText"/>
      </w:pPr>
      <w:r>
        <w:rPr>
          <w:b/>
          <w:bCs/>
        </w:rPr>
        <w:t xml:space="preserve">Date:</w:t>
      </w:r>
      <w:r>
        <w:t xml:space="preserve"> </w:t>
      </w:r>
      <w:r>
        <w:t xml:space="preserve">24/10/2026</w:t>
      </w:r>
      <w:r>
        <w:br/>
      </w:r>
      <w:r>
        <w:rPr>
          <w:b/>
          <w:bCs/>
        </w:rPr>
        <w:t xml:space="preserve">Registration Number:</w:t>
      </w:r>
      <w:r>
        <w:t xml:space="preserve"> </w:t>
      </w:r>
      <w:r>
        <w:t xml:space="preserve">26143073</w:t>
      </w:r>
    </w:p>
    <w:p>
      <w:pPr>
        <w:pStyle w:val="BodyText"/>
      </w:pPr>
      <w:r>
        <w:rPr>
          <w:b/>
          <w:bCs/>
        </w:rPr>
        <w:t xml:space="preserve">Signature:</w:t>
      </w:r>
      <w:r>
        <w:t xml:space="preserve"> </w:t>
      </w:r>
      <w:r>
        <w:t xml:space="preserve">___________________________________</w:t>
      </w:r>
      <w:r>
        <w:br/>
      </w:r>
      <w:r>
        <w:rPr>
          <w:b/>
          <w:bCs/>
        </w:rPr>
        <w:t xml:space="preserve">Name:</w:t>
      </w:r>
      <w:r>
        <w:t xml:space="preserve"> </w:t>
      </w:r>
      <w:r>
        <w:t xml:space="preserve">Subrat Panigrahi</w:t>
      </w:r>
    </w:p>
    <w:bookmarkEnd w:id="11"/>
    <w:bookmarkStart w:id="12" w:name="acknowledgement"/>
    <w:p>
      <w:pPr>
        <w:pStyle w:val="Heading1"/>
      </w:pPr>
      <w:r>
        <w:t xml:space="preserve">ACKNOWLEDGEMENT</w:t>
      </w:r>
    </w:p>
    <w:p>
      <w:pPr>
        <w:pStyle w:val="FirstParagraph"/>
      </w:pPr>
      <w:r>
        <w:t xml:space="preserve">I express my deepest gratitude to the faculty and academic leadership of the</w:t>
      </w:r>
      <w:r>
        <w:t xml:space="preserve"> </w:t>
      </w:r>
      <w:r>
        <w:rPr>
          <w:b/>
          <w:bCs/>
        </w:rPr>
        <w:t xml:space="preserve">Lovely School of Computer Science &amp; Engineering</w:t>
      </w:r>
      <w:r>
        <w:t xml:space="preserve">, Lovely Professional University, for providing an intellectually rigorous environment, modern computing infrastructure, and academic resources that enabled the successful execution of this project.</w:t>
      </w:r>
    </w:p>
    <w:p>
      <w:pPr>
        <w:pStyle w:val="BodyText"/>
      </w:pPr>
      <w:r>
        <w:t xml:space="preserve">I am especially grateful to my course instructor and project guide,</w:t>
      </w:r>
      <w:r>
        <w:t xml:space="preserve"> </w:t>
      </w:r>
      <w:r>
        <w:rPr>
          <w:b/>
          <w:bCs/>
        </w:rPr>
        <w:t xml:space="preserve">Mr. Jaffar Amin Chacket</w:t>
      </w:r>
      <w:r>
        <w:t xml:space="preserve">, for his constructive feedback, domain insights, and methodological guidance throughout the course</w:t>
      </w:r>
      <w:r>
        <w:t xml:space="preserve"> </w:t>
      </w:r>
      <w:r>
        <w:rPr>
          <w:b/>
          <w:bCs/>
        </w:rPr>
        <w:t xml:space="preserve">INT232: Data Science Toolbox : R Programming</w:t>
      </w:r>
      <w:r>
        <w:t xml:space="preserve">. His emphasis on technical rigor, statistical validity, and reproducible research inspired the architectural depth and analytical integrity of this work.</w:t>
      </w:r>
    </w:p>
    <w:p>
      <w:pPr>
        <w:pStyle w:val="BodyText"/>
      </w:pPr>
      <w:r>
        <w:t xml:space="preserve">I acknowledge the</w:t>
      </w:r>
      <w:r>
        <w:t xml:space="preserve"> </w:t>
      </w:r>
      <w:r>
        <w:rPr>
          <w:b/>
          <w:bCs/>
        </w:rPr>
        <w:t xml:space="preserve">Central Pollution Control Board (CPCB)</w:t>
      </w:r>
      <w:r>
        <w:t xml:space="preserve">, Government of India, for the National Ambient Air Quality Standards (NAAQS) framework and statutory air quality monitoring records; the</w:t>
      </w:r>
      <w:r>
        <w:t xml:space="preserve"> </w:t>
      </w:r>
      <w:r>
        <w:rPr>
          <w:b/>
          <w:bCs/>
        </w:rPr>
        <w:t xml:space="preserve">World Health Organization (WHO)</w:t>
      </w:r>
      <w:r>
        <w:t xml:space="preserve"> </w:t>
      </w:r>
      <w:r>
        <w:t xml:space="preserve">for global ambient air quality guidelines; and the global</w:t>
      </w:r>
      <w:r>
        <w:t xml:space="preserve"> </w:t>
      </w:r>
      <w:r>
        <w:rPr>
          <w:b/>
          <w:bCs/>
        </w:rPr>
        <w:t xml:space="preserve">R open-source community</w:t>
      </w:r>
      <w:r>
        <w:t xml:space="preserve"> </w:t>
      </w:r>
      <w:r>
        <w:t xml:space="preserve">for maintaining exemplary tools including</w:t>
      </w:r>
      <w:r>
        <w:t xml:space="preserve"> </w:t>
      </w:r>
      <w:r>
        <w:rPr>
          <w:rStyle w:val="VerbatimChar"/>
        </w:rPr>
        <w:t xml:space="preserve">shiny</w:t>
      </w:r>
      <w:r>
        <w:t xml:space="preserve">,</w:t>
      </w:r>
      <w:r>
        <w:t xml:space="preserve"> </w:t>
      </w:r>
      <w:r>
        <w:rPr>
          <w:rStyle w:val="VerbatimChar"/>
        </w:rPr>
        <w:t xml:space="preserve">bslib</w:t>
      </w:r>
      <w:r>
        <w:t xml:space="preserve">,</w:t>
      </w:r>
      <w:r>
        <w:t xml:space="preserve"> </w:t>
      </w:r>
      <w:r>
        <w:rPr>
          <w:rStyle w:val="VerbatimChar"/>
        </w:rPr>
        <w:t xml:space="preserve">ggplot2</w:t>
      </w:r>
      <w:r>
        <w:t xml:space="preserve">,</w:t>
      </w:r>
      <w:r>
        <w:t xml:space="preserve"> </w:t>
      </w:r>
      <w:r>
        <w:rPr>
          <w:rStyle w:val="VerbatimChar"/>
        </w:rPr>
        <w:t xml:space="preserve">plotly</w:t>
      </w:r>
      <w:r>
        <w:t xml:space="preserve">,</w:t>
      </w:r>
      <w:r>
        <w:t xml:space="preserve"> </w:t>
      </w:r>
      <w:r>
        <w:rPr>
          <w:rStyle w:val="VerbatimChar"/>
        </w:rPr>
        <w:t xml:space="preserve">DBI</w:t>
      </w:r>
      <w:r>
        <w:t xml:space="preserve">,</w:t>
      </w:r>
      <w:r>
        <w:t xml:space="preserve"> </w:t>
      </w:r>
      <w:r>
        <w:rPr>
          <w:rStyle w:val="VerbatimChar"/>
        </w:rPr>
        <w:t xml:space="preserve">RSQLite</w:t>
      </w:r>
      <w:r>
        <w:t xml:space="preserve">,</w:t>
      </w:r>
      <w:r>
        <w:t xml:space="preserve"> </w:t>
      </w:r>
      <w:r>
        <w:rPr>
          <w:rStyle w:val="VerbatimChar"/>
        </w:rPr>
        <w:t xml:space="preserve">dplyr</w:t>
      </w:r>
      <w:r>
        <w:t xml:space="preserve">, and</w:t>
      </w:r>
      <w:r>
        <w:t xml:space="preserve"> </w:t>
      </w:r>
      <w:r>
        <w:rPr>
          <w:rStyle w:val="VerbatimChar"/>
        </w:rPr>
        <w:t xml:space="preserve">forecast</w:t>
      </w:r>
      <w:r>
        <w:t xml:space="preserve">.</w:t>
      </w:r>
    </w:p>
    <w:p>
      <w:pPr>
        <w:pStyle w:val="BodyText"/>
      </w:pPr>
      <w:r>
        <w:t xml:space="preserve">Finally, I convey my sincere thanks to my family, peers, and fellow researchers for their unwavering encouragement, patience, and support throughout this endeavor.</w:t>
      </w:r>
    </w:p>
    <w:bookmarkEnd w:id="12"/>
    <w:bookmarkStart w:id="14" w:name="executive-summary"/>
    <w:p>
      <w:pPr>
        <w:pStyle w:val="Heading1"/>
      </w:pPr>
      <w:r>
        <w:t xml:space="preserve">EXECUTIVE SUMMARY</w:t>
      </w:r>
    </w:p>
    <w:p>
      <w:pPr>
        <w:pStyle w:val="FirstParagraph"/>
      </w:pPr>
      <w:r>
        <w:t xml:space="preserve">Ambient air pollution represents one of the most critical public health and environmental crises confronting contemporary urban centers in India. Translating statutory atmospheric measurements into accessible, statistically rigorous, and operational environmental intelligence requires an integrated analytical architecture.</w:t>
      </w:r>
    </w:p>
    <w:p>
      <w:pPr>
        <w:pStyle w:val="BodyText"/>
      </w:pPr>
      <w:r>
        <w:rPr>
          <w:b/>
          <w:bCs/>
        </w:rPr>
        <w:t xml:space="preserve">AIRGUARD 360</w:t>
      </w:r>
      <w:r>
        <w:t xml:space="preserve"> </w:t>
      </w:r>
      <w:r>
        <w:t xml:space="preserve">is an enterprise-grade, 100% native R analytical intelligence and decision-support system architected for</w:t>
      </w:r>
      <w:r>
        <w:t xml:space="preserve"> </w:t>
      </w:r>
      <w:r>
        <w:rPr>
          <w:b/>
          <w:bCs/>
        </w:rPr>
        <w:t xml:space="preserve">INT232: Data Science Toolbox : R Programming</w:t>
      </w:r>
      <w:r>
        <w:t xml:space="preserve">. The system ingests and reconciles</w:t>
      </w:r>
      <w:r>
        <w:t xml:space="preserve"> </w:t>
      </w:r>
      <w:r>
        <w:rPr>
          <w:b/>
          <w:bCs/>
        </w:rPr>
        <w:t xml:space="preserve">108,035 daily monitoring records</w:t>
      </w:r>
      <w:r>
        <w:t xml:space="preserve"> </w:t>
      </w:r>
      <w:r>
        <w:t xml:space="preserve">across</w:t>
      </w:r>
      <w:r>
        <w:t xml:space="preserve"> </w:t>
      </w:r>
      <w:r>
        <w:rPr>
          <w:b/>
          <w:bCs/>
        </w:rPr>
        <w:t xml:space="preserve">230 Continuous Ambient Air Quality Monitoring Stations (CAAQMS)</w:t>
      </w:r>
      <w:r>
        <w:t xml:space="preserve"> </w:t>
      </w:r>
      <w:r>
        <w:t xml:space="preserve">spanning 26 major metropolitan and industrial hubs across India between 2015 and 2020.</w:t>
      </w:r>
    </w:p>
    <w:p>
      <w:pPr>
        <w:pStyle w:val="TableCaption"/>
      </w:pPr>
      <w:r>
        <w:t xml:space="preserve">Key Structural and Empirical Dimensions of the AIRGUARD 360 System</w:t>
      </w:r>
    </w:p>
    <w:tbl>
      <w:tblPr>
        <w:tblStyle w:val="Table"/>
        <w:tblW w:type="pct" w:w="5000"/>
        <w:tblLayout w:type="fixed"/>
        <w:tblLook w:firstRow="1" w:lastRow="0" w:firstColumn="0" w:lastColumn="0" w:noHBand="0" w:noVBand="0" w:val="0020"/>
        <w:tblCaption w:val="Key Structural and Empirical Dimensions of the AIRGUARD 360 System"/>
      </w:tblPr>
      <w:tblGrid>
        <w:gridCol w:w="3540"/>
        <w:gridCol w:w="4379"/>
      </w:tblGrid>
      <w:tr>
        <w:trPr>
          <w:tblHeader w:val="on"/>
        </w:trPr>
        <w:tc>
          <w:tcPr/>
          <w:p>
            <w:pPr>
              <w:pStyle w:val="Compact"/>
              <w:jc w:val="left"/>
            </w:pPr>
            <w:r>
              <w:t xml:space="preserve">Dimension</w:t>
            </w:r>
          </w:p>
        </w:tc>
        <w:tc>
          <w:tcPr/>
          <w:p>
            <w:pPr>
              <w:pStyle w:val="Compact"/>
              <w:jc w:val="left"/>
            </w:pPr>
            <w:r>
              <w:t xml:space="preserve">Value</w:t>
            </w:r>
          </w:p>
        </w:tc>
      </w:tr>
      <w:tr>
        <w:tc>
          <w:tcPr/>
          <w:p>
            <w:pPr>
              <w:pStyle w:val="Compact"/>
              <w:jc w:val="left"/>
            </w:pPr>
            <w:r>
              <w:t xml:space="preserve">Total Station-Daily Records</w:t>
            </w:r>
          </w:p>
        </w:tc>
        <w:tc>
          <w:tcPr/>
          <w:p>
            <w:pPr>
              <w:pStyle w:val="Compact"/>
              <w:jc w:val="left"/>
            </w:pPr>
            <w:r>
              <w:t xml:space="preserve">108,035 statutory rows</w:t>
            </w:r>
          </w:p>
        </w:tc>
      </w:tr>
      <w:tr>
        <w:tc>
          <w:tcPr/>
          <w:p>
            <w:pPr>
              <w:pStyle w:val="Compact"/>
              <w:jc w:val="left"/>
            </w:pPr>
            <w:r>
              <w:t xml:space="preserve">City-Daily Aggregated Records</w:t>
            </w:r>
          </w:p>
        </w:tc>
        <w:tc>
          <w:tcPr/>
          <w:p>
            <w:pPr>
              <w:pStyle w:val="Compact"/>
              <w:jc w:val="left"/>
            </w:pPr>
            <w:r>
              <w:t xml:space="preserve">29,531 daily records</w:t>
            </w:r>
          </w:p>
        </w:tc>
      </w:tr>
      <w:tr>
        <w:tc>
          <w:tcPr/>
          <w:p>
            <w:pPr>
              <w:pStyle w:val="Compact"/>
              <w:jc w:val="left"/>
            </w:pPr>
            <w:r>
              <w:t xml:space="preserve">Active CAAQMS Monitoring Stations</w:t>
            </w:r>
          </w:p>
        </w:tc>
        <w:tc>
          <w:tcPr/>
          <w:p>
            <w:pPr>
              <w:pStyle w:val="Compact"/>
              <w:jc w:val="left"/>
            </w:pPr>
            <w:r>
              <w:t xml:space="preserve">230 stations across India</w:t>
            </w:r>
          </w:p>
        </w:tc>
      </w:tr>
      <w:tr>
        <w:tc>
          <w:tcPr/>
          <w:p>
            <w:pPr>
              <w:pStyle w:val="Compact"/>
              <w:jc w:val="left"/>
            </w:pPr>
            <w:r>
              <w:t xml:space="preserve">Monitored Urban &amp; Industrial Hubs</w:t>
            </w:r>
          </w:p>
        </w:tc>
        <w:tc>
          <w:tcPr/>
          <w:p>
            <w:pPr>
              <w:pStyle w:val="Compact"/>
              <w:jc w:val="left"/>
            </w:pPr>
            <w:r>
              <w:t xml:space="preserve">26 distinct metropolitan cities</w:t>
            </w:r>
          </w:p>
        </w:tc>
      </w:tr>
      <w:tr>
        <w:tc>
          <w:tcPr/>
          <w:p>
            <w:pPr>
              <w:pStyle w:val="Compact"/>
              <w:jc w:val="left"/>
            </w:pPr>
            <w:r>
              <w:t xml:space="preserve">Temporal Monitoring Boundary</w:t>
            </w:r>
          </w:p>
        </w:tc>
        <w:tc>
          <w:tcPr/>
          <w:p>
            <w:pPr>
              <w:pStyle w:val="Compact"/>
              <w:jc w:val="left"/>
            </w:pPr>
            <w:r>
              <w:t xml:space="preserve">01 January 2015 – 01 July 2020</w:t>
            </w:r>
          </w:p>
        </w:tc>
      </w:tr>
      <w:tr>
        <w:tc>
          <w:tcPr/>
          <w:p>
            <w:pPr>
              <w:pStyle w:val="Compact"/>
              <w:jc w:val="left"/>
            </w:pPr>
            <w:r>
              <w:t xml:space="preserve">National Mean Ambient PM2.5</w:t>
            </w:r>
          </w:p>
        </w:tc>
        <w:tc>
          <w:tcPr/>
          <w:p>
            <w:pPr>
              <w:pStyle w:val="Compact"/>
              <w:jc w:val="left"/>
            </w:pPr>
            <w:r>
              <w:t xml:space="preserve">67.54 µg/m³ (NAAQS: 60 µg/m³)</w:t>
            </w:r>
          </w:p>
        </w:tc>
      </w:tr>
      <w:tr>
        <w:tc>
          <w:tcPr/>
          <w:p>
            <w:pPr>
              <w:pStyle w:val="Compact"/>
              <w:jc w:val="left"/>
            </w:pPr>
            <w:r>
              <w:t xml:space="preserve">National Mean Ambient PM10</w:t>
            </w:r>
          </w:p>
        </w:tc>
        <w:tc>
          <w:tcPr/>
          <w:p>
            <w:pPr>
              <w:pStyle w:val="Compact"/>
              <w:jc w:val="left"/>
            </w:pPr>
            <w:r>
              <w:t xml:space="preserve">118.45 µg/m³ (NAAQS: 100 µg/m³)</w:t>
            </w:r>
          </w:p>
        </w:tc>
      </w:tr>
      <w:tr>
        <w:tc>
          <w:tcPr/>
          <w:p>
            <w:pPr>
              <w:pStyle w:val="Compact"/>
              <w:jc w:val="left"/>
            </w:pPr>
            <w:r>
              <w:t xml:space="preserve">Overall National Average AQI</w:t>
            </w:r>
          </w:p>
        </w:tc>
        <w:tc>
          <w:tcPr/>
          <w:p>
            <w:pPr>
              <w:pStyle w:val="Compact"/>
              <w:jc w:val="left"/>
            </w:pPr>
            <w:r>
              <w:t xml:space="preserve">163.0 (Moderate Category)</w:t>
            </w:r>
          </w:p>
        </w:tc>
      </w:tr>
      <w:tr>
        <w:tc>
          <w:tcPr/>
          <w:p>
            <w:pPr>
              <w:pStyle w:val="Compact"/>
              <w:jc w:val="left"/>
            </w:pPr>
            <w:r>
              <w:t xml:space="preserve">Peak Monitored Station AQI</w:t>
            </w:r>
          </w:p>
        </w:tc>
        <w:tc>
          <w:tcPr/>
          <w:p>
            <w:pPr>
              <w:pStyle w:val="Compact"/>
              <w:jc w:val="left"/>
            </w:pPr>
            <w:r>
              <w:t xml:space="preserve">2,049 (Maninagar, Ahmedabad — Flagged Outlier)</w:t>
            </w:r>
          </w:p>
        </w:tc>
      </w:tr>
      <w:tr>
        <w:tc>
          <w:tcPr/>
          <w:p>
            <w:pPr>
              <w:pStyle w:val="Compact"/>
              <w:jc w:val="left"/>
            </w:pPr>
            <w:r>
              <w:t xml:space="preserve">Primary Time-Series Forecasting Model</w:t>
            </w:r>
          </w:p>
        </w:tc>
        <w:tc>
          <w:tcPr/>
          <w:p>
            <w:pPr>
              <w:pStyle w:val="Compact"/>
              <w:jc w:val="left"/>
            </w:pPr>
            <w:r>
              <w:t xml:space="preserve">ARIMA(1,1,1) [Test RMSE: 11.37, MAE: 9.74]</w:t>
            </w:r>
          </w:p>
        </w:tc>
      </w:tr>
    </w:tbl>
    <w:bookmarkStart w:id="13" w:name="core-problems-addressed-by-the-system"/>
    <w:p>
      <w:pPr>
        <w:pStyle w:val="Heading3"/>
      </w:pPr>
      <w:r>
        <w:rPr>
          <w:rStyle w:val="SectionNumber"/>
        </w:rPr>
        <w:t xml:space="preserve">0.0.1</w:t>
      </w:r>
      <w:r>
        <w:tab/>
      </w:r>
      <w:r>
        <w:t xml:space="preserve">Core Problems Addressed by the System:</w:t>
      </w:r>
    </w:p>
    <w:p>
      <w:pPr>
        <w:pStyle w:val="Compact"/>
        <w:numPr>
          <w:ilvl w:val="0"/>
          <w:numId w:val="1001"/>
        </w:numPr>
      </w:pPr>
      <w:r>
        <w:rPr>
          <w:b/>
          <w:bCs/>
        </w:rPr>
        <w:t xml:space="preserve">Multi-Grain Data Reconciliation:</w:t>
      </w:r>
      <w:r>
        <w:t xml:space="preserve"> </w:t>
      </w:r>
      <w:r>
        <w:t xml:space="preserve">Explicitly distinguishing station-level monitoring points (108,035 rows) from city-level territorial summaries (29,531 rows), preventing false aggregations and duplicate record inflation.</w:t>
      </w:r>
    </w:p>
    <w:p>
      <w:pPr>
        <w:pStyle w:val="Compact"/>
        <w:numPr>
          <w:ilvl w:val="0"/>
          <w:numId w:val="1001"/>
        </w:numPr>
      </w:pPr>
      <w:r>
        <w:rPr>
          <w:b/>
          <w:bCs/>
        </w:rPr>
        <w:t xml:space="preserve">Extreme Outlier Auditing:</w:t>
      </w:r>
      <w:r>
        <w:t xml:space="preserve"> </w:t>
      </w:r>
      <w:r>
        <w:t xml:space="preserve">Investigating sensor anomalies outside the 0–500 statutory CPCB index scale (e.g., peak reading of 2,049 in Maninagar, Ahmedabad) by maintaining automated quality flags rather than silently deleting or distorting records.</w:t>
      </w:r>
    </w:p>
    <w:p>
      <w:pPr>
        <w:pStyle w:val="Compact"/>
        <w:numPr>
          <w:ilvl w:val="0"/>
          <w:numId w:val="1001"/>
        </w:numPr>
      </w:pPr>
      <w:r>
        <w:rPr>
          <w:b/>
          <w:bCs/>
        </w:rPr>
        <w:t xml:space="preserve">Formal Statistical Verification:</w:t>
      </w:r>
      <w:r>
        <w:t xml:space="preserve"> </w:t>
      </w:r>
      <w:r>
        <w:t xml:space="preserve">Validating seasonal thermal inversion disparities and cross-metropolitan variances through formal hypothesis testing (Welch two-sample</w:t>
      </w:r>
      <w:r>
        <w:t xml:space="preserve"> </w:t>
      </w:r>
      <m:oMath>
        <m:r>
          <m:t>t</m:t>
        </m:r>
        <m:r>
          <m:rPr>
            <m:sty m:val="p"/>
          </m:rPr>
          <m:t>=</m:t>
        </m:r>
        <m:r>
          <m:t>33.51</m:t>
        </m:r>
      </m:oMath>
      <w:r>
        <w:t xml:space="preserve">,</w:t>
      </w:r>
      <w:r>
        <w:t xml:space="preserve"> </w:t>
      </w:r>
      <m:oMath>
        <m:r>
          <m:t>p</m:t>
        </m:r>
        <m:r>
          <m:rPr>
            <m:sty m:val="p"/>
          </m:rPr>
          <m:t>&lt;</m:t>
        </m:r>
        <m:r>
          <m:t>0.0001</m:t>
        </m:r>
      </m:oMath>
      <w:r>
        <w:t xml:space="preserve">; ANOVA</w:t>
      </w:r>
      <w:r>
        <w:t xml:space="preserve"> </w:t>
      </w:r>
      <m:oMath>
        <m:r>
          <m:t>F</m:t>
        </m:r>
        <m:r>
          <m:rPr>
            <m:sty m:val="p"/>
          </m:rPr>
          <m:t>=</m:t>
        </m:r>
        <m:r>
          <m:t>1327.05</m:t>
        </m:r>
      </m:oMath>
      <w:r>
        <w:t xml:space="preserve">,</w:t>
      </w:r>
      <w:r>
        <w:t xml:space="preserve"> </w:t>
      </w:r>
      <m:oMath>
        <m:r>
          <m:t>p</m:t>
        </m:r>
        <m:r>
          <m:rPr>
            <m:sty m:val="p"/>
          </m:rPr>
          <m:t>&lt;</m:t>
        </m:r>
        <m:r>
          <m:t>0.0001</m:t>
        </m:r>
      </m:oMath>
      <w:r>
        <w:t xml:space="preserve">).</w:t>
      </w:r>
    </w:p>
    <w:p>
      <w:pPr>
        <w:pStyle w:val="Compact"/>
        <w:numPr>
          <w:ilvl w:val="0"/>
          <w:numId w:val="1001"/>
        </w:numPr>
      </w:pPr>
      <w:r>
        <w:rPr>
          <w:b/>
          <w:bCs/>
        </w:rPr>
        <w:t xml:space="preserve">Episodic Volatility Tracking:</w:t>
      </w:r>
      <w:r>
        <w:t xml:space="preserve"> </w:t>
      </w:r>
      <w:r>
        <w:t xml:space="preserve">Adapting financial Bollinger Bands (</w:t>
      </w:r>
      <m:oMath>
        <m:r>
          <m:t>μ</m:t>
        </m:r>
        <m:r>
          <m:rPr>
            <m:sty m:val="p"/>
          </m:rPr>
          <m:t>±</m:t>
        </m:r>
        <m:r>
          <m:t>2</m:t>
        </m:r>
        <m:r>
          <m:t>σ</m:t>
        </m:r>
      </m:oMath>
      <w:r>
        <w:t xml:space="preserve">) into atmospheric science to isolate acute pollution surges driven by biomass burning and firecracker events from baseline emissions.</w:t>
      </w:r>
    </w:p>
    <w:p>
      <w:pPr>
        <w:pStyle w:val="Compact"/>
        <w:numPr>
          <w:ilvl w:val="0"/>
          <w:numId w:val="1001"/>
        </w:numPr>
      </w:pPr>
      <w:r>
        <w:rPr>
          <w:b/>
          <w:bCs/>
        </w:rPr>
        <w:t xml:space="preserve">Municipal Decision Support:</w:t>
      </w:r>
      <w:r>
        <w:t xml:space="preserve"> </w:t>
      </w:r>
      <w:r>
        <w:t xml:space="preserve">Formulating an objective</w:t>
      </w:r>
      <w:r>
        <w:t xml:space="preserve"> </w:t>
      </w:r>
      <w:r>
        <w:rPr>
          <w:b/>
          <w:bCs/>
        </w:rPr>
        <w:t xml:space="preserve">Environmental Vulnerability Index (EVI)</w:t>
      </w:r>
      <w:r>
        <w:t xml:space="preserve"> </w:t>
      </w:r>
      <w:r>
        <w:t xml:space="preserve">and Graded Response Action Plan (GRAP Stages 0 to 4) mapping real-time index readings to statutory emergency mitigation directives.</w:t>
      </w:r>
    </w:p>
    <w:p>
      <w:pPr>
        <w:pStyle w:val="Compact"/>
        <w:numPr>
          <w:ilvl w:val="0"/>
          <w:numId w:val="1001"/>
        </w:numPr>
      </w:pPr>
      <w:r>
        <w:rPr>
          <w:b/>
          <w:bCs/>
        </w:rPr>
        <w:t xml:space="preserve">Relational Data Integrity:</w:t>
      </w:r>
      <w:r>
        <w:t xml:space="preserve"> </w:t>
      </w:r>
      <w:r>
        <w:t xml:space="preserve">Embedding an indexed SQLite relational database (</w:t>
      </w:r>
      <w:r>
        <w:rPr>
          <w:rStyle w:val="VerbatimChar"/>
        </w:rPr>
        <w:t xml:space="preserve">airguard.sqlite</w:t>
      </w:r>
      <w:r>
        <w:t xml:space="preserve">) via</w:t>
      </w:r>
      <w:r>
        <w:t xml:space="preserve"> </w:t>
      </w:r>
      <w:r>
        <w:rPr>
          <w:rStyle w:val="VerbatimChar"/>
        </w:rPr>
        <w:t xml:space="preserve">RSQLite</w:t>
      </w:r>
      <w:r>
        <w:t xml:space="preserve"> </w:t>
      </w:r>
      <w:r>
        <w:t xml:space="preserve">demonstrating live SQL aggregations, joins, and filters natively within R.</w:t>
      </w:r>
    </w:p>
    <w:p>
      <w:pPr>
        <w:pStyle w:val="Compact"/>
        <w:numPr>
          <w:ilvl w:val="0"/>
          <w:numId w:val="1001"/>
        </w:numPr>
      </w:pPr>
      <w:r>
        <w:rPr>
          <w:b/>
          <w:bCs/>
        </w:rPr>
        <w:t xml:space="preserve">Interactive User Experience:</w:t>
      </w:r>
      <w:r>
        <w:t xml:space="preserve"> </w:t>
      </w:r>
      <w:r>
        <w:t xml:space="preserve">Delivering a responsive, glassmorphism-styled R Shiny dashboard (</w:t>
      </w:r>
      <w:r>
        <w:rPr>
          <w:rStyle w:val="VerbatimChar"/>
        </w:rPr>
        <w:t xml:space="preserve">app.R</w:t>
      </w:r>
      <w:r>
        <w:t xml:space="preserve">) powered by</w:t>
      </w:r>
      <w:r>
        <w:t xml:space="preserve"> </w:t>
      </w:r>
      <w:r>
        <w:rPr>
          <w:rStyle w:val="VerbatimChar"/>
        </w:rPr>
        <w:t xml:space="preserve">bslib</w:t>
      </w:r>
      <w:r>
        <w:t xml:space="preserve">, Plotly, and dynamic station coordinate mapping across India.</w:t>
      </w:r>
    </w:p>
    <w:bookmarkEnd w:id="13"/>
    <w:bookmarkEnd w:id="14"/>
    <w:bookmarkStart w:id="21" w:name="introduction"/>
    <w:p>
      <w:pPr>
        <w:pStyle w:val="Heading1"/>
      </w:pPr>
      <w:r>
        <w:rPr>
          <w:rStyle w:val="SectionNumber"/>
        </w:rPr>
        <w:t xml:space="preserve">1</w:t>
      </w:r>
      <w:r>
        <w:tab/>
      </w:r>
      <w:r>
        <w:t xml:space="preserve">1. INTRODUCTION</w:t>
      </w:r>
    </w:p>
    <w:bookmarkStart w:id="15" w:name="project-background"/>
    <w:p>
      <w:pPr>
        <w:pStyle w:val="Heading2"/>
      </w:pPr>
      <w:r>
        <w:rPr>
          <w:rStyle w:val="SectionNumber"/>
        </w:rPr>
        <w:t xml:space="preserve">1.1</w:t>
      </w:r>
      <w:r>
        <w:tab/>
      </w:r>
      <w:r>
        <w:t xml:space="preserve">1.1 Project Background</w:t>
      </w:r>
    </w:p>
    <w:p>
      <w:pPr>
        <w:pStyle w:val="FirstParagraph"/>
      </w:pPr>
      <w:r>
        <w:t xml:space="preserve">Air quality degradation exerts severe, pervasive impacts on human health, life expectancy, industrial productivity, and urban ecosystems. The World Health Organization (WHO) attributes over 4.2 million premature annual deaths globally to ambient particulate matter exposure. In India, rapid industrialization, vehicular density, construction activity, geographical meteorological entrapment, and seasonal agricultural biomass combustion create recurring atmospheric pollution emergencies, particularly across the Indo-Gangetic Plains.</w:t>
      </w:r>
    </w:p>
    <w:p>
      <w:pPr>
        <w:pStyle w:val="BodyText"/>
      </w:pPr>
      <w:r>
        <w:t xml:space="preserve">The Central Pollution Control Board (CPCB), Ministry of Environment, Forest and Climate Change (MoEFCC), operates a nationwide network of Continuous Ambient Air Quality Monitoring Stations (CAAQMS). While massive volumes of telemetry are captured daily, raw tabular files remain fragmented, dense, and inaccessible to non-technical policymakers, researchers, and citizens. Translating raw statutory records into accessible, scientifically defensible intelligence requires robust data science workflows.</w:t>
      </w:r>
    </w:p>
    <w:bookmarkEnd w:id="15"/>
    <w:bookmarkStart w:id="16" w:name="problem-statement"/>
    <w:p>
      <w:pPr>
        <w:pStyle w:val="Heading2"/>
      </w:pPr>
      <w:r>
        <w:rPr>
          <w:rStyle w:val="SectionNumber"/>
        </w:rPr>
        <w:t xml:space="preserve">1.2</w:t>
      </w:r>
      <w:r>
        <w:tab/>
      </w:r>
      <w:r>
        <w:t xml:space="preserve">1.2 Problem Statement</w:t>
      </w:r>
    </w:p>
    <w:p>
      <w:pPr>
        <w:pStyle w:val="FirstParagraph"/>
      </w:pPr>
      <w:r>
        <w:t xml:space="preserve">Developing a trustworthy, enterprise-grade environmental intelligence system requires overcoming critical data engineering and analytical challenges:</w:t>
      </w:r>
      <w:r>
        <w:t xml:space="preserve"> </w:t>
      </w:r>
      <w:r>
        <w:t xml:space="preserve">-</w:t>
      </w:r>
      <w:r>
        <w:t xml:space="preserve"> </w:t>
      </w:r>
      <w:r>
        <w:rPr>
          <w:b/>
          <w:bCs/>
        </w:rPr>
        <w:t xml:space="preserve">Sensor Missingness &amp; Sparsity:</w:t>
      </w:r>
      <w:r>
        <w:t xml:space="preserve"> </w:t>
      </w:r>
      <w:r>
        <w:t xml:space="preserve">Operational CAAQMS stations experience intermittent sensor downtime, calibration recalibrations, and power outages, yielding variable missingness rates across pollutants (e.g., 20.0% missingness in PM2.5).</w:t>
      </w:r>
      <w:r>
        <w:t xml:space="preserve"> </w:t>
      </w:r>
      <w:r>
        <w:t xml:space="preserve">-</w:t>
      </w:r>
      <w:r>
        <w:t xml:space="preserve"> </w:t>
      </w:r>
      <w:r>
        <w:rPr>
          <w:b/>
          <w:bCs/>
        </w:rPr>
        <w:t xml:space="preserve">Grain Confusion:</w:t>
      </w:r>
      <w:r>
        <w:t xml:space="preserve"> </w:t>
      </w:r>
      <w:r>
        <w:t xml:space="preserve">Treating a city-level summary and an underlying station observation as interchangeable introduces severe mathematical errors. A city with 10 stations cannot be compared to a single-station city without normalizing for monitoring density.</w:t>
      </w:r>
      <w:r>
        <w:t xml:space="preserve"> </w:t>
      </w:r>
      <w:r>
        <w:t xml:space="preserve">-</w:t>
      </w:r>
      <w:r>
        <w:t xml:space="preserve"> </w:t>
      </w:r>
      <w:r>
        <w:rPr>
          <w:b/>
          <w:bCs/>
        </w:rPr>
        <w:t xml:space="preserve">Outliers vs Real Extremes:</w:t>
      </w:r>
      <w:r>
        <w:t xml:space="preserve"> </w:t>
      </w:r>
      <w:r>
        <w:t xml:space="preserve">Sensor calibration anomalies occasionally produce readings exceeding the statutory 0–500 index scale (such as AQI = 2,049 in Maninagar). Uncritical removal distorts historical reality, while blind inclusion skews arithmetic averages.</w:t>
      </w:r>
      <w:r>
        <w:t xml:space="preserve"> </w:t>
      </w:r>
      <w:r>
        <w:t xml:space="preserve">-</w:t>
      </w:r>
      <w:r>
        <w:t xml:space="preserve"> </w:t>
      </w:r>
      <w:r>
        <w:rPr>
          <w:b/>
          <w:bCs/>
        </w:rPr>
        <w:t xml:space="preserve">Descriptive vs Causal Misattribution:</w:t>
      </w:r>
      <w:r>
        <w:t xml:space="preserve"> </w:t>
      </w:r>
      <w:r>
        <w:t xml:space="preserve">Observers frequently infer causal blame (e.g., traffic vs agriculture) from single-pollutant charts without considering atmospheric chemistry, boundary layer height, or wind trajectories.</w:t>
      </w:r>
    </w:p>
    <w:bookmarkEnd w:id="16"/>
    <w:bookmarkStart w:id="17" w:name="proposed-system-architecture"/>
    <w:p>
      <w:pPr>
        <w:pStyle w:val="Heading2"/>
      </w:pPr>
      <w:r>
        <w:rPr>
          <w:rStyle w:val="SectionNumber"/>
        </w:rPr>
        <w:t xml:space="preserve">1.3</w:t>
      </w:r>
      <w:r>
        <w:tab/>
      </w:r>
      <w:r>
        <w:t xml:space="preserve">1.3 Proposed System Architecture</w:t>
      </w:r>
    </w:p>
    <w:p>
      <w:pPr>
        <w:pStyle w:val="FirstParagraph"/>
      </w:pPr>
      <w:r>
        <w:t xml:space="preserve">AIRGUARD 360 addresses these challenges through a modular, decoupled, 100% native R architecture:</w:t>
      </w:r>
    </w:p>
    <w:p>
      <w:pPr>
        <w:pStyle w:val="SourceCode"/>
      </w:pPr>
      <w:r>
        <w:rPr>
          <w:rStyle w:val="VerbatimChar"/>
        </w:rPr>
        <w:t xml:space="preserve">+-----------------------------------------------------------------------------------+</w:t>
      </w:r>
      <w:r>
        <w:br/>
      </w:r>
      <w:r>
        <w:rPr>
          <w:rStyle w:val="VerbatimChar"/>
        </w:rPr>
        <w:t xml:space="preserve">|                           AIRGUARD 360 SYSTEM ARCHITECTURE                        |</w:t>
      </w:r>
      <w:r>
        <w:br/>
      </w:r>
      <w:r>
        <w:rPr>
          <w:rStyle w:val="VerbatimChar"/>
        </w:rPr>
        <w:t xml:space="preserve">+-----------------------------------------------------------------------------------+</w:t>
      </w:r>
      <w:r>
        <w:br/>
      </w:r>
      <w:r>
        <w:rPr>
          <w:rStyle w:val="VerbatimChar"/>
        </w:rPr>
        <w:t xml:space="preserve">|  DATA SOURCE LAYER       | CPCB Statutory CSVs (108,035 station rows, 230 stations) |</w:t>
      </w:r>
      <w:r>
        <w:br/>
      </w:r>
      <w:r>
        <w:rPr>
          <w:rStyle w:val="VerbatimChar"/>
        </w:rPr>
        <w:t xml:space="preserve">|                          | Dim_Pollutant, Dim_AQICategory, StationCoordinates.csv |</w:t>
      </w:r>
      <w:r>
        <w:br/>
      </w:r>
      <w:r>
        <w:rPr>
          <w:rStyle w:val="VerbatimChar"/>
        </w:rPr>
        <w:t xml:space="preserve">+--------------------------+--------------------------------------------------------+</w:t>
      </w:r>
      <w:r>
        <w:br/>
      </w:r>
      <w:r>
        <w:rPr>
          <w:rStyle w:val="VerbatimChar"/>
        </w:rPr>
        <w:t xml:space="preserve">|  RELATIONAL STORAGE      | Embedded SQLite Database (airguard.sqlite via RSQLite)  |</w:t>
      </w:r>
      <w:r>
        <w:br/>
      </w:r>
      <w:r>
        <w:rPr>
          <w:rStyle w:val="VerbatimChar"/>
        </w:rPr>
        <w:t xml:space="preserve">|                          | Indexed tables: fact_station_day, fact_city_day, dims  |</w:t>
      </w:r>
      <w:r>
        <w:br/>
      </w:r>
      <w:r>
        <w:rPr>
          <w:rStyle w:val="VerbatimChar"/>
        </w:rPr>
        <w:t xml:space="preserve">+--------------------------+--------------------------------------------------------+</w:t>
      </w:r>
      <w:r>
        <w:br/>
      </w:r>
      <w:r>
        <w:rPr>
          <w:rStyle w:val="VerbatimChar"/>
        </w:rPr>
        <w:t xml:space="preserve">|  DATA ENGINEERING        | 02_data_cleaning.R: Negative sensor scrubbing, factors |</w:t>
      </w:r>
      <w:r>
        <w:br/>
      </w:r>
      <w:r>
        <w:rPr>
          <w:rStyle w:val="VerbatimChar"/>
        </w:rPr>
        <w:t xml:space="preserve">|                          | 03_feature_engineering.R: IMD Seasons, 7/30-day MAs,   |</w:t>
      </w:r>
      <w:r>
        <w:br/>
      </w:r>
      <w:r>
        <w:rPr>
          <w:rStyle w:val="VerbatimChar"/>
        </w:rPr>
        <w:t xml:space="preserve">|                          | 20-day Bollinger Volatility Bands, NAAQS Exceedance    |</w:t>
      </w:r>
      <w:r>
        <w:br/>
      </w:r>
      <w:r>
        <w:rPr>
          <w:rStyle w:val="VerbatimChar"/>
        </w:rPr>
        <w:t xml:space="preserve">+--------------------------+--------------------------------------------------------+</w:t>
      </w:r>
      <w:r>
        <w:br/>
      </w:r>
      <w:r>
        <w:rPr>
          <w:rStyle w:val="VerbatimChar"/>
        </w:rPr>
        <w:t xml:space="preserve">|  ANALYTICAL ENGINES      | 04_statistics.R: Parametric/Non-parametric Tests       |</w:t>
      </w:r>
      <w:r>
        <w:br/>
      </w:r>
      <w:r>
        <w:rPr>
          <w:rStyle w:val="VerbatimChar"/>
        </w:rPr>
        <w:t xml:space="preserve">|                          | 05_forecasting.R: Native Base R ARIMA &amp; Holt-Winters   |</w:t>
      </w:r>
      <w:r>
        <w:br/>
      </w:r>
      <w:r>
        <w:rPr>
          <w:rStyle w:val="VerbatimChar"/>
        </w:rPr>
        <w:t xml:space="preserve">|                          | 06_text_mining.R: CPCB Advisory Corpus &amp; Word Cloud    |</w:t>
      </w:r>
      <w:r>
        <w:br/>
      </w:r>
      <w:r>
        <w:rPr>
          <w:rStyle w:val="VerbatimChar"/>
        </w:rPr>
        <w:t xml:space="preserve">|                          | 08_decision_support.R: Composite EVI &amp; GRAP Advisories |</w:t>
      </w:r>
      <w:r>
        <w:br/>
      </w:r>
      <w:r>
        <w:rPr>
          <w:rStyle w:val="VerbatimChar"/>
        </w:rPr>
        <w:t xml:space="preserve">+--------------------------+--------------------------------------------------------+</w:t>
      </w:r>
      <w:r>
        <w:br/>
      </w:r>
      <w:r>
        <w:rPr>
          <w:rStyle w:val="VerbatimChar"/>
        </w:rPr>
        <w:t xml:space="preserve">|  USER INTERFACE LAYER    | app.R: Responsive Shiny Dashboard (bslib + plotly)     |</w:t>
      </w:r>
      <w:r>
        <w:br/>
      </w:r>
      <w:r>
        <w:rPr>
          <w:rStyle w:val="VerbatimChar"/>
        </w:rPr>
        <w:t xml:space="preserve">|                          | 6 Interactive Tabs, Dynamic Date Adaptation, Map       |</w:t>
      </w:r>
      <w:r>
        <w:br/>
      </w:r>
      <w:r>
        <w:rPr>
          <w:rStyle w:val="VerbatimChar"/>
        </w:rPr>
        <w:t xml:space="preserve">+-----------------------------------------------------------------------------------+</w:t>
      </w:r>
    </w:p>
    <w:bookmarkEnd w:id="17"/>
    <w:bookmarkStart w:id="18" w:name="core-analytical-questions"/>
    <w:p>
      <w:pPr>
        <w:pStyle w:val="Heading2"/>
      </w:pPr>
      <w:r>
        <w:rPr>
          <w:rStyle w:val="SectionNumber"/>
        </w:rPr>
        <w:t xml:space="preserve">1.4</w:t>
      </w:r>
      <w:r>
        <w:tab/>
      </w:r>
      <w:r>
        <w:t xml:space="preserve">1.4 Core Analytical Questions</w:t>
      </w:r>
    </w:p>
    <w:p>
      <w:pPr>
        <w:pStyle w:val="FirstParagraph"/>
      </w:pPr>
      <w:r>
        <w:t xml:space="preserve">The system is constructed around empirical questions that can be rigorously answered from historical monitoring records:</w:t>
      </w:r>
      <w:r>
        <w:t xml:space="preserve"> </w:t>
      </w:r>
      <w:r>
        <w:t xml:space="preserve">1. What are the macro distributions of ambient criteria pollutants across Indian urban centers, and which metropolitan areas exhibit the highest vulnerability?</w:t>
      </w:r>
      <w:r>
        <w:t xml:space="preserve"> </w:t>
      </w:r>
      <w:r>
        <w:t xml:space="preserve">2. How do seasonal climatological cycles (winter thermal inversions vs monsoon precipitation scavenging) govern particulate concentrations?</w:t>
      </w:r>
      <w:r>
        <w:t xml:space="preserve"> </w:t>
      </w:r>
      <w:r>
        <w:t xml:space="preserve">3. What is the stoichiometric collinearity between fine particulate matter (</w:t>
      </w:r>
      <m:oMath>
        <m:r>
          <m:t>P</m:t>
        </m:r>
        <m:sSub>
          <m:e>
            <m:r>
              <m:t>M</m:t>
            </m:r>
          </m:e>
          <m:sub>
            <m:r>
              <m:t>2.5</m:t>
            </m:r>
          </m:sub>
        </m:sSub>
      </m:oMath>
      <w:r>
        <w:t xml:space="preserve">) and coarse particulate matter (</w:t>
      </w:r>
      <m:oMath>
        <m:r>
          <m:t>P</m:t>
        </m:r>
        <m:sSub>
          <m:e>
            <m:r>
              <m:t>M</m:t>
            </m:r>
          </m:e>
          <m:sub>
            <m:r>
              <m:t>10</m:t>
            </m:r>
          </m:sub>
        </m:sSub>
      </m:oMath>
      <w:r>
        <w:t xml:space="preserve">)?</w:t>
      </w:r>
      <w:r>
        <w:t xml:space="preserve"> </w:t>
      </w:r>
      <w:r>
        <w:t xml:space="preserve">4. Can statistical volatility envelopes (Bollinger Bands) accurately flag acute episodic pollution surges driven by external events?</w:t>
      </w:r>
      <w:r>
        <w:t xml:space="preserve"> </w:t>
      </w:r>
      <w:r>
        <w:t xml:space="preserve">5. Do empirical disparities in pollution levels between winter and summer, and across coastal vs landlocked cities, withstand formal hypothesis testing?</w:t>
      </w:r>
      <w:r>
        <w:t xml:space="preserve"> </w:t>
      </w:r>
      <w:r>
        <w:t xml:space="preserve">6. Can native time-series models (ARIMA and Holt-Winters) provide reliable 30-day operational forecasts with quantified prediction intervals?</w:t>
      </w:r>
      <w:r>
        <w:t xml:space="preserve"> </w:t>
      </w:r>
      <w:r>
        <w:t xml:space="preserve">7. How can multi-criteria risk scoring (Environmental Vulnerability Index) prioritize municipal mitigation under the Graded Response Action Plan (GRAP)?</w:t>
      </w:r>
    </w:p>
    <w:bookmarkEnd w:id="18"/>
    <w:bookmarkStart w:id="19" w:name="methodology-at-a-glance"/>
    <w:p>
      <w:pPr>
        <w:pStyle w:val="Heading2"/>
      </w:pPr>
      <w:r>
        <w:rPr>
          <w:rStyle w:val="SectionNumber"/>
        </w:rPr>
        <w:t xml:space="preserve">1.5</w:t>
      </w:r>
      <w:r>
        <w:tab/>
      </w:r>
      <w:r>
        <w:t xml:space="preserve">1.5 Methodology at a Glance</w:t>
      </w:r>
    </w:p>
    <w:p>
      <w:pPr>
        <w:pStyle w:val="FirstParagraph"/>
      </w:pPr>
      <w:r>
        <w:t xml:space="preserve">The project follows a disciplined eight-stage data science lifecycle:</w:t>
      </w:r>
      <w:r>
        <w:t xml:space="preserve"> </w:t>
      </w:r>
      <w:r>
        <w:t xml:space="preserve">1.</w:t>
      </w:r>
      <w:r>
        <w:t xml:space="preserve"> </w:t>
      </w:r>
      <w:r>
        <w:rPr>
          <w:b/>
          <w:bCs/>
        </w:rPr>
        <w:t xml:space="preserve">Ingest &amp; Bind:</w:t>
      </w:r>
      <w:r>
        <w:t xml:space="preserve"> </w:t>
      </w:r>
      <w:r>
        <w:t xml:space="preserve">Ingest raw statutory CSVs, validate column headers and data types, and establish relational SQLite tables with indexes.</w:t>
      </w:r>
      <w:r>
        <w:t xml:space="preserve"> </w:t>
      </w:r>
      <w:r>
        <w:t xml:space="preserve">2.</w:t>
      </w:r>
      <w:r>
        <w:t xml:space="preserve"> </w:t>
      </w:r>
      <w:r>
        <w:rPr>
          <w:b/>
          <w:bCs/>
        </w:rPr>
        <w:t xml:space="preserve">Audit &amp; Clean:</w:t>
      </w:r>
      <w:r>
        <w:t xml:space="preserve"> </w:t>
      </w:r>
      <w:r>
        <w:t xml:space="preserve">Screen for physical anomalies (negative concentrations), impute missing AQI categories from CPCB breakpoints, and audit missingness rates.</w:t>
      </w:r>
      <w:r>
        <w:t xml:space="preserve"> </w:t>
      </w:r>
      <w:r>
        <w:t xml:space="preserve">3.</w:t>
      </w:r>
      <w:r>
        <w:t xml:space="preserve"> </w:t>
      </w:r>
      <w:r>
        <w:rPr>
          <w:b/>
          <w:bCs/>
        </w:rPr>
        <w:t xml:space="preserve">Enrich &amp; Decompose:</w:t>
      </w:r>
      <w:r>
        <w:t xml:space="preserve"> </w:t>
      </w:r>
      <w:r>
        <w:t xml:space="preserve">Engineer temporal features (Day, Month, Year, IMD Seasons), 7-day and 30-day rolling moving averages, and 20-day Bollinger Bands (</w:t>
      </w:r>
      <m:oMath>
        <m:r>
          <m:rPr>
            <m:sty m:val="p"/>
          </m:rPr>
          <m:t>±</m:t>
        </m:r>
        <m:r>
          <m:t>2</m:t>
        </m:r>
        <m:r>
          <m:t>σ</m:t>
        </m:r>
      </m:oMath>
      <w:r>
        <w:t xml:space="preserve">).</w:t>
      </w:r>
      <w:r>
        <w:t xml:space="preserve"> </w:t>
      </w:r>
      <w:r>
        <w:t xml:space="preserve">4.</w:t>
      </w:r>
      <w:r>
        <w:t xml:space="preserve"> </w:t>
      </w:r>
      <w:r>
        <w:rPr>
          <w:b/>
          <w:bCs/>
        </w:rPr>
        <w:t xml:space="preserve">Statistical Testing:</w:t>
      </w:r>
      <w:r>
        <w:t xml:space="preserve"> </w:t>
      </w:r>
      <w:r>
        <w:t xml:space="preserve">Calculate parametric moments and execute formal hypothesis tests (two-sample Welch t-test, one-way ANOVA, Pearson correlation, Kolmogorov-Smirnov normality).</w:t>
      </w:r>
      <w:r>
        <w:t xml:space="preserve"> </w:t>
      </w:r>
      <w:r>
        <w:t xml:space="preserve">5.</w:t>
      </w:r>
      <w:r>
        <w:t xml:space="preserve"> </w:t>
      </w:r>
      <w:r>
        <w:rPr>
          <w:b/>
          <w:bCs/>
        </w:rPr>
        <w:t xml:space="preserve">Predictive Modeling:</w:t>
      </w:r>
      <w:r>
        <w:t xml:space="preserve"> </w:t>
      </w:r>
      <w:r>
        <w:t xml:space="preserve">Execute 80/20 out-of-sample temporal cross-validation comparing ARIMA and Holt-Winters models, projecting 30-day forecasts with 80% and 95% confidence intervals.</w:t>
      </w:r>
      <w:r>
        <w:t xml:space="preserve"> </w:t>
      </w:r>
      <w:r>
        <w:t xml:space="preserve">6.</w:t>
      </w:r>
      <w:r>
        <w:t xml:space="preserve"> </w:t>
      </w:r>
      <w:r>
        <w:rPr>
          <w:b/>
          <w:bCs/>
        </w:rPr>
        <w:t xml:space="preserve">Text Analytics:</w:t>
      </w:r>
      <w:r>
        <w:t xml:space="preserve"> </w:t>
      </w:r>
      <w:r>
        <w:t xml:space="preserve">Tokenize CPCB health advisories, remove domain stopwords, and construct an environmental health word cloud.</w:t>
      </w:r>
      <w:r>
        <w:t xml:space="preserve"> </w:t>
      </w:r>
      <w:r>
        <w:t xml:space="preserve">7.</w:t>
      </w:r>
      <w:r>
        <w:t xml:space="preserve"> </w:t>
      </w:r>
      <w:r>
        <w:rPr>
          <w:b/>
          <w:bCs/>
        </w:rPr>
        <w:t xml:space="preserve">Decision Modeling:</w:t>
      </w:r>
      <w:r>
        <w:t xml:space="preserve"> </w:t>
      </w:r>
      <w:r>
        <w:t xml:space="preserve">Formulate the Environmental Vulnerability Index (EVI) to prioritize cities into Tier 1, Tier 2, and Tier 3 emergency action tiers.</w:t>
      </w:r>
      <w:r>
        <w:t xml:space="preserve"> </w:t>
      </w:r>
      <w:r>
        <w:t xml:space="preserve">8.</w:t>
      </w:r>
      <w:r>
        <w:t xml:space="preserve"> </w:t>
      </w:r>
      <w:r>
        <w:rPr>
          <w:b/>
          <w:bCs/>
        </w:rPr>
        <w:t xml:space="preserve">Interactive Deployment:</w:t>
      </w:r>
      <w:r>
        <w:t xml:space="preserve"> </w:t>
      </w:r>
      <w:r>
        <w:t xml:space="preserve">Integrate all models, tables, and visualization routines into a high-performance R Shiny dashboard (</w:t>
      </w:r>
      <w:r>
        <w:rPr>
          <w:rStyle w:val="VerbatimChar"/>
        </w:rPr>
        <w:t xml:space="preserve">app.R</w:t>
      </w:r>
      <w:r>
        <w:t xml:space="preserve">).</w:t>
      </w:r>
    </w:p>
    <w:bookmarkEnd w:id="19"/>
    <w:bookmarkStart w:id="20" w:name="practical-success-criteria"/>
    <w:p>
      <w:pPr>
        <w:pStyle w:val="Heading2"/>
      </w:pPr>
      <w:r>
        <w:rPr>
          <w:rStyle w:val="SectionNumber"/>
        </w:rPr>
        <w:t xml:space="preserve">1.6</w:t>
      </w:r>
      <w:r>
        <w:tab/>
      </w:r>
      <w:r>
        <w:t xml:space="preserve">1.6 Practical Success Criteria</w:t>
      </w:r>
    </w:p>
    <w:p>
      <w:pPr>
        <w:pStyle w:val="Compact"/>
        <w:numPr>
          <w:ilvl w:val="0"/>
          <w:numId w:val="1002"/>
        </w:numPr>
      </w:pPr>
      <w:r>
        <w:rPr>
          <w:b/>
          <w:bCs/>
        </w:rPr>
        <w:t xml:space="preserve">Reproducibility:</w:t>
      </w:r>
      <w:r>
        <w:t xml:space="preserve"> </w:t>
      </w:r>
      <w:r>
        <w:t xml:space="preserve">A reviewer can clone the repository, execute</w:t>
      </w:r>
      <w:r>
        <w:t xml:space="preserve"> </w:t>
      </w:r>
      <w:r>
        <w:rPr>
          <w:rStyle w:val="VerbatimChar"/>
        </w:rPr>
        <w:t xml:space="preserve">source("run_pipeline.R")</w:t>
      </w:r>
      <w:r>
        <w:t xml:space="preserve">, and regenerate all processed datasets, statistical tables, and publication figures in under 60 seconds with zero runtime errors.</w:t>
      </w:r>
    </w:p>
    <w:p>
      <w:pPr>
        <w:pStyle w:val="Compact"/>
        <w:numPr>
          <w:ilvl w:val="0"/>
          <w:numId w:val="1002"/>
        </w:numPr>
      </w:pPr>
      <w:r>
        <w:rPr>
          <w:b/>
          <w:bCs/>
        </w:rPr>
        <w:t xml:space="preserve">Fail-Safe Startup:</w:t>
      </w:r>
      <w:r>
        <w:t xml:space="preserve"> </w:t>
      </w:r>
      <w:r>
        <w:t xml:space="preserve">Launching</w:t>
      </w:r>
      <w:r>
        <w:t xml:space="preserve"> </w:t>
      </w:r>
      <w:r>
        <w:rPr>
          <w:rStyle w:val="VerbatimChar"/>
        </w:rPr>
        <w:t xml:space="preserve">shiny::runApp("app.R")</w:t>
      </w:r>
      <w:r>
        <w:t xml:space="preserve"> </w:t>
      </w:r>
      <w:r>
        <w:t xml:space="preserve">automatically checks for preprocessed artifacts and self-bootstraps the data pipeline if missing.</w:t>
      </w:r>
    </w:p>
    <w:p>
      <w:pPr>
        <w:pStyle w:val="Compact"/>
        <w:numPr>
          <w:ilvl w:val="0"/>
          <w:numId w:val="1002"/>
        </w:numPr>
      </w:pPr>
      <w:r>
        <w:rPr>
          <w:b/>
          <w:bCs/>
        </w:rPr>
        <w:t xml:space="preserve">Analytical Traceability:</w:t>
      </w:r>
      <w:r>
        <w:t xml:space="preserve"> </w:t>
      </w:r>
      <w:r>
        <w:t xml:space="preserve">Every KPI card, ranking bar, and trend line corresponds to verified mathematical formulations and documented source queries.</w:t>
      </w:r>
    </w:p>
    <w:p>
      <w:pPr>
        <w:pStyle w:val="Compact"/>
        <w:numPr>
          <w:ilvl w:val="0"/>
          <w:numId w:val="1002"/>
        </w:numPr>
      </w:pPr>
      <w:r>
        <w:rPr>
          <w:b/>
          <w:bCs/>
        </w:rPr>
        <w:t xml:space="preserve">Responsible Interpretation:</w:t>
      </w:r>
      <w:r>
        <w:t xml:space="preserve"> </w:t>
      </w:r>
      <w:r>
        <w:t xml:space="preserve">Sensor anomalies (&gt; 500 AQI) and missing observations are visibly flagged with transparent caveats rather than hidden.</w:t>
      </w:r>
    </w:p>
    <w:bookmarkEnd w:id="20"/>
    <w:bookmarkEnd w:id="21"/>
    <w:bookmarkStart w:id="27" w:name="source-of-dataset-data-architecture"/>
    <w:p>
      <w:pPr>
        <w:pStyle w:val="Heading1"/>
      </w:pPr>
      <w:r>
        <w:rPr>
          <w:rStyle w:val="SectionNumber"/>
        </w:rPr>
        <w:t xml:space="preserve">2</w:t>
      </w:r>
      <w:r>
        <w:tab/>
      </w:r>
      <w:r>
        <w:t xml:space="preserve">2. SOURCE OF DATASET &amp; DATA ARCHITECTURE</w:t>
      </w:r>
    </w:p>
    <w:bookmarkStart w:id="22" w:name="statutory-data-provenance"/>
    <w:p>
      <w:pPr>
        <w:pStyle w:val="Heading2"/>
      </w:pPr>
      <w:r>
        <w:rPr>
          <w:rStyle w:val="SectionNumber"/>
        </w:rPr>
        <w:t xml:space="preserve">2.1</w:t>
      </w:r>
      <w:r>
        <w:tab/>
      </w:r>
      <w:r>
        <w:t xml:space="preserve">2.1 Statutory Data Provenance</w:t>
      </w:r>
    </w:p>
    <w:p>
      <w:pPr>
        <w:pStyle w:val="FirstParagraph"/>
      </w:pPr>
      <w:r>
        <w:t xml:space="preserve">The empirical foundation of AIRGUARD 360 is derived from the statutory ambient air quality monitoring network of the Central Pollution Control Board (CPCB), Ministry of Environment, Forest and Climate Change (MoEFCC), Government of India, distributed via Kaggle. The dataset covers continuous observations from 01 January 2015 to 01 July 2020.</w:t>
      </w:r>
    </w:p>
    <w:p>
      <w:pPr>
        <w:pStyle w:val="TableCaption"/>
      </w:pPr>
      <w:r>
        <w:t xml:space="preserve">Statutory Dataset Ingestion Manifest and Table Specifications</w:t>
      </w:r>
    </w:p>
    <w:tbl>
      <w:tblPr>
        <w:tblStyle w:val="Table"/>
        <w:tblW w:type="pct" w:w="5000"/>
        <w:tblLayout w:type="fixed"/>
        <w:tblLook w:firstRow="1" w:lastRow="0" w:firstColumn="0" w:lastColumn="0" w:noHBand="0" w:noVBand="0" w:val="0020"/>
        <w:tblCaption w:val="Statutory Dataset Ingestion Manifest and Table Specifications"/>
      </w:tblPr>
      <w:tblGrid>
        <w:gridCol w:w="1543"/>
        <w:gridCol w:w="604"/>
        <w:gridCol w:w="536"/>
        <w:gridCol w:w="5235"/>
      </w:tblGrid>
      <w:tr>
        <w:trPr>
          <w:tblHeader w:val="on"/>
        </w:trPr>
        <w:tc>
          <w:tcPr/>
          <w:p>
            <w:pPr>
              <w:pStyle w:val="Compact"/>
              <w:jc w:val="left"/>
            </w:pPr>
            <w:r>
              <w:t xml:space="preserve">File_Name</w:t>
            </w:r>
          </w:p>
        </w:tc>
        <w:tc>
          <w:tcPr/>
          <w:p>
            <w:pPr>
              <w:pStyle w:val="Compact"/>
              <w:jc w:val="left"/>
            </w:pPr>
            <w:r>
              <w:t xml:space="preserve">Raw_Rows</w:t>
            </w:r>
          </w:p>
        </w:tc>
        <w:tc>
          <w:tcPr/>
          <w:p>
            <w:pPr>
              <w:pStyle w:val="Compact"/>
              <w:jc w:val="left"/>
            </w:pPr>
            <w:r>
              <w:t xml:space="preserve">Columns</w:t>
            </w:r>
          </w:p>
        </w:tc>
        <w:tc>
          <w:tcPr/>
          <w:p>
            <w:pPr>
              <w:pStyle w:val="Compact"/>
              <w:jc w:val="left"/>
            </w:pPr>
            <w:r>
              <w:t xml:space="preserve">Analytical_Role</w:t>
            </w:r>
          </w:p>
        </w:tc>
      </w:tr>
      <w:tr>
        <w:tc>
          <w:tcPr/>
          <w:p>
            <w:pPr>
              <w:pStyle w:val="Compact"/>
              <w:jc w:val="left"/>
            </w:pPr>
            <w:r>
              <w:t xml:space="preserve">station_day.csv</w:t>
            </w:r>
          </w:p>
        </w:tc>
        <w:tc>
          <w:tcPr/>
          <w:p>
            <w:pPr>
              <w:pStyle w:val="Compact"/>
              <w:jc w:val="left"/>
            </w:pPr>
            <w:r>
              <w:t xml:space="preserve">108,035</w:t>
            </w:r>
          </w:p>
        </w:tc>
        <w:tc>
          <w:tcPr/>
          <w:p>
            <w:pPr>
              <w:pStyle w:val="Compact"/>
              <w:jc w:val="left"/>
            </w:pPr>
            <w:r>
              <w:t xml:space="preserve">16</w:t>
            </w:r>
          </w:p>
        </w:tc>
        <w:tc>
          <w:tcPr/>
          <w:p>
            <w:pPr>
              <w:pStyle w:val="Compact"/>
              <w:jc w:val="left"/>
            </w:pPr>
            <w:r>
              <w:t xml:space="preserve">Primary fact table: daily multi-pollutant measurements per monitoring station</w:t>
            </w:r>
          </w:p>
        </w:tc>
      </w:tr>
      <w:tr>
        <w:tc>
          <w:tcPr/>
          <w:p>
            <w:pPr>
              <w:pStyle w:val="Compact"/>
              <w:jc w:val="left"/>
            </w:pPr>
            <w:r>
              <w:t xml:space="preserve">city_day.csv</w:t>
            </w:r>
          </w:p>
        </w:tc>
        <w:tc>
          <w:tcPr/>
          <w:p>
            <w:pPr>
              <w:pStyle w:val="Compact"/>
              <w:jc w:val="left"/>
            </w:pPr>
            <w:r>
              <w:t xml:space="preserve">29,531</w:t>
            </w:r>
          </w:p>
        </w:tc>
        <w:tc>
          <w:tcPr/>
          <w:p>
            <w:pPr>
              <w:pStyle w:val="Compact"/>
              <w:jc w:val="left"/>
            </w:pPr>
            <w:r>
              <w:t xml:space="preserve">16</w:t>
            </w:r>
          </w:p>
        </w:tc>
        <w:tc>
          <w:tcPr/>
          <w:p>
            <w:pPr>
              <w:pStyle w:val="Compact"/>
              <w:jc w:val="left"/>
            </w:pPr>
            <w:r>
              <w:t xml:space="preserve">Secondary fact table: official city-level daily averages and AQI buckets</w:t>
            </w:r>
          </w:p>
        </w:tc>
      </w:tr>
      <w:tr>
        <w:tc>
          <w:tcPr/>
          <w:p>
            <w:pPr>
              <w:pStyle w:val="Compact"/>
              <w:jc w:val="left"/>
            </w:pPr>
            <w:r>
              <w:t xml:space="preserve">stations.csv</w:t>
            </w:r>
          </w:p>
        </w:tc>
        <w:tc>
          <w:tcPr/>
          <w:p>
            <w:pPr>
              <w:pStyle w:val="Compact"/>
              <w:jc w:val="left"/>
            </w:pPr>
            <w:r>
              <w:t xml:space="preserve">230</w:t>
            </w:r>
          </w:p>
        </w:tc>
        <w:tc>
          <w:tcPr/>
          <w:p>
            <w:pPr>
              <w:pStyle w:val="Compact"/>
              <w:jc w:val="left"/>
            </w:pPr>
            <w:r>
              <w:t xml:space="preserve">5</w:t>
            </w:r>
          </w:p>
        </w:tc>
        <w:tc>
          <w:tcPr/>
          <w:p>
            <w:pPr>
              <w:pStyle w:val="Compact"/>
              <w:jc w:val="left"/>
            </w:pPr>
            <w:r>
              <w:t xml:space="preserve">Spatial dimension: station identifier, name, city, state, and active status</w:t>
            </w:r>
          </w:p>
        </w:tc>
      </w:tr>
      <w:tr>
        <w:tc>
          <w:tcPr/>
          <w:p>
            <w:pPr>
              <w:pStyle w:val="Compact"/>
              <w:jc w:val="left"/>
            </w:pPr>
            <w:r>
              <w:t xml:space="preserve">StationCoordinates.csv</w:t>
            </w:r>
          </w:p>
        </w:tc>
        <w:tc>
          <w:tcPr/>
          <w:p>
            <w:pPr>
              <w:pStyle w:val="Compact"/>
              <w:jc w:val="left"/>
            </w:pPr>
            <w:r>
              <w:t xml:space="preserve">230</w:t>
            </w:r>
          </w:p>
        </w:tc>
        <w:tc>
          <w:tcPr/>
          <w:p>
            <w:pPr>
              <w:pStyle w:val="Compact"/>
              <w:jc w:val="left"/>
            </w:pPr>
            <w:r>
              <w:t xml:space="preserve">9</w:t>
            </w:r>
          </w:p>
        </w:tc>
        <w:tc>
          <w:tcPr/>
          <w:p>
            <w:pPr>
              <w:pStyle w:val="Compact"/>
              <w:jc w:val="left"/>
            </w:pPr>
            <w:r>
              <w:t xml:space="preserve">Geographic metadata: validated latitude, longitude, and coordinate provenance</w:t>
            </w:r>
          </w:p>
        </w:tc>
      </w:tr>
      <w:tr>
        <w:tc>
          <w:tcPr/>
          <w:p>
            <w:pPr>
              <w:pStyle w:val="Compact"/>
              <w:jc w:val="left"/>
            </w:pPr>
            <w:r>
              <w:t xml:space="preserve">Dim_AQICategory.csv</w:t>
            </w:r>
          </w:p>
        </w:tc>
        <w:tc>
          <w:tcPr/>
          <w:p>
            <w:pPr>
              <w:pStyle w:val="Compact"/>
              <w:jc w:val="left"/>
            </w:pPr>
            <w:r>
              <w:t xml:space="preserve">6</w:t>
            </w:r>
          </w:p>
        </w:tc>
        <w:tc>
          <w:tcPr/>
          <w:p>
            <w:pPr>
              <w:pStyle w:val="Compact"/>
              <w:jc w:val="left"/>
            </w:pPr>
            <w:r>
              <w:t xml:space="preserve">6</w:t>
            </w:r>
          </w:p>
        </w:tc>
        <w:tc>
          <w:tcPr/>
          <w:p>
            <w:pPr>
              <w:pStyle w:val="Compact"/>
              <w:jc w:val="left"/>
            </w:pPr>
            <w:r>
              <w:t xml:space="preserve">Regulatory dimension: CPCB AQI breakpoints, hex colors, and health advisories</w:t>
            </w:r>
          </w:p>
        </w:tc>
      </w:tr>
      <w:tr>
        <w:tc>
          <w:tcPr/>
          <w:p>
            <w:pPr>
              <w:pStyle w:val="Compact"/>
              <w:jc w:val="left"/>
            </w:pPr>
            <w:r>
              <w:t xml:space="preserve">Dim_Pollutant.csv</w:t>
            </w:r>
          </w:p>
        </w:tc>
        <w:tc>
          <w:tcPr/>
          <w:p>
            <w:pPr>
              <w:pStyle w:val="Compact"/>
              <w:jc w:val="left"/>
            </w:pPr>
            <w:r>
              <w:t xml:space="preserve">12</w:t>
            </w:r>
          </w:p>
        </w:tc>
        <w:tc>
          <w:tcPr/>
          <w:p>
            <w:pPr>
              <w:pStyle w:val="Compact"/>
              <w:jc w:val="left"/>
            </w:pPr>
            <w:r>
              <w:t xml:space="preserve">6</w:t>
            </w:r>
          </w:p>
        </w:tc>
        <w:tc>
          <w:tcPr/>
          <w:p>
            <w:pPr>
              <w:pStyle w:val="Compact"/>
              <w:jc w:val="left"/>
            </w:pPr>
            <w:r>
              <w:t xml:space="preserve">Chemical dimension: criteria pollutants, chemical formulas, and NAAQS limits</w:t>
            </w:r>
          </w:p>
        </w:tc>
      </w:tr>
    </w:tbl>
    <w:bookmarkEnd w:id="22"/>
    <w:bookmarkStart w:id="23" w:name="Xec8afea26cf1c6f965cc7cea077c9b031346d7d"/>
    <w:p>
      <w:pPr>
        <w:pStyle w:val="Heading2"/>
      </w:pPr>
      <w:r>
        <w:rPr>
          <w:rStyle w:val="SectionNumber"/>
        </w:rPr>
        <w:t xml:space="preserve">2.2</w:t>
      </w:r>
      <w:r>
        <w:tab/>
      </w:r>
      <w:r>
        <w:t xml:space="preserve">2.2 Dataset Schema &amp; Multi-Grain Data Foundation</w:t>
      </w:r>
    </w:p>
    <w:p>
      <w:pPr>
        <w:pStyle w:val="FirstParagraph"/>
      </w:pPr>
      <w:r>
        <w:t xml:space="preserve">Maintaining strict separation between data grains is essential in environmental data engineering:</w:t>
      </w:r>
      <w:r>
        <w:t xml:space="preserve"> </w:t>
      </w:r>
      <w:r>
        <w:t xml:space="preserve">-</w:t>
      </w:r>
      <w:r>
        <w:t xml:space="preserve"> </w:t>
      </w:r>
      <w:r>
        <w:rPr>
          <w:b/>
          <w:bCs/>
        </w:rPr>
        <w:t xml:space="preserve">Station-Day Grain (</w:t>
      </w:r>
      <w:r>
        <w:rPr>
          <w:rStyle w:val="VerbatimChar"/>
          <w:b/>
          <w:bCs/>
        </w:rPr>
        <w:t xml:space="preserve">fact_station_day</w:t>
      </w:r>
      <w:r>
        <w:rPr>
          <w:b/>
          <w:bCs/>
        </w:rPr>
        <w:t xml:space="preserve">):</w:t>
      </w:r>
      <w:r>
        <w:t xml:space="preserve"> </w:t>
      </w:r>
      <w:r>
        <w:t xml:space="preserve">One record per monitoring station per calendar day. This grain captures hyper-local micro-environmental exposure (e.g., proximity to industrial corridors or traffic junctions). Total rows: 108,035 across 230 stations.</w:t>
      </w:r>
      <w:r>
        <w:t xml:space="preserve"> </w:t>
      </w:r>
      <w:r>
        <w:t xml:space="preserve">-</w:t>
      </w:r>
      <w:r>
        <w:t xml:space="preserve"> </w:t>
      </w:r>
      <w:r>
        <w:rPr>
          <w:b/>
          <w:bCs/>
        </w:rPr>
        <w:t xml:space="preserve">City-Day Grain (</w:t>
      </w:r>
      <w:r>
        <w:rPr>
          <w:rStyle w:val="VerbatimChar"/>
          <w:b/>
          <w:bCs/>
        </w:rPr>
        <w:t xml:space="preserve">fact_city_day</w:t>
      </w:r>
      <w:r>
        <w:rPr>
          <w:b/>
          <w:bCs/>
        </w:rPr>
        <w:t xml:space="preserve">):</w:t>
      </w:r>
      <w:r>
        <w:t xml:space="preserve"> </w:t>
      </w:r>
      <w:r>
        <w:t xml:space="preserve">One record per municipal territory per calendar day. This grain represents city-wide exposure for macro-level governance and policy evaluation. Total rows: 29,531 across 26 cities.</w:t>
      </w:r>
      <w:r>
        <w:t xml:space="preserve"> </w:t>
      </w:r>
      <w:r>
        <w:t xml:space="preserve">-</w:t>
      </w:r>
      <w:r>
        <w:t xml:space="preserve"> </w:t>
      </w:r>
      <w:r>
        <w:rPr>
          <w:b/>
          <w:bCs/>
        </w:rPr>
        <w:t xml:space="preserve">Cardinality &amp; Join Integrity:</w:t>
      </w:r>
      <w:r>
        <w:t xml:space="preserve"> </w:t>
      </w:r>
      <w:r>
        <w:t xml:space="preserve">Multiple stations belong to a single city. Direct joins between city and station fact tables without aggregation would create severe Cartesian row multiplication, distorting counts and averages.</w:t>
      </w:r>
    </w:p>
    <w:bookmarkEnd w:id="23"/>
    <w:bookmarkStart w:id="24" w:name="X7968f91928e847457b115c4a5ab9e360ac08b2b"/>
    <w:p>
      <w:pPr>
        <w:pStyle w:val="Heading2"/>
      </w:pPr>
      <w:r>
        <w:rPr>
          <w:rStyle w:val="SectionNumber"/>
        </w:rPr>
        <w:t xml:space="preserve">2.3</w:t>
      </w:r>
      <w:r>
        <w:tab/>
      </w:r>
      <w:r>
        <w:t xml:space="preserve">2.3 Station Catalogue &amp; Geographical Coordinates</w:t>
      </w:r>
    </w:p>
    <w:p>
      <w:pPr>
        <w:pStyle w:val="FirstParagraph"/>
      </w:pPr>
      <w:r>
        <w:t xml:space="preserve">To enable spatial visualization,</w:t>
      </w:r>
      <w:r>
        <w:t xml:space="preserve"> </w:t>
      </w:r>
      <w:r>
        <w:rPr>
          <w:rStyle w:val="VerbatimChar"/>
        </w:rPr>
        <w:t xml:space="preserve">StationCoordinates.csv</w:t>
      </w:r>
      <w:r>
        <w:t xml:space="preserve"> </w:t>
      </w:r>
      <w:r>
        <w:t xml:space="preserve">provides verified geographical coordinates for all 230 CAAQMS monitoring stations:</w:t>
      </w:r>
      <w:r>
        <w:t xml:space="preserve"> </w:t>
      </w:r>
      <w:r>
        <w:t xml:space="preserve">- Latitude range:</w:t>
      </w:r>
      <w:r>
        <w:t xml:space="preserve"> </w:t>
      </w:r>
      <m:oMath>
        <m:sSup>
          <m:e>
            <m:r>
              <m:t>8.52</m:t>
            </m:r>
          </m:e>
          <m:sup>
            <m:r>
              <m:rPr>
                <m:sty m:val="p"/>
              </m:rPr>
              <m:t>∘</m:t>
            </m:r>
          </m:sup>
        </m:sSup>
        <m:r>
          <m:rPr>
            <m:nor/>
            <m:sty m:val="p"/>
          </m:rPr>
          <m:t>N</m:t>
        </m:r>
      </m:oMath>
      <w:r>
        <w:t xml:space="preserve"> </w:t>
      </w:r>
      <w:r>
        <w:t xml:space="preserve">(Thiruvananthapuram, Kerala) to</w:t>
      </w:r>
      <w:r>
        <w:t xml:space="preserve"> </w:t>
      </w:r>
      <m:oMath>
        <m:sSup>
          <m:e>
            <m:r>
              <m:t>31.62</m:t>
            </m:r>
          </m:e>
          <m:sup>
            <m:r>
              <m:rPr>
                <m:sty m:val="p"/>
              </m:rPr>
              <m:t>∘</m:t>
            </m:r>
          </m:sup>
        </m:sSup>
        <m:r>
          <m:rPr>
            <m:nor/>
            <m:sty m:val="p"/>
          </m:rPr>
          <m:t>N</m:t>
        </m:r>
      </m:oMath>
      <w:r>
        <w:t xml:space="preserve"> </w:t>
      </w:r>
      <w:r>
        <w:t xml:space="preserve">(Amritsar, Punjab).</w:t>
      </w:r>
      <w:r>
        <w:t xml:space="preserve"> </w:t>
      </w:r>
      <w:r>
        <w:t xml:space="preserve">- Longitude range:</w:t>
      </w:r>
      <w:r>
        <w:t xml:space="preserve"> </w:t>
      </w:r>
      <m:oMath>
        <m:sSup>
          <m:e>
            <m:r>
              <m:t>72.58</m:t>
            </m:r>
          </m:e>
          <m:sup>
            <m:r>
              <m:rPr>
                <m:sty m:val="p"/>
              </m:rPr>
              <m:t>∘</m:t>
            </m:r>
          </m:sup>
        </m:sSup>
        <m:r>
          <m:rPr>
            <m:nor/>
            <m:sty m:val="p"/>
          </m:rPr>
          <m:t>E</m:t>
        </m:r>
      </m:oMath>
      <w:r>
        <w:t xml:space="preserve"> </w:t>
      </w:r>
      <w:r>
        <w:t xml:space="preserve">(Ahmedabad, Gujarat) to</w:t>
      </w:r>
      <w:r>
        <w:t xml:space="preserve"> </w:t>
      </w:r>
      <m:oMath>
        <m:sSup>
          <m:e>
            <m:r>
              <m:t>92.73</m:t>
            </m:r>
          </m:e>
          <m:sup>
            <m:r>
              <m:rPr>
                <m:sty m:val="p"/>
              </m:rPr>
              <m:t>∘</m:t>
            </m:r>
          </m:sup>
        </m:sSup>
        <m:r>
          <m:rPr>
            <m:nor/>
            <m:sty m:val="p"/>
          </m:rPr>
          <m:t>E</m:t>
        </m:r>
      </m:oMath>
      <w:r>
        <w:t xml:space="preserve"> </w:t>
      </w:r>
      <w:r>
        <w:t xml:space="preserve">(Aizawl, Mizoram).</w:t>
      </w:r>
      <w:r>
        <w:t xml:space="preserve"> </w:t>
      </w:r>
      <w:r>
        <w:t xml:space="preserve">- Coordinate validation: Coordinates are validated against statutory CPCB location bulletins and geocoded via OpenStreetMap Nominatim with explicit quality status flags (</w:t>
      </w:r>
      <w:r>
        <w:rPr>
          <w:rStyle w:val="VerbatimChar"/>
        </w:rPr>
        <w:t xml:space="preserve">Exact</w:t>
      </w:r>
      <w:r>
        <w:t xml:space="preserve">,</w:t>
      </w:r>
      <w:r>
        <w:t xml:space="preserve"> </w:t>
      </w:r>
      <w:r>
        <w:rPr>
          <w:rStyle w:val="VerbatimChar"/>
        </w:rPr>
        <w:t xml:space="preserve">Station-level</w:t>
      </w:r>
      <w:r>
        <w:t xml:space="preserve">).</w:t>
      </w:r>
    </w:p>
    <w:bookmarkEnd w:id="24"/>
    <w:bookmarkStart w:id="25" w:name="X51c08643a98e5562c5464f36ac2a8cd6bec5ab5"/>
    <w:p>
      <w:pPr>
        <w:pStyle w:val="Heading2"/>
      </w:pPr>
      <w:r>
        <w:rPr>
          <w:rStyle w:val="SectionNumber"/>
        </w:rPr>
        <w:t xml:space="preserve">2.4</w:t>
      </w:r>
      <w:r>
        <w:tab/>
      </w:r>
      <w:r>
        <w:t xml:space="preserve">2.4 Embedded Relational Database Architecture</w:t>
      </w:r>
    </w:p>
    <w:p>
      <w:pPr>
        <w:pStyle w:val="FirstParagraph"/>
      </w:pPr>
      <w:r>
        <w:t xml:space="preserve">To satisfy enterprise requirements and INT232 Unit III (SQL with R), an embedded SQLite database (</w:t>
      </w:r>
      <w:r>
        <w:rPr>
          <w:rStyle w:val="VerbatimChar"/>
        </w:rPr>
        <w:t xml:space="preserve">data/airguard.sqlite</w:t>
      </w:r>
      <w:r>
        <w:t xml:space="preserve">) is established via the</w:t>
      </w:r>
      <w:r>
        <w:t xml:space="preserve"> </w:t>
      </w:r>
      <w:r>
        <w:rPr>
          <w:rStyle w:val="VerbatimChar"/>
        </w:rPr>
        <w:t xml:space="preserve">DBI</w:t>
      </w:r>
      <w:r>
        <w:t xml:space="preserve"> </w:t>
      </w:r>
      <w:r>
        <w:t xml:space="preserve">and</w:t>
      </w:r>
      <w:r>
        <w:t xml:space="preserve"> </w:t>
      </w:r>
      <w:r>
        <w:rPr>
          <w:rStyle w:val="VerbatimChar"/>
        </w:rPr>
        <w:t xml:space="preserve">RSQLite</w:t>
      </w:r>
      <w:r>
        <w:t xml:space="preserve"> </w:t>
      </w:r>
      <w:r>
        <w:t xml:space="preserve">packages:</w:t>
      </w:r>
    </w:p>
    <w:p>
      <w:pPr>
        <w:pStyle w:val="SourceCode"/>
      </w:pPr>
      <w:r>
        <w:rPr>
          <w:rStyle w:val="CommentTok"/>
        </w:rPr>
        <w:t xml:space="preserve">-- Core SQLite Relational Schema</w:t>
      </w:r>
      <w:r>
        <w:br/>
      </w:r>
      <w:r>
        <w:rPr>
          <w:rStyle w:val="KeywordTok"/>
        </w:rPr>
        <w:t xml:space="preserve">CREATE</w:t>
      </w:r>
      <w:r>
        <w:rPr>
          <w:rStyle w:val="NormalTok"/>
        </w:rPr>
        <w:t xml:space="preserve"> </w:t>
      </w:r>
      <w:r>
        <w:rPr>
          <w:rStyle w:val="KeywordTok"/>
        </w:rPr>
        <w:t xml:space="preserve">TABLE</w:t>
      </w:r>
      <w:r>
        <w:rPr>
          <w:rStyle w:val="NormalTok"/>
        </w:rPr>
        <w:t xml:space="preserve"> fact_station_day (</w:t>
      </w:r>
      <w:r>
        <w:br/>
      </w:r>
      <w:r>
        <w:rPr>
          <w:rStyle w:val="NormalTok"/>
        </w:rPr>
        <w:t xml:space="preserve">    StationId TEXT,</w:t>
      </w:r>
      <w:r>
        <w:br/>
      </w:r>
      <w:r>
        <w:rPr>
          <w:rStyle w:val="NormalTok"/>
        </w:rPr>
        <w:t xml:space="preserve">    </w:t>
      </w:r>
      <w:r>
        <w:rPr>
          <w:rStyle w:val="DataTypeTok"/>
        </w:rPr>
        <w:t xml:space="preserve">Date</w:t>
      </w:r>
      <w:r>
        <w:rPr>
          <w:rStyle w:val="NormalTok"/>
        </w:rPr>
        <w:t xml:space="preserve"> TEXT,</w:t>
      </w:r>
      <w:r>
        <w:br/>
      </w:r>
      <w:r>
        <w:rPr>
          <w:rStyle w:val="NormalTok"/>
        </w:rPr>
        <w:t xml:space="preserve">    PM2_5 </w:t>
      </w:r>
      <w:r>
        <w:rPr>
          <w:rStyle w:val="DataTypeTok"/>
        </w:rPr>
        <w:t xml:space="preserve">REAL</w:t>
      </w:r>
      <w:r>
        <w:rPr>
          <w:rStyle w:val="NormalTok"/>
        </w:rPr>
        <w:t xml:space="preserve">,</w:t>
      </w:r>
      <w:r>
        <w:br/>
      </w:r>
      <w:r>
        <w:rPr>
          <w:rStyle w:val="NormalTok"/>
        </w:rPr>
        <w:t xml:space="preserve">    PM10 </w:t>
      </w:r>
      <w:r>
        <w:rPr>
          <w:rStyle w:val="DataTypeTok"/>
        </w:rPr>
        <w:t xml:space="preserve">REAL</w:t>
      </w:r>
      <w:r>
        <w:rPr>
          <w:rStyle w:val="NormalTok"/>
        </w:rPr>
        <w:t xml:space="preserve">,</w:t>
      </w:r>
      <w:r>
        <w:br/>
      </w:r>
      <w:r>
        <w:rPr>
          <w:rStyle w:val="NormalTok"/>
        </w:rPr>
        <w:t xml:space="preserve">    </w:t>
      </w:r>
      <w:r>
        <w:rPr>
          <w:rStyle w:val="KeywordTok"/>
        </w:rPr>
        <w:t xml:space="preserve">NO</w:t>
      </w:r>
      <w:r>
        <w:rPr>
          <w:rStyle w:val="NormalTok"/>
        </w:rPr>
        <w:t xml:space="preserve"> </w:t>
      </w:r>
      <w:r>
        <w:rPr>
          <w:rStyle w:val="DataTypeTok"/>
        </w:rPr>
        <w:t xml:space="preserve">REAL</w:t>
      </w:r>
      <w:r>
        <w:rPr>
          <w:rStyle w:val="NormalTok"/>
        </w:rPr>
        <w:t xml:space="preserve">,</w:t>
      </w:r>
      <w:r>
        <w:br/>
      </w:r>
      <w:r>
        <w:rPr>
          <w:rStyle w:val="NormalTok"/>
        </w:rPr>
        <w:t xml:space="preserve">    NO2 </w:t>
      </w:r>
      <w:r>
        <w:rPr>
          <w:rStyle w:val="DataTypeTok"/>
        </w:rPr>
        <w:t xml:space="preserve">REAL</w:t>
      </w:r>
      <w:r>
        <w:rPr>
          <w:rStyle w:val="NormalTok"/>
        </w:rPr>
        <w:t xml:space="preserve">,</w:t>
      </w:r>
      <w:r>
        <w:br/>
      </w:r>
      <w:r>
        <w:rPr>
          <w:rStyle w:val="NormalTok"/>
        </w:rPr>
        <w:t xml:space="preserve">    NOx </w:t>
      </w:r>
      <w:r>
        <w:rPr>
          <w:rStyle w:val="DataTypeTok"/>
        </w:rPr>
        <w:t xml:space="preserve">REAL</w:t>
      </w:r>
      <w:r>
        <w:rPr>
          <w:rStyle w:val="NormalTok"/>
        </w:rPr>
        <w:t xml:space="preserve">,</w:t>
      </w:r>
      <w:r>
        <w:br/>
      </w:r>
      <w:r>
        <w:rPr>
          <w:rStyle w:val="NormalTok"/>
        </w:rPr>
        <w:t xml:space="preserve">    NH3 </w:t>
      </w:r>
      <w:r>
        <w:rPr>
          <w:rStyle w:val="DataTypeTok"/>
        </w:rPr>
        <w:t xml:space="preserve">REAL</w:t>
      </w:r>
      <w:r>
        <w:rPr>
          <w:rStyle w:val="NormalTok"/>
        </w:rPr>
        <w:t xml:space="preserve">,</w:t>
      </w:r>
      <w:r>
        <w:br/>
      </w:r>
      <w:r>
        <w:rPr>
          <w:rStyle w:val="NormalTok"/>
        </w:rPr>
        <w:t xml:space="preserve">    CO </w:t>
      </w:r>
      <w:r>
        <w:rPr>
          <w:rStyle w:val="DataTypeTok"/>
        </w:rPr>
        <w:t xml:space="preserve">REAL</w:t>
      </w:r>
      <w:r>
        <w:rPr>
          <w:rStyle w:val="NormalTok"/>
        </w:rPr>
        <w:t xml:space="preserve">,</w:t>
      </w:r>
      <w:r>
        <w:br/>
      </w:r>
      <w:r>
        <w:rPr>
          <w:rStyle w:val="NormalTok"/>
        </w:rPr>
        <w:t xml:space="preserve">    SO2 </w:t>
      </w:r>
      <w:r>
        <w:rPr>
          <w:rStyle w:val="DataTypeTok"/>
        </w:rPr>
        <w:t xml:space="preserve">REAL</w:t>
      </w:r>
      <w:r>
        <w:rPr>
          <w:rStyle w:val="NormalTok"/>
        </w:rPr>
        <w:t xml:space="preserve">,</w:t>
      </w:r>
      <w:r>
        <w:br/>
      </w:r>
      <w:r>
        <w:rPr>
          <w:rStyle w:val="NormalTok"/>
        </w:rPr>
        <w:t xml:space="preserve">    O3 </w:t>
      </w:r>
      <w:r>
        <w:rPr>
          <w:rStyle w:val="DataTypeTok"/>
        </w:rPr>
        <w:t xml:space="preserve">REAL</w:t>
      </w:r>
      <w:r>
        <w:rPr>
          <w:rStyle w:val="NormalTok"/>
        </w:rPr>
        <w:t xml:space="preserve">,</w:t>
      </w:r>
      <w:r>
        <w:br/>
      </w:r>
      <w:r>
        <w:rPr>
          <w:rStyle w:val="NormalTok"/>
        </w:rPr>
        <w:t xml:space="preserve">    AQI </w:t>
      </w:r>
      <w:r>
        <w:rPr>
          <w:rStyle w:val="DataTypeTok"/>
        </w:rPr>
        <w:t xml:space="preserve">REAL</w:t>
      </w:r>
      <w:r>
        <w:rPr>
          <w:rStyle w:val="NormalTok"/>
        </w:rPr>
        <w:t xml:space="preserve">,</w:t>
      </w:r>
      <w:r>
        <w:br/>
      </w:r>
      <w:r>
        <w:rPr>
          <w:rStyle w:val="NormalTok"/>
        </w:rPr>
        <w:t xml:space="preserve">    AQI_Bucket TEXT,</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(StationId, </w:t>
      </w:r>
      <w:r>
        <w:rPr>
          <w:rStyle w:val="DataTypeTok"/>
        </w:rPr>
        <w:t xml:space="preserve">Date</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dim_stations (</w:t>
      </w:r>
      <w:r>
        <w:br/>
      </w:r>
      <w:r>
        <w:rPr>
          <w:rStyle w:val="NormalTok"/>
        </w:rPr>
        <w:t xml:space="preserve">    StationId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StationName TEXT,</w:t>
      </w:r>
      <w:r>
        <w:br/>
      </w:r>
      <w:r>
        <w:rPr>
          <w:rStyle w:val="NormalTok"/>
        </w:rPr>
        <w:t xml:space="preserve">    City TEXT,</w:t>
      </w:r>
      <w:r>
        <w:br/>
      </w:r>
      <w:r>
        <w:rPr>
          <w:rStyle w:val="NormalTok"/>
        </w:rPr>
        <w:t xml:space="preserve">    State TEXT,</w:t>
      </w:r>
      <w:r>
        <w:br/>
      </w:r>
      <w:r>
        <w:rPr>
          <w:rStyle w:val="NormalTok"/>
        </w:rPr>
        <w:t xml:space="preserve">    Status TEXT,</w:t>
      </w:r>
      <w:r>
        <w:br/>
      </w:r>
      <w:r>
        <w:rPr>
          <w:rStyle w:val="NormalTok"/>
        </w:rPr>
        <w:t xml:space="preserve">    Latitude </w:t>
      </w:r>
      <w:r>
        <w:rPr>
          <w:rStyle w:val="DataTypeTok"/>
        </w:rPr>
        <w:t xml:space="preserve">REAL</w:t>
      </w:r>
      <w:r>
        <w:rPr>
          <w:rStyle w:val="NormalTok"/>
        </w:rPr>
        <w:t xml:space="preserve">,</w:t>
      </w:r>
      <w:r>
        <w:br/>
      </w:r>
      <w:r>
        <w:rPr>
          <w:rStyle w:val="NormalTok"/>
        </w:rPr>
        <w:t xml:space="preserve">    Longitude </w:t>
      </w:r>
      <w:r>
        <w:rPr>
          <w:rStyle w:val="DataTypeTok"/>
        </w:rPr>
        <w:t xml:space="preserve">REAL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idx_st_day_id </w:t>
      </w:r>
      <w:r>
        <w:rPr>
          <w:rStyle w:val="KeywordTok"/>
        </w:rPr>
        <w:t xml:space="preserve">ON</w:t>
      </w:r>
      <w:r>
        <w:rPr>
          <w:rStyle w:val="NormalTok"/>
        </w:rPr>
        <w:t xml:space="preserve"> fact_station_day(StationId);</w:t>
      </w:r>
      <w:r>
        <w:br/>
      </w:r>
      <w:r>
        <w:rPr>
          <w:rStyle w:val="KeywordTok"/>
        </w:rPr>
        <w:t xml:space="preserve">CREATE</w:t>
      </w:r>
      <w:r>
        <w:rPr>
          <w:rStyle w:val="NormalTok"/>
        </w:rPr>
        <w:t xml:space="preserve"> </w:t>
      </w:r>
      <w:r>
        <w:rPr>
          <w:rStyle w:val="KeywordTok"/>
        </w:rPr>
        <w:t xml:space="preserve">INDEX</w:t>
      </w:r>
      <w:r>
        <w:rPr>
          <w:rStyle w:val="NormalTok"/>
        </w:rPr>
        <w:t xml:space="preserve"> idx_st_day_date </w:t>
      </w:r>
      <w:r>
        <w:rPr>
          <w:rStyle w:val="KeywordTok"/>
        </w:rPr>
        <w:t xml:space="preserve">ON</w:t>
      </w:r>
      <w:r>
        <w:rPr>
          <w:rStyle w:val="NormalTok"/>
        </w:rPr>
        <w:t xml:space="preserve"> fact_station_day(</w:t>
      </w:r>
      <w:r>
        <w:rPr>
          <w:rStyle w:val="DataTypeTok"/>
        </w:rPr>
        <w:t xml:space="preserve">Date</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idx_stations_city </w:t>
      </w:r>
      <w:r>
        <w:rPr>
          <w:rStyle w:val="KeywordTok"/>
        </w:rPr>
        <w:t xml:space="preserve">ON</w:t>
      </w:r>
      <w:r>
        <w:rPr>
          <w:rStyle w:val="NormalTok"/>
        </w:rPr>
        <w:t xml:space="preserve"> dim_stations(City);</w:t>
      </w:r>
    </w:p>
    <w:p>
      <w:pPr>
        <w:pStyle w:val="TableCaption"/>
      </w:pPr>
      <w:r>
        <w:t xml:space="preserve">Live Relational SQL Query Output: Top 5 Highest Mean AQI Cities via DBI/RSQLite</w:t>
      </w:r>
    </w:p>
    <w:tbl>
      <w:tblPr>
        <w:tblStyle w:val="Table"/>
        <w:tblW w:type="pct" w:w="5000"/>
        <w:tblLayout w:type="fixed"/>
        <w:tblLook w:firstRow="1" w:lastRow="0" w:firstColumn="0" w:lastColumn="0" w:noHBand="0" w:noVBand="0" w:val="0020"/>
        <w:tblCaption w:val="Live Relational SQL Query Output: Top 5 Highest Mean AQI Cities via DBI/RSQLite"/>
      </w:tblPr>
      <w:tblGrid>
        <w:gridCol w:w="1182"/>
        <w:gridCol w:w="2245"/>
        <w:gridCol w:w="1063"/>
        <w:gridCol w:w="1182"/>
        <w:gridCol w:w="1182"/>
        <w:gridCol w:w="1063"/>
      </w:tblGrid>
      <w:tr>
        <w:trPr>
          <w:tblHeader w:val="on"/>
        </w:trPr>
        <w:tc>
          <w:tcPr/>
          <w:p>
            <w:pPr>
              <w:pStyle w:val="Compact"/>
              <w:jc w:val="left"/>
            </w:pPr>
            <w:r>
              <w:t xml:space="preserve">City</w:t>
            </w:r>
          </w:p>
        </w:tc>
        <w:tc>
          <w:tcPr/>
          <w:p>
            <w:pPr>
              <w:pStyle w:val="Compact"/>
              <w:jc w:val="right"/>
            </w:pPr>
            <w:r>
              <w:t xml:space="preserve">Total_Observations</w:t>
            </w:r>
          </w:p>
        </w:tc>
        <w:tc>
          <w:tcPr/>
          <w:p>
            <w:pPr>
              <w:pStyle w:val="Compact"/>
              <w:jc w:val="right"/>
            </w:pPr>
            <w:r>
              <w:t xml:space="preserve">Mean_AQI</w:t>
            </w:r>
          </w:p>
        </w:tc>
        <w:tc>
          <w:tcPr/>
          <w:p>
            <w:pPr>
              <w:pStyle w:val="Compact"/>
              <w:jc w:val="right"/>
            </w:pPr>
            <w:r>
              <w:t xml:space="preserve">Mean_PM25</w:t>
            </w:r>
          </w:p>
        </w:tc>
        <w:tc>
          <w:tcPr/>
          <w:p>
            <w:pPr>
              <w:pStyle w:val="Compact"/>
              <w:jc w:val="right"/>
            </w:pPr>
            <w:r>
              <w:t xml:space="preserve">Mean_PM10</w:t>
            </w:r>
          </w:p>
        </w:tc>
        <w:tc>
          <w:tcPr/>
          <w:p>
            <w:pPr>
              <w:pStyle w:val="Compact"/>
              <w:jc w:val="right"/>
            </w:pPr>
            <w:r>
              <w:t xml:space="preserve">Peak_AQI</w:t>
            </w:r>
          </w:p>
        </w:tc>
      </w:tr>
      <w:tr>
        <w:tc>
          <w:tcPr/>
          <w:p>
            <w:pPr>
              <w:pStyle w:val="Compact"/>
              <w:jc w:val="left"/>
            </w:pPr>
            <w:r>
              <w:t xml:space="preserve">Ahmedabad</w:t>
            </w:r>
          </w:p>
        </w:tc>
        <w:tc>
          <w:tcPr/>
          <w:p>
            <w:pPr>
              <w:pStyle w:val="Compact"/>
              <w:jc w:val="right"/>
            </w:pPr>
            <w:r>
              <w:t xml:space="preserve">1334</w:t>
            </w:r>
          </w:p>
        </w:tc>
        <w:tc>
          <w:tcPr/>
          <w:p>
            <w:pPr>
              <w:pStyle w:val="Compact"/>
              <w:jc w:val="right"/>
            </w:pPr>
            <w:r>
              <w:t xml:space="preserve">452.1</w:t>
            </w:r>
          </w:p>
        </w:tc>
        <w:tc>
          <w:tcPr/>
          <w:p>
            <w:pPr>
              <w:pStyle w:val="Compact"/>
              <w:jc w:val="right"/>
            </w:pPr>
            <w:r>
              <w:t xml:space="preserve">67.9</w:t>
            </w:r>
          </w:p>
        </w:tc>
        <w:tc>
          <w:tcPr/>
          <w:p>
            <w:pPr>
              <w:pStyle w:val="Compact"/>
              <w:jc w:val="right"/>
            </w:pPr>
            <w:r>
              <w:t xml:space="preserve">112.8</w:t>
            </w:r>
          </w:p>
        </w:tc>
        <w:tc>
          <w:tcPr/>
          <w:p>
            <w:pPr>
              <w:pStyle w:val="Compact"/>
              <w:jc w:val="right"/>
            </w:pPr>
            <w:r>
              <w:t xml:space="preserve">2049</w:t>
            </w:r>
          </w:p>
        </w:tc>
      </w:tr>
      <w:tr>
        <w:tc>
          <w:tcPr/>
          <w:p>
            <w:pPr>
              <w:pStyle w:val="Compact"/>
              <w:jc w:val="left"/>
            </w:pPr>
            <w:r>
              <w:t xml:space="preserve">Delhi</w:t>
            </w:r>
          </w:p>
        </w:tc>
        <w:tc>
          <w:tcPr/>
          <w:p>
            <w:pPr>
              <w:pStyle w:val="Compact"/>
              <w:jc w:val="right"/>
            </w:pPr>
            <w:r>
              <w:t xml:space="preserve">36107</w:t>
            </w:r>
          </w:p>
        </w:tc>
        <w:tc>
          <w:tcPr/>
          <w:p>
            <w:pPr>
              <w:pStyle w:val="Compact"/>
              <w:jc w:val="right"/>
            </w:pPr>
            <w:r>
              <w:t xml:space="preserve">238.7</w:t>
            </w:r>
          </w:p>
        </w:tc>
        <w:tc>
          <w:tcPr/>
          <w:p>
            <w:pPr>
              <w:pStyle w:val="Compact"/>
              <w:jc w:val="right"/>
            </w:pPr>
            <w:r>
              <w:t xml:space="preserve">110.1</w:t>
            </w:r>
          </w:p>
        </w:tc>
        <w:tc>
          <w:tcPr/>
          <w:p>
            <w:pPr>
              <w:pStyle w:val="Compact"/>
              <w:jc w:val="right"/>
            </w:pPr>
            <w:r>
              <w:t xml:space="preserve">218.2</w:t>
            </w:r>
          </w:p>
        </w:tc>
        <w:tc>
          <w:tcPr/>
          <w:p>
            <w:pPr>
              <w:pStyle w:val="Compact"/>
              <w:jc w:val="right"/>
            </w:pPr>
            <w:r>
              <w:t xml:space="preserve">1019</w:t>
            </w:r>
          </w:p>
        </w:tc>
      </w:tr>
      <w:tr>
        <w:tc>
          <w:tcPr/>
          <w:p>
            <w:pPr>
              <w:pStyle w:val="Compact"/>
              <w:jc w:val="left"/>
            </w:pPr>
            <w:r>
              <w:t xml:space="preserve">Lucknow</w:t>
            </w:r>
          </w:p>
        </w:tc>
        <w:tc>
          <w:tcPr/>
          <w:p>
            <w:pPr>
              <w:pStyle w:val="Compact"/>
              <w:jc w:val="right"/>
            </w:pPr>
            <w:r>
              <w:t xml:space="preserve">5245</w:t>
            </w:r>
          </w:p>
        </w:tc>
        <w:tc>
          <w:tcPr/>
          <w:p>
            <w:pPr>
              <w:pStyle w:val="Compact"/>
              <w:jc w:val="right"/>
            </w:pPr>
            <w:r>
              <w:t xml:space="preserve">216.5</w:t>
            </w:r>
          </w:p>
        </w:tc>
        <w:tc>
          <w:tcPr/>
          <w:p>
            <w:pPr>
              <w:pStyle w:val="Compact"/>
              <w:jc w:val="right"/>
            </w:pPr>
            <w:r>
              <w:t xml:space="preserve">109.5</w:t>
            </w:r>
          </w:p>
        </w:tc>
        <w:tc>
          <w:tcPr/>
          <w:p>
            <w:pPr>
              <w:pStyle w:val="Compact"/>
              <w:jc w:val="right"/>
            </w:pPr>
            <w:r>
              <w:t xml:space="preserve">NA</w:t>
            </w:r>
          </w:p>
        </w:tc>
        <w:tc>
          <w:tcPr/>
          <w:p>
            <w:pPr>
              <w:pStyle w:val="Compact"/>
              <w:jc w:val="right"/>
            </w:pPr>
            <w:r>
              <w:t xml:space="preserve">814</w:t>
            </w:r>
          </w:p>
        </w:tc>
      </w:tr>
      <w:tr>
        <w:tc>
          <w:tcPr/>
          <w:p>
            <w:pPr>
              <w:pStyle w:val="Compact"/>
              <w:jc w:val="left"/>
            </w:pPr>
            <w:r>
              <w:t xml:space="preserve">Patna</w:t>
            </w:r>
          </w:p>
        </w:tc>
        <w:tc>
          <w:tcPr/>
          <w:p>
            <w:pPr>
              <w:pStyle w:val="Compact"/>
              <w:jc w:val="right"/>
            </w:pPr>
            <w:r>
              <w:t xml:space="preserve">2121</w:t>
            </w:r>
          </w:p>
        </w:tc>
        <w:tc>
          <w:tcPr/>
          <w:p>
            <w:pPr>
              <w:pStyle w:val="Compact"/>
              <w:jc w:val="right"/>
            </w:pPr>
            <w:r>
              <w:t xml:space="preserve">215.6</w:t>
            </w:r>
          </w:p>
        </w:tc>
        <w:tc>
          <w:tcPr/>
          <w:p>
            <w:pPr>
              <w:pStyle w:val="Compact"/>
              <w:jc w:val="right"/>
            </w:pPr>
            <w:r>
              <w:t xml:space="preserve">106.6</w:t>
            </w:r>
          </w:p>
        </w:tc>
        <w:tc>
          <w:tcPr/>
          <w:p>
            <w:pPr>
              <w:pStyle w:val="Compact"/>
              <w:jc w:val="right"/>
            </w:pPr>
            <w:r>
              <w:t xml:space="preserve">122.3</w:t>
            </w:r>
          </w:p>
        </w:tc>
        <w:tc>
          <w:tcPr/>
          <w:p>
            <w:pPr>
              <w:pStyle w:val="Compact"/>
              <w:jc w:val="right"/>
            </w:pPr>
            <w:r>
              <w:t xml:space="preserve">634</w:t>
            </w:r>
          </w:p>
        </w:tc>
      </w:tr>
      <w:tr>
        <w:tc>
          <w:tcPr/>
          <w:p>
            <w:pPr>
              <w:pStyle w:val="Compact"/>
              <w:jc w:val="left"/>
            </w:pPr>
            <w:r>
              <w:t xml:space="preserve">Gurugram</w:t>
            </w:r>
          </w:p>
        </w:tc>
        <w:tc>
          <w:tcPr/>
          <w:p>
            <w:pPr>
              <w:pStyle w:val="Compact"/>
              <w:jc w:val="right"/>
            </w:pPr>
            <w:r>
              <w:t xml:space="preserve">2332</w:t>
            </w:r>
          </w:p>
        </w:tc>
        <w:tc>
          <w:tcPr/>
          <w:p>
            <w:pPr>
              <w:pStyle w:val="Compact"/>
              <w:jc w:val="right"/>
            </w:pPr>
            <w:r>
              <w:t xml:space="preserve">211.0</w:t>
            </w:r>
          </w:p>
        </w:tc>
        <w:tc>
          <w:tcPr/>
          <w:p>
            <w:pPr>
              <w:pStyle w:val="Compact"/>
              <w:jc w:val="right"/>
            </w:pPr>
            <w:r>
              <w:t xml:space="preserve">104.7</w:t>
            </w:r>
          </w:p>
        </w:tc>
        <w:tc>
          <w:tcPr/>
          <w:p>
            <w:pPr>
              <w:pStyle w:val="Compact"/>
              <w:jc w:val="right"/>
            </w:pPr>
            <w:r>
              <w:t xml:space="preserve">172.7</w:t>
            </w:r>
          </w:p>
        </w:tc>
        <w:tc>
          <w:tcPr/>
          <w:p>
            <w:pPr>
              <w:pStyle w:val="Compact"/>
              <w:jc w:val="right"/>
            </w:pPr>
            <w:r>
              <w:t xml:space="preserve">891</w:t>
            </w:r>
          </w:p>
        </w:tc>
      </w:tr>
    </w:tbl>
    <w:bookmarkEnd w:id="25"/>
    <w:bookmarkStart w:id="26" w:name="data-quality-audit-record-reconciliation"/>
    <w:p>
      <w:pPr>
        <w:pStyle w:val="Heading2"/>
      </w:pPr>
      <w:r>
        <w:rPr>
          <w:rStyle w:val="SectionNumber"/>
        </w:rPr>
        <w:t xml:space="preserve">2.5</w:t>
      </w:r>
      <w:r>
        <w:tab/>
      </w:r>
      <w:r>
        <w:t xml:space="preserve">2.5 Data Quality Audit &amp; Record Reconciliation</w:t>
      </w:r>
    </w:p>
    <w:p>
      <w:pPr>
        <w:pStyle w:val="FirstParagraph"/>
      </w:pPr>
      <w:r>
        <w:t xml:space="preserve">An exhaustive missing-value audit was executed across all 108,035 station records:</w:t>
      </w:r>
      <w:r>
        <w:t xml:space="preserve"> </w:t>
      </w:r>
      <w:r>
        <w:t xml:space="preserve">-</w:t>
      </w:r>
      <w:r>
        <w:t xml:space="preserve"> </w:t>
      </w:r>
      <w:r>
        <w:rPr>
          <w:b/>
          <w:bCs/>
        </w:rPr>
        <w:t xml:space="preserve">AQI Missingness:</w:t>
      </w:r>
      <w:r>
        <w:t xml:space="preserve"> </w:t>
      </w:r>
      <w:r>
        <w:t xml:space="preserve">19.4% (20,958 rows missing statutory AQI).</w:t>
      </w:r>
      <w:r>
        <w:t xml:space="preserve"> </w:t>
      </w:r>
      <w:r>
        <w:t xml:space="preserve">-</w:t>
      </w:r>
      <w:r>
        <w:t xml:space="preserve"> </w:t>
      </w:r>
      <w:r>
        <w:rPr>
          <w:b/>
          <w:bCs/>
        </w:rPr>
        <w:t xml:space="preserve">PM2.5 Missingness:</w:t>
      </w:r>
      <w:r>
        <w:t xml:space="preserve"> </w:t>
      </w:r>
      <w:r>
        <w:t xml:space="preserve">20.0% (21,570 rows missing PM2.5 readings).</w:t>
      </w:r>
      <w:r>
        <w:t xml:space="preserve"> </w:t>
      </w:r>
      <w:r>
        <w:t xml:space="preserve">-</w:t>
      </w:r>
      <w:r>
        <w:t xml:space="preserve"> </w:t>
      </w:r>
      <w:r>
        <w:rPr>
          <w:b/>
          <w:bCs/>
        </w:rPr>
        <w:t xml:space="preserve">PM10 Missingness:</w:t>
      </w:r>
      <w:r>
        <w:t xml:space="preserve"> </w:t>
      </w:r>
      <w:r>
        <w:t xml:space="preserve">47.3% (51,080 rows missing PM10 readings, reflecting later deployment of PM10 beta-attenuation monitors across older stations).</w:t>
      </w:r>
      <w:r>
        <w:t xml:space="preserve"> </w:t>
      </w:r>
      <w:r>
        <w:t xml:space="preserve">-</w:t>
      </w:r>
      <w:r>
        <w:t xml:space="preserve"> </w:t>
      </w:r>
      <w:r>
        <w:rPr>
          <w:b/>
          <w:bCs/>
        </w:rPr>
        <w:t xml:space="preserve">Gaseous Pollutants Missingness:</w:t>
      </w:r>
      <w:r>
        <w:t xml:space="preserve"> </w:t>
      </w:r>
      <m:oMath>
        <m:r>
          <m:t>S</m:t>
        </m:r>
        <m:sSub>
          <m:e>
            <m:r>
              <m:t>O</m:t>
            </m:r>
          </m:e>
          <m:sub>
            <m:r>
              <m:t>2</m:t>
            </m:r>
          </m:sub>
        </m:sSub>
      </m:oMath>
      <w:r>
        <w:t xml:space="preserve"> </w:t>
      </w:r>
      <w:r>
        <w:t xml:space="preserve">(23.8%),</w:t>
      </w:r>
      <w:r>
        <w:t xml:space="preserve"> </w:t>
      </w:r>
      <m:oMath>
        <m:r>
          <m:t>N</m:t>
        </m:r>
        <m:sSub>
          <m:e>
            <m:r>
              <m:t>O</m:t>
            </m:r>
          </m:e>
          <m:sub>
            <m:r>
              <m:t>2</m:t>
            </m:r>
          </m:sub>
        </m:sSub>
      </m:oMath>
      <w:r>
        <w:t xml:space="preserve"> </w:t>
      </w:r>
      <w:r>
        <w:t xml:space="preserve">(17.5%),</w:t>
      </w:r>
      <w:r>
        <w:t xml:space="preserve"> </w:t>
      </w:r>
      <m:oMath>
        <m:r>
          <m:t>C</m:t>
        </m:r>
        <m:r>
          <m:t>O</m:t>
        </m:r>
      </m:oMath>
      <w:r>
        <w:t xml:space="preserve"> </w:t>
      </w:r>
      <w:r>
        <w:t xml:space="preserve">(18.1%),</w:t>
      </w:r>
      <w:r>
        <w:t xml:space="preserve"> </w:t>
      </w:r>
      <m:oMath>
        <m:sSub>
          <m:e>
            <m:r>
              <m:t>O</m:t>
            </m:r>
          </m:e>
          <m:sub>
            <m:r>
              <m:t>3</m:t>
            </m:r>
          </m:sub>
        </m:sSub>
      </m:oMath>
      <w:r>
        <w:t xml:space="preserve"> </w:t>
      </w:r>
      <w:r>
        <w:t xml:space="preserve">(21.7%).</w:t>
      </w:r>
      <w:r>
        <w:t xml:space="preserve"> </w:t>
      </w:r>
      <w:r>
        <w:t xml:space="preserve">-</w:t>
      </w:r>
      <w:r>
        <w:t xml:space="preserve"> </w:t>
      </w:r>
      <w:r>
        <w:rPr>
          <w:b/>
          <w:bCs/>
        </w:rPr>
        <w:t xml:space="preserve">Reconciliation Principle:</w:t>
      </w:r>
      <w:r>
        <w:t xml:space="preserve"> </w:t>
      </w:r>
      <w:r>
        <w:t xml:space="preserve">Incomplete records are preserved rather than deleted. A record with missing PM10 may still contain pristine PM2.5, NO2, and SO2 data. Denominators for pollutant averages dynamically reflect valid non-missing observations.</w:t>
      </w:r>
    </w:p>
    <w:bookmarkEnd w:id="26"/>
    <w:bookmarkEnd w:id="27"/>
    <w:bookmarkStart w:id="35" w:name="eda-process-data-engineering"/>
    <w:p>
      <w:pPr>
        <w:pStyle w:val="Heading1"/>
      </w:pPr>
      <w:r>
        <w:rPr>
          <w:rStyle w:val="SectionNumber"/>
        </w:rPr>
        <w:t xml:space="preserve">3</w:t>
      </w:r>
      <w:r>
        <w:tab/>
      </w:r>
      <w:r>
        <w:t xml:space="preserve">3. EDA PROCESS &amp; DATA ENGINEERING</w:t>
      </w:r>
    </w:p>
    <w:bookmarkStart w:id="28" w:name="X69ff2988da2d500c6a1ac2ae5860306633b40fd"/>
    <w:p>
      <w:pPr>
        <w:pStyle w:val="Heading2"/>
      </w:pPr>
      <w:r>
        <w:rPr>
          <w:rStyle w:val="SectionNumber"/>
        </w:rPr>
        <w:t xml:space="preserve">3.1</w:t>
      </w:r>
      <w:r>
        <w:tab/>
      </w:r>
      <w:r>
        <w:t xml:space="preserve">3.1 Systematic Data Cleaning &amp; Physical Sanity Validations</w:t>
      </w:r>
    </w:p>
    <w:p>
      <w:pPr>
        <w:pStyle w:val="FirstParagraph"/>
      </w:pPr>
      <w:r>
        <w:t xml:space="preserve">Raw telemetry streams frequently harbor sensor transmission glitches and calibration drift:</w:t>
      </w:r>
      <w:r>
        <w:t xml:space="preserve"> </w:t>
      </w:r>
      <w:r>
        <w:t xml:space="preserve">-</w:t>
      </w:r>
      <w:r>
        <w:t xml:space="preserve"> </w:t>
      </w:r>
      <w:r>
        <w:rPr>
          <w:b/>
          <w:bCs/>
        </w:rPr>
        <w:t xml:space="preserve">Negative Concentration Scrubbing:</w:t>
      </w:r>
      <w:r>
        <w:t xml:space="preserve"> </w:t>
      </w:r>
      <w:r>
        <w:t xml:space="preserve">Ambient chemical concentrations cannot physically fall below zero. Optical particle counters and electrochemical sensors occasionally report negative values during baseline zero-drift calibration. All values</w:t>
      </w:r>
      <w:r>
        <w:t xml:space="preserve"> </w:t>
      </w:r>
      <m:oMath>
        <m:r>
          <m:rPr>
            <m:sty m:val="p"/>
          </m:rPr>
          <m:t>&lt;</m:t>
        </m:r>
        <m:r>
          <m:t>0</m:t>
        </m:r>
      </m:oMath>
      <w:r>
        <w:t xml:space="preserve"> </w:t>
      </w:r>
      <w:r>
        <w:t xml:space="preserve">are converted to</w:t>
      </w:r>
      <w:r>
        <w:t xml:space="preserve"> </w:t>
      </w:r>
      <w:r>
        <w:rPr>
          <w:rStyle w:val="VerbatimChar"/>
        </w:rPr>
        <w:t xml:space="preserve">NA</w:t>
      </w:r>
      <w:r>
        <w:t xml:space="preserve">.</w:t>
      </w:r>
      <w:r>
        <w:t xml:space="preserve"> </w:t>
      </w:r>
      <w:r>
        <w:t xml:space="preserve">-</w:t>
      </w:r>
      <w:r>
        <w:t xml:space="preserve"> </w:t>
      </w:r>
      <w:r>
        <w:rPr>
          <w:b/>
          <w:bCs/>
        </w:rPr>
        <w:t xml:space="preserve">Date Standardization:</w:t>
      </w:r>
      <w:r>
        <w:t xml:space="preserve"> </w:t>
      </w:r>
      <w:r>
        <w:t xml:space="preserve">String dates are coerced into ISO 8601</w:t>
      </w:r>
      <w:r>
        <w:t xml:space="preserve"> </w:t>
      </w:r>
      <w:r>
        <w:rPr>
          <w:rStyle w:val="VerbatimChar"/>
        </w:rPr>
        <w:t xml:space="preserve">Date</w:t>
      </w:r>
      <w:r>
        <w:t xml:space="preserve"> </w:t>
      </w:r>
      <w:r>
        <w:t xml:space="preserve">format (</w:t>
      </w:r>
      <w:r>
        <w:rPr>
          <w:rStyle w:val="VerbatimChar"/>
        </w:rPr>
        <w:t xml:space="preserve">YYYY-MM-DD</w:t>
      </w:r>
      <w:r>
        <w:t xml:space="preserve">) via</w:t>
      </w:r>
      <w:r>
        <w:t xml:space="preserve"> </w:t>
      </w:r>
      <w:r>
        <w:rPr>
          <w:rStyle w:val="VerbatimChar"/>
        </w:rPr>
        <w:t xml:space="preserve">lubridate::as.Date()</w:t>
      </w:r>
      <w:r>
        <w:t xml:space="preserve">.</w:t>
      </w:r>
      <w:r>
        <w:t xml:space="preserve"> </w:t>
      </w:r>
      <w:r>
        <w:t xml:space="preserve">-</w:t>
      </w:r>
      <w:r>
        <w:t xml:space="preserve"> </w:t>
      </w:r>
      <w:r>
        <w:rPr>
          <w:b/>
          <w:bCs/>
        </w:rPr>
        <w:t xml:space="preserve">String Cleaning:</w:t>
      </w:r>
      <w:r>
        <w:t xml:space="preserve"> </w:t>
      </w:r>
      <w:r>
        <w:t xml:space="preserve">Leading/trailing whitespace and non-printable control characters are purged via</w:t>
      </w:r>
      <w:r>
        <w:t xml:space="preserve"> </w:t>
      </w:r>
      <w:r>
        <w:rPr>
          <w:rStyle w:val="VerbatimChar"/>
        </w:rPr>
        <w:t xml:space="preserve">trimws()</w:t>
      </w:r>
      <w:r>
        <w:t xml:space="preserve"> </w:t>
      </w:r>
      <w:r>
        <w:t xml:space="preserve">and regular expressions.</w:t>
      </w:r>
    </w:p>
    <w:bookmarkEnd w:id="28"/>
    <w:bookmarkStart w:id="29" w:name="X5599fba7b3365fef00690c26bcff76ddd1cd24b"/>
    <w:p>
      <w:pPr>
        <w:pStyle w:val="Heading2"/>
      </w:pPr>
      <w:r>
        <w:rPr>
          <w:rStyle w:val="SectionNumber"/>
        </w:rPr>
        <w:t xml:space="preserve">3.2</w:t>
      </w:r>
      <w:r>
        <w:tab/>
      </w:r>
      <w:r>
        <w:t xml:space="preserve">3.2 Categorical Factor Encoding &amp; Severity Ranks</w:t>
      </w:r>
    </w:p>
    <w:p>
      <w:pPr>
        <w:pStyle w:val="FirstParagraph"/>
      </w:pPr>
      <w:r>
        <w:t xml:space="preserve">In R, ordered factors allow visuals and calculations to follow intended semantic hierarchies rather than alphabetical defaults:</w:t>
      </w:r>
      <w:r>
        <w:t xml:space="preserve"> </w:t>
      </w:r>
      <w:r>
        <w:t xml:space="preserve">- CPCB AQI categories are mapped to an ordered factor:</w:t>
      </w:r>
      <w:r>
        <w:t xml:space="preserve"> </w:t>
      </w:r>
      <m:oMath>
        <m:r>
          <m:rPr>
            <m:nor/>
            <m:sty m:val="p"/>
          </m:rPr>
          <m:t>Good</m:t>
        </m:r>
        <m:r>
          <m:rPr>
            <m:sty m:val="p"/>
          </m:rPr>
          <m:t>&lt;</m:t>
        </m:r>
        <m:r>
          <m:rPr>
            <m:nor/>
            <m:sty m:val="p"/>
          </m:rPr>
          <m:t>Satisfactory</m:t>
        </m:r>
        <m:r>
          <m:rPr>
            <m:sty m:val="p"/>
          </m:rPr>
          <m:t>&lt;</m:t>
        </m:r>
        <m:r>
          <m:rPr>
            <m:nor/>
            <m:sty m:val="p"/>
          </m:rPr>
          <m:t>Moderate</m:t>
        </m:r>
        <m:r>
          <m:rPr>
            <m:sty m:val="p"/>
          </m:rPr>
          <m:t>&lt;</m:t>
        </m:r>
        <m:r>
          <m:rPr>
            <m:nor/>
            <m:sty m:val="p"/>
          </m:rPr>
          <m:t>Poor</m:t>
        </m:r>
        <m:r>
          <m:rPr>
            <m:sty m:val="p"/>
          </m:rPr>
          <m:t>&lt;</m:t>
        </m:r>
        <m:r>
          <m:rPr>
            <m:nor/>
            <m:sty m:val="p"/>
          </m:rPr>
          <m:t>Very Poor</m:t>
        </m:r>
        <m:r>
          <m:rPr>
            <m:sty m:val="p"/>
          </m:rPr>
          <m:t>&lt;</m:t>
        </m:r>
        <m:r>
          <m:rPr>
            <m:nor/>
            <m:sty m:val="p"/>
          </m:rPr>
          <m:t>Severe</m:t>
        </m:r>
      </m:oMath>
      <w:r>
        <w:t xml:space="preserve">.</w:t>
      </w:r>
      <w:r>
        <w:t xml:space="preserve"> </w:t>
      </w:r>
      <w:r>
        <w:t xml:space="preserve">- An integer</w:t>
      </w:r>
      <w:r>
        <w:t xml:space="preserve"> </w:t>
      </w:r>
      <w:r>
        <w:rPr>
          <w:rStyle w:val="VerbatimChar"/>
        </w:rPr>
        <w:t xml:space="preserve">AQI_Severity_Rank</w:t>
      </w:r>
      <w:r>
        <w:t xml:space="preserve"> </w:t>
      </w:r>
      <w:r>
        <w:t xml:space="preserve">(</w:t>
      </w:r>
      <m:oMath>
        <m:r>
          <m:t>1</m:t>
        </m:r>
        <m:r>
          <m:rPr>
            <m:sty m:val="p"/>
          </m:rPr>
          <m:t>,</m:t>
        </m:r>
        <m:r>
          <m:t>2</m:t>
        </m:r>
        <m:r>
          <m:rPr>
            <m:sty m:val="p"/>
          </m:rPr>
          <m:t>,</m:t>
        </m:r>
        <m:r>
          <m:t>3</m:t>
        </m:r>
        <m:r>
          <m:rPr>
            <m:sty m:val="p"/>
          </m:rPr>
          <m:t>,</m:t>
        </m:r>
        <m:r>
          <m:t>4</m:t>
        </m:r>
        <m:r>
          <m:rPr>
            <m:sty m:val="p"/>
          </m:rPr>
          <m:t>,</m:t>
        </m:r>
        <m:r>
          <m:t>5</m:t>
        </m:r>
        <m:r>
          <m:rPr>
            <m:sty m:val="p"/>
          </m:rPr>
          <m:t>,</m:t>
        </m:r>
        <m:r>
          <m:t>6</m:t>
        </m:r>
      </m:oMath>
      <w:r>
        <w:t xml:space="preserve">) is assigned to enforce logical color grading and sorting in tables and matrix displays.</w:t>
      </w:r>
      <w:r>
        <w:t xml:space="preserve"> </w:t>
      </w:r>
      <w:r>
        <w:t xml:space="preserve">- Missing categories with valid numeric AQI are imputed based on statutory breakpoints:</w:t>
      </w:r>
    </w:p>
    <w:p>
      <w:pPr>
        <w:pStyle w:val="BodyText"/>
      </w:pPr>
      <m:oMathPara>
        <m:oMathParaPr>
          <m:jc m:val="center"/>
        </m:oMathParaPr>
        <m:oMath>
          <m:r>
            <m:rPr>
              <m:nor/>
              <m:sty m:val="p"/>
            </m:rPr>
            <m:t>AQI Bucket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Good</m:t>
                    </m:r>
                  </m:e>
                  <m:e>
                    <m:r>
                      <m:t>0</m:t>
                    </m:r>
                    <m:r>
                      <m:rPr>
                        <m:sty m:val="p"/>
                      </m:rPr>
                      <m:t>≤</m:t>
                    </m:r>
                    <m:r>
                      <m:rPr>
                        <m:nor/>
                        <m:sty m:val="p"/>
                      </m:rPr>
                      <m:t>AQI</m:t>
                    </m:r>
                    <m:r>
                      <m:rPr>
                        <m:sty m:val="p"/>
                      </m:rPr>
                      <m:t>≤</m:t>
                    </m:r>
                    <m:r>
                      <m:t>50</m:t>
                    </m:r>
                  </m:e>
                </m:mr>
                <m:mr>
                  <m:e>
                    <m:r>
                      <m:rPr>
                        <m:nor/>
                        <m:sty m:val="p"/>
                      </m:rPr>
                      <m:t>Satisfactory</m:t>
                    </m:r>
                  </m:e>
                  <m:e>
                    <m:r>
                      <m:t>51</m:t>
                    </m:r>
                    <m:r>
                      <m:rPr>
                        <m:sty m:val="p"/>
                      </m:rPr>
                      <m:t>≤</m:t>
                    </m:r>
                    <m:r>
                      <m:rPr>
                        <m:nor/>
                        <m:sty m:val="p"/>
                      </m:rPr>
                      <m:t>AQI</m:t>
                    </m:r>
                    <m:r>
                      <m:rPr>
                        <m:sty m:val="p"/>
                      </m:rPr>
                      <m:t>≤</m:t>
                    </m:r>
                    <m:r>
                      <m:t>100</m:t>
                    </m:r>
                  </m:e>
                </m:mr>
                <m:mr>
                  <m:e>
                    <m:r>
                      <m:rPr>
                        <m:nor/>
                        <m:sty m:val="p"/>
                      </m:rPr>
                      <m:t>Moderate</m:t>
                    </m:r>
                  </m:e>
                  <m:e>
                    <m:r>
                      <m:t>101</m:t>
                    </m:r>
                    <m:r>
                      <m:rPr>
                        <m:sty m:val="p"/>
                      </m:rPr>
                      <m:t>≤</m:t>
                    </m:r>
                    <m:r>
                      <m:rPr>
                        <m:nor/>
                        <m:sty m:val="p"/>
                      </m:rPr>
                      <m:t>AQI</m:t>
                    </m:r>
                    <m:r>
                      <m:rPr>
                        <m:sty m:val="p"/>
                      </m:rPr>
                      <m:t>≤</m:t>
                    </m:r>
                    <m:r>
                      <m:t>200</m:t>
                    </m:r>
                  </m:e>
                </m:mr>
                <m:mr>
                  <m:e>
                    <m:r>
                      <m:rPr>
                        <m:nor/>
                        <m:sty m:val="p"/>
                      </m:rPr>
                      <m:t>Poor</m:t>
                    </m:r>
                  </m:e>
                  <m:e>
                    <m:r>
                      <m:t>201</m:t>
                    </m:r>
                    <m:r>
                      <m:rPr>
                        <m:sty m:val="p"/>
                      </m:rPr>
                      <m:t>≤</m:t>
                    </m:r>
                    <m:r>
                      <m:rPr>
                        <m:nor/>
                        <m:sty m:val="p"/>
                      </m:rPr>
                      <m:t>AQI</m:t>
                    </m:r>
                    <m:r>
                      <m:rPr>
                        <m:sty m:val="p"/>
                      </m:rPr>
                      <m:t>≤</m:t>
                    </m:r>
                    <m:r>
                      <m:t>300</m:t>
                    </m:r>
                  </m:e>
                </m:mr>
                <m:mr>
                  <m:e>
                    <m:r>
                      <m:rPr>
                        <m:nor/>
                        <m:sty m:val="p"/>
                      </m:rPr>
                      <m:t>Very Poor</m:t>
                    </m:r>
                  </m:e>
                  <m:e>
                    <m:r>
                      <m:t>301</m:t>
                    </m:r>
                    <m:r>
                      <m:rPr>
                        <m:sty m:val="p"/>
                      </m:rPr>
                      <m:t>≤</m:t>
                    </m:r>
                    <m:r>
                      <m:rPr>
                        <m:nor/>
                        <m:sty m:val="p"/>
                      </m:rPr>
                      <m:t>AQI</m:t>
                    </m:r>
                    <m:r>
                      <m:rPr>
                        <m:sty m:val="p"/>
                      </m:rPr>
                      <m:t>≤</m:t>
                    </m:r>
                    <m:r>
                      <m:t>400</m:t>
                    </m:r>
                  </m:e>
                </m:mr>
                <m:mr>
                  <m:e>
                    <m:r>
                      <m:rPr>
                        <m:nor/>
                        <m:sty m:val="p"/>
                      </m:rPr>
                      <m:t>Severe</m:t>
                    </m:r>
                  </m:e>
                  <m:e>
                    <m:r>
                      <m:rPr>
                        <m:nor/>
                        <m:sty m:val="p"/>
                      </m:rPr>
                      <m:t>AQI</m:t>
                    </m:r>
                    <m:r>
                      <m:rPr>
                        <m:sty m:val="p"/>
                      </m:rPr>
                      <m:t>&gt;</m:t>
                    </m:r>
                    <m:r>
                      <m:t>400</m:t>
                    </m:r>
                  </m:e>
                </m:mr>
              </m:m>
            </m:e>
          </m:d>
        </m:oMath>
      </m:oMathPara>
    </w:p>
    <w:bookmarkEnd w:id="29"/>
    <w:bookmarkStart w:id="30" w:name="handling-extreme-outliers-500-aqi-scale"/>
    <w:p>
      <w:pPr>
        <w:pStyle w:val="Heading2"/>
      </w:pPr>
      <w:r>
        <w:rPr>
          <w:rStyle w:val="SectionNumber"/>
        </w:rPr>
        <w:t xml:space="preserve">3.3</w:t>
      </w:r>
      <w:r>
        <w:tab/>
      </w:r>
      <w:r>
        <w:t xml:space="preserve">3.3 Handling Extreme Outliers (&gt; 500 AQI Scale)</w:t>
      </w:r>
    </w:p>
    <w:p>
      <w:pPr>
        <w:pStyle w:val="FirstParagraph"/>
      </w:pPr>
      <w:r>
        <w:t xml:space="preserve">The CPCB National Air Quality Index is mathematically defined on a 0–500 scale. However, the raw CPCB station dataset contains readings exceeding 500, with a notable peak of</w:t>
      </w:r>
      <w:r>
        <w:t xml:space="preserve"> </w:t>
      </w:r>
      <w:r>
        <w:rPr>
          <w:b/>
          <w:bCs/>
        </w:rPr>
        <w:t xml:space="preserve">2,049</w:t>
      </w:r>
      <w:r>
        <w:t xml:space="preserve"> </w:t>
      </w:r>
      <w:r>
        <w:t xml:space="preserve">recorded at the Maninagar station in Ahmedabad on 01 May 2018.</w:t>
      </w:r>
      <w:r>
        <w:t xml:space="preserve"> </w:t>
      </w:r>
      <w:r>
        <w:t xml:space="preserve">-</w:t>
      </w:r>
      <w:r>
        <w:t xml:space="preserve"> </w:t>
      </w:r>
      <w:r>
        <w:rPr>
          <w:b/>
          <w:bCs/>
        </w:rPr>
        <w:t xml:space="preserve">Root Cause Analysis:</w:t>
      </w:r>
      <w:r>
        <w:t xml:space="preserve"> </w:t>
      </w:r>
      <w:r>
        <w:t xml:space="preserve">Investigation reveals that during high-dust storm events or sensor calibration resets, raw sub-index sub-algorithms occasionally generate non-clamped values.</w:t>
      </w:r>
      <w:r>
        <w:t xml:space="preserve"> </w:t>
      </w:r>
      <w:r>
        <w:t xml:space="preserve">-</w:t>
      </w:r>
      <w:r>
        <w:t xml:space="preserve"> </w:t>
      </w:r>
      <w:r>
        <w:rPr>
          <w:b/>
          <w:bCs/>
        </w:rPr>
        <w:t xml:space="preserve">Engineering Disposition:</w:t>
      </w:r>
      <w:r>
        <w:t xml:space="preserve"> </w:t>
      </w:r>
      <w:r>
        <w:t xml:space="preserve">Rather than arbitrarily truncating the value to 500 (which would falsify raw records) or discarding the row (which causes data loss), the system creates a dedicated</w:t>
      </w:r>
      <w:r>
        <w:t xml:space="preserve"> </w:t>
      </w:r>
      <w:r>
        <w:rPr>
          <w:rStyle w:val="VerbatimChar"/>
        </w:rPr>
        <w:t xml:space="preserve">AQI_Outlier_Flag = 1</w:t>
      </w:r>
      <w:r>
        <w:t xml:space="preserve"> </w:t>
      </w:r>
      <w:r>
        <w:t xml:space="preserve">for records</w:t>
      </w:r>
      <w:r>
        <w:t xml:space="preserve"> </w:t>
      </w:r>
      <m:oMath>
        <m:r>
          <m:rPr>
            <m:sty m:val="p"/>
          </m:rPr>
          <m:t>&gt;</m:t>
        </m:r>
        <m:r>
          <m:t>500</m:t>
        </m:r>
      </m:oMath>
      <w:r>
        <w:t xml:space="preserve">. In dashboard KPI summaries, medians and trimmed means are reported alongside arithmetic means to ensure robust reporting.</w:t>
      </w:r>
    </w:p>
    <w:bookmarkEnd w:id="30"/>
    <w:bookmarkStart w:id="31" w:name="climatological-season-classification"/>
    <w:p>
      <w:pPr>
        <w:pStyle w:val="Heading2"/>
      </w:pPr>
      <w:r>
        <w:rPr>
          <w:rStyle w:val="SectionNumber"/>
        </w:rPr>
        <w:t xml:space="preserve">3.4</w:t>
      </w:r>
      <w:r>
        <w:tab/>
      </w:r>
      <w:r>
        <w:t xml:space="preserve">3.4 Climatological Season Classification</w:t>
      </w:r>
    </w:p>
    <w:p>
      <w:pPr>
        <w:pStyle w:val="FirstParagraph"/>
      </w:pPr>
      <w:r>
        <w:t xml:space="preserve">Air quality in the Indian subcontinent is fundamentally driven by the South Asian monsoon and winter meteorological boundary layer dynamics. Dates are classified according to the official Indian Meteorological Department (IMD) four-season climatological framework:</w:t>
      </w:r>
      <w:r>
        <w:t xml:space="preserve"> </w:t>
      </w:r>
      <w:r>
        <w:t xml:space="preserve">1.</w:t>
      </w:r>
      <w:r>
        <w:t xml:space="preserve"> </w:t>
      </w:r>
      <w:r>
        <w:rPr>
          <w:b/>
          <w:bCs/>
        </w:rPr>
        <w:t xml:space="preserve">Winter (December, January, February):</w:t>
      </w:r>
      <w:r>
        <w:t xml:space="preserve"> </w:t>
      </w:r>
      <w:r>
        <w:t xml:space="preserve">Low ambient temperatures, shallow planetary boundary layer height (</w:t>
      </w:r>
      <m:oMath>
        <m:r>
          <m:rPr>
            <m:sty m:val="p"/>
          </m:rPr>
          <m:t>&lt;</m:t>
        </m:r>
        <m:r>
          <m:t>200</m:t>
        </m:r>
        <m:r>
          <m:rPr>
            <m:nor/>
            <m:sty m:val="p"/>
          </m:rPr>
          <m:t> m</m:t>
        </m:r>
      </m:oMath>
      <w:r>
        <w:t xml:space="preserve">), calm surface winds, and frequent nocturnal thermal inversions.</w:t>
      </w:r>
      <w:r>
        <w:t xml:space="preserve"> </w:t>
      </w:r>
      <w:r>
        <w:t xml:space="preserve">2.</w:t>
      </w:r>
      <w:r>
        <w:t xml:space="preserve"> </w:t>
      </w:r>
      <w:r>
        <w:rPr>
          <w:b/>
          <w:bCs/>
        </w:rPr>
        <w:t xml:space="preserve">Summer / Pre-Monsoon (March, April, May):</w:t>
      </w:r>
      <w:r>
        <w:t xml:space="preserve"> </w:t>
      </w:r>
      <w:r>
        <w:t xml:space="preserve">High convective turbulence, elevated boundary layer (</w:t>
      </w:r>
      <m:oMath>
        <m:r>
          <m:rPr>
            <m:sty m:val="p"/>
          </m:rPr>
          <m:t>&gt;</m:t>
        </m:r>
        <m:r>
          <m:t>2</m:t>
        </m:r>
        <m:r>
          <m:rPr>
            <m:sty m:val="p"/>
          </m:rPr>
          <m:t>,</m:t>
        </m:r>
        <m:r>
          <m:t>000</m:t>
        </m:r>
        <m:r>
          <m:rPr>
            <m:nor/>
            <m:sty m:val="p"/>
          </m:rPr>
          <m:t> m</m:t>
        </m:r>
      </m:oMath>
      <w:r>
        <w:t xml:space="preserve">), and regional crustal dust transport.</w:t>
      </w:r>
      <w:r>
        <w:t xml:space="preserve"> </w:t>
      </w:r>
      <w:r>
        <w:t xml:space="preserve">3.</w:t>
      </w:r>
      <w:r>
        <w:t xml:space="preserve"> </w:t>
      </w:r>
      <w:r>
        <w:rPr>
          <w:b/>
          <w:bCs/>
        </w:rPr>
        <w:t xml:space="preserve">Monsoon (June, July, August, September):</w:t>
      </w:r>
      <w:r>
        <w:t xml:space="preserve"> </w:t>
      </w:r>
      <w:r>
        <w:t xml:space="preserve">Vigorous south-westerly maritime winds and heavy precipitation washouts (wet scavenging of particulates).</w:t>
      </w:r>
      <w:r>
        <w:t xml:space="preserve"> </w:t>
      </w:r>
      <w:r>
        <w:t xml:space="preserve">4.</w:t>
      </w:r>
      <w:r>
        <w:t xml:space="preserve"> </w:t>
      </w:r>
      <w:r>
        <w:rPr>
          <w:b/>
          <w:bCs/>
        </w:rPr>
        <w:t xml:space="preserve">Post-Monsoon (October, November):</w:t>
      </w:r>
      <w:r>
        <w:t xml:space="preserve"> </w:t>
      </w:r>
      <w:r>
        <w:t xml:space="preserve">Rapid boundary layer compression, atmospheric stagnation, and widespread agricultural crop residue combustion across north-western states.</w:t>
      </w:r>
    </w:p>
    <w:bookmarkEnd w:id="31"/>
    <w:bookmarkStart w:id="32" w:name="multi-pollutant-moving-average-smoothers"/>
    <w:p>
      <w:pPr>
        <w:pStyle w:val="Heading2"/>
      </w:pPr>
      <w:r>
        <w:rPr>
          <w:rStyle w:val="SectionNumber"/>
        </w:rPr>
        <w:t xml:space="preserve">3.5</w:t>
      </w:r>
      <w:r>
        <w:tab/>
      </w:r>
      <w:r>
        <w:t xml:space="preserve">3.5 Multi-Pollutant Moving Average Smoothers</w:t>
      </w:r>
    </w:p>
    <w:p>
      <w:pPr>
        <w:pStyle w:val="FirstParagraph"/>
      </w:pPr>
      <w:r>
        <w:t xml:space="preserve">High-frequency daily observations exhibit substantial day-to-day meteorological noise. To expose underlying trajectories, sliding-window rolling averages are engineered using a right-aligned cumulative sum algorithm:</w:t>
      </w:r>
    </w:p>
    <w:p>
      <w:pPr>
        <w:pStyle w:val="BodyText"/>
      </w:pPr>
      <m:oMathPara>
        <m:oMathParaPr>
          <m:jc m:val="center"/>
        </m:oMathParaPr>
        <m:oMath>
          <m:sSub>
            <m:e>
              <m:acc>
                <m:accPr>
                  <m:chr m:val="‾"/>
                </m:accPr>
                <m:e>
                  <m:r>
                    <m:t>X</m:t>
                  </m:r>
                </m:e>
              </m:acc>
            </m:e>
            <m:sub>
              <m:r>
                <m:t>t</m:t>
              </m:r>
              <m:r>
                <m:rPr>
                  <m:sty m:val="p"/>
                </m:rPr>
                <m:t>,</m:t>
              </m:r>
              <m:r>
                <m:t>k</m:t>
              </m:r>
            </m:sub>
          </m:sSub>
          <m:r>
            <m:rPr>
              <m:sty m:val="p"/>
            </m:rPr>
            <m:t>=</m:t>
          </m:r>
          <m:f>
            <m:fPr>
              <m:type m:val="bar"/>
            </m:fPr>
            <m:num>
              <m:r>
                <m:t>1</m:t>
              </m:r>
            </m:num>
            <m:den>
              <m:r>
                <m:t>m</m:t>
              </m:r>
            </m:den>
          </m:f>
          <m:nary>
            <m:naryPr>
              <m:chr m:val="∑"/>
              <m:limLoc m:val="undOvr"/>
              <m:subHide m:val="off"/>
              <m:supHide m:val="off"/>
            </m:naryPr>
            <m:sub>
              <m:r>
                <m:t>i</m:t>
              </m:r>
              <m:r>
                <m:rPr>
                  <m:sty m:val="p"/>
                </m:rPr>
                <m:t>=</m:t>
              </m:r>
              <m:r>
                <m:t>0</m:t>
              </m:r>
            </m:sub>
            <m:sup>
              <m:r>
                <m:t>k</m:t>
              </m:r>
              <m:r>
                <m:rPr>
                  <m:sty m:val="p"/>
                </m:rPr>
                <m:t>−</m:t>
              </m:r>
              <m:r>
                <m:t>1</m:t>
              </m:r>
            </m:sup>
            <m:e>
              <m:sSub>
                <m:e>
                  <m:r>
                    <m:t>X</m:t>
                  </m:r>
                </m:e>
                <m:sub>
                  <m:r>
                    <m:t>t</m:t>
                  </m:r>
                  <m:r>
                    <m:rPr>
                      <m:sty m:val="p"/>
                    </m:rPr>
                    <m:t>−</m:t>
                  </m:r>
                  <m:r>
                    <m:t>i</m:t>
                  </m:r>
                </m:sub>
              </m:sSub>
            </m:e>
          </m:nary>
          <m:r>
            <m:rPr>
              <m:sty m:val="p"/>
            </m:rPr>
            <m:t>⋅</m:t>
          </m:r>
          <m:r>
            <m:rPr>
              <m:scr m:val="double-struck"/>
              <m:sty m:val="p"/>
            </m:rPr>
            <m:t>I</m:t>
          </m:r>
          <m:r>
            <m:rPr>
              <m:sty m:val="p"/>
            </m:rPr>
            <m:t>(</m:t>
          </m:r>
          <m:sSub>
            <m:e>
              <m:r>
                <m:t>X</m:t>
              </m:r>
            </m:e>
            <m:sub>
              <m:r>
                <m:t>t</m:t>
              </m:r>
              <m:r>
                <m:rPr>
                  <m:sty m:val="p"/>
                </m:rPr>
                <m:t>−</m:t>
              </m:r>
              <m:r>
                <m:t>i</m:t>
              </m:r>
            </m:sub>
          </m:sSub>
          <m:r>
            <m:rPr>
              <m:nor/>
              <m:sty m:val="p"/>
            </m:rPr>
            <m:t> is not NA</m:t>
          </m:r>
          <m:r>
            <m:rPr>
              <m:sty m:val="p"/>
            </m:rPr>
            <m:t>)</m:t>
          </m:r>
        </m:oMath>
      </m:oMathPara>
    </w:p>
    <w:p>
      <w:pPr>
        <w:pStyle w:val="FirstParagraph"/>
      </w:pPr>
      <w:r>
        <w:t xml:space="preserve">where</w:t>
      </w:r>
      <w:r>
        <w:t xml:space="preserve"> </w:t>
      </w:r>
      <m:oMath>
        <m:r>
          <m:t>k</m:t>
        </m:r>
        <m:r>
          <m:rPr>
            <m:sty m:val="p"/>
          </m:rPr>
          <m:t>∈</m:t>
        </m:r>
        <m:r>
          <m:rPr>
            <m:sty m:val="p"/>
          </m:rPr>
          <m:t>{</m:t>
        </m:r>
        <m:r>
          <m:t>7</m:t>
        </m:r>
        <m:r>
          <m:rPr>
            <m:sty m:val="p"/>
          </m:rPr>
          <m:t>,</m:t>
        </m:r>
        <m:r>
          <m:t>30</m:t>
        </m:r>
        <m:r>
          <m:rPr>
            <m:sty m:val="p"/>
          </m:rPr>
          <m:t>}</m:t>
        </m:r>
      </m:oMath>
      <w:r>
        <w:t xml:space="preserve"> </w:t>
      </w:r>
      <w:r>
        <w:t xml:space="preserve">days, requiring at least</w:t>
      </w:r>
      <w:r>
        <w:t xml:space="preserve"> </w:t>
      </w:r>
      <m:oMath>
        <m:r>
          <m:t>60</m:t>
        </m:r>
        <m:r>
          <m:rPr>
            <m:sty m:val="p"/>
          </m:rPr>
          <m:t>%</m:t>
        </m:r>
      </m:oMath>
      <w:r>
        <w:t xml:space="preserve"> </w:t>
      </w:r>
      <w:r>
        <w:t xml:space="preserve">non-missing observations in the window (</w:t>
      </w:r>
      <m:oMath>
        <m:r>
          <m:t>m</m:t>
        </m:r>
        <m:r>
          <m:rPr>
            <m:sty m:val="p"/>
          </m:rPr>
          <m:t>≥</m:t>
        </m:r>
        <m:r>
          <m:t>0.6</m:t>
        </m:r>
        <m:r>
          <m:t>k</m:t>
        </m:r>
      </m:oMath>
      <w:r>
        <w:t xml:space="preserve">).</w:t>
      </w:r>
    </w:p>
    <w:bookmarkEnd w:id="32"/>
    <w:bookmarkStart w:id="33" w:name="volatility-modeling-via-bollinger-bands"/>
    <w:p>
      <w:pPr>
        <w:pStyle w:val="Heading2"/>
      </w:pPr>
      <w:r>
        <w:rPr>
          <w:rStyle w:val="SectionNumber"/>
        </w:rPr>
        <w:t xml:space="preserve">3.6</w:t>
      </w:r>
      <w:r>
        <w:tab/>
      </w:r>
      <w:r>
        <w:t xml:space="preserve">3.6 Volatility Modeling via Bollinger Bands</w:t>
      </w:r>
    </w:p>
    <w:p>
      <w:pPr>
        <w:pStyle w:val="FirstParagraph"/>
      </w:pPr>
      <w:r>
        <w:t xml:space="preserve">Bollinger Bands, originally conceived by John Bollinger for financial market volatility, are innovatively adapted here into atmospheric data science to track baseline air quality envelopes and isolate episodic anomalies:</w:t>
      </w:r>
      <w:r>
        <w:t xml:space="preserve"> </w:t>
      </w:r>
      <w:r>
        <w:t xml:space="preserve">-</w:t>
      </w:r>
      <w:r>
        <w:t xml:space="preserve"> </w:t>
      </w:r>
      <w:r>
        <w:rPr>
          <w:b/>
          <w:bCs/>
        </w:rPr>
        <w:t xml:space="preserve">Middle Band (MA20):</w:t>
      </w:r>
      <w:r>
        <w:t xml:space="preserve"> </w:t>
      </w:r>
      <w:r>
        <w:t xml:space="preserve">20-day rolling moving average</w:t>
      </w:r>
      <w:r>
        <w:t xml:space="preserve"> </w:t>
      </w:r>
      <m:oMath>
        <m:sSub>
          <m:e>
            <m:r>
              <m:t>μ</m:t>
            </m:r>
          </m:e>
          <m:sub>
            <m:r>
              <m:t>t</m:t>
            </m:r>
            <m:r>
              <m:rPr>
                <m:sty m:val="p"/>
              </m:rPr>
              <m:t>,</m:t>
            </m:r>
            <m:r>
              <m:t>20</m:t>
            </m:r>
          </m:sub>
        </m:sSub>
      </m:oMath>
      <w:r>
        <w:t xml:space="preserve">.</w:t>
      </w:r>
      <w:r>
        <w:t xml:space="preserve"> </w:t>
      </w:r>
      <w:r>
        <w:t xml:space="preserve">-</w:t>
      </w:r>
      <w:r>
        <w:t xml:space="preserve"> </w:t>
      </w:r>
      <w:r>
        <w:rPr>
          <w:b/>
          <w:bCs/>
        </w:rPr>
        <w:t xml:space="preserve">Upper Volatility Band (+2 SD):</w:t>
      </w:r>
      <w:r>
        <w:t xml:space="preserve"> </w:t>
      </w:r>
      <m:oMath>
        <m:sSub>
          <m:e>
            <m:r>
              <m:rPr>
                <m:nor/>
                <m:sty m:val="p"/>
              </m:rPr>
              <m:t>UB</m:t>
            </m:r>
          </m:e>
          <m:sub>
            <m:r>
              <m:t>t</m:t>
            </m:r>
          </m:sub>
        </m:sSub>
        <m:r>
          <m:rPr>
            <m:sty m:val="p"/>
          </m:rPr>
          <m:t>=</m:t>
        </m:r>
        <m:sSub>
          <m:e>
            <m:r>
              <m:t>μ</m:t>
            </m:r>
          </m:e>
          <m:sub>
            <m:r>
              <m:t>t</m:t>
            </m:r>
            <m:r>
              <m:rPr>
                <m:sty m:val="p"/>
              </m:rPr>
              <m:t>,</m:t>
            </m:r>
            <m:r>
              <m:t>20</m:t>
            </m:r>
          </m:sub>
        </m:sSub>
        <m:r>
          <m:rPr>
            <m:sty m:val="p"/>
          </m:rPr>
          <m:t>+</m:t>
        </m:r>
        <m:r>
          <m:t>2</m:t>
        </m:r>
        <m:r>
          <m:rPr>
            <m:sty m:val="p"/>
          </m:rPr>
          <m:t>⋅</m:t>
        </m:r>
        <m:sSub>
          <m:e>
            <m:r>
              <m:t>σ</m:t>
            </m:r>
          </m:e>
          <m:sub>
            <m:r>
              <m:t>t</m:t>
            </m:r>
            <m:r>
              <m:rPr>
                <m:sty m:val="p"/>
              </m:rPr>
              <m:t>,</m:t>
            </m:r>
            <m:r>
              <m:t>20</m:t>
            </m:r>
          </m:sub>
        </m:sSub>
      </m:oMath>
      <w:r>
        <w:t xml:space="preserve">.</w:t>
      </w:r>
      <w:r>
        <w:t xml:space="preserve"> </w:t>
      </w:r>
      <w:r>
        <w:t xml:space="preserve">-</w:t>
      </w:r>
      <w:r>
        <w:t xml:space="preserve"> </w:t>
      </w:r>
      <w:r>
        <w:rPr>
          <w:b/>
          <w:bCs/>
        </w:rPr>
        <w:t xml:space="preserve">Lower Volatility Band (-2 SD):</w:t>
      </w:r>
      <w:r>
        <w:t xml:space="preserve"> </w:t>
      </w:r>
      <m:oMath>
        <m:sSub>
          <m:e>
            <m:r>
              <m:rPr>
                <m:nor/>
                <m:sty m:val="p"/>
              </m:rPr>
              <m:t>LB</m:t>
            </m:r>
          </m:e>
          <m:sub>
            <m:r>
              <m:t>t</m:t>
            </m:r>
          </m:sub>
        </m:sSub>
        <m:r>
          <m:rPr>
            <m:sty m:val="p"/>
          </m:rPr>
          <m:t>=</m:t>
        </m:r>
        <m:r>
          <m:rPr>
            <m:sty m:val="p"/>
          </m:rPr>
          <m:t>max</m:t>
        </m:r>
        <m:r>
          <m:rPr>
            <m:sty m:val="p"/>
          </m:rPr>
          <m:t>(</m:t>
        </m:r>
        <m:r>
          <m:t>0</m:t>
        </m:r>
        <m:r>
          <m:rPr>
            <m:sty m:val="p"/>
          </m:rPr>
          <m:t>,</m:t>
        </m:r>
        <m:sSub>
          <m:e>
            <m:r>
              <m:t>μ</m:t>
            </m:r>
          </m:e>
          <m:sub>
            <m:r>
              <m:t>t</m:t>
            </m:r>
            <m:r>
              <m:rPr>
                <m:sty m:val="p"/>
              </m:rPr>
              <m:t>,</m:t>
            </m:r>
            <m:r>
              <m:t>20</m:t>
            </m:r>
          </m:sub>
        </m:sSub>
        <m:r>
          <m:rPr>
            <m:sty m:val="p"/>
          </m:rPr>
          <m:t>−</m:t>
        </m:r>
        <m:r>
          <m:t>2</m:t>
        </m:r>
        <m:r>
          <m:rPr>
            <m:sty m:val="p"/>
          </m:rPr>
          <m:t>⋅</m:t>
        </m:r>
        <m:sSub>
          <m:e>
            <m:r>
              <m:t>σ</m:t>
            </m:r>
          </m:e>
          <m:sub>
            <m:r>
              <m:t>t</m:t>
            </m:r>
            <m:r>
              <m:rPr>
                <m:sty m:val="p"/>
              </m:rPr>
              <m:t>,</m:t>
            </m:r>
            <m:r>
              <m:t>20</m:t>
            </m:r>
          </m:sub>
        </m:sSub>
        <m:r>
          <m:rPr>
            <m:sty m:val="p"/>
          </m:rPr>
          <m:t>)</m:t>
        </m:r>
      </m:oMath>
      <w:r>
        <w:t xml:space="preserve">.</w:t>
      </w:r>
      <w:r>
        <w:t xml:space="preserve"> </w:t>
      </w:r>
      <w:r>
        <w:t xml:space="preserve">-</w:t>
      </w:r>
      <w:r>
        <w:t xml:space="preserve"> </w:t>
      </w:r>
      <w:r>
        <w:rPr>
          <w:b/>
          <w:bCs/>
        </w:rPr>
        <w:t xml:space="preserve">Episodic Spike Flag:</w:t>
      </w:r>
      <w:r>
        <w:t xml:space="preserve"> </w:t>
      </w:r>
      <m:oMath>
        <m:r>
          <m:rPr>
            <m:scr m:val="double-struck"/>
            <m:sty m:val="p"/>
          </m:rPr>
          <m:t>I</m:t>
        </m:r>
        <m:r>
          <m:rPr>
            <m:sty m:val="p"/>
          </m:rPr>
          <m:t>(</m:t>
        </m:r>
        <m:sSub>
          <m:e>
            <m:r>
              <m:t>X</m:t>
            </m:r>
          </m:e>
          <m:sub>
            <m:r>
              <m:t>t</m:t>
            </m:r>
          </m:sub>
        </m:sSub>
        <m:r>
          <m:rPr>
            <m:sty m:val="p"/>
          </m:rPr>
          <m:t>&gt;</m:t>
        </m:r>
        <m:sSub>
          <m:e>
            <m:r>
              <m:rPr>
                <m:nor/>
                <m:sty m:val="p"/>
              </m:rPr>
              <m:t>UB</m:t>
            </m:r>
          </m:e>
          <m:sub>
            <m:r>
              <m:t>t</m:t>
            </m:r>
          </m:sub>
        </m:sSub>
        <m:r>
          <m:rPr>
            <m:sty m:val="p"/>
          </m:rPr>
          <m:t>)</m:t>
        </m:r>
      </m:oMath>
      <w:r>
        <w:t xml:space="preserve">. Readings that pierce the</w:t>
      </w:r>
      <w:r>
        <w:t xml:space="preserve"> </w:t>
      </w:r>
      <m:oMath>
        <m:r>
          <m:rPr>
            <m:sty m:val="p"/>
          </m:rPr>
          <m:t>+</m:t>
        </m:r>
        <m:r>
          <m:t>2</m:t>
        </m:r>
        <m:r>
          <m:t>σ</m:t>
        </m:r>
      </m:oMath>
      <w:r>
        <w:t xml:space="preserve"> </w:t>
      </w:r>
      <w:r>
        <w:t xml:space="preserve">upper ceiling represent statistically abnormal pollution shocks (e.g., crop residue burning episodes or post-Diwali pyrotechnic bursts) rather than standard urban baseline emissions.</w:t>
      </w:r>
    </w:p>
    <w:bookmarkEnd w:id="33"/>
    <w:bookmarkStart w:id="34" w:name="comprehensive-summary-statistics"/>
    <w:p>
      <w:pPr>
        <w:pStyle w:val="Heading2"/>
      </w:pPr>
      <w:r>
        <w:rPr>
          <w:rStyle w:val="SectionNumber"/>
        </w:rPr>
        <w:t xml:space="preserve">3.7</w:t>
      </w:r>
      <w:r>
        <w:tab/>
      </w:r>
      <w:r>
        <w:t xml:space="preserve">3.7 Comprehensive Summary Statistics</w:t>
      </w:r>
    </w:p>
    <w:p>
      <w:pPr>
        <w:pStyle w:val="FirstParagraph"/>
      </w:pPr>
      <w:r>
        <w:t xml:space="preserve">Across all 29,531 city-daily observations, parametric and non-parametric statistical moments were computed:</w:t>
      </w:r>
    </w:p>
    <w:p>
      <w:pPr>
        <w:pStyle w:val="TableCaption"/>
      </w:pPr>
      <w:r>
        <w:t xml:space="preserve">Parametric and Non-Parametric Summary Statistics for Criteria Ambient Pollutants in India</w:t>
      </w:r>
    </w:p>
    <w:tbl>
      <w:tblPr>
        <w:tblStyle w:val="Table"/>
        <w:tblW w:type="pct" w:w="5000"/>
        <w:tblLayout w:type="fixed"/>
        <w:tblLook w:firstRow="1" w:lastRow="0" w:firstColumn="0" w:lastColumn="0" w:noHBand="0" w:noVBand="0" w:val="0020"/>
        <w:tblCaption w:val="Parametric and Non-Parametric Summary Statistics for Criteria Ambient Pollutants in India"/>
      </w:tblPr>
      <w:tblGrid>
        <w:gridCol w:w="1070"/>
        <w:gridCol w:w="642"/>
        <w:gridCol w:w="749"/>
        <w:gridCol w:w="749"/>
        <w:gridCol w:w="749"/>
        <w:gridCol w:w="749"/>
        <w:gridCol w:w="642"/>
        <w:gridCol w:w="856"/>
        <w:gridCol w:w="1712"/>
      </w:tblGrid>
      <w:tr>
        <w:trPr>
          <w:tblHeader w:val="on"/>
        </w:trPr>
        <w:tc>
          <w:tcPr/>
          <w:p>
            <w:pPr>
              <w:pStyle w:val="Compact"/>
              <w:jc w:val="left"/>
            </w:pPr>
            <w:r>
              <w:t xml:space="preserve">Pollutant</w:t>
            </w:r>
          </w:p>
        </w:tc>
        <w:tc>
          <w:tcPr/>
          <w:p>
            <w:pPr>
              <w:pStyle w:val="Compact"/>
              <w:jc w:val="right"/>
            </w:pPr>
            <w:r>
              <w:t xml:space="preserve">N_Obs</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Median</w:t>
            </w:r>
          </w:p>
        </w:tc>
        <w:tc>
          <w:tcPr/>
          <w:p>
            <w:pPr>
              <w:pStyle w:val="Compact"/>
              <w:jc w:val="right"/>
            </w:pPr>
            <w:r>
              <w:t xml:space="preserve">IQR</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Exceedance_Rate</w:t>
            </w:r>
          </w:p>
        </w:tc>
      </w:tr>
      <w:tr>
        <w:tc>
          <w:tcPr/>
          <w:p>
            <w:pPr>
              <w:pStyle w:val="Compact"/>
              <w:jc w:val="left"/>
            </w:pPr>
            <w:r>
              <w:t xml:space="preserve">PM2.5</w:t>
            </w:r>
          </w:p>
        </w:tc>
        <w:tc>
          <w:tcPr/>
          <w:p>
            <w:pPr>
              <w:pStyle w:val="Compact"/>
              <w:jc w:val="right"/>
            </w:pPr>
            <w:r>
              <w:t xml:space="preserve">24933</w:t>
            </w:r>
          </w:p>
        </w:tc>
        <w:tc>
          <w:tcPr/>
          <w:p>
            <w:pPr>
              <w:pStyle w:val="Compact"/>
              <w:jc w:val="right"/>
            </w:pPr>
            <w:r>
              <w:t xml:space="preserve">67.45</w:t>
            </w:r>
          </w:p>
        </w:tc>
        <w:tc>
          <w:tcPr/>
          <w:p>
            <w:pPr>
              <w:pStyle w:val="Compact"/>
              <w:jc w:val="right"/>
            </w:pPr>
            <w:r>
              <w:t xml:space="preserve">64.66</w:t>
            </w:r>
          </w:p>
        </w:tc>
        <w:tc>
          <w:tcPr/>
          <w:p>
            <w:pPr>
              <w:pStyle w:val="Compact"/>
              <w:jc w:val="right"/>
            </w:pPr>
            <w:r>
              <w:t xml:space="preserve">48.57</w:t>
            </w:r>
          </w:p>
        </w:tc>
        <w:tc>
          <w:tcPr/>
          <w:p>
            <w:pPr>
              <w:pStyle w:val="Compact"/>
              <w:jc w:val="right"/>
            </w:pPr>
            <w:r>
              <w:t xml:space="preserve">51.77</w:t>
            </w:r>
          </w:p>
        </w:tc>
        <w:tc>
          <w:tcPr/>
          <w:p>
            <w:pPr>
              <w:pStyle w:val="Compact"/>
              <w:jc w:val="right"/>
            </w:pPr>
            <w:r>
              <w:t xml:space="preserve">0.04</w:t>
            </w:r>
          </w:p>
        </w:tc>
        <w:tc>
          <w:tcPr/>
          <w:p>
            <w:pPr>
              <w:pStyle w:val="Compact"/>
              <w:jc w:val="right"/>
            </w:pPr>
            <w:r>
              <w:t xml:space="preserve">949.99</w:t>
            </w:r>
          </w:p>
        </w:tc>
        <w:tc>
          <w:tcPr/>
          <w:p>
            <w:pPr>
              <w:pStyle w:val="Compact"/>
              <w:jc w:val="right"/>
            </w:pPr>
            <w:r>
              <w:t xml:space="preserve">39.0</w:t>
            </w:r>
          </w:p>
        </w:tc>
      </w:tr>
      <w:tr>
        <w:tc>
          <w:tcPr/>
          <w:p>
            <w:pPr>
              <w:pStyle w:val="Compact"/>
              <w:jc w:val="left"/>
            </w:pPr>
            <w:r>
              <w:t xml:space="preserve">PM10</w:t>
            </w:r>
          </w:p>
        </w:tc>
        <w:tc>
          <w:tcPr/>
          <w:p>
            <w:pPr>
              <w:pStyle w:val="Compact"/>
              <w:jc w:val="right"/>
            </w:pPr>
            <w:r>
              <w:t xml:space="preserve">18391</w:t>
            </w:r>
          </w:p>
        </w:tc>
        <w:tc>
          <w:tcPr/>
          <w:p>
            <w:pPr>
              <w:pStyle w:val="Compact"/>
              <w:jc w:val="right"/>
            </w:pPr>
            <w:r>
              <w:t xml:space="preserve">118.13</w:t>
            </w:r>
          </w:p>
        </w:tc>
        <w:tc>
          <w:tcPr/>
          <w:p>
            <w:pPr>
              <w:pStyle w:val="Compact"/>
              <w:jc w:val="right"/>
            </w:pPr>
            <w:r>
              <w:t xml:space="preserve">90.61</w:t>
            </w:r>
          </w:p>
        </w:tc>
        <w:tc>
          <w:tcPr/>
          <w:p>
            <w:pPr>
              <w:pStyle w:val="Compact"/>
              <w:jc w:val="right"/>
            </w:pPr>
            <w:r>
              <w:t xml:space="preserve">95.68</w:t>
            </w:r>
          </w:p>
        </w:tc>
        <w:tc>
          <w:tcPr/>
          <w:p>
            <w:pPr>
              <w:pStyle w:val="Compact"/>
              <w:jc w:val="right"/>
            </w:pPr>
            <w:r>
              <w:t xml:space="preserve">93.49</w:t>
            </w:r>
          </w:p>
        </w:tc>
        <w:tc>
          <w:tcPr/>
          <w:p>
            <w:pPr>
              <w:pStyle w:val="Compact"/>
              <w:jc w:val="right"/>
            </w:pPr>
            <w:r>
              <w:t xml:space="preserve">0.01</w:t>
            </w:r>
          </w:p>
        </w:tc>
        <w:tc>
          <w:tcPr/>
          <w:p>
            <w:pPr>
              <w:pStyle w:val="Compact"/>
              <w:jc w:val="right"/>
            </w:pPr>
            <w:r>
              <w:t xml:space="preserve">1000.00</w:t>
            </w:r>
          </w:p>
        </w:tc>
        <w:tc>
          <w:tcPr/>
          <w:p>
            <w:pPr>
              <w:pStyle w:val="Compact"/>
              <w:jc w:val="right"/>
            </w:pPr>
            <w:r>
              <w:t xml:space="preserve">47.2</w:t>
            </w:r>
          </w:p>
        </w:tc>
      </w:tr>
      <w:tr>
        <w:tc>
          <w:tcPr/>
          <w:p>
            <w:pPr>
              <w:pStyle w:val="Compact"/>
              <w:jc w:val="left"/>
            </w:pPr>
            <w:r>
              <w:t xml:space="preserve">NO2</w:t>
            </w:r>
          </w:p>
        </w:tc>
        <w:tc>
          <w:tcPr/>
          <w:p>
            <w:pPr>
              <w:pStyle w:val="Compact"/>
              <w:jc w:val="right"/>
            </w:pPr>
            <w:r>
              <w:t xml:space="preserve">25946</w:t>
            </w:r>
          </w:p>
        </w:tc>
        <w:tc>
          <w:tcPr/>
          <w:p>
            <w:pPr>
              <w:pStyle w:val="Compact"/>
              <w:jc w:val="right"/>
            </w:pPr>
            <w:r>
              <w:t xml:space="preserve">28.56</w:t>
            </w:r>
          </w:p>
        </w:tc>
        <w:tc>
          <w:tcPr/>
          <w:p>
            <w:pPr>
              <w:pStyle w:val="Compact"/>
              <w:jc w:val="right"/>
            </w:pPr>
            <w:r>
              <w:t xml:space="preserve">24.47</w:t>
            </w:r>
          </w:p>
        </w:tc>
        <w:tc>
          <w:tcPr/>
          <w:p>
            <w:pPr>
              <w:pStyle w:val="Compact"/>
              <w:jc w:val="right"/>
            </w:pPr>
            <w:r>
              <w:t xml:space="preserve">21.69</w:t>
            </w:r>
          </w:p>
        </w:tc>
        <w:tc>
          <w:tcPr/>
          <w:p>
            <w:pPr>
              <w:pStyle w:val="Compact"/>
              <w:jc w:val="right"/>
            </w:pPr>
            <w:r>
              <w:t xml:space="preserve">25.87</w:t>
            </w:r>
          </w:p>
        </w:tc>
        <w:tc>
          <w:tcPr/>
          <w:p>
            <w:pPr>
              <w:pStyle w:val="Compact"/>
              <w:jc w:val="right"/>
            </w:pPr>
            <w:r>
              <w:t xml:space="preserve">0.01</w:t>
            </w:r>
          </w:p>
        </w:tc>
        <w:tc>
          <w:tcPr/>
          <w:p>
            <w:pPr>
              <w:pStyle w:val="Compact"/>
              <w:jc w:val="right"/>
            </w:pPr>
            <w:r>
              <w:t xml:space="preserve">362.21</w:t>
            </w:r>
          </w:p>
        </w:tc>
        <w:tc>
          <w:tcPr/>
          <w:p>
            <w:pPr>
              <w:pStyle w:val="Compact"/>
              <w:jc w:val="right"/>
            </w:pPr>
            <w:r>
              <w:t xml:space="preserve">3.9</w:t>
            </w:r>
          </w:p>
        </w:tc>
      </w:tr>
      <w:tr>
        <w:tc>
          <w:tcPr/>
          <w:p>
            <w:pPr>
              <w:pStyle w:val="Compact"/>
              <w:jc w:val="left"/>
            </w:pPr>
            <w:r>
              <w:t xml:space="preserve">SO2</w:t>
            </w:r>
          </w:p>
        </w:tc>
        <w:tc>
          <w:tcPr/>
          <w:p>
            <w:pPr>
              <w:pStyle w:val="Compact"/>
              <w:jc w:val="right"/>
            </w:pPr>
            <w:r>
              <w:t xml:space="preserve">25677</w:t>
            </w:r>
          </w:p>
        </w:tc>
        <w:tc>
          <w:tcPr/>
          <w:p>
            <w:pPr>
              <w:pStyle w:val="Compact"/>
              <w:jc w:val="right"/>
            </w:pPr>
            <w:r>
              <w:t xml:space="preserve">14.53</w:t>
            </w:r>
          </w:p>
        </w:tc>
        <w:tc>
          <w:tcPr/>
          <w:p>
            <w:pPr>
              <w:pStyle w:val="Compact"/>
              <w:jc w:val="right"/>
            </w:pPr>
            <w:r>
              <w:t xml:space="preserve">18.13</w:t>
            </w:r>
          </w:p>
        </w:tc>
        <w:tc>
          <w:tcPr/>
          <w:p>
            <w:pPr>
              <w:pStyle w:val="Compact"/>
              <w:jc w:val="right"/>
            </w:pPr>
            <w:r>
              <w:t xml:space="preserve">9.16</w:t>
            </w:r>
          </w:p>
        </w:tc>
        <w:tc>
          <w:tcPr/>
          <w:p>
            <w:pPr>
              <w:pStyle w:val="Compact"/>
              <w:jc w:val="right"/>
            </w:pPr>
            <w:r>
              <w:t xml:space="preserve">9.55</w:t>
            </w:r>
          </w:p>
        </w:tc>
        <w:tc>
          <w:tcPr/>
          <w:p>
            <w:pPr>
              <w:pStyle w:val="Compact"/>
              <w:jc w:val="right"/>
            </w:pPr>
            <w:r>
              <w:t xml:space="preserve">0.01</w:t>
            </w:r>
          </w:p>
        </w:tc>
        <w:tc>
          <w:tcPr/>
          <w:p>
            <w:pPr>
              <w:pStyle w:val="Compact"/>
              <w:jc w:val="right"/>
            </w:pPr>
            <w:r>
              <w:t xml:space="preserve">193.86</w:t>
            </w:r>
          </w:p>
        </w:tc>
        <w:tc>
          <w:tcPr/>
          <w:p>
            <w:pPr>
              <w:pStyle w:val="Compact"/>
              <w:jc w:val="right"/>
            </w:pPr>
            <w:r>
              <w:t xml:space="preserve">1.8</w:t>
            </w:r>
          </w:p>
        </w:tc>
      </w:tr>
      <w:tr>
        <w:tc>
          <w:tcPr/>
          <w:p>
            <w:pPr>
              <w:pStyle w:val="Compact"/>
              <w:jc w:val="left"/>
            </w:pPr>
            <w:r>
              <w:t xml:space="preserve">CO</w:t>
            </w:r>
          </w:p>
        </w:tc>
        <w:tc>
          <w:tcPr/>
          <w:p>
            <w:pPr>
              <w:pStyle w:val="Compact"/>
              <w:jc w:val="right"/>
            </w:pPr>
            <w:r>
              <w:t xml:space="preserve">27472</w:t>
            </w:r>
          </w:p>
        </w:tc>
        <w:tc>
          <w:tcPr/>
          <w:p>
            <w:pPr>
              <w:pStyle w:val="Compact"/>
              <w:jc w:val="right"/>
            </w:pPr>
            <w:r>
              <w:t xml:space="preserve">2.25</w:t>
            </w:r>
          </w:p>
        </w:tc>
        <w:tc>
          <w:tcPr/>
          <w:p>
            <w:pPr>
              <w:pStyle w:val="Compact"/>
              <w:jc w:val="right"/>
            </w:pPr>
            <w:r>
              <w:t xml:space="preserve">6.96</w:t>
            </w:r>
          </w:p>
        </w:tc>
        <w:tc>
          <w:tcPr/>
          <w:p>
            <w:pPr>
              <w:pStyle w:val="Compact"/>
              <w:jc w:val="right"/>
            </w:pPr>
            <w:r>
              <w:t xml:space="preserve">0.89</w:t>
            </w:r>
          </w:p>
        </w:tc>
        <w:tc>
          <w:tcPr/>
          <w:p>
            <w:pPr>
              <w:pStyle w:val="Compact"/>
              <w:jc w:val="right"/>
            </w:pPr>
            <w:r>
              <w:t xml:space="preserve">0.94</w:t>
            </w:r>
          </w:p>
        </w:tc>
        <w:tc>
          <w:tcPr/>
          <w:p>
            <w:pPr>
              <w:pStyle w:val="Compact"/>
              <w:jc w:val="right"/>
            </w:pPr>
            <w:r>
              <w:t xml:space="preserve">0.00</w:t>
            </w:r>
          </w:p>
        </w:tc>
        <w:tc>
          <w:tcPr/>
          <w:p>
            <w:pPr>
              <w:pStyle w:val="Compact"/>
              <w:jc w:val="right"/>
            </w:pPr>
            <w:r>
              <w:t xml:space="preserve">175.81</w:t>
            </w:r>
          </w:p>
        </w:tc>
        <w:tc>
          <w:tcPr/>
          <w:p>
            <w:pPr>
              <w:pStyle w:val="Compact"/>
              <w:jc w:val="right"/>
            </w:pPr>
            <w:r>
              <w:t xml:space="preserve">14.8</w:t>
            </w:r>
          </w:p>
        </w:tc>
      </w:tr>
      <w:tr>
        <w:tc>
          <w:tcPr/>
          <w:p>
            <w:pPr>
              <w:pStyle w:val="Compact"/>
              <w:jc w:val="left"/>
            </w:pPr>
            <w:r>
              <w:t xml:space="preserve">O3</w:t>
            </w:r>
          </w:p>
        </w:tc>
        <w:tc>
          <w:tcPr/>
          <w:p>
            <w:pPr>
              <w:pStyle w:val="Compact"/>
              <w:jc w:val="right"/>
            </w:pPr>
            <w:r>
              <w:t xml:space="preserve">25509</w:t>
            </w:r>
          </w:p>
        </w:tc>
        <w:tc>
          <w:tcPr/>
          <w:p>
            <w:pPr>
              <w:pStyle w:val="Compact"/>
              <w:jc w:val="right"/>
            </w:pPr>
            <w:r>
              <w:t xml:space="preserve">34.49</w:t>
            </w:r>
          </w:p>
        </w:tc>
        <w:tc>
          <w:tcPr/>
          <w:p>
            <w:pPr>
              <w:pStyle w:val="Compact"/>
              <w:jc w:val="right"/>
            </w:pPr>
            <w:r>
              <w:t xml:space="preserve">21.69</w:t>
            </w:r>
          </w:p>
        </w:tc>
        <w:tc>
          <w:tcPr/>
          <w:p>
            <w:pPr>
              <w:pStyle w:val="Compact"/>
              <w:jc w:val="right"/>
            </w:pPr>
            <w:r>
              <w:t xml:space="preserve">30.84</w:t>
            </w:r>
          </w:p>
        </w:tc>
        <w:tc>
          <w:tcPr/>
          <w:p>
            <w:pPr>
              <w:pStyle w:val="Compact"/>
              <w:jc w:val="right"/>
            </w:pPr>
            <w:r>
              <w:t xml:space="preserve">26.71</w:t>
            </w:r>
          </w:p>
        </w:tc>
        <w:tc>
          <w:tcPr/>
          <w:p>
            <w:pPr>
              <w:pStyle w:val="Compact"/>
              <w:jc w:val="right"/>
            </w:pPr>
            <w:r>
              <w:t xml:space="preserve">0.01</w:t>
            </w:r>
          </w:p>
        </w:tc>
        <w:tc>
          <w:tcPr/>
          <w:p>
            <w:pPr>
              <w:pStyle w:val="Compact"/>
              <w:jc w:val="right"/>
            </w:pPr>
            <w:r>
              <w:t xml:space="preserve">257.73</w:t>
            </w:r>
          </w:p>
        </w:tc>
        <w:tc>
          <w:tcPr/>
          <w:p>
            <w:pPr>
              <w:pStyle w:val="Compact"/>
              <w:jc w:val="right"/>
            </w:pPr>
            <w:r>
              <w:t xml:space="preserve">1.3</w:t>
            </w:r>
          </w:p>
        </w:tc>
      </w:tr>
      <w:tr>
        <w:tc>
          <w:tcPr/>
          <w:p>
            <w:pPr>
              <w:pStyle w:val="Compact"/>
              <w:jc w:val="left"/>
            </w:pPr>
            <w:r>
              <w:t xml:space="preserve">NH3</w:t>
            </w:r>
          </w:p>
        </w:tc>
        <w:tc>
          <w:tcPr/>
          <w:p>
            <w:pPr>
              <w:pStyle w:val="Compact"/>
              <w:jc w:val="right"/>
            </w:pPr>
            <w:r>
              <w:t xml:space="preserve">19203</w:t>
            </w:r>
          </w:p>
        </w:tc>
        <w:tc>
          <w:tcPr/>
          <w:p>
            <w:pPr>
              <w:pStyle w:val="Compact"/>
              <w:jc w:val="right"/>
            </w:pPr>
            <w:r>
              <w:t xml:space="preserve">23.48</w:t>
            </w:r>
          </w:p>
        </w:tc>
        <w:tc>
          <w:tcPr/>
          <w:p>
            <w:pPr>
              <w:pStyle w:val="Compact"/>
              <w:jc w:val="right"/>
            </w:pPr>
            <w:r>
              <w:t xml:space="preserve">25.68</w:t>
            </w:r>
          </w:p>
        </w:tc>
        <w:tc>
          <w:tcPr/>
          <w:p>
            <w:pPr>
              <w:pStyle w:val="Compact"/>
              <w:jc w:val="right"/>
            </w:pPr>
            <w:r>
              <w:t xml:space="preserve">15.85</w:t>
            </w:r>
          </w:p>
        </w:tc>
        <w:tc>
          <w:tcPr/>
          <w:p>
            <w:pPr>
              <w:pStyle w:val="Compact"/>
              <w:jc w:val="right"/>
            </w:pPr>
            <w:r>
              <w:t xml:space="preserve">21.44</w:t>
            </w:r>
          </w:p>
        </w:tc>
        <w:tc>
          <w:tcPr/>
          <w:p>
            <w:pPr>
              <w:pStyle w:val="Compact"/>
              <w:jc w:val="right"/>
            </w:pPr>
            <w:r>
              <w:t xml:space="preserve">0.01</w:t>
            </w:r>
          </w:p>
        </w:tc>
        <w:tc>
          <w:tcPr/>
          <w:p>
            <w:pPr>
              <w:pStyle w:val="Compact"/>
              <w:jc w:val="right"/>
            </w:pPr>
            <w:r>
              <w:t xml:space="preserve">352.89</w:t>
            </w:r>
          </w:p>
        </w:tc>
        <w:tc>
          <w:tcPr/>
          <w:p>
            <w:pPr>
              <w:pStyle w:val="Compact"/>
              <w:jc w:val="right"/>
            </w:pPr>
            <w:r>
              <w:t xml:space="preserve">0.0</w:t>
            </w:r>
          </w:p>
        </w:tc>
      </w:tr>
      <w:tr>
        <w:tc>
          <w:tcPr/>
          <w:p>
            <w:pPr>
              <w:pStyle w:val="Compact"/>
              <w:jc w:val="left"/>
            </w:pPr>
            <w:r>
              <w:t xml:space="preserve">AQI</w:t>
            </w:r>
          </w:p>
        </w:tc>
        <w:tc>
          <w:tcPr/>
          <w:p>
            <w:pPr>
              <w:pStyle w:val="Compact"/>
              <w:jc w:val="right"/>
            </w:pPr>
            <w:r>
              <w:t xml:space="preserve">24850</w:t>
            </w:r>
          </w:p>
        </w:tc>
        <w:tc>
          <w:tcPr/>
          <w:p>
            <w:pPr>
              <w:pStyle w:val="Compact"/>
              <w:jc w:val="right"/>
            </w:pPr>
            <w:r>
              <w:t xml:space="preserve">166.46</w:t>
            </w:r>
          </w:p>
        </w:tc>
        <w:tc>
          <w:tcPr/>
          <w:p>
            <w:pPr>
              <w:pStyle w:val="Compact"/>
              <w:jc w:val="right"/>
            </w:pPr>
            <w:r>
              <w:t xml:space="preserve">140.70</w:t>
            </w:r>
          </w:p>
        </w:tc>
        <w:tc>
          <w:tcPr/>
          <w:p>
            <w:pPr>
              <w:pStyle w:val="Compact"/>
              <w:jc w:val="right"/>
            </w:pPr>
            <w:r>
              <w:t xml:space="preserve">118.00</w:t>
            </w:r>
          </w:p>
        </w:tc>
        <w:tc>
          <w:tcPr/>
          <w:p>
            <w:pPr>
              <w:pStyle w:val="Compact"/>
              <w:jc w:val="right"/>
            </w:pPr>
            <w:r>
              <w:t xml:space="preserve">127.00</w:t>
            </w:r>
          </w:p>
        </w:tc>
        <w:tc>
          <w:tcPr/>
          <w:p>
            <w:pPr>
              <w:pStyle w:val="Compact"/>
              <w:jc w:val="right"/>
            </w:pPr>
            <w:r>
              <w:t xml:space="preserve">13.00</w:t>
            </w:r>
          </w:p>
        </w:tc>
        <w:tc>
          <w:tcPr/>
          <w:p>
            <w:pPr>
              <w:pStyle w:val="Compact"/>
              <w:jc w:val="right"/>
            </w:pPr>
            <w:r>
              <w:t xml:space="preserve">2049.00</w:t>
            </w:r>
          </w:p>
        </w:tc>
        <w:tc>
          <w:tcPr/>
          <w:p>
            <w:pPr>
              <w:pStyle w:val="Compact"/>
              <w:jc w:val="right"/>
            </w:pPr>
            <w:r>
              <w:t xml:space="preserve">NA</w:t>
            </w:r>
          </w:p>
        </w:tc>
      </w:tr>
    </w:tbl>
    <w:bookmarkEnd w:id="34"/>
    <w:bookmarkEnd w:id="35"/>
    <w:bookmarkStart w:id="120" w:name="analysis-on-dataset"/>
    <w:p>
      <w:pPr>
        <w:pStyle w:val="Heading1"/>
      </w:pPr>
      <w:r>
        <w:rPr>
          <w:rStyle w:val="SectionNumber"/>
        </w:rPr>
        <w:t xml:space="preserve">4</w:t>
      </w:r>
      <w:r>
        <w:tab/>
      </w:r>
      <w:r>
        <w:t xml:space="preserve">4. ANALYSIS ON DATASET</w:t>
      </w:r>
    </w:p>
    <w:bookmarkStart w:id="44" w:name="Xa60a3d5fb31e9849dcb6147cceadd40f8d33fb3"/>
    <w:p>
      <w:pPr>
        <w:pStyle w:val="Heading2"/>
      </w:pPr>
      <w:r>
        <w:rPr>
          <w:rStyle w:val="SectionNumber"/>
        </w:rPr>
        <w:t xml:space="preserve">4.1</w:t>
      </w:r>
      <w:r>
        <w:tab/>
      </w:r>
      <w:r>
        <w:t xml:space="preserve">4.1 National Air Quality &amp; Metropolitan Hotspots Analysis</w:t>
      </w:r>
    </w:p>
    <w:bookmarkStart w:id="36" w:name="i.-introduction"/>
    <w:p>
      <w:pPr>
        <w:pStyle w:val="Heading3"/>
      </w:pPr>
      <w:r>
        <w:rPr>
          <w:rStyle w:val="SectionNumber"/>
        </w:rPr>
        <w:t xml:space="preserve">4.1.1</w:t>
      </w:r>
      <w:r>
        <w:tab/>
      </w:r>
      <w:r>
        <w:t xml:space="preserve">i. Introduction</w:t>
      </w:r>
    </w:p>
    <w:p>
      <w:pPr>
        <w:pStyle w:val="FirstParagraph"/>
      </w:pPr>
      <w:r>
        <w:t xml:space="preserve">Quantifying the baseline severity of ambient air pollution across India’s urban network is vital for establishing national environmental benchmarks, tracking compliance with National Ambient Air Quality Standards (NAAQS), and identifying the most vulnerable population centers.</w:t>
      </w:r>
    </w:p>
    <w:bookmarkEnd w:id="36"/>
    <w:bookmarkStart w:id="37" w:name="ii.-general-description"/>
    <w:p>
      <w:pPr>
        <w:pStyle w:val="Heading3"/>
      </w:pPr>
      <w:r>
        <w:rPr>
          <w:rStyle w:val="SectionNumber"/>
        </w:rPr>
        <w:t xml:space="preserve">4.1.2</w:t>
      </w:r>
      <w:r>
        <w:tab/>
      </w:r>
      <w:r>
        <w:t xml:space="preserve">ii. General Description</w:t>
      </w:r>
    </w:p>
    <w:p>
      <w:pPr>
        <w:pStyle w:val="FirstParagraph"/>
      </w:pPr>
      <w:r>
        <w:t xml:space="preserve">This analysis computes national-level parametric and non-parametric summary metrics across all 26 monitored metropolitan cities, evaluates city-level average AQI levels, and generates comparative rankings to identify high-risk urban hotspots.</w:t>
      </w:r>
    </w:p>
    <w:bookmarkEnd w:id="37"/>
    <w:bookmarkStart w:id="38" w:name="X94ab6ef210e253bbf437da73379b2271af9317a"/>
    <w:p>
      <w:pPr>
        <w:pStyle w:val="Heading3"/>
      </w:pPr>
      <w:r>
        <w:rPr>
          <w:rStyle w:val="SectionNumber"/>
        </w:rPr>
        <w:t xml:space="preserve">4.1.3</w:t>
      </w:r>
      <w:r>
        <w:tab/>
      </w:r>
      <w:r>
        <w:t xml:space="preserve">iii. Specific Requirements, Functions and Formulas</w:t>
      </w:r>
    </w:p>
    <w:p>
      <w:pPr>
        <w:pStyle w:val="Compact"/>
        <w:numPr>
          <w:ilvl w:val="0"/>
          <w:numId w:val="1003"/>
        </w:numPr>
      </w:pPr>
      <w:r>
        <w:rPr>
          <w:b/>
          <w:bCs/>
        </w:rPr>
        <w:t xml:space="preserve">Mathematical Formulations:</w:t>
      </w:r>
    </w:p>
    <w:p>
      <w:pPr>
        <w:pStyle w:val="Compact"/>
      </w:pPr>
      <m:oMathPara>
        <m:oMathParaPr>
          <m:jc m:val="center"/>
        </m:oMathParaPr>
        <m:oMath>
          <m:sSub>
            <m:e>
              <m:acc>
                <m:accPr>
                  <m:chr m:val="‾"/>
                </m:accPr>
                <m:e>
                  <m:r>
                    <m:rPr>
                      <m:nor/>
                      <m:sty m:val="p"/>
                    </m:rPr>
                    <m:t>AQI</m:t>
                  </m:r>
                </m:e>
              </m:acc>
            </m:e>
            <m:sub>
              <m:r>
                <m:t>c</m:t>
              </m:r>
            </m:sub>
          </m:sSub>
          <m:r>
            <m:rPr>
              <m:sty m:val="p"/>
            </m:rPr>
            <m:t>=</m:t>
          </m:r>
          <m:f>
            <m:fPr>
              <m:type m:val="bar"/>
            </m:fPr>
            <m:num>
              <m:r>
                <m:t>1</m:t>
              </m:r>
            </m:num>
            <m:den>
              <m:sSub>
                <m:e>
                  <m:r>
                    <m:t>N</m:t>
                  </m:r>
                </m:e>
                <m:sub>
                  <m:r>
                    <m:t>c</m:t>
                  </m:r>
                </m:sub>
              </m:sSub>
            </m:den>
          </m:f>
          <m:nary>
            <m:naryPr>
              <m:chr m:val="∑"/>
              <m:limLoc m:val="undOvr"/>
              <m:subHide m:val="off"/>
              <m:supHide m:val="off"/>
            </m:naryPr>
            <m:sub>
              <m:r>
                <m:t>i</m:t>
              </m:r>
              <m:r>
                <m:rPr>
                  <m:sty m:val="p"/>
                </m:rPr>
                <m:t>=</m:t>
              </m:r>
              <m:r>
                <m:t>1</m:t>
              </m:r>
            </m:sub>
            <m:sup>
              <m:sSub>
                <m:e>
                  <m:r>
                    <m:t>N</m:t>
                  </m:r>
                </m:e>
                <m:sub>
                  <m:r>
                    <m:t>c</m:t>
                  </m:r>
                </m:sub>
              </m:sSub>
            </m:sup>
            <m:e>
              <m:sSub>
                <m:e>
                  <m:r>
                    <m:rPr>
                      <m:nor/>
                      <m:sty m:val="p"/>
                    </m:rPr>
                    <m:t>AQI</m:t>
                  </m:r>
                </m:e>
                <m:sub>
                  <m:r>
                    <m:t>c</m:t>
                  </m:r>
                  <m:r>
                    <m:rPr>
                      <m:sty m:val="p"/>
                    </m:rPr>
                    <m:t>,</m:t>
                  </m:r>
                  <m:r>
                    <m:t>i</m:t>
                  </m:r>
                </m:sub>
              </m:sSub>
            </m:e>
          </m:nary>
        </m:oMath>
      </m:oMathPara>
    </w:p>
    <w:p>
      <w:pPr>
        <w:pStyle w:val="Compact"/>
      </w:pPr>
      <m:oMathPara>
        <m:oMathParaPr>
          <m:jc m:val="center"/>
        </m:oMathParaPr>
        <m:oMath>
          <m:r>
            <m:rPr>
              <m:nor/>
              <m:sty m:val="p"/>
            </m:rPr>
            <m:t>Severe Day Proportion </m:t>
          </m:r>
          <m:sSub>
            <m:e>
              <m:r>
                <m:t>P</m:t>
              </m:r>
            </m:e>
            <m:sub>
              <m:r>
                <m:rPr>
                  <m:nor/>
                  <m:sty m:val="p"/>
                </m:rPr>
                <m:t>sev</m:t>
              </m:r>
              <m:r>
                <m:rPr>
                  <m:sty m:val="p"/>
                </m:rPr>
                <m:t>,</m:t>
              </m:r>
              <m:r>
                <m:t>c</m:t>
              </m:r>
            </m:sub>
          </m:sSub>
          <m:r>
            <m:rPr>
              <m:sty m:val="p"/>
            </m:rPr>
            <m:t>=</m:t>
          </m:r>
          <m:f>
            <m:fPr>
              <m:type m:val="bar"/>
            </m:fPr>
            <m:num>
              <m:nary>
                <m:naryPr>
                  <m:chr m:val="∑"/>
                  <m:limLoc m:val="undOvr"/>
                  <m:subHide m:val="off"/>
                  <m:supHide m:val="off"/>
                </m:naryPr>
                <m:sub>
                  <m:r>
                    <m:t>i</m:t>
                  </m:r>
                  <m:r>
                    <m:rPr>
                      <m:sty m:val="p"/>
                    </m:rPr>
                    <m:t>=</m:t>
                  </m:r>
                  <m:r>
                    <m:t>1</m:t>
                  </m:r>
                </m:sub>
                <m:sup>
                  <m:sSub>
                    <m:e>
                      <m:r>
                        <m:t>N</m:t>
                      </m:r>
                    </m:e>
                    <m:sub>
                      <m:r>
                        <m:t>c</m:t>
                      </m:r>
                    </m:sub>
                  </m:sSub>
                </m:sup>
                <m:e>
                  <m:r>
                    <m:rPr>
                      <m:scr m:val="double-struck"/>
                      <m:sty m:val="p"/>
                    </m:rPr>
                    <m:t>I</m:t>
                  </m:r>
                </m:e>
              </m:nary>
              <m:r>
                <m:rPr>
                  <m:sty m:val="p"/>
                </m:rPr>
                <m:t>(</m:t>
              </m:r>
              <m:sSub>
                <m:e>
                  <m:r>
                    <m:rPr>
                      <m:nor/>
                      <m:sty m:val="p"/>
                    </m:rPr>
                    <m:t>AQI</m:t>
                  </m:r>
                </m:e>
                <m:sub>
                  <m:r>
                    <m:t>c</m:t>
                  </m:r>
                  <m:r>
                    <m:rPr>
                      <m:sty m:val="p"/>
                    </m:rPr>
                    <m:t>,</m:t>
                  </m:r>
                  <m:r>
                    <m:t>i</m:t>
                  </m:r>
                </m:sub>
              </m:sSub>
              <m:r>
                <m:rPr>
                  <m:sty m:val="p"/>
                </m:rPr>
                <m:t>&gt;</m:t>
              </m:r>
              <m:r>
                <m:t>400</m:t>
              </m:r>
              <m:r>
                <m:rPr>
                  <m:sty m:val="p"/>
                </m:rPr>
                <m:t>)</m:t>
              </m:r>
            </m:num>
            <m:den>
              <m:sSub>
                <m:e>
                  <m:r>
                    <m:t>N</m:t>
                  </m:r>
                </m:e>
                <m:sub>
                  <m:r>
                    <m:t>c</m:t>
                  </m:r>
                </m:sub>
              </m:sSub>
            </m:den>
          </m:f>
          <m:r>
            <m:rPr>
              <m:sty m:val="p"/>
            </m:rPr>
            <m:t>×</m:t>
          </m:r>
          <m:r>
            <m:t>100</m:t>
          </m:r>
        </m:oMath>
      </m:oMathPara>
    </w:p>
    <w:p>
      <w:pPr>
        <w:pStyle w:val="Compact"/>
        <w:numPr>
          <w:ilvl w:val="0"/>
          <w:numId w:val="1003"/>
        </w:numPr>
      </w:pPr>
      <w:r>
        <w:rPr>
          <w:b/>
          <w:bCs/>
        </w:rPr>
        <w:t xml:space="preserve">R Functions:</w:t>
      </w:r>
      <w:r>
        <w:t xml:space="preserve"> </w:t>
      </w:r>
      <w:r>
        <w:rPr>
          <w:rStyle w:val="VerbatimChar"/>
        </w:rPr>
        <w:t xml:space="preserve">dplyr::group_by()</w:t>
      </w:r>
      <w:r>
        <w:t xml:space="preserve">,</w:t>
      </w:r>
      <w:r>
        <w:t xml:space="preserve"> </w:t>
      </w:r>
      <w:r>
        <w:rPr>
          <w:rStyle w:val="VerbatimChar"/>
        </w:rPr>
        <w:t xml:space="preserve">summarise()</w:t>
      </w:r>
      <w:r>
        <w:t xml:space="preserve">,</w:t>
      </w:r>
      <w:r>
        <w:t xml:space="preserve"> </w:t>
      </w:r>
      <w:r>
        <w:rPr>
          <w:rStyle w:val="VerbatimChar"/>
        </w:rPr>
        <w:t xml:space="preserve">arrange(desc())</w:t>
      </w:r>
      <w:r>
        <w:t xml:space="preserve">,</w:t>
      </w:r>
      <w:r>
        <w:t xml:space="preserve"> </w:t>
      </w:r>
      <w:r>
        <w:rPr>
          <w:rStyle w:val="VerbatimChar"/>
        </w:rPr>
        <w:t xml:space="preserve">slice_head()</w:t>
      </w:r>
      <w:r>
        <w:t xml:space="preserve">,</w:t>
      </w:r>
      <w:r>
        <w:t xml:space="preserve"> </w:t>
      </w:r>
      <w:r>
        <w:rPr>
          <w:rStyle w:val="VerbatimChar"/>
        </w:rPr>
        <w:t xml:space="preserve">ggplot2::geom_col()</w:t>
      </w:r>
      <w:r>
        <w:t xml:space="preserve">.</w:t>
      </w:r>
    </w:p>
    <w:bookmarkEnd w:id="38"/>
    <w:bookmarkStart w:id="39" w:name="iv.-analysis-results"/>
    <w:p>
      <w:pPr>
        <w:pStyle w:val="Heading3"/>
      </w:pPr>
      <w:r>
        <w:rPr>
          <w:rStyle w:val="SectionNumber"/>
        </w:rPr>
        <w:t xml:space="preserve">4.1.4</w:t>
      </w:r>
      <w:r>
        <w:tab/>
      </w:r>
      <w:r>
        <w:t xml:space="preserve">iv. Analysis Results</w:t>
      </w:r>
    </w:p>
    <w:p>
      <w:pPr>
        <w:pStyle w:val="FirstParagraph"/>
      </w:pPr>
      <w:r>
        <w:t xml:space="preserve">Across the multi-year observation window, the national average AQI stands at</w:t>
      </w:r>
      <w:r>
        <w:t xml:space="preserve"> </w:t>
      </w:r>
      <w:r>
        <w:rPr>
          <w:b/>
          <w:bCs/>
        </w:rPr>
        <w:t xml:space="preserve">163.0</w:t>
      </w:r>
      <w:r>
        <w:t xml:space="preserve">, falling squarely within the CPCB</w:t>
      </w:r>
      <w:r>
        <w:t xml:space="preserve"> </w:t>
      </w:r>
      <w:r>
        <w:t xml:space="preserve">“Moderate”</w:t>
      </w:r>
      <w:r>
        <w:t xml:space="preserve"> </w:t>
      </w:r>
      <w:r>
        <w:t xml:space="preserve">band. However, national averages conceal dramatic regional disparities:</w:t>
      </w:r>
      <w:r>
        <w:t xml:space="preserve"> </w:t>
      </w:r>
      <w:r>
        <w:t xml:space="preserve">-</w:t>
      </w:r>
      <w:r>
        <w:t xml:space="preserve"> </w:t>
      </w:r>
      <w:r>
        <w:rPr>
          <w:b/>
          <w:bCs/>
        </w:rPr>
        <w:t xml:space="preserve">Ahmedabad, Gujarat:</w:t>
      </w:r>
      <w:r>
        <w:t xml:space="preserve"> </w:t>
      </w:r>
      <w:r>
        <w:t xml:space="preserve">Displays the highest recorded average AQI (</w:t>
      </w:r>
      <w:r>
        <w:rPr>
          <w:b/>
          <w:bCs/>
        </w:rPr>
        <w:t xml:space="preserve">406.6</w:t>
      </w:r>
      <w:r>
        <w:t xml:space="preserve">, Severe tier), driven by industrial cluster emissions and extreme localized episodes.</w:t>
      </w:r>
      <w:r>
        <w:t xml:space="preserve"> </w:t>
      </w:r>
      <w:r>
        <w:t xml:space="preserve">-</w:t>
      </w:r>
      <w:r>
        <w:t xml:space="preserve"> </w:t>
      </w:r>
      <w:r>
        <w:rPr>
          <w:b/>
          <w:bCs/>
        </w:rPr>
        <w:t xml:space="preserve">Delhi (National Capital Region):</w:t>
      </w:r>
      <w:r>
        <w:t xml:space="preserve"> </w:t>
      </w:r>
      <w:r>
        <w:t xml:space="preserve">Ranks as the most persistently polluted mega-metropolis with an average AQI of</w:t>
      </w:r>
      <w:r>
        <w:t xml:space="preserve"> </w:t>
      </w:r>
      <w:r>
        <w:rPr>
          <w:b/>
          <w:bCs/>
        </w:rPr>
        <w:t xml:space="preserve">258.9</w:t>
      </w:r>
      <w:r>
        <w:t xml:space="preserve"> </w:t>
      </w:r>
      <w:r>
        <w:t xml:space="preserve">(Poor/Very Poor boundary), experiencing over 28% of all monitored days in the Severe or Very Poor brackets.</w:t>
      </w:r>
      <w:r>
        <w:t xml:space="preserve"> </w:t>
      </w:r>
      <w:r>
        <w:t xml:space="preserve">-</w:t>
      </w:r>
      <w:r>
        <w:t xml:space="preserve"> </w:t>
      </w:r>
      <w:r>
        <w:rPr>
          <w:b/>
          <w:bCs/>
        </w:rPr>
        <w:t xml:space="preserve">Patna, Bihar (225.6), Gurugram, Haryana (215.9), and Lucknow, Uttar Pradesh (214.0):</w:t>
      </w:r>
      <w:r>
        <w:t xml:space="preserve"> </w:t>
      </w:r>
      <w:r>
        <w:t xml:space="preserve">Form a contiguous belt of intense vulnerability across the Indo-Gangetic Plains.</w:t>
      </w:r>
      <w:r>
        <w:t xml:space="preserve"> </w:t>
      </w:r>
      <w:r>
        <w:t xml:space="preserve">-</w:t>
      </w:r>
      <w:r>
        <w:t xml:space="preserve"> </w:t>
      </w:r>
      <w:r>
        <w:rPr>
          <w:b/>
          <w:bCs/>
        </w:rPr>
        <w:t xml:space="preserve">Peninsular &amp; Coastal Centers:</w:t>
      </w:r>
      <w:r>
        <w:t xml:space="preserve"> </w:t>
      </w:r>
      <w:r>
        <w:t xml:space="preserve">In stark contrast, coastal and southern cities exhibit substantially cleaner air: Thiruvananthapuram, Kerala (78.5), Shillong, Meghalaya (75.3), Bengaluru, Karnataka (96.4), and Visakhapatnam, Andhra Pradesh (120.8).</w:t>
      </w:r>
    </w:p>
    <w:bookmarkEnd w:id="39"/>
    <w:bookmarkStart w:id="43" w:name="v.-visualization"/>
    <w:p>
      <w:pPr>
        <w:pStyle w:val="Heading3"/>
      </w:pPr>
      <w:r>
        <w:rPr>
          <w:rStyle w:val="SectionNumber"/>
        </w:rPr>
        <w:t xml:space="preserve">4.1.5</w:t>
      </w:r>
      <w:r>
        <w:tab/>
      </w:r>
      <w:r>
        <w:t xml:space="preserve">v. Visualization</w:t>
      </w:r>
    </w:p>
    <w:p>
      <w:pPr>
        <w:pStyle w:val="CaptionedFigure"/>
      </w:pPr>
      <w:r>
        <w:drawing>
          <wp:inline>
            <wp:extent cx="4800600" cy="3000375"/>
            <wp:effectExtent b="0" l="0" r="0" t="0"/>
            <wp:docPr descr="Figure 2: Top 10 High-Risk Air Pollution Hotspots in India Ranked by Mean AQI" title="" id="41" name="Picture"/>
            <a:graphic>
              <a:graphicData uri="http://schemas.openxmlformats.org/drawingml/2006/picture">
                <pic:pic>
                  <pic:nvPicPr>
                    <pic:cNvPr descr="../outputs/figures/fig2_hotspots_ranking.png" id="42" name="Picture"/>
                    <pic:cNvPicPr>
                      <a:picLocks noChangeArrowheads="1" noChangeAspect="1"/>
                    </pic:cNvPicPr>
                  </pic:nvPicPr>
                  <pic:blipFill>
                    <a:blip r:embed="rId40"/>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Figure 2: Top 10 High-Risk Air Pollution Hotspots in India Ranked by Mean AQI</w:t>
      </w:r>
    </w:p>
    <w:p>
      <w:r>
        <w:pict>
          <v:rect style="width:0;height:1.5pt" o:hralign="center" o:hrstd="t" o:hr="t"/>
        </w:pict>
      </w:r>
    </w:p>
    <w:bookmarkEnd w:id="43"/>
    <w:bookmarkEnd w:id="44"/>
    <w:bookmarkStart w:id="56" w:name="Xe974661b7efc30a37d23ac3fe08c204ee1c555f"/>
    <w:p>
      <w:pPr>
        <w:pStyle w:val="Heading2"/>
      </w:pPr>
      <w:r>
        <w:rPr>
          <w:rStyle w:val="SectionNumber"/>
        </w:rPr>
        <w:t xml:space="preserve">4.2</w:t>
      </w:r>
      <w:r>
        <w:tab/>
      </w:r>
      <w:r>
        <w:t xml:space="preserve">4.2 Temporal Dynamics, Multi-Year Trends &amp; Seasonal Inversion Analysis</w:t>
      </w:r>
    </w:p>
    <w:bookmarkStart w:id="45" w:name="i.-introduction-1"/>
    <w:p>
      <w:pPr>
        <w:pStyle w:val="Heading3"/>
      </w:pPr>
      <w:r>
        <w:rPr>
          <w:rStyle w:val="SectionNumber"/>
        </w:rPr>
        <w:t xml:space="preserve">4.2.1</w:t>
      </w:r>
      <w:r>
        <w:tab/>
      </w:r>
      <w:r>
        <w:t xml:space="preserve">i. Introduction</w:t>
      </w:r>
    </w:p>
    <w:p>
      <w:pPr>
        <w:pStyle w:val="FirstParagraph"/>
      </w:pPr>
      <w:r>
        <w:t xml:space="preserve">Air pollution in India is characterized by severe seasonal oscillations. Identifying temporal trend lines, multi-year progression, and recurring seasonal cycles is critical for timing regulatory interventions.</w:t>
      </w:r>
    </w:p>
    <w:bookmarkEnd w:id="45"/>
    <w:bookmarkStart w:id="46" w:name="ii.-general-description-1"/>
    <w:p>
      <w:pPr>
        <w:pStyle w:val="Heading3"/>
      </w:pPr>
      <w:r>
        <w:rPr>
          <w:rStyle w:val="SectionNumber"/>
        </w:rPr>
        <w:t xml:space="preserve">4.2.2</w:t>
      </w:r>
      <w:r>
        <w:tab/>
      </w:r>
      <w:r>
        <w:t xml:space="preserve">ii. General Description</w:t>
      </w:r>
    </w:p>
    <w:p>
      <w:pPr>
        <w:pStyle w:val="FirstParagraph"/>
      </w:pPr>
      <w:r>
        <w:t xml:space="preserve">This analysis examines temporal trends from 2015 to 2020, decomposes monthly concentration curves, and assesses seasonal differences between winter thermal inversions and monsoon wet deposition.</w:t>
      </w:r>
    </w:p>
    <w:bookmarkEnd w:id="46"/>
    <w:bookmarkStart w:id="47" w:name="Xecf005ca56433d9f74fe45e0ace93be0f9198f2"/>
    <w:p>
      <w:pPr>
        <w:pStyle w:val="Heading3"/>
      </w:pPr>
      <w:r>
        <w:rPr>
          <w:rStyle w:val="SectionNumber"/>
        </w:rPr>
        <w:t xml:space="preserve">4.2.3</w:t>
      </w:r>
      <w:r>
        <w:tab/>
      </w:r>
      <w:r>
        <w:t xml:space="preserve">iii. Specific Requirements, Functions and Formulas</w:t>
      </w:r>
    </w:p>
    <w:p>
      <w:pPr>
        <w:pStyle w:val="Compact"/>
        <w:numPr>
          <w:ilvl w:val="0"/>
          <w:numId w:val="1004"/>
        </w:numPr>
      </w:pPr>
      <w:r>
        <w:rPr>
          <w:b/>
          <w:bCs/>
        </w:rPr>
        <w:t xml:space="preserve">Mathematical Formulations:</w:t>
      </w:r>
    </w:p>
    <w:p>
      <w:pPr>
        <w:pStyle w:val="Compact"/>
      </w:pPr>
      <m:oMathPara>
        <m:oMathParaPr>
          <m:jc m:val="center"/>
        </m:oMathParaPr>
        <m:oMath>
          <m:r>
            <m:rPr>
              <m:nor/>
              <m:sty m:val="p"/>
            </m:rPr>
            <m:t>YoY Change </m:t>
          </m:r>
          <m:r>
            <m:rPr>
              <m:sty m:val="p"/>
            </m:rPr>
            <m:t>%</m:t>
          </m:r>
          <m:r>
            <m:rPr>
              <m:sty m:val="p"/>
            </m:rPr>
            <m:t>=</m:t>
          </m:r>
          <m:d>
            <m:dPr>
              <m:begChr m:val="("/>
              <m:sepChr m:val=""/>
              <m:endChr m:val=")"/>
              <m:grow/>
            </m:dPr>
            <m:e>
              <m:f>
                <m:fPr>
                  <m:type m:val="bar"/>
                </m:fPr>
                <m:num>
                  <m:sSub>
                    <m:e>
                      <m:acc>
                        <m:accPr>
                          <m:chr m:val="‾"/>
                        </m:accPr>
                        <m:e>
                          <m:r>
                            <m:t>X</m:t>
                          </m:r>
                        </m:e>
                      </m:acc>
                    </m:e>
                    <m:sub>
                      <m:r>
                        <m:rPr>
                          <m:nor/>
                          <m:sty m:val="p"/>
                        </m:rPr>
                        <m:t>current</m:t>
                      </m:r>
                    </m:sub>
                  </m:sSub>
                  <m:r>
                    <m:rPr>
                      <m:sty m:val="p"/>
                    </m:rPr>
                    <m:t>−</m:t>
                  </m:r>
                  <m:sSub>
                    <m:e>
                      <m:acc>
                        <m:accPr>
                          <m:chr m:val="‾"/>
                        </m:accPr>
                        <m:e>
                          <m:r>
                            <m:t>X</m:t>
                          </m:r>
                        </m:e>
                      </m:acc>
                    </m:e>
                    <m:sub>
                      <m:r>
                        <m:rPr>
                          <m:nor/>
                          <m:sty m:val="p"/>
                        </m:rPr>
                        <m:t>prior</m:t>
                      </m:r>
                    </m:sub>
                  </m:sSub>
                </m:num>
                <m:den>
                  <m:sSub>
                    <m:e>
                      <m:acc>
                        <m:accPr>
                          <m:chr m:val="‾"/>
                        </m:accPr>
                        <m:e>
                          <m:r>
                            <m:t>X</m:t>
                          </m:r>
                        </m:e>
                      </m:acc>
                    </m:e>
                    <m:sub>
                      <m:r>
                        <m:rPr>
                          <m:nor/>
                          <m:sty m:val="p"/>
                        </m:rPr>
                        <m:t>prior</m:t>
                      </m:r>
                    </m:sub>
                  </m:sSub>
                </m:den>
              </m:f>
            </m:e>
          </m:d>
          <m:r>
            <m:rPr>
              <m:sty m:val="p"/>
            </m:rPr>
            <m:t>×</m:t>
          </m:r>
          <m:r>
            <m:t>100</m:t>
          </m:r>
        </m:oMath>
      </m:oMathPara>
    </w:p>
    <w:p>
      <w:pPr>
        <w:pStyle w:val="Compact"/>
        <w:numPr>
          <w:ilvl w:val="0"/>
          <w:numId w:val="1004"/>
        </w:numPr>
      </w:pPr>
      <w:r>
        <w:rPr>
          <w:b/>
          <w:bCs/>
        </w:rPr>
        <w:t xml:space="preserve">R Functions:</w:t>
      </w:r>
      <w:r>
        <w:t xml:space="preserve"> </w:t>
      </w:r>
      <w:r>
        <w:rPr>
          <w:rStyle w:val="VerbatimChar"/>
        </w:rPr>
        <w:t xml:space="preserve">lubridate::year()</w:t>
      </w:r>
      <w:r>
        <w:t xml:space="preserve">,</w:t>
      </w:r>
      <w:r>
        <w:t xml:space="preserve"> </w:t>
      </w:r>
      <w:r>
        <w:rPr>
          <w:rStyle w:val="VerbatimChar"/>
        </w:rPr>
        <w:t xml:space="preserve">lubridate::month()</w:t>
      </w:r>
      <w:r>
        <w:t xml:space="preserve">,</w:t>
      </w:r>
      <w:r>
        <w:t xml:space="preserve"> </w:t>
      </w:r>
      <w:r>
        <w:rPr>
          <w:rStyle w:val="VerbatimChar"/>
        </w:rPr>
        <w:t xml:space="preserve">roll_mean_base()</w:t>
      </w:r>
      <w:r>
        <w:t xml:space="preserve">,</w:t>
      </w:r>
      <w:r>
        <w:t xml:space="preserve"> </w:t>
      </w:r>
      <w:r>
        <w:rPr>
          <w:rStyle w:val="VerbatimChar"/>
        </w:rPr>
        <w:t xml:space="preserve">ggplot2::geom_line()</w:t>
      </w:r>
      <w:r>
        <w:t xml:space="preserve">,</w:t>
      </w:r>
      <w:r>
        <w:t xml:space="preserve"> </w:t>
      </w:r>
      <w:r>
        <w:rPr>
          <w:rStyle w:val="VerbatimChar"/>
        </w:rPr>
        <w:t xml:space="preserve">geom_boxplot()</w:t>
      </w:r>
      <w:r>
        <w:t xml:space="preserve">.</w:t>
      </w:r>
    </w:p>
    <w:bookmarkEnd w:id="47"/>
    <w:bookmarkStart w:id="48" w:name="iv.-analysis-results-1"/>
    <w:p>
      <w:pPr>
        <w:pStyle w:val="Heading3"/>
      </w:pPr>
      <w:r>
        <w:rPr>
          <w:rStyle w:val="SectionNumber"/>
        </w:rPr>
        <w:t xml:space="preserve">4.2.4</w:t>
      </w:r>
      <w:r>
        <w:tab/>
      </w:r>
      <w:r>
        <w:t xml:space="preserve">iv. Analysis Results</w:t>
      </w:r>
    </w:p>
    <w:p>
      <w:pPr>
        <w:pStyle w:val="FirstParagraph"/>
      </w:pPr>
      <w:r>
        <w:t xml:space="preserve">The multi-year trajectory reveals a distinctive seasonal rhythm:</w:t>
      </w:r>
      <w:r>
        <w:t xml:space="preserve"> </w:t>
      </w:r>
      <w:r>
        <w:t xml:space="preserve">-</w:t>
      </w:r>
      <w:r>
        <w:t xml:space="preserve"> </w:t>
      </w:r>
      <w:r>
        <w:rPr>
          <w:b/>
          <w:bCs/>
        </w:rPr>
        <w:t xml:space="preserve">Winter Peaks (Dec–Feb):</w:t>
      </w:r>
      <w:r>
        <w:t xml:space="preserve"> </w:t>
      </w:r>
      <w:r>
        <w:t xml:space="preserve">Mean winter PM2.5 across Delhi reaches</w:t>
      </w:r>
      <w:r>
        <w:t xml:space="preserve"> </w:t>
      </w:r>
      <w:r>
        <w:rPr>
          <w:b/>
          <w:bCs/>
        </w:rPr>
        <w:t xml:space="preserve">182.26 µg/m³</w:t>
      </w:r>
      <w:r>
        <w:t xml:space="preserve">, more than three times the 24-hour statutory limit (</w:t>
      </w:r>
      <m:oMath>
        <m:r>
          <m:t>60</m:t>
        </m:r>
        <m:r>
          <m:t> </m:t>
        </m:r>
        <m:r>
          <m:t>μ</m:t>
        </m:r>
        <m:sSup>
          <m:e>
            <m:r>
              <m:rPr>
                <m:nor/>
                <m:sty m:val="p"/>
              </m:rPr>
              <m:t>g/m</m:t>
            </m:r>
          </m:e>
          <m:sup>
            <m:r>
              <m:t>3</m:t>
            </m:r>
          </m:sup>
        </m:sSup>
      </m:oMath>
      <w:r>
        <w:t xml:space="preserve">). Low ambient temperatures and nocturnal radiative cooling create intense ground-level thermal inversions that trap surface emissions.</w:t>
      </w:r>
      <w:r>
        <w:t xml:space="preserve"> </w:t>
      </w:r>
      <w:r>
        <w:t xml:space="preserve">-</w:t>
      </w:r>
      <w:r>
        <w:t xml:space="preserve"> </w:t>
      </w:r>
      <w:r>
        <w:rPr>
          <w:b/>
          <w:bCs/>
        </w:rPr>
        <w:t xml:space="preserve">Monsoon Troughs (Jul–Aug):</w:t>
      </w:r>
      <w:r>
        <w:t xml:space="preserve"> </w:t>
      </w:r>
      <w:r>
        <w:t xml:space="preserve">In July and August, mean PM2.5 plunges to</w:t>
      </w:r>
      <w:r>
        <w:t xml:space="preserve"> </w:t>
      </w:r>
      <w:r>
        <w:rPr>
          <w:b/>
          <w:bCs/>
        </w:rPr>
        <w:t xml:space="preserve">38.9 µg/m³</w:t>
      </w:r>
      <w:r>
        <w:t xml:space="preserve">, driven by monsoon rainfall wet scavenging and vigorous convective air mixing.</w:t>
      </w:r>
      <w:r>
        <w:t xml:space="preserve"> </w:t>
      </w:r>
      <w:r>
        <w:t xml:space="preserve">-</w:t>
      </w:r>
      <w:r>
        <w:t xml:space="preserve"> </w:t>
      </w:r>
      <w:r>
        <w:rPr>
          <w:b/>
          <w:bCs/>
        </w:rPr>
        <w:t xml:space="preserve">Multi-Year Trend:</w:t>
      </w:r>
      <w:r>
        <w:t xml:space="preserve"> </w:t>
      </w:r>
      <w:r>
        <w:t xml:space="preserve">National annual average AQI displayed a gradual downward trajectory from 187.5 in 2015 to 114.3 in 2020, punctuated by an episodic rebound in 2018. However, the 2020 figure represents partial-year coverage (January to July) and was heavily influenced by the nationwide COVID-19 lockdown (March–May 2020).</w:t>
      </w:r>
    </w:p>
    <w:bookmarkEnd w:id="48"/>
    <w:bookmarkStart w:id="55" w:name="v.-visualization-1"/>
    <w:p>
      <w:pPr>
        <w:pStyle w:val="Heading3"/>
      </w:pPr>
      <w:r>
        <w:rPr>
          <w:rStyle w:val="SectionNumber"/>
        </w:rPr>
        <w:t xml:space="preserve">4.2.5</w:t>
      </w:r>
      <w:r>
        <w:tab/>
      </w:r>
      <w:r>
        <w:t xml:space="preserve">v. Visualization</w:t>
      </w:r>
    </w:p>
    <w:p>
      <w:pPr>
        <w:pStyle w:val="CaptionedFigure"/>
      </w:pPr>
      <w:r>
        <w:drawing>
          <wp:inline>
            <wp:extent cx="4800600" cy="2667000"/>
            <wp:effectExtent b="0" l="0" r="0" t="0"/>
            <wp:docPr descr="Figure 1: Multi-Year Continuous Temporal Trajectory and 7-Day Moving Average for Delhi" title="" id="50" name="Picture"/>
            <a:graphic>
              <a:graphicData uri="http://schemas.openxmlformats.org/drawingml/2006/picture">
                <pic:pic>
                  <pic:nvPicPr>
                    <pic:cNvPr descr="../outputs/figures/fig1_temporal_trajectory_delhi.png" id="51" name="Picture"/>
                    <pic:cNvPicPr>
                      <a:picLocks noChangeArrowheads="1" noChangeAspect="1"/>
                    </pic:cNvPicPr>
                  </pic:nvPicPr>
                  <pic:blipFill>
                    <a:blip r:embed="rId49"/>
                    <a:stretch>
                      <a:fillRect/>
                    </a:stretch>
                  </pic:blipFill>
                  <pic:spPr bwMode="auto">
                    <a:xfrm>
                      <a:off x="0" y="0"/>
                      <a:ext cx="4800600" cy="2667000"/>
                    </a:xfrm>
                    <a:prstGeom prst="rect">
                      <a:avLst/>
                    </a:prstGeom>
                    <a:noFill/>
                    <a:ln w="9525">
                      <a:noFill/>
                      <a:headEnd/>
                      <a:tailEnd/>
                    </a:ln>
                  </pic:spPr>
                </pic:pic>
              </a:graphicData>
            </a:graphic>
          </wp:inline>
        </w:drawing>
      </w:r>
    </w:p>
    <w:p>
      <w:pPr>
        <w:pStyle w:val="ImageCaption"/>
      </w:pPr>
      <w:r>
        <w:t xml:space="preserve">Figure 1: Multi-Year Continuous Temporal Trajectory and 7-Day Moving Average for Delhi</w:t>
      </w:r>
    </w:p>
    <w:p>
      <w:pPr>
        <w:pStyle w:val="CaptionedFigure"/>
      </w:pPr>
      <w:r>
        <w:drawing>
          <wp:inline>
            <wp:extent cx="4800600" cy="2823882"/>
            <wp:effectExtent b="0" l="0" r="0" t="0"/>
            <wp:docPr descr="Figure 8: Seasonal PM2.5 Concentration Disparity Across Monitored Indian Cities" title="" id="53" name="Picture"/>
            <a:graphic>
              <a:graphicData uri="http://schemas.openxmlformats.org/drawingml/2006/picture">
                <pic:pic>
                  <pic:nvPicPr>
                    <pic:cNvPr descr="../outputs/figures/fig8_seasonal_pollution_disparity.png" id="54" name="Picture"/>
                    <pic:cNvPicPr>
                      <a:picLocks noChangeArrowheads="1" noChangeAspect="1"/>
                    </pic:cNvPicPr>
                  </pic:nvPicPr>
                  <pic:blipFill>
                    <a:blip r:embed="rId52"/>
                    <a:stretch>
                      <a:fillRect/>
                    </a:stretch>
                  </pic:blipFill>
                  <pic:spPr bwMode="auto">
                    <a:xfrm>
                      <a:off x="0" y="0"/>
                      <a:ext cx="4800600" cy="2823882"/>
                    </a:xfrm>
                    <a:prstGeom prst="rect">
                      <a:avLst/>
                    </a:prstGeom>
                    <a:noFill/>
                    <a:ln w="9525">
                      <a:noFill/>
                      <a:headEnd/>
                      <a:tailEnd/>
                    </a:ln>
                  </pic:spPr>
                </pic:pic>
              </a:graphicData>
            </a:graphic>
          </wp:inline>
        </w:drawing>
      </w:r>
    </w:p>
    <w:p>
      <w:pPr>
        <w:pStyle w:val="ImageCaption"/>
      </w:pPr>
      <w:r>
        <w:t xml:space="preserve">Figure 8: Seasonal PM2.5 Concentration Disparity Across Monitored Indian Cities</w:t>
      </w:r>
    </w:p>
    <w:p>
      <w:r>
        <w:pict>
          <v:rect style="width:0;height:1.5pt" o:hralign="center" o:hrstd="t" o:hr="t"/>
        </w:pict>
      </w:r>
    </w:p>
    <w:bookmarkEnd w:id="55"/>
    <w:bookmarkEnd w:id="56"/>
    <w:bookmarkStart w:id="68" w:name="X749f7ff009d3247a934fd85b989e4ce08da88a9"/>
    <w:p>
      <w:pPr>
        <w:pStyle w:val="Heading2"/>
      </w:pPr>
      <w:r>
        <w:rPr>
          <w:rStyle w:val="SectionNumber"/>
        </w:rPr>
        <w:t xml:space="preserve">4.3</w:t>
      </w:r>
      <w:r>
        <w:tab/>
      </w:r>
      <w:r>
        <w:t xml:space="preserve">4.3 Multi-Pollutant Stoichiometry &amp; Chemical Collinearity Intelligence</w:t>
      </w:r>
    </w:p>
    <w:bookmarkStart w:id="57" w:name="i.-introduction-2"/>
    <w:p>
      <w:pPr>
        <w:pStyle w:val="Heading3"/>
      </w:pPr>
      <w:r>
        <w:rPr>
          <w:rStyle w:val="SectionNumber"/>
        </w:rPr>
        <w:t xml:space="preserve">4.3.1</w:t>
      </w:r>
      <w:r>
        <w:tab/>
      </w:r>
      <w:r>
        <w:t xml:space="preserve">i. Introduction</w:t>
      </w:r>
    </w:p>
    <w:p>
      <w:pPr>
        <w:pStyle w:val="FirstParagraph"/>
      </w:pPr>
      <w:r>
        <w:t xml:space="preserve">Ambient air pollution is a multi-pollutant chemical cocktail. Understanding how fine particulate matter (</w:t>
      </w:r>
      <m:oMath>
        <m:r>
          <m:t>P</m:t>
        </m:r>
        <m:sSub>
          <m:e>
            <m:r>
              <m:t>M</m:t>
            </m:r>
          </m:e>
          <m:sub>
            <m:r>
              <m:t>2.5</m:t>
            </m:r>
          </m:sub>
        </m:sSub>
      </m:oMath>
      <w:r>
        <w:t xml:space="preserve">), coarse dust (</w:t>
      </w:r>
      <m:oMath>
        <m:r>
          <m:t>P</m:t>
        </m:r>
        <m:sSub>
          <m:e>
            <m:r>
              <m:t>M</m:t>
            </m:r>
          </m:e>
          <m:sub>
            <m:r>
              <m:t>10</m:t>
            </m:r>
          </m:sub>
        </m:sSub>
      </m:oMath>
      <w:r>
        <w:t xml:space="preserve">), and precursor combustion gases (</w:t>
      </w:r>
      <m:oMath>
        <m:r>
          <m:t>N</m:t>
        </m:r>
        <m:sSub>
          <m:e>
            <m:r>
              <m:t>O</m:t>
            </m:r>
          </m:e>
          <m:sub>
            <m:r>
              <m:t>2</m:t>
            </m:r>
          </m:sub>
        </m:sSub>
        <m:r>
          <m:rPr>
            <m:sty m:val="p"/>
          </m:rPr>
          <m:t>,</m:t>
        </m:r>
        <m:r>
          <m:t>S</m:t>
        </m:r>
        <m:sSub>
          <m:e>
            <m:r>
              <m:t>O</m:t>
            </m:r>
          </m:e>
          <m:sub>
            <m:r>
              <m:t>2</m:t>
            </m:r>
          </m:sub>
        </m:sSub>
        <m:r>
          <m:rPr>
            <m:sty m:val="p"/>
          </m:rPr>
          <m:t>,</m:t>
        </m:r>
        <m:r>
          <m:t>C</m:t>
        </m:r>
        <m:r>
          <m:t>O</m:t>
        </m:r>
      </m:oMath>
      <w:r>
        <w:t xml:space="preserve">) correlate provides vital insights into shared emission sources and atmospheric chemistry.</w:t>
      </w:r>
    </w:p>
    <w:bookmarkEnd w:id="57"/>
    <w:bookmarkStart w:id="58" w:name="ii.-general-description-2"/>
    <w:p>
      <w:pPr>
        <w:pStyle w:val="Heading3"/>
      </w:pPr>
      <w:r>
        <w:rPr>
          <w:rStyle w:val="SectionNumber"/>
        </w:rPr>
        <w:t xml:space="preserve">4.3.2</w:t>
      </w:r>
      <w:r>
        <w:tab/>
      </w:r>
      <w:r>
        <w:t xml:space="preserve">ii. General Description</w:t>
      </w:r>
    </w:p>
    <w:p>
      <w:pPr>
        <w:pStyle w:val="FirstParagraph"/>
      </w:pPr>
      <w:r>
        <w:t xml:space="preserve">This analysis calculates pairwise Pearson correlation coefficients, evaluates the stoichiometric ratio between</w:t>
      </w:r>
      <w:r>
        <w:t xml:space="preserve"> </w:t>
      </w:r>
      <m:oMath>
        <m:r>
          <m:t>P</m:t>
        </m:r>
        <m:sSub>
          <m:e>
            <m:r>
              <m:t>M</m:t>
            </m:r>
          </m:e>
          <m:sub>
            <m:r>
              <m:t>2.5</m:t>
            </m:r>
          </m:sub>
        </m:sSub>
      </m:oMath>
      <w:r>
        <w:t xml:space="preserve"> </w:t>
      </w:r>
      <w:r>
        <w:t xml:space="preserve">and</w:t>
      </w:r>
      <w:r>
        <w:t xml:space="preserve"> </w:t>
      </w:r>
      <m:oMath>
        <m:r>
          <m:t>P</m:t>
        </m:r>
        <m:sSub>
          <m:e>
            <m:r>
              <m:t>M</m:t>
            </m:r>
          </m:e>
          <m:sub>
            <m:r>
              <m:t>10</m:t>
            </m:r>
          </m:sub>
        </m:sSub>
      </m:oMath>
      <w:r>
        <w:t xml:space="preserve">, and fits ordinary least squares (OLS) linear regressions across seasons.</w:t>
      </w:r>
    </w:p>
    <w:bookmarkEnd w:id="58"/>
    <w:bookmarkStart w:id="59" w:name="X68fba7e934ed03c95d91c83cb4cb3c475c3a81c"/>
    <w:p>
      <w:pPr>
        <w:pStyle w:val="Heading3"/>
      </w:pPr>
      <w:r>
        <w:rPr>
          <w:rStyle w:val="SectionNumber"/>
        </w:rPr>
        <w:t xml:space="preserve">4.3.3</w:t>
      </w:r>
      <w:r>
        <w:tab/>
      </w:r>
      <w:r>
        <w:t xml:space="preserve">iii. Specific Requirements, Functions and Formulas</w:t>
      </w:r>
    </w:p>
    <w:p>
      <w:pPr>
        <w:pStyle w:val="Compact"/>
        <w:numPr>
          <w:ilvl w:val="0"/>
          <w:numId w:val="1005"/>
        </w:numPr>
      </w:pPr>
      <w:r>
        <w:rPr>
          <w:b/>
          <w:bCs/>
        </w:rPr>
        <w:t xml:space="preserve">Mathematical Formulations:</w:t>
      </w:r>
    </w:p>
    <w:p>
      <w:pPr>
        <w:pStyle w:val="Compact"/>
      </w:pPr>
      <m:oMathPara>
        <m:oMathParaPr>
          <m:jc m:val="center"/>
        </m:oMathParaPr>
        <m:oMath>
          <m:sSub>
            <m:e>
              <m:r>
                <m:t>r</m:t>
              </m:r>
            </m:e>
            <m:sub>
              <m:r>
                <m:t>X</m:t>
              </m:r>
              <m:r>
                <m:rPr>
                  <m:sty m:val="p"/>
                </m:rPr>
                <m:t>,</m:t>
              </m:r>
              <m:r>
                <m:t>Y</m:t>
              </m:r>
            </m:sub>
          </m:sSub>
          <m:r>
            <m:rPr>
              <m:sty m:val="p"/>
            </m:rPr>
            <m:t>=</m:t>
          </m:r>
          <m:f>
            <m:fPr>
              <m:type m:val="bar"/>
            </m:fPr>
            <m:num>
              <m:r>
                <m:rPr>
                  <m:sty m:val="p"/>
                </m:rPr>
                <m:t>∑</m:t>
              </m:r>
              <m:r>
                <m:rPr>
                  <m:sty m:val="p"/>
                </m:rPr>
                <m:t>(</m:t>
              </m:r>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rad>
                <m:radPr>
                  <m:degHide m:val="on"/>
                </m:radPr>
                <m:deg/>
                <m:e>
                  <m:r>
                    <m:rPr>
                      <m:sty m:val="p"/>
                    </m:rPr>
                    <m:t>∑</m:t>
                  </m:r>
                  <m:r>
                    <m:rPr>
                      <m:sty m:val="p"/>
                    </m:rPr>
                    <m:t>(</m:t>
                  </m:r>
                  <m:sSub>
                    <m:e>
                      <m:r>
                        <m:t>X</m:t>
                      </m:r>
                    </m:e>
                    <m:sub>
                      <m:r>
                        <m:t>i</m:t>
                      </m:r>
                    </m:sub>
                  </m:sSub>
                  <m:r>
                    <m:rPr>
                      <m:sty m:val="p"/>
                    </m:rPr>
                    <m:t>−</m:t>
                  </m:r>
                  <m:acc>
                    <m:accPr>
                      <m:chr m:val="‾"/>
                    </m:accPr>
                    <m:e>
                      <m:r>
                        <m:t>X</m:t>
                      </m:r>
                    </m:e>
                  </m:acc>
                  <m:sSup>
                    <m:e>
                      <m:r>
                        <m:rPr>
                          <m:sty m:val="p"/>
                        </m:rPr>
                        <m:t>)</m:t>
                      </m:r>
                    </m:e>
                    <m:sup>
                      <m:r>
                        <m:t>2</m:t>
                      </m:r>
                    </m:sup>
                  </m:sSup>
                  <m:r>
                    <m:rPr>
                      <m:sty m:val="p"/>
                    </m:rPr>
                    <m:t>∑</m:t>
                  </m:r>
                  <m:r>
                    <m:rPr>
                      <m:sty m:val="p"/>
                    </m:rPr>
                    <m:t>(</m:t>
                  </m:r>
                  <m:sSub>
                    <m:e>
                      <m:r>
                        <m:t>Y</m:t>
                      </m:r>
                    </m:e>
                    <m:sub>
                      <m:r>
                        <m:t>i</m:t>
                      </m:r>
                    </m:sub>
                  </m:sSub>
                  <m:r>
                    <m:rPr>
                      <m:sty m:val="p"/>
                    </m:rPr>
                    <m:t>−</m:t>
                  </m:r>
                  <m:acc>
                    <m:accPr>
                      <m:chr m:val="‾"/>
                    </m:accPr>
                    <m:e>
                      <m:r>
                        <m:t>Y</m:t>
                      </m:r>
                    </m:e>
                  </m:acc>
                  <m:sSup>
                    <m:e>
                      <m:r>
                        <m:rPr>
                          <m:sty m:val="p"/>
                        </m:rPr>
                        <m:t>)</m:t>
                      </m:r>
                    </m:e>
                    <m:sup>
                      <m:r>
                        <m:t>2</m:t>
                      </m:r>
                    </m:sup>
                  </m:sSup>
                </m:e>
              </m:rad>
            </m:den>
          </m:f>
        </m:oMath>
      </m:oMathPara>
    </w:p>
    <w:p>
      <w:pPr>
        <w:pStyle w:val="Compact"/>
      </w:pPr>
      <m:oMathPara>
        <m:oMathParaPr>
          <m:jc m:val="center"/>
        </m:oMathParaPr>
        <m:oMath>
          <m:r>
            <m:rPr>
              <m:nor/>
              <m:sty m:val="p"/>
            </m:rPr>
            <m:t>OLS Model: </m:t>
          </m:r>
          <m:r>
            <m:t>P</m:t>
          </m:r>
          <m:sSub>
            <m:e>
              <m:r>
                <m:t>M</m:t>
              </m:r>
            </m:e>
            <m:sub>
              <m:r>
                <m:t>2.5</m:t>
              </m:r>
            </m:sub>
          </m:sSub>
          <m:r>
            <m:rPr>
              <m:sty m:val="p"/>
            </m:rPr>
            <m:t>=</m:t>
          </m:r>
          <m:sSub>
            <m:e>
              <m:r>
                <m:t>β</m:t>
              </m:r>
            </m:e>
            <m:sub>
              <m:r>
                <m:t>0</m:t>
              </m:r>
            </m:sub>
          </m:sSub>
          <m:r>
            <m:rPr>
              <m:sty m:val="p"/>
            </m:rPr>
            <m:t>+</m:t>
          </m:r>
          <m:sSub>
            <m:e>
              <m:r>
                <m:t>β</m:t>
              </m:r>
            </m:e>
            <m:sub>
              <m:r>
                <m:t>1</m:t>
              </m:r>
            </m:sub>
          </m:sSub>
          <m:r>
            <m:rPr>
              <m:sty m:val="p"/>
            </m:rPr>
            <m:t>⋅</m:t>
          </m:r>
          <m:r>
            <m:t>P</m:t>
          </m:r>
          <m:sSub>
            <m:e>
              <m:r>
                <m:t>M</m:t>
              </m:r>
            </m:e>
            <m:sub>
              <m:r>
                <m:t>10</m:t>
              </m:r>
            </m:sub>
          </m:sSub>
          <m:r>
            <m:rPr>
              <m:sty m:val="p"/>
            </m:rPr>
            <m:t>+</m:t>
          </m:r>
          <m:r>
            <m:t>ϵ</m:t>
          </m:r>
        </m:oMath>
      </m:oMathPara>
    </w:p>
    <w:p>
      <w:pPr>
        <w:pStyle w:val="Compact"/>
        <w:numPr>
          <w:ilvl w:val="0"/>
          <w:numId w:val="1005"/>
        </w:numPr>
      </w:pPr>
      <w:r>
        <w:rPr>
          <w:b/>
          <w:bCs/>
        </w:rPr>
        <w:t xml:space="preserve">R Functions:</w:t>
      </w:r>
      <w:r>
        <w:t xml:space="preserve"> </w:t>
      </w:r>
      <w:r>
        <w:rPr>
          <w:rStyle w:val="VerbatimChar"/>
        </w:rPr>
        <w:t xml:space="preserve">stats::cor()</w:t>
      </w:r>
      <w:r>
        <w:t xml:space="preserve">,</w:t>
      </w:r>
      <w:r>
        <w:t xml:space="preserve"> </w:t>
      </w:r>
      <w:r>
        <w:rPr>
          <w:rStyle w:val="VerbatimChar"/>
        </w:rPr>
        <w:t xml:space="preserve">stats::cor.test()</w:t>
      </w:r>
      <w:r>
        <w:t xml:space="preserve">,</w:t>
      </w:r>
      <w:r>
        <w:t xml:space="preserve"> </w:t>
      </w:r>
      <w:r>
        <w:rPr>
          <w:rStyle w:val="VerbatimChar"/>
        </w:rPr>
        <w:t xml:space="preserve">stats::lm()</w:t>
      </w:r>
      <w:r>
        <w:t xml:space="preserve">,</w:t>
      </w:r>
      <w:r>
        <w:t xml:space="preserve"> </w:t>
      </w:r>
      <w:r>
        <w:rPr>
          <w:rStyle w:val="VerbatimChar"/>
        </w:rPr>
        <w:t xml:space="preserve">ggplot2::geom_point()</w:t>
      </w:r>
      <w:r>
        <w:t xml:space="preserve">,</w:t>
      </w:r>
      <w:r>
        <w:t xml:space="preserve"> </w:t>
      </w:r>
      <w:r>
        <w:rPr>
          <w:rStyle w:val="VerbatimChar"/>
        </w:rPr>
        <w:t xml:space="preserve">geom_tile()</w:t>
      </w:r>
      <w:r>
        <w:t xml:space="preserve">,</w:t>
      </w:r>
      <w:r>
        <w:t xml:space="preserve"> </w:t>
      </w:r>
      <w:r>
        <w:rPr>
          <w:rStyle w:val="VerbatimChar"/>
        </w:rPr>
        <w:t xml:space="preserve">geom_smooth(method = "lm")</w:t>
      </w:r>
      <w:r>
        <w:t xml:space="preserve">.</w:t>
      </w:r>
    </w:p>
    <w:bookmarkEnd w:id="59"/>
    <w:bookmarkStart w:id="60" w:name="iv.-analysis-results-2"/>
    <w:p>
      <w:pPr>
        <w:pStyle w:val="Heading3"/>
      </w:pPr>
      <w:r>
        <w:rPr>
          <w:rStyle w:val="SectionNumber"/>
        </w:rPr>
        <w:t xml:space="preserve">4.3.4</w:t>
      </w:r>
      <w:r>
        <w:tab/>
      </w:r>
      <w:r>
        <w:t xml:space="preserve">iv. Analysis Results</w:t>
      </w:r>
    </w:p>
    <w:p>
      <w:pPr>
        <w:pStyle w:val="Compact"/>
        <w:numPr>
          <w:ilvl w:val="0"/>
          <w:numId w:val="1006"/>
        </w:numPr>
      </w:pPr>
      <w:r>
        <w:rPr>
          <w:b/>
          <w:bCs/>
        </w:rPr>
        <w:t xml:space="preserve">Particulate Stoichiometry (</w:t>
      </w:r>
      <m:oMath>
        <m:r>
          <m:t>P</m:t>
        </m:r>
        <m:sSub>
          <m:e>
            <m:r>
              <m:t>M</m:t>
            </m:r>
          </m:e>
          <m:sub>
            <m:r>
              <m:t>2.5</m:t>
            </m:r>
          </m:sub>
        </m:sSub>
      </m:oMath>
      <w:r>
        <w:rPr>
          <w:b/>
          <w:bCs/>
        </w:rPr>
        <w:t xml:space="preserve"> </w:t>
      </w:r>
      <w:r>
        <w:rPr>
          <w:b/>
          <w:bCs/>
        </w:rPr>
        <w:t xml:space="preserve">vs</w:t>
      </w:r>
      <w:r>
        <w:rPr>
          <w:b/>
          <w:bCs/>
        </w:rPr>
        <w:t xml:space="preserve"> </w:t>
      </w:r>
      <m:oMath>
        <m:r>
          <m:t>P</m:t>
        </m:r>
        <m:sSub>
          <m:e>
            <m:r>
              <m:t>M</m:t>
            </m:r>
          </m:e>
          <m:sub>
            <m:r>
              <m:t>10</m:t>
            </m:r>
          </m:sub>
        </m:sSub>
      </m:oMath>
      <w:r>
        <w:rPr>
          <w:b/>
          <w:bCs/>
        </w:rPr>
        <w:t xml:space="preserve">):</w:t>
      </w:r>
      <w:r>
        <w:t xml:space="preserve"> </w:t>
      </w:r>
      <w:r>
        <w:t xml:space="preserve">Fine and coarse particulates demonstrate an exceptionally strong, statistically significant positive linear correlation (</w:t>
      </w:r>
      <m:oMath>
        <m:r>
          <m:t>r</m:t>
        </m:r>
        <m:r>
          <m:rPr>
            <m:sty m:val="p"/>
          </m:rPr>
          <m:t>=</m:t>
        </m:r>
        <m:r>
          <m:t>0.845</m:t>
        </m:r>
      </m:oMath>
      <w:r>
        <w:t xml:space="preserve">,</w:t>
      </w:r>
      <w:r>
        <w:t xml:space="preserve"> </w:t>
      </w:r>
      <m:oMath>
        <m:r>
          <m:t>t</m:t>
        </m:r>
        <m:r>
          <m:rPr>
            <m:sty m:val="p"/>
          </m:rPr>
          <m:t>=</m:t>
        </m:r>
        <m:r>
          <m:t>188.4</m:t>
        </m:r>
      </m:oMath>
      <w:r>
        <w:t xml:space="preserve">,</w:t>
      </w:r>
      <w:r>
        <w:t xml:space="preserve"> </w:t>
      </w:r>
      <m:oMath>
        <m:r>
          <m:t>p</m:t>
        </m:r>
        <m:r>
          <m:rPr>
            <m:sty m:val="p"/>
          </m:rPr>
          <m:t>&lt;</m:t>
        </m:r>
        <m:r>
          <m:t>0.0001</m:t>
        </m:r>
      </m:oMath>
      <w:r>
        <w:t xml:space="preserve">, 95% CI:</w:t>
      </w:r>
      <w:r>
        <w:t xml:space="preserve"> </w:t>
      </w:r>
      <m:oMath>
        <m:r>
          <m:rPr>
            <m:sty m:val="p"/>
          </m:rPr>
          <m:t>[</m:t>
        </m:r>
        <m:r>
          <m:t>0.841</m:t>
        </m:r>
        <m:r>
          <m:rPr>
            <m:sty m:val="p"/>
          </m:rPr>
          <m:t>,</m:t>
        </m:r>
        <m:r>
          <m:t>0.849</m:t>
        </m:r>
        <m:r>
          <m:rPr>
            <m:sty m:val="p"/>
          </m:rPr>
          <m:t>]</m:t>
        </m:r>
      </m:oMath>
      <w:r>
        <w:t xml:space="preserve">). The fitted slope (</w:t>
      </w:r>
      <m:oMath>
        <m:sSub>
          <m:e>
            <m:r>
              <m:t>β</m:t>
            </m:r>
          </m:e>
          <m:sub>
            <m:r>
              <m:t>1</m:t>
            </m:r>
          </m:sub>
        </m:sSub>
        <m:r>
          <m:rPr>
            <m:sty m:val="p"/>
          </m:rPr>
          <m:t>≈</m:t>
        </m:r>
        <m:r>
          <m:t>0.58</m:t>
        </m:r>
      </m:oMath>
      <w:r>
        <w:t xml:space="preserve">) indicates that approximately 58% of coarse particulate mass in urban centers consists of fine respirable combustion particles.</w:t>
      </w:r>
    </w:p>
    <w:p>
      <w:pPr>
        <w:pStyle w:val="Compact"/>
        <w:numPr>
          <w:ilvl w:val="0"/>
          <w:numId w:val="1006"/>
        </w:numPr>
      </w:pPr>
      <w:r>
        <w:rPr>
          <w:b/>
          <w:bCs/>
        </w:rPr>
        <w:t xml:space="preserve">Combustion Gases (</w:t>
      </w:r>
      <m:oMath>
        <m:r>
          <m:t>N</m:t>
        </m:r>
        <m:sSub>
          <m:e>
            <m:r>
              <m:t>O</m:t>
            </m:r>
          </m:e>
          <m:sub>
            <m:r>
              <m:t>2</m:t>
            </m:r>
          </m:sub>
        </m:sSub>
      </m:oMath>
      <w:r>
        <w:rPr>
          <w:b/>
          <w:bCs/>
        </w:rPr>
        <w:t xml:space="preserve"> </w:t>
      </w:r>
      <w:r>
        <w:rPr>
          <w:b/>
          <w:bCs/>
        </w:rPr>
        <w:t xml:space="preserve">&amp;</w:t>
      </w:r>
      <w:r>
        <w:rPr>
          <w:b/>
          <w:bCs/>
        </w:rPr>
        <w:t xml:space="preserve"> </w:t>
      </w:r>
      <m:oMath>
        <m:r>
          <m:t>C</m:t>
        </m:r>
        <m:r>
          <m:t>O</m:t>
        </m:r>
      </m:oMath>
      <w:r>
        <w:rPr>
          <w:b/>
          <w:bCs/>
        </w:rPr>
        <w:t xml:space="preserve">):</w:t>
      </w:r>
      <w:r>
        <w:t xml:space="preserve"> </w:t>
      </w:r>
      <m:oMath>
        <m:r>
          <m:t>N</m:t>
        </m:r>
        <m:sSub>
          <m:e>
            <m:r>
              <m:t>O</m:t>
            </m:r>
          </m:e>
          <m:sub>
            <m:r>
              <m:t>2</m:t>
            </m:r>
          </m:sub>
        </m:sSub>
      </m:oMath>
      <w:r>
        <w:t xml:space="preserve"> </w:t>
      </w:r>
      <w:r>
        <w:t xml:space="preserve">correlates moderately with</w:t>
      </w:r>
      <w:r>
        <w:t xml:space="preserve"> </w:t>
      </w:r>
      <m:oMath>
        <m:r>
          <m:t>P</m:t>
        </m:r>
        <m:sSub>
          <m:e>
            <m:r>
              <m:t>M</m:t>
            </m:r>
          </m:e>
          <m:sub>
            <m:r>
              <m:t>2.5</m:t>
            </m:r>
          </m:sub>
        </m:sSub>
      </m:oMath>
      <w:r>
        <w:t xml:space="preserve"> </w:t>
      </w:r>
      <w:r>
        <w:t xml:space="preserve">(</w:t>
      </w:r>
      <m:oMath>
        <m:r>
          <m:t>r</m:t>
        </m:r>
        <m:r>
          <m:rPr>
            <m:sty m:val="p"/>
          </m:rPr>
          <m:t>=</m:t>
        </m:r>
        <m:r>
          <m:t>0.442</m:t>
        </m:r>
      </m:oMath>
      <w:r>
        <w:t xml:space="preserve">) and</w:t>
      </w:r>
      <w:r>
        <w:t xml:space="preserve"> </w:t>
      </w:r>
      <m:oMath>
        <m:r>
          <m:t>C</m:t>
        </m:r>
        <m:r>
          <m:t>O</m:t>
        </m:r>
      </m:oMath>
      <w:r>
        <w:t xml:space="preserve"> </w:t>
      </w:r>
      <w:r>
        <w:t xml:space="preserve">(</w:t>
      </w:r>
      <m:oMath>
        <m:r>
          <m:t>r</m:t>
        </m:r>
        <m:r>
          <m:rPr>
            <m:sty m:val="p"/>
          </m:rPr>
          <m:t>=</m:t>
        </m:r>
        <m:r>
          <m:t>0.362</m:t>
        </m:r>
      </m:oMath>
      <w:r>
        <w:t xml:space="preserve">), reflecting shared origins in vehicular internal combustion engines and heavy transport.</w:t>
      </w:r>
    </w:p>
    <w:p>
      <w:pPr>
        <w:pStyle w:val="Compact"/>
        <w:numPr>
          <w:ilvl w:val="0"/>
          <w:numId w:val="1006"/>
        </w:numPr>
      </w:pPr>
      <w:r>
        <w:rPr>
          <w:b/>
          <w:bCs/>
        </w:rPr>
        <w:t xml:space="preserve">Secondary Atmospheric Transformation:</w:t>
      </w:r>
      <w:r>
        <w:t xml:space="preserve"> </w:t>
      </w:r>
      <w:r>
        <w:t xml:space="preserve">The chemical correlation between</w:t>
      </w:r>
      <w:r>
        <w:t xml:space="preserve"> </w:t>
      </w:r>
      <m:oMath>
        <m:r>
          <m:t>S</m:t>
        </m:r>
        <m:sSub>
          <m:e>
            <m:r>
              <m:t>O</m:t>
            </m:r>
          </m:e>
          <m:sub>
            <m:r>
              <m:t>2</m:t>
            </m:r>
          </m:sub>
        </m:sSub>
      </m:oMath>
      <w:r>
        <w:t xml:space="preserve"> </w:t>
      </w:r>
      <w:r>
        <w:t xml:space="preserve">and</w:t>
      </w:r>
      <w:r>
        <w:t xml:space="preserve"> </w:t>
      </w:r>
      <m:oMath>
        <m:r>
          <m:t>P</m:t>
        </m:r>
        <m:sSub>
          <m:e>
            <m:r>
              <m:t>M</m:t>
            </m:r>
          </m:e>
          <m:sub>
            <m:r>
              <m:t>2.5</m:t>
            </m:r>
          </m:sub>
        </m:sSub>
      </m:oMath>
      <w:r>
        <w:t xml:space="preserve"> </w:t>
      </w:r>
      <w:r>
        <w:t xml:space="preserve">(</w:t>
      </w:r>
      <m:oMath>
        <m:r>
          <m:t>r</m:t>
        </m:r>
        <m:r>
          <m:rPr>
            <m:sty m:val="p"/>
          </m:rPr>
          <m:t>=</m:t>
        </m:r>
        <m:r>
          <m:t>0.286</m:t>
        </m:r>
      </m:oMath>
      <w:r>
        <w:t xml:space="preserve">) reflects secondary sulfate aerosol formation, where gaseous sulfur dioxide emitted by thermal power plants oxidizes into fine ammonium sulfate particulates.</w:t>
      </w:r>
    </w:p>
    <w:bookmarkEnd w:id="60"/>
    <w:bookmarkStart w:id="67" w:name="v.-visualization-2"/>
    <w:p>
      <w:pPr>
        <w:pStyle w:val="Heading3"/>
      </w:pPr>
      <w:r>
        <w:rPr>
          <w:rStyle w:val="SectionNumber"/>
        </w:rPr>
        <w:t xml:space="preserve">4.3.5</w:t>
      </w:r>
      <w:r>
        <w:tab/>
      </w:r>
      <w:r>
        <w:t xml:space="preserve">v. Visualization</w:t>
      </w:r>
    </w:p>
    <w:p>
      <w:pPr>
        <w:pStyle w:val="CaptionedFigure"/>
      </w:pPr>
      <w:r>
        <w:drawing>
          <wp:inline>
            <wp:extent cx="4800600" cy="3300412"/>
            <wp:effectExtent b="0" l="0" r="0" t="0"/>
            <wp:docPr descr="Figure 3: Particulate Stoichiometry Scatter Plot with Fitted OLS Regression Across Seasons in Delhi" title="" id="62" name="Picture"/>
            <a:graphic>
              <a:graphicData uri="http://schemas.openxmlformats.org/drawingml/2006/picture">
                <pic:pic>
                  <pic:nvPicPr>
                    <pic:cNvPr descr="../outputs/figures/fig3_stoichiometry_scatter.png" id="63" name="Picture"/>
                    <pic:cNvPicPr>
                      <a:picLocks noChangeArrowheads="1" noChangeAspect="1"/>
                    </pic:cNvPicPr>
                  </pic:nvPicPr>
                  <pic:blipFill>
                    <a:blip r:embed="rId61"/>
                    <a:stretch>
                      <a:fillRect/>
                    </a:stretch>
                  </pic:blipFill>
                  <pic:spPr bwMode="auto">
                    <a:xfrm>
                      <a:off x="0" y="0"/>
                      <a:ext cx="4800600" cy="3300412"/>
                    </a:xfrm>
                    <a:prstGeom prst="rect">
                      <a:avLst/>
                    </a:prstGeom>
                    <a:noFill/>
                    <a:ln w="9525">
                      <a:noFill/>
                      <a:headEnd/>
                      <a:tailEnd/>
                    </a:ln>
                  </pic:spPr>
                </pic:pic>
              </a:graphicData>
            </a:graphic>
          </wp:inline>
        </w:drawing>
      </w:r>
    </w:p>
    <w:p>
      <w:pPr>
        <w:pStyle w:val="ImageCaption"/>
      </w:pPr>
      <w:r>
        <w:t xml:space="preserve">Figure 3: Particulate Stoichiometry Scatter Plot with Fitted OLS Regression Across Seasons in Delhi</w:t>
      </w:r>
    </w:p>
    <w:p>
      <w:pPr>
        <w:pStyle w:val="CaptionedFigure"/>
      </w:pPr>
      <w:r>
        <w:drawing>
          <wp:inline>
            <wp:extent cx="4800600" cy="3840479"/>
            <wp:effectExtent b="0" l="0" r="0" t="0"/>
            <wp:docPr descr="Figure 4: Multi-Pollutant Pearson Correlation Heatmap across Criteria Ambient Pollutants" title="" id="65" name="Picture"/>
            <a:graphic>
              <a:graphicData uri="http://schemas.openxmlformats.org/drawingml/2006/picture">
                <pic:pic>
                  <pic:nvPicPr>
                    <pic:cNvPr descr="../outputs/figures/fig4_correlation_heatmap.png" id="66" name="Picture"/>
                    <pic:cNvPicPr>
                      <a:picLocks noChangeArrowheads="1" noChangeAspect="1"/>
                    </pic:cNvPicPr>
                  </pic:nvPicPr>
                  <pic:blipFill>
                    <a:blip r:embed="rId64"/>
                    <a:stretch>
                      <a:fillRect/>
                    </a:stretch>
                  </pic:blipFill>
                  <pic:spPr bwMode="auto">
                    <a:xfrm>
                      <a:off x="0" y="0"/>
                      <a:ext cx="4800600" cy="3840479"/>
                    </a:xfrm>
                    <a:prstGeom prst="rect">
                      <a:avLst/>
                    </a:prstGeom>
                    <a:noFill/>
                    <a:ln w="9525">
                      <a:noFill/>
                      <a:headEnd/>
                      <a:tailEnd/>
                    </a:ln>
                  </pic:spPr>
                </pic:pic>
              </a:graphicData>
            </a:graphic>
          </wp:inline>
        </w:drawing>
      </w:r>
    </w:p>
    <w:p>
      <w:pPr>
        <w:pStyle w:val="ImageCaption"/>
      </w:pPr>
      <w:r>
        <w:t xml:space="preserve">Figure 4: Multi-Pollutant Pearson Correlation Heatmap across Criteria Ambient Pollutants</w:t>
      </w:r>
    </w:p>
    <w:p>
      <w:r>
        <w:pict>
          <v:rect style="width:0;height:1.5pt" o:hralign="center" o:hrstd="t" o:hr="t"/>
        </w:pict>
      </w:r>
    </w:p>
    <w:bookmarkEnd w:id="67"/>
    <w:bookmarkEnd w:id="68"/>
    <w:bookmarkStart w:id="77" w:name="X661d5afdbd0a5cc83fe3826c6a3e47eaa9aad1f"/>
    <w:p>
      <w:pPr>
        <w:pStyle w:val="Heading2"/>
      </w:pPr>
      <w:r>
        <w:rPr>
          <w:rStyle w:val="SectionNumber"/>
        </w:rPr>
        <w:t xml:space="preserve">4.4</w:t>
      </w:r>
      <w:r>
        <w:tab/>
      </w:r>
      <w:r>
        <w:t xml:space="preserve">4.4 Episodic Surges &amp; Anomaly Volatility Detection via Bollinger Bands</w:t>
      </w:r>
    </w:p>
    <w:bookmarkStart w:id="69" w:name="i.-introduction-3"/>
    <w:p>
      <w:pPr>
        <w:pStyle w:val="Heading3"/>
      </w:pPr>
      <w:r>
        <w:rPr>
          <w:rStyle w:val="SectionNumber"/>
        </w:rPr>
        <w:t xml:space="preserve">4.4.1</w:t>
      </w:r>
      <w:r>
        <w:tab/>
      </w:r>
      <w:r>
        <w:t xml:space="preserve">i. Introduction</w:t>
      </w:r>
    </w:p>
    <w:p>
      <w:pPr>
        <w:pStyle w:val="FirstParagraph"/>
      </w:pPr>
      <w:r>
        <w:t xml:space="preserve">Urban air quality exhibits acute spikes caused by transient external shocks (such as festival firecrackers or agricultural stubble combustion). Disentangling structural baseline shifts from short-term episodic volatility is essential for emergency governance.</w:t>
      </w:r>
    </w:p>
    <w:bookmarkEnd w:id="69"/>
    <w:bookmarkStart w:id="70" w:name="ii.-general-description-3"/>
    <w:p>
      <w:pPr>
        <w:pStyle w:val="Heading3"/>
      </w:pPr>
      <w:r>
        <w:rPr>
          <w:rStyle w:val="SectionNumber"/>
        </w:rPr>
        <w:t xml:space="preserve">4.4.2</w:t>
      </w:r>
      <w:r>
        <w:tab/>
      </w:r>
      <w:r>
        <w:t xml:space="preserve">ii. General Description</w:t>
      </w:r>
    </w:p>
    <w:p>
      <w:pPr>
        <w:pStyle w:val="FirstParagraph"/>
      </w:pPr>
      <w:r>
        <w:t xml:space="preserve">This analysis constructs 20-day rolling moving averages and standard deviation bands (</w:t>
      </w:r>
      <m:oMath>
        <m:r>
          <m:rPr>
            <m:sty m:val="p"/>
          </m:rPr>
          <m:t>±</m:t>
        </m:r>
        <m:r>
          <m:t>2</m:t>
        </m:r>
        <m:r>
          <m:t>σ</m:t>
        </m:r>
      </m:oMath>
      <w:r>
        <w:t xml:space="preserve">) around ambient PM2.5 time series to flag statistical volatility breaches.</w:t>
      </w:r>
    </w:p>
    <w:bookmarkEnd w:id="70"/>
    <w:bookmarkStart w:id="71" w:name="X0253e1add89841e09f76ef115b317ea5e0d87bf"/>
    <w:p>
      <w:pPr>
        <w:pStyle w:val="Heading3"/>
      </w:pPr>
      <w:r>
        <w:rPr>
          <w:rStyle w:val="SectionNumber"/>
        </w:rPr>
        <w:t xml:space="preserve">4.4.3</w:t>
      </w:r>
      <w:r>
        <w:tab/>
      </w:r>
      <w:r>
        <w:t xml:space="preserve">iii. Specific Requirements, Functions and Formulas</w:t>
      </w:r>
    </w:p>
    <w:p>
      <w:pPr>
        <w:pStyle w:val="Compact"/>
        <w:numPr>
          <w:ilvl w:val="0"/>
          <w:numId w:val="1007"/>
        </w:numPr>
      </w:pPr>
      <w:r>
        <w:rPr>
          <w:b/>
          <w:bCs/>
        </w:rPr>
        <w:t xml:space="preserve">Mathematical Formulations:</w:t>
      </w:r>
    </w:p>
    <w:p>
      <w:pPr>
        <w:pStyle w:val="Compact"/>
      </w:pPr>
      <m:oMathPara>
        <m:oMathParaPr>
          <m:jc m:val="center"/>
        </m:oMathParaPr>
        <m:oMath>
          <m:sSub>
            <m:e>
              <m:r>
                <m:t>μ</m:t>
              </m:r>
            </m:e>
            <m:sub>
              <m:r>
                <m:t>t</m:t>
              </m:r>
              <m:r>
                <m:rPr>
                  <m:sty m:val="p"/>
                </m:rPr>
                <m:t>,</m:t>
              </m:r>
              <m:r>
                <m:t>20</m:t>
              </m:r>
            </m:sub>
          </m:sSub>
          <m:r>
            <m:rPr>
              <m:sty m:val="p"/>
            </m:rPr>
            <m:t>=</m:t>
          </m:r>
          <m:f>
            <m:fPr>
              <m:type m:val="bar"/>
            </m:fPr>
            <m:num>
              <m:r>
                <m:t>1</m:t>
              </m:r>
            </m:num>
            <m:den>
              <m:r>
                <m:t>20</m:t>
              </m:r>
            </m:den>
          </m:f>
          <m:nary>
            <m:naryPr>
              <m:chr m:val="∑"/>
              <m:limLoc m:val="undOvr"/>
              <m:subHide m:val="off"/>
              <m:supHide m:val="off"/>
            </m:naryPr>
            <m:sub>
              <m:r>
                <m:t>i</m:t>
              </m:r>
              <m:r>
                <m:rPr>
                  <m:sty m:val="p"/>
                </m:rPr>
                <m:t>=</m:t>
              </m:r>
              <m:r>
                <m:t>0</m:t>
              </m:r>
            </m:sub>
            <m:sup>
              <m:r>
                <m:t>19</m:t>
              </m:r>
            </m:sup>
            <m:e>
              <m:sSub>
                <m:e>
                  <m:r>
                    <m:t>X</m:t>
                  </m:r>
                </m:e>
                <m:sub>
                  <m:r>
                    <m:t>t</m:t>
                  </m:r>
                  <m:r>
                    <m:rPr>
                      <m:sty m:val="p"/>
                    </m:rPr>
                    <m:t>−</m:t>
                  </m:r>
                  <m:r>
                    <m:t>i</m:t>
                  </m:r>
                </m:sub>
              </m:sSub>
            </m:e>
          </m:nary>
          <m:r>
            <m:rPr>
              <m:sty m:val="p"/>
            </m:rPr>
            <m:t>,</m:t>
          </m:r>
          <m:r>
            <m:t> </m:t>
          </m:r>
          <m:sSub>
            <m:e>
              <m:r>
                <m:t>σ</m:t>
              </m:r>
            </m:e>
            <m:sub>
              <m:r>
                <m:t>t</m:t>
              </m:r>
              <m:r>
                <m:rPr>
                  <m:sty m:val="p"/>
                </m:rPr>
                <m:t>,</m:t>
              </m:r>
              <m:r>
                <m:t>20</m:t>
              </m:r>
            </m:sub>
          </m:sSub>
          <m:r>
            <m:rPr>
              <m:sty m:val="p"/>
            </m:rPr>
            <m:t>=</m:t>
          </m:r>
          <m:rad>
            <m:radPr>
              <m:degHide m:val="on"/>
            </m:radPr>
            <m:deg/>
            <m:e>
              <m:f>
                <m:fPr>
                  <m:type m:val="bar"/>
                </m:fPr>
                <m:num>
                  <m:r>
                    <m:t>1</m:t>
                  </m:r>
                </m:num>
                <m:den>
                  <m:r>
                    <m:t>19</m:t>
                  </m:r>
                </m:den>
              </m:f>
              <m:nary>
                <m:naryPr>
                  <m:chr m:val="∑"/>
                  <m:limLoc m:val="undOvr"/>
                  <m:subHide m:val="off"/>
                  <m:supHide m:val="off"/>
                </m:naryPr>
                <m:sub>
                  <m:r>
                    <m:t>i</m:t>
                  </m:r>
                  <m:r>
                    <m:rPr>
                      <m:sty m:val="p"/>
                    </m:rPr>
                    <m:t>=</m:t>
                  </m:r>
                  <m:r>
                    <m:t>0</m:t>
                  </m:r>
                </m:sub>
                <m:sup>
                  <m:r>
                    <m:t>19</m:t>
                  </m:r>
                </m:sup>
                <m:e>
                  <m:r>
                    <m:rPr>
                      <m:sty m:val="p"/>
                    </m:rPr>
                    <m:t>(</m:t>
                  </m:r>
                </m:e>
              </m:nary>
              <m:sSub>
                <m:e>
                  <m:r>
                    <m:t>X</m:t>
                  </m:r>
                </m:e>
                <m:sub>
                  <m:r>
                    <m:t>t</m:t>
                  </m:r>
                  <m:r>
                    <m:rPr>
                      <m:sty m:val="p"/>
                    </m:rPr>
                    <m:t>−</m:t>
                  </m:r>
                  <m:r>
                    <m:t>i</m:t>
                  </m:r>
                </m:sub>
              </m:sSub>
              <m:r>
                <m:rPr>
                  <m:sty m:val="p"/>
                </m:rPr>
                <m:t>−</m:t>
              </m:r>
              <m:sSub>
                <m:e>
                  <m:r>
                    <m:t>μ</m:t>
                  </m:r>
                </m:e>
                <m:sub>
                  <m:r>
                    <m:t>t</m:t>
                  </m:r>
                  <m:r>
                    <m:rPr>
                      <m:sty m:val="p"/>
                    </m:rPr>
                    <m:t>,</m:t>
                  </m:r>
                  <m:r>
                    <m:t>20</m:t>
                  </m:r>
                </m:sub>
              </m:sSub>
              <m:sSup>
                <m:e>
                  <m:r>
                    <m:rPr>
                      <m:sty m:val="p"/>
                    </m:rPr>
                    <m:t>)</m:t>
                  </m:r>
                </m:e>
                <m:sup>
                  <m:r>
                    <m:t>2</m:t>
                  </m:r>
                </m:sup>
              </m:sSup>
            </m:e>
          </m:rad>
        </m:oMath>
      </m:oMathPara>
    </w:p>
    <w:p>
      <w:pPr>
        <w:pStyle w:val="Compact"/>
      </w:pPr>
      <m:oMathPara>
        <m:oMathParaPr>
          <m:jc m:val="center"/>
        </m:oMathParaPr>
        <m:oMath>
          <m:r>
            <m:rPr>
              <m:nor/>
              <m:sty m:val="p"/>
            </m:rPr>
            <m:t>Upper Band </m:t>
          </m:r>
          <m:sSub>
            <m:e>
              <m:r>
                <m:rPr>
                  <m:nor/>
                  <m:sty m:val="p"/>
                </m:rPr>
                <m:t>UB</m:t>
              </m:r>
            </m:e>
            <m:sub>
              <m:r>
                <m:t>t</m:t>
              </m:r>
            </m:sub>
          </m:sSub>
          <m:r>
            <m:rPr>
              <m:sty m:val="p"/>
            </m:rPr>
            <m:t>=</m:t>
          </m:r>
          <m:sSub>
            <m:e>
              <m:r>
                <m:t>μ</m:t>
              </m:r>
            </m:e>
            <m:sub>
              <m:r>
                <m:t>t</m:t>
              </m:r>
              <m:r>
                <m:rPr>
                  <m:sty m:val="p"/>
                </m:rPr>
                <m:t>,</m:t>
              </m:r>
              <m:r>
                <m:t>20</m:t>
              </m:r>
            </m:sub>
          </m:sSub>
          <m:r>
            <m:rPr>
              <m:sty m:val="p"/>
            </m:rPr>
            <m:t>+</m:t>
          </m:r>
          <m:r>
            <m:t>2</m:t>
          </m:r>
          <m:sSub>
            <m:e>
              <m:r>
                <m:t>σ</m:t>
              </m:r>
            </m:e>
            <m:sub>
              <m:r>
                <m:t>t</m:t>
              </m:r>
              <m:r>
                <m:rPr>
                  <m:sty m:val="p"/>
                </m:rPr>
                <m:t>,</m:t>
              </m:r>
              <m:r>
                <m:t>20</m:t>
              </m:r>
            </m:sub>
          </m:sSub>
          <m:r>
            <m:rPr>
              <m:sty m:val="p"/>
            </m:rPr>
            <m:t>,</m:t>
          </m:r>
          <m:r>
            <m:t> </m:t>
          </m:r>
          <m:r>
            <m:rPr>
              <m:nor/>
              <m:sty m:val="p"/>
            </m:rPr>
            <m:t>Lower Band </m:t>
          </m:r>
          <m:sSub>
            <m:e>
              <m:r>
                <m:rPr>
                  <m:nor/>
                  <m:sty m:val="p"/>
                </m:rPr>
                <m:t>LB</m:t>
              </m:r>
            </m:e>
            <m:sub>
              <m:r>
                <m:t>t</m:t>
              </m:r>
            </m:sub>
          </m:sSub>
          <m:r>
            <m:rPr>
              <m:sty m:val="p"/>
            </m:rPr>
            <m:t>=</m:t>
          </m:r>
          <m:r>
            <m:rPr>
              <m:sty m:val="p"/>
            </m:rPr>
            <m:t>max</m:t>
          </m:r>
          <m:r>
            <m:rPr>
              <m:sty m:val="p"/>
            </m:rPr>
            <m:t>(</m:t>
          </m:r>
          <m:r>
            <m:t>0</m:t>
          </m:r>
          <m:r>
            <m:rPr>
              <m:sty m:val="p"/>
            </m:rPr>
            <m:t>,</m:t>
          </m:r>
          <m:sSub>
            <m:e>
              <m:r>
                <m:t>μ</m:t>
              </m:r>
            </m:e>
            <m:sub>
              <m:r>
                <m:t>t</m:t>
              </m:r>
              <m:r>
                <m:rPr>
                  <m:sty m:val="p"/>
                </m:rPr>
                <m:t>,</m:t>
              </m:r>
              <m:r>
                <m:t>20</m:t>
              </m:r>
            </m:sub>
          </m:sSub>
          <m:r>
            <m:rPr>
              <m:sty m:val="p"/>
            </m:rPr>
            <m:t>−</m:t>
          </m:r>
          <m:r>
            <m:t>2</m:t>
          </m:r>
          <m:sSub>
            <m:e>
              <m:r>
                <m:t>σ</m:t>
              </m:r>
            </m:e>
            <m:sub>
              <m:r>
                <m:t>t</m:t>
              </m:r>
              <m:r>
                <m:rPr>
                  <m:sty m:val="p"/>
                </m:rPr>
                <m:t>,</m:t>
              </m:r>
              <m:r>
                <m:t>20</m:t>
              </m:r>
            </m:sub>
          </m:sSub>
          <m:r>
            <m:rPr>
              <m:sty m:val="p"/>
            </m:rPr>
            <m:t>)</m:t>
          </m:r>
        </m:oMath>
      </m:oMathPara>
    </w:p>
    <w:p>
      <w:pPr>
        <w:pStyle w:val="Compact"/>
        <w:numPr>
          <w:ilvl w:val="0"/>
          <w:numId w:val="1007"/>
        </w:numPr>
      </w:pPr>
      <w:r>
        <w:rPr>
          <w:b/>
          <w:bCs/>
        </w:rPr>
        <w:t xml:space="preserve">R Functions:</w:t>
      </w:r>
      <w:r>
        <w:t xml:space="preserve"> </w:t>
      </w:r>
      <w:r>
        <w:t xml:space="preserve">Custom rolling functions</w:t>
      </w:r>
      <w:r>
        <w:t xml:space="preserve"> </w:t>
      </w:r>
      <w:r>
        <w:rPr>
          <w:rStyle w:val="VerbatimChar"/>
        </w:rPr>
        <w:t xml:space="preserve">roll_mean_base()</w:t>
      </w:r>
      <w:r>
        <w:t xml:space="preserve">,</w:t>
      </w:r>
      <w:r>
        <w:t xml:space="preserve"> </w:t>
      </w:r>
      <w:r>
        <w:rPr>
          <w:rStyle w:val="VerbatimChar"/>
        </w:rPr>
        <w:t xml:space="preserve">roll_sd_base()</w:t>
      </w:r>
      <w:r>
        <w:t xml:space="preserve">,</w:t>
      </w:r>
      <w:r>
        <w:t xml:space="preserve"> </w:t>
      </w:r>
      <w:r>
        <w:rPr>
          <w:rStyle w:val="VerbatimChar"/>
        </w:rPr>
        <w:t xml:space="preserve">ggplot2::geom_ribbon()</w:t>
      </w:r>
      <w:r>
        <w:t xml:space="preserve">,</w:t>
      </w:r>
      <w:r>
        <w:t xml:space="preserve"> </w:t>
      </w:r>
      <w:r>
        <w:rPr>
          <w:rStyle w:val="VerbatimChar"/>
        </w:rPr>
        <w:t xml:space="preserve">geom_line()</w:t>
      </w:r>
      <w:r>
        <w:t xml:space="preserve">,</w:t>
      </w:r>
      <w:r>
        <w:t xml:space="preserve"> </w:t>
      </w:r>
      <w:r>
        <w:rPr>
          <w:rStyle w:val="VerbatimChar"/>
        </w:rPr>
        <w:t xml:space="preserve">geom_point()</w:t>
      </w:r>
      <w:r>
        <w:t xml:space="preserve">.</w:t>
      </w:r>
    </w:p>
    <w:bookmarkEnd w:id="71"/>
    <w:bookmarkStart w:id="72" w:name="iv.-analysis-results-3"/>
    <w:p>
      <w:pPr>
        <w:pStyle w:val="Heading3"/>
      </w:pPr>
      <w:r>
        <w:rPr>
          <w:rStyle w:val="SectionNumber"/>
        </w:rPr>
        <w:t xml:space="preserve">4.4.4</w:t>
      </w:r>
      <w:r>
        <w:tab/>
      </w:r>
      <w:r>
        <w:t xml:space="preserve">iv. Analysis Results</w:t>
      </w:r>
    </w:p>
    <w:p>
      <w:pPr>
        <w:pStyle w:val="FirstParagraph"/>
      </w:pPr>
      <w:r>
        <w:t xml:space="preserve">Application of Bollinger Volatility Bands to Delhi’s ambient PM2.5 demonstrates remarkable sensitivity:</w:t>
      </w:r>
      <w:r>
        <w:t xml:space="preserve"> </w:t>
      </w:r>
      <w:r>
        <w:t xml:space="preserve">-</w:t>
      </w:r>
      <w:r>
        <w:t xml:space="preserve"> </w:t>
      </w:r>
      <w:r>
        <w:rPr>
          <w:b/>
          <w:bCs/>
        </w:rPr>
        <w:t xml:space="preserve">Baseline Envelope:</w:t>
      </w:r>
      <w:r>
        <w:t xml:space="preserve"> </w:t>
      </w:r>
      <w:r>
        <w:t xml:space="preserve">During summer and monsoon months, the volatility envelope remains narrow and well-behaved (</w:t>
      </w:r>
      <m:oMath>
        <m:r>
          <m:rPr>
            <m:nor/>
            <m:sty m:val="p"/>
          </m:rPr>
          <m:t>UB</m:t>
        </m:r>
        <m:r>
          <m:rPr>
            <m:sty m:val="p"/>
          </m:rPr>
          <m:t>−</m:t>
        </m:r>
        <m:r>
          <m:rPr>
            <m:nor/>
            <m:sty m:val="p"/>
          </m:rPr>
          <m:t>LB</m:t>
        </m:r>
        <m:r>
          <m:rPr>
            <m:sty m:val="p"/>
          </m:rPr>
          <m:t>≈</m:t>
        </m:r>
        <m:r>
          <m:t>40</m:t>
        </m:r>
        <m:r>
          <m:t> </m:t>
        </m:r>
        <m:r>
          <m:t>μ</m:t>
        </m:r>
        <m:sSup>
          <m:e>
            <m:r>
              <m:rPr>
                <m:nor/>
                <m:sty m:val="p"/>
              </m:rPr>
              <m:t>g/m</m:t>
            </m:r>
          </m:e>
          <m:sup>
            <m:r>
              <m:t>3</m:t>
            </m:r>
          </m:sup>
        </m:sSup>
      </m:oMath>
      <w:r>
        <w:t xml:space="preserve">).</w:t>
      </w:r>
      <w:r>
        <w:t xml:space="preserve"> </w:t>
      </w:r>
      <w:r>
        <w:t xml:space="preserve">-</w:t>
      </w:r>
      <w:r>
        <w:t xml:space="preserve"> </w:t>
      </w:r>
      <w:r>
        <w:rPr>
          <w:b/>
          <w:bCs/>
        </w:rPr>
        <w:t xml:space="preserve">Acute Spike Detection:</w:t>
      </w:r>
      <w:r>
        <w:t xml:space="preserve"> </w:t>
      </w:r>
      <w:r>
        <w:t xml:space="preserve">In late October and early November (coinciding with post-monsoon paddy residue burning in neighboring states and Diwali firework celebrations), PM2.5 pierces the</w:t>
      </w:r>
      <w:r>
        <w:t xml:space="preserve"> </w:t>
      </w:r>
      <m:oMath>
        <m:r>
          <m:rPr>
            <m:sty m:val="p"/>
          </m:rPr>
          <m:t>+</m:t>
        </m:r>
        <m:r>
          <m:t>2</m:t>
        </m:r>
        <m:r>
          <m:t>σ</m:t>
        </m:r>
      </m:oMath>
      <w:r>
        <w:t xml:space="preserve"> </w:t>
      </w:r>
      <w:r>
        <w:t xml:space="preserve">upper ceiling, surging to peaks above</w:t>
      </w:r>
      <w:r>
        <w:t xml:space="preserve"> </w:t>
      </w:r>
      <m:oMath>
        <m:r>
          <m:t>500</m:t>
        </m:r>
        <m:r>
          <m:t> </m:t>
        </m:r>
        <m:r>
          <m:t>μ</m:t>
        </m:r>
        <m:sSup>
          <m:e>
            <m:r>
              <m:rPr>
                <m:nor/>
                <m:sty m:val="p"/>
              </m:rPr>
              <m:t>g/m</m:t>
            </m:r>
          </m:e>
          <m:sup>
            <m:r>
              <m:t>3</m:t>
            </m:r>
          </m:sup>
        </m:sSup>
      </m:oMath>
      <w:r>
        <w:t xml:space="preserve">. The Bollinger anomaly detector successfully flags these occurrences as statistical shocks rather than gradual seasonal trends.</w:t>
      </w:r>
    </w:p>
    <w:bookmarkEnd w:id="72"/>
    <w:bookmarkStart w:id="76" w:name="v.-visualization-3"/>
    <w:p>
      <w:pPr>
        <w:pStyle w:val="Heading3"/>
      </w:pPr>
      <w:r>
        <w:rPr>
          <w:rStyle w:val="SectionNumber"/>
        </w:rPr>
        <w:t xml:space="preserve">4.4.5</w:t>
      </w:r>
      <w:r>
        <w:tab/>
      </w:r>
      <w:r>
        <w:t xml:space="preserve">v. Visualization</w:t>
      </w:r>
    </w:p>
    <w:p>
      <w:pPr>
        <w:pStyle w:val="CaptionedFigure"/>
      </w:pPr>
      <w:r>
        <w:drawing>
          <wp:inline>
            <wp:extent cx="4800600" cy="2526631"/>
            <wp:effectExtent b="0" l="0" r="0" t="0"/>
            <wp:docPr descr="Figure 5: 20-Day Bollinger Volatility Bands and Acute Episodic Surge Markers on Ambient PM2.5" title="" id="74" name="Picture"/>
            <a:graphic>
              <a:graphicData uri="http://schemas.openxmlformats.org/drawingml/2006/picture">
                <pic:pic>
                  <pic:nvPicPr>
                    <pic:cNvPr descr="../outputs/figures/fig5_bollinger_volatility_bands.png" id="75" name="Picture"/>
                    <pic:cNvPicPr>
                      <a:picLocks noChangeArrowheads="1" noChangeAspect="1"/>
                    </pic:cNvPicPr>
                  </pic:nvPicPr>
                  <pic:blipFill>
                    <a:blip r:embed="rId73"/>
                    <a:stretch>
                      <a:fillRect/>
                    </a:stretch>
                  </pic:blipFill>
                  <pic:spPr bwMode="auto">
                    <a:xfrm>
                      <a:off x="0" y="0"/>
                      <a:ext cx="4800600" cy="2526631"/>
                    </a:xfrm>
                    <a:prstGeom prst="rect">
                      <a:avLst/>
                    </a:prstGeom>
                    <a:noFill/>
                    <a:ln w="9525">
                      <a:noFill/>
                      <a:headEnd/>
                      <a:tailEnd/>
                    </a:ln>
                  </pic:spPr>
                </pic:pic>
              </a:graphicData>
            </a:graphic>
          </wp:inline>
        </w:drawing>
      </w:r>
    </w:p>
    <w:p>
      <w:pPr>
        <w:pStyle w:val="ImageCaption"/>
      </w:pPr>
      <w:r>
        <w:t xml:space="preserve">Figure 5: 20-Day Bollinger Volatility Bands and Acute Episodic Surge Markers on Ambient PM2.5</w:t>
      </w:r>
    </w:p>
    <w:p>
      <w:r>
        <w:pict>
          <v:rect style="width:0;height:1.5pt" o:hralign="center" o:hrstd="t" o:hr="t"/>
        </w:pict>
      </w:r>
    </w:p>
    <w:bookmarkEnd w:id="76"/>
    <w:bookmarkEnd w:id="77"/>
    <w:bookmarkStart w:id="82" w:name="X64c932a684e890535e031bb03ad1cc252349f38"/>
    <w:p>
      <w:pPr>
        <w:pStyle w:val="Heading2"/>
      </w:pPr>
      <w:r>
        <w:rPr>
          <w:rStyle w:val="SectionNumber"/>
        </w:rPr>
        <w:t xml:space="preserve">4.5</w:t>
      </w:r>
      <w:r>
        <w:tab/>
      </w:r>
      <w:r>
        <w:t xml:space="preserve">4.5 Parametric &amp; Non-Parametric Formal Statistical Hypothesis Testing</w:t>
      </w:r>
    </w:p>
    <w:bookmarkStart w:id="78" w:name="i.-introduction-4"/>
    <w:p>
      <w:pPr>
        <w:pStyle w:val="Heading3"/>
      </w:pPr>
      <w:r>
        <w:rPr>
          <w:rStyle w:val="SectionNumber"/>
        </w:rPr>
        <w:t xml:space="preserve">4.5.1</w:t>
      </w:r>
      <w:r>
        <w:tab/>
      </w:r>
      <w:r>
        <w:t xml:space="preserve">i. Introduction</w:t>
      </w:r>
    </w:p>
    <w:p>
      <w:pPr>
        <w:pStyle w:val="FirstParagraph"/>
      </w:pPr>
      <w:r>
        <w:t xml:space="preserve">Drawing defensible scientific conclusions requires formal statistical verification. In compliance with INT232 Course Outcome 6 (CO6), four rigorous hypothesis tests were formulated and executed.</w:t>
      </w:r>
    </w:p>
    <w:bookmarkEnd w:id="78"/>
    <w:bookmarkStart w:id="79" w:name="ii.-general-description-4"/>
    <w:p>
      <w:pPr>
        <w:pStyle w:val="Heading3"/>
      </w:pPr>
      <w:r>
        <w:rPr>
          <w:rStyle w:val="SectionNumber"/>
        </w:rPr>
        <w:t xml:space="preserve">4.5.2</w:t>
      </w:r>
      <w:r>
        <w:tab/>
      </w:r>
      <w:r>
        <w:t xml:space="preserve">ii. General Description</w:t>
      </w:r>
    </w:p>
    <w:p>
      <w:pPr>
        <w:pStyle w:val="FirstParagraph"/>
      </w:pPr>
      <w:r>
        <w:t xml:space="preserve">The testing framework evaluates seasonal differences via Welch’s two-sample t-test, cross-metropolitan variances via one-way ANOVA, stoichiometric linearity via Pearson correlation testing, and distribution normality via the Kolmogorov-Smirnov test.</w:t>
      </w:r>
    </w:p>
    <w:bookmarkEnd w:id="79"/>
    <w:bookmarkStart w:id="80" w:name="X05d92a43c90b757ac77cb916da7b1e0ff32d502"/>
    <w:p>
      <w:pPr>
        <w:pStyle w:val="Heading3"/>
      </w:pPr>
      <w:r>
        <w:rPr>
          <w:rStyle w:val="SectionNumber"/>
        </w:rPr>
        <w:t xml:space="preserve">4.5.3</w:t>
      </w:r>
      <w:r>
        <w:tab/>
      </w:r>
      <w:r>
        <w:t xml:space="preserve">iii. Specific Requirements, Functions and Formulas</w:t>
      </w:r>
    </w:p>
    <w:p>
      <w:pPr>
        <w:pStyle w:val="Compact"/>
        <w:numPr>
          <w:ilvl w:val="0"/>
          <w:numId w:val="1008"/>
        </w:numPr>
      </w:pPr>
      <w:r>
        <w:rPr>
          <w:b/>
          <w:bCs/>
        </w:rPr>
        <w:t xml:space="preserve">Test 1: Two-Sample Welch t-Test (Seasonal Disparity):</w:t>
      </w:r>
    </w:p>
    <w:p>
      <w:pPr>
        <w:pStyle w:val="Compac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den>
          </m:f>
          <m:r>
            <m:rPr>
              <m:sty m:val="p"/>
            </m:rPr>
            <m:t>,</m:t>
          </m:r>
          <m:r>
            <m:t> </m:t>
          </m:r>
          <m:r>
            <m:t>d</m:t>
          </m:r>
          <m:r>
            <m:t>f</m:t>
          </m:r>
          <m:r>
            <m:rPr>
              <m:sty m:val="p"/>
            </m:rPr>
            <m:t>=</m:t>
          </m:r>
          <m:f>
            <m:fPr>
              <m:type m:val="bar"/>
            </m:fPr>
            <m:num>
              <m:sSup>
                <m:e>
                  <m:d>
                    <m:dPr>
                      <m:begChr m:val="("/>
                      <m:sepChr m:val=""/>
                      <m:endChr m:val=")"/>
                      <m:grow/>
                    </m:dPr>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d>
                </m:e>
                <m:sup>
                  <m:r>
                    <m:t>2</m:t>
                  </m:r>
                </m:sup>
              </m:sSup>
            </m:num>
            <m:den>
              <m:f>
                <m:fPr>
                  <m:type m:val="bar"/>
                </m:fPr>
                <m:num>
                  <m:r>
                    <m:rPr>
                      <m:sty m:val="p"/>
                    </m:rPr>
                    <m:t>(</m:t>
                  </m:r>
                  <m:sSubSup>
                    <m:e>
                      <m:r>
                        <m:t>s</m:t>
                      </m:r>
                    </m:e>
                    <m:sub>
                      <m:r>
                        <m:t>1</m:t>
                      </m:r>
                    </m:sub>
                    <m:sup>
                      <m:r>
                        <m:t>2</m:t>
                      </m:r>
                    </m:sup>
                  </m:sSubSup>
                  <m:r>
                    <m:rPr>
                      <m:sty m:val="p"/>
                    </m:rPr>
                    <m:t>/</m:t>
                  </m:r>
                  <m:sSub>
                    <m:e>
                      <m:r>
                        <m:t>n</m:t>
                      </m:r>
                    </m:e>
                    <m:sub>
                      <m:r>
                        <m:t>1</m:t>
                      </m:r>
                    </m:sub>
                  </m:sSub>
                  <m:sSup>
                    <m:e>
                      <m:r>
                        <m:rPr>
                          <m:sty m:val="p"/>
                        </m:rPr>
                        <m:t>)</m:t>
                      </m:r>
                    </m:e>
                    <m:sup>
                      <m:r>
                        <m:t>2</m:t>
                      </m:r>
                    </m:sup>
                  </m:sSup>
                </m:num>
                <m:den>
                  <m:sSub>
                    <m:e>
                      <m:r>
                        <m:t>n</m:t>
                      </m:r>
                    </m:e>
                    <m:sub>
                      <m:r>
                        <m:t>1</m:t>
                      </m:r>
                    </m:sub>
                  </m:sSub>
                  <m:r>
                    <m:rPr>
                      <m:sty m:val="p"/>
                    </m:rPr>
                    <m:t>−</m:t>
                  </m:r>
                  <m:r>
                    <m:t>1</m:t>
                  </m:r>
                </m:den>
              </m:f>
              <m:r>
                <m:rPr>
                  <m:sty m:val="p"/>
                </m:rPr>
                <m:t>+</m:t>
              </m:r>
              <m:f>
                <m:fPr>
                  <m:type m:val="bar"/>
                </m:fPr>
                <m:num>
                  <m:r>
                    <m:rPr>
                      <m:sty m:val="p"/>
                    </m:rPr>
                    <m:t>(</m:t>
                  </m:r>
                  <m:sSubSup>
                    <m:e>
                      <m:r>
                        <m:t>s</m:t>
                      </m:r>
                    </m:e>
                    <m:sub>
                      <m:r>
                        <m:t>2</m:t>
                      </m:r>
                    </m:sub>
                    <m:sup>
                      <m:r>
                        <m:t>2</m:t>
                      </m:r>
                    </m:sup>
                  </m:sSubSup>
                  <m:r>
                    <m:rPr>
                      <m:sty m:val="p"/>
                    </m:rPr>
                    <m:t>/</m:t>
                  </m:r>
                  <m:sSub>
                    <m:e>
                      <m:r>
                        <m:t>n</m:t>
                      </m:r>
                    </m:e>
                    <m:sub>
                      <m:r>
                        <m:t>2</m:t>
                      </m:r>
                    </m:sub>
                  </m:sSub>
                  <m:sSup>
                    <m:e>
                      <m:r>
                        <m:rPr>
                          <m:sty m:val="p"/>
                        </m:rPr>
                        <m:t>)</m:t>
                      </m:r>
                    </m:e>
                    <m:sup>
                      <m:r>
                        <m:t>2</m:t>
                      </m:r>
                    </m:sup>
                  </m:sSup>
                </m:num>
                <m:den>
                  <m:sSub>
                    <m:e>
                      <m:r>
                        <m:t>n</m:t>
                      </m:r>
                    </m:e>
                    <m:sub>
                      <m:r>
                        <m:t>2</m:t>
                      </m:r>
                    </m:sub>
                  </m:sSub>
                  <m:r>
                    <m:rPr>
                      <m:sty m:val="p"/>
                    </m:rPr>
                    <m:t>−</m:t>
                  </m:r>
                  <m:r>
                    <m:t>1</m:t>
                  </m:r>
                </m:den>
              </m:f>
            </m:den>
          </m:f>
        </m:oMath>
      </m:oMathPara>
    </w:p>
    <w:p>
      <w:pPr>
        <w:pStyle w:val="Compact"/>
        <w:numPr>
          <w:ilvl w:val="0"/>
          <w:numId w:val="1008"/>
        </w:numPr>
      </w:pPr>
      <w:r>
        <w:rPr>
          <w:b/>
          <w:bCs/>
        </w:rPr>
        <w:t xml:space="preserve">Test 2: One-Way ANOVA across Metropolitan Clusters:</w:t>
      </w:r>
    </w:p>
    <w:p>
      <w:pPr>
        <w:pStyle w:val="Compact"/>
      </w:pPr>
      <m:oMathPara>
        <m:oMathParaPr>
          <m:jc m:val="center"/>
        </m:oMathParaPr>
        <m:oMath>
          <m:r>
            <m:t>F</m:t>
          </m:r>
          <m:r>
            <m:rPr>
              <m:sty m:val="p"/>
            </m:rPr>
            <m:t>=</m:t>
          </m:r>
          <m:f>
            <m:fPr>
              <m:type m:val="bar"/>
            </m:fPr>
            <m:num>
              <m:sSub>
                <m:e>
                  <m:r>
                    <m:rPr>
                      <m:nor/>
                      <m:sty m:val="p"/>
                    </m:rPr>
                    <m:t>MS</m:t>
                  </m:r>
                </m:e>
                <m:sub>
                  <m:r>
                    <m:rPr>
                      <m:nor/>
                      <m:sty m:val="p"/>
                    </m:rPr>
                    <m:t>between</m:t>
                  </m:r>
                </m:sub>
              </m:sSub>
            </m:num>
            <m:den>
              <m:sSub>
                <m:e>
                  <m:r>
                    <m:rPr>
                      <m:nor/>
                      <m:sty m:val="p"/>
                    </m:rPr>
                    <m:t>MS</m:t>
                  </m:r>
                </m:e>
                <m:sub>
                  <m:r>
                    <m:rPr>
                      <m:nor/>
                      <m:sty m:val="p"/>
                    </m:rPr>
                    <m:t>within</m:t>
                  </m:r>
                </m:sub>
              </m:sSub>
            </m:den>
          </m:f>
          <m:r>
            <m:rPr>
              <m:sty m:val="p"/>
            </m:rPr>
            <m:t>=</m:t>
          </m:r>
          <m:f>
            <m:fPr>
              <m:type m:val="bar"/>
            </m:fPr>
            <m:num>
              <m:r>
                <m:rPr>
                  <m:sty m:val="p"/>
                </m:rPr>
                <m:t>∑</m:t>
              </m:r>
              <m:sSub>
                <m:e>
                  <m:r>
                    <m:t>n</m:t>
                  </m:r>
                </m:e>
                <m:sub>
                  <m:r>
                    <m:t>j</m:t>
                  </m:r>
                </m:sub>
              </m:sSub>
              <m:r>
                <m:rPr>
                  <m:sty m:val="p"/>
                </m:rPr>
                <m:t>(</m:t>
              </m:r>
              <m:sSub>
                <m:e>
                  <m:acc>
                    <m:accPr>
                      <m:chr m:val="‾"/>
                    </m:accPr>
                    <m:e>
                      <m:r>
                        <m:t>X</m:t>
                      </m:r>
                    </m:e>
                  </m:acc>
                </m:e>
                <m:sub>
                  <m:r>
                    <m:t>j</m:t>
                  </m:r>
                </m:sub>
              </m:sSub>
              <m:r>
                <m:rPr>
                  <m:sty m:val="p"/>
                </m:rPr>
                <m:t>−</m:t>
              </m:r>
              <m:acc>
                <m:accPr>
                  <m:chr m:val="‾"/>
                </m:accPr>
                <m:e>
                  <m:r>
                    <m:t>X</m:t>
                  </m:r>
                </m:e>
              </m:acc>
              <m:sSup>
                <m:e>
                  <m:r>
                    <m:rPr>
                      <m:sty m:val="p"/>
                    </m:rPr>
                    <m:t>)</m:t>
                  </m:r>
                </m:e>
                <m:sup>
                  <m:r>
                    <m:t>2</m:t>
                  </m:r>
                </m:sup>
              </m:sSup>
              <m:r>
                <m:rPr>
                  <m:sty m:val="p"/>
                </m:rPr>
                <m:t>/</m:t>
              </m:r>
              <m:r>
                <m:rPr>
                  <m:sty m:val="p"/>
                </m:rPr>
                <m:t>(</m:t>
              </m:r>
              <m:r>
                <m:t>k</m:t>
              </m:r>
              <m:r>
                <m:rPr>
                  <m:sty m:val="p"/>
                </m:rPr>
                <m:t>−</m:t>
              </m:r>
              <m:r>
                <m:t>1</m:t>
              </m:r>
              <m:r>
                <m:rPr>
                  <m:sty m:val="p"/>
                </m:rPr>
                <m:t>)</m:t>
              </m:r>
            </m:num>
            <m:den>
              <m:r>
                <m:rPr>
                  <m:sty m:val="p"/>
                </m:rPr>
                <m:t>∑</m:t>
              </m:r>
              <m:r>
                <m:rPr>
                  <m:sty m:val="p"/>
                </m:rPr>
                <m:t>∑</m:t>
              </m:r>
              <m:r>
                <m:rPr>
                  <m:sty m:val="p"/>
                </m:rPr>
                <m:t>(</m:t>
              </m:r>
              <m:sSub>
                <m:e>
                  <m:r>
                    <m:t>X</m:t>
                  </m:r>
                </m:e>
                <m:sub>
                  <m:r>
                    <m:t>i</m:t>
                  </m:r>
                  <m:r>
                    <m:t>j</m:t>
                  </m:r>
                </m:sub>
              </m:sSub>
              <m:r>
                <m:rPr>
                  <m:sty m:val="p"/>
                </m:rPr>
                <m:t>−</m:t>
              </m:r>
              <m:sSub>
                <m:e>
                  <m:acc>
                    <m:accPr>
                      <m:chr m:val="‾"/>
                    </m:accPr>
                    <m:e>
                      <m:r>
                        <m:t>X</m:t>
                      </m:r>
                    </m:e>
                  </m:acc>
                </m:e>
                <m:sub>
                  <m:r>
                    <m:t>j</m:t>
                  </m:r>
                </m:sub>
              </m:sSub>
              <m:sSup>
                <m:e>
                  <m:r>
                    <m:rPr>
                      <m:sty m:val="p"/>
                    </m:rPr>
                    <m:t>)</m:t>
                  </m:r>
                </m:e>
                <m:sup>
                  <m:r>
                    <m:t>2</m:t>
                  </m:r>
                </m:sup>
              </m:sSup>
              <m:r>
                <m:rPr>
                  <m:sty m:val="p"/>
                </m:rPr>
                <m:t>/</m:t>
              </m:r>
              <m:r>
                <m:rPr>
                  <m:sty m:val="p"/>
                </m:rPr>
                <m:t>(</m:t>
              </m:r>
              <m:r>
                <m:t>N</m:t>
              </m:r>
              <m:r>
                <m:rPr>
                  <m:sty m:val="p"/>
                </m:rPr>
                <m:t>−</m:t>
              </m:r>
              <m:r>
                <m:t>k</m:t>
              </m:r>
              <m:r>
                <m:rPr>
                  <m:sty m:val="p"/>
                </m:rPr>
                <m:t>)</m:t>
              </m:r>
            </m:den>
          </m:f>
        </m:oMath>
      </m:oMathPara>
    </w:p>
    <w:p>
      <w:pPr>
        <w:pStyle w:val="Compact"/>
        <w:numPr>
          <w:ilvl w:val="0"/>
          <w:numId w:val="1008"/>
        </w:numPr>
      </w:pPr>
      <w:r>
        <w:rPr>
          <w:b/>
          <w:bCs/>
        </w:rPr>
        <w:t xml:space="preserve">Test 3: Kolmogorov-Smirnov Normality Diagnostic:</w:t>
      </w:r>
    </w:p>
    <w:p>
      <w:pPr>
        <w:pStyle w:val="Compact"/>
      </w:pPr>
      <m:oMathPara>
        <m:oMathParaPr>
          <m:jc m:val="center"/>
        </m:oMathParaPr>
        <m:oMath>
          <m:r>
            <m:t>D</m:t>
          </m:r>
          <m:r>
            <m:rPr>
              <m:sty m:val="p"/>
            </m:rPr>
            <m:t>=</m:t>
          </m:r>
          <m:limLow>
            <m:e>
              <m:r>
                <m:rPr>
                  <m:sty m:val="p"/>
                </m:rPr>
                <m:t>sup</m:t>
              </m:r>
            </m:e>
            <m:lim>
              <m:r>
                <m:t>x</m:t>
              </m:r>
            </m:lim>
          </m:limLow>
          <m:r>
            <m:rPr>
              <m:sty m:val="p"/>
            </m:rPr>
            <m:t>|</m:t>
          </m:r>
          <m:sSub>
            <m:e>
              <m:r>
                <m:t>F</m:t>
              </m:r>
            </m:e>
            <m:sub>
              <m:r>
                <m:t>n</m:t>
              </m:r>
            </m:sub>
          </m:sSub>
          <m:r>
            <m:rPr>
              <m:sty m:val="p"/>
            </m:rPr>
            <m:t>(</m:t>
          </m:r>
          <m:r>
            <m:t>x</m:t>
          </m:r>
          <m:r>
            <m:rPr>
              <m:sty m:val="p"/>
            </m:rPr>
            <m:t>)</m:t>
          </m:r>
          <m:r>
            <m:rPr>
              <m:sty m:val="p"/>
            </m:rPr>
            <m:t>−</m:t>
          </m:r>
          <m:sSub>
            <m:e>
              <m:r>
                <m:t>F</m:t>
              </m:r>
            </m:e>
            <m:sub>
              <m:r>
                <m:t>0</m:t>
              </m:r>
            </m:sub>
          </m:sSub>
          <m:r>
            <m:rPr>
              <m:sty m:val="p"/>
            </m:rPr>
            <m:t>(</m:t>
          </m:r>
          <m:r>
            <m:t>x</m:t>
          </m:r>
          <m:r>
            <m:rPr>
              <m:sty m:val="p"/>
            </m:rPr>
            <m:t>)</m:t>
          </m:r>
          <m:r>
            <m:rPr>
              <m:sty m:val="p"/>
            </m:rPr>
            <m:t>|</m:t>
          </m:r>
        </m:oMath>
      </m:oMathPara>
    </w:p>
    <w:p>
      <w:pPr>
        <w:pStyle w:val="Compact"/>
        <w:numPr>
          <w:ilvl w:val="0"/>
          <w:numId w:val="1008"/>
        </w:numPr>
      </w:pPr>
      <w:r>
        <w:rPr>
          <w:b/>
          <w:bCs/>
        </w:rPr>
        <w:t xml:space="preserve">R Functions:</w:t>
      </w:r>
      <w:r>
        <w:t xml:space="preserve"> </w:t>
      </w:r>
      <w:r>
        <w:rPr>
          <w:rStyle w:val="VerbatimChar"/>
        </w:rPr>
        <w:t xml:space="preserve">stats::t.test()</w:t>
      </w:r>
      <w:r>
        <w:t xml:space="preserve">,</w:t>
      </w:r>
      <w:r>
        <w:t xml:space="preserve"> </w:t>
      </w:r>
      <w:r>
        <w:rPr>
          <w:rStyle w:val="VerbatimChar"/>
        </w:rPr>
        <w:t xml:space="preserve">stats::aov()</w:t>
      </w:r>
      <w:r>
        <w:t xml:space="preserve">,</w:t>
      </w:r>
      <w:r>
        <w:t xml:space="preserve"> </w:t>
      </w:r>
      <w:r>
        <w:rPr>
          <w:rStyle w:val="VerbatimChar"/>
        </w:rPr>
        <w:t xml:space="preserve">stats::TukeyHSD()</w:t>
      </w:r>
      <w:r>
        <w:t xml:space="preserve">,</w:t>
      </w:r>
      <w:r>
        <w:t xml:space="preserve"> </w:t>
      </w:r>
      <w:r>
        <w:rPr>
          <w:rStyle w:val="VerbatimChar"/>
        </w:rPr>
        <w:t xml:space="preserve">stats::cor.test()</w:t>
      </w:r>
      <w:r>
        <w:t xml:space="preserve">,</w:t>
      </w:r>
      <w:r>
        <w:t xml:space="preserve"> </w:t>
      </w:r>
      <w:r>
        <w:rPr>
          <w:rStyle w:val="VerbatimChar"/>
        </w:rPr>
        <w:t xml:space="preserve">stats::ks.test()</w:t>
      </w:r>
      <w:r>
        <w:t xml:space="preserve">.</w:t>
      </w:r>
    </w:p>
    <w:bookmarkEnd w:id="80"/>
    <w:bookmarkStart w:id="81" w:name="iv.-analysis-results-4"/>
    <w:p>
      <w:pPr>
        <w:pStyle w:val="Heading3"/>
      </w:pPr>
      <w:r>
        <w:rPr>
          <w:rStyle w:val="SectionNumber"/>
        </w:rPr>
        <w:t xml:space="preserve">4.5.4</w:t>
      </w:r>
      <w:r>
        <w:tab/>
      </w:r>
      <w:r>
        <w:t xml:space="preserve">iv. Analysis Results</w:t>
      </w:r>
    </w:p>
    <w:p>
      <w:pPr>
        <w:pStyle w:val="TableCaption"/>
      </w:pPr>
      <w:r>
        <w:t xml:space="preserve">Summary of Formal Statistical Hypothesis Tests and Empirical Deductions</w:t>
      </w:r>
    </w:p>
    <w:tbl>
      <w:tblPr>
        <w:tblStyle w:val="Table"/>
        <w:tblW w:type="pct" w:w="5000"/>
        <w:tblLayout w:type="fixed"/>
        <w:tblLook w:firstRow="1" w:lastRow="0" w:firstColumn="0" w:lastColumn="0" w:noHBand="0" w:noVBand="0" w:val="0020"/>
        <w:tblCaption w:val="Summary of Formal Statistical Hypothesis Tests and Empirical Deductions"/>
      </w:tblPr>
      <w:tblGrid>
        <w:gridCol w:w="1801"/>
        <w:gridCol w:w="652"/>
        <w:gridCol w:w="590"/>
        <w:gridCol w:w="714"/>
        <w:gridCol w:w="4161"/>
      </w:tblGrid>
      <w:tr>
        <w:trPr>
          <w:tblHeader w:val="on"/>
        </w:trPr>
        <w:tc>
          <w:tcPr/>
          <w:p>
            <w:pPr>
              <w:pStyle w:val="Compact"/>
              <w:jc w:val="left"/>
            </w:pPr>
            <w:r>
              <w:t xml:space="preserve">Hypothesis_Test</w:t>
            </w:r>
          </w:p>
        </w:tc>
        <w:tc>
          <w:tcPr/>
          <w:p>
            <w:pPr>
              <w:pStyle w:val="Compact"/>
              <w:jc w:val="left"/>
            </w:pPr>
            <w:r>
              <w:t xml:space="preserve">Test_Statistic</w:t>
            </w:r>
          </w:p>
        </w:tc>
        <w:tc>
          <w:tcPr/>
          <w:p>
            <w:pPr>
              <w:pStyle w:val="Compact"/>
              <w:jc w:val="left"/>
            </w:pPr>
            <w:r>
              <w:t xml:space="preserve">Degrees_of_Freedom</w:t>
            </w:r>
          </w:p>
        </w:tc>
        <w:tc>
          <w:tcPr/>
          <w:p>
            <w:pPr>
              <w:pStyle w:val="Compact"/>
              <w:jc w:val="left"/>
            </w:pPr>
            <w:r>
              <w:t xml:space="preserve">P_Value</w:t>
            </w:r>
          </w:p>
        </w:tc>
        <w:tc>
          <w:tcPr/>
          <w:p>
            <w:pPr>
              <w:pStyle w:val="Compact"/>
              <w:jc w:val="left"/>
            </w:pPr>
            <w:r>
              <w:t xml:space="preserve">Formal_Conclusion</w:t>
            </w:r>
          </w:p>
        </w:tc>
      </w:tr>
      <w:tr>
        <w:tc>
          <w:tcPr/>
          <w:p>
            <w:pPr>
              <w:pStyle w:val="Compact"/>
              <w:jc w:val="left"/>
            </w:pPr>
            <w:r>
              <w:t xml:space="preserve">Welch Two-Sample t-Test (Winter vs Summer PM2.5 in Delhi)</w:t>
            </w:r>
          </w:p>
        </w:tc>
        <w:tc>
          <w:tcPr/>
          <w:p>
            <w:pPr>
              <w:pStyle w:val="Compact"/>
              <w:jc w:val="left"/>
            </w:pPr>
            <w:r>
              <w:t xml:space="preserve">t = 33.51</w:t>
            </w:r>
          </w:p>
        </w:tc>
        <w:tc>
          <w:tcPr/>
          <w:p>
            <w:pPr>
              <w:pStyle w:val="Compact"/>
              <w:jc w:val="left"/>
            </w:pPr>
            <w:r>
              <w:t xml:space="preserve">df = 623.5</w:t>
            </w:r>
          </w:p>
        </w:tc>
        <w:tc>
          <w:tcPr/>
          <w:p>
            <w:pPr>
              <w:pStyle w:val="Compact"/>
              <w:jc w:val="left"/>
            </w:pPr>
            <w:r>
              <w:t xml:space="preserve">&lt; 2.2e-16 (p &lt; 0.0001)</w:t>
            </w:r>
          </w:p>
        </w:tc>
        <w:tc>
          <w:tcPr/>
          <w:p>
            <w:pPr>
              <w:pStyle w:val="Compact"/>
              <w:jc w:val="left"/>
            </w:pPr>
            <w:r>
              <w:t xml:space="preserve">Reject H0: Winter PM2.5 (182.26 µg/m³) is significantly and substantially higher than Summer/Monsoon (71.10 µg/m³).</w:t>
            </w:r>
          </w:p>
        </w:tc>
      </w:tr>
      <w:tr>
        <w:tc>
          <w:tcPr/>
          <w:p>
            <w:pPr>
              <w:pStyle w:val="Compact"/>
              <w:jc w:val="left"/>
            </w:pPr>
            <w:r>
              <w:t xml:space="preserve">One-Way ANOVA (AQI across 5 Major Indian Metros)</w:t>
            </w:r>
          </w:p>
        </w:tc>
        <w:tc>
          <w:tcPr/>
          <w:p>
            <w:pPr>
              <w:pStyle w:val="Compact"/>
              <w:jc w:val="left"/>
            </w:pPr>
            <w:r>
              <w:t xml:space="preserve">F = 1,327.05</w:t>
            </w:r>
          </w:p>
        </w:tc>
        <w:tc>
          <w:tcPr/>
          <w:p>
            <w:pPr>
              <w:pStyle w:val="Compact"/>
              <w:jc w:val="left"/>
            </w:pPr>
            <w:r>
              <w:t xml:space="preserve">df = (4, 7,317)</w:t>
            </w:r>
          </w:p>
        </w:tc>
        <w:tc>
          <w:tcPr/>
          <w:p>
            <w:pPr>
              <w:pStyle w:val="Compact"/>
              <w:jc w:val="left"/>
            </w:pPr>
            <w:r>
              <w:t xml:space="preserve">&lt; 2.2e-16 (p &lt; 0.0001)</w:t>
            </w:r>
          </w:p>
        </w:tc>
        <w:tc>
          <w:tcPr/>
          <w:p>
            <w:pPr>
              <w:pStyle w:val="Compact"/>
              <w:jc w:val="left"/>
            </w:pPr>
            <w:r>
              <w:t xml:space="preserve">Reject H0: Highly significant variation exists across metros; Indo-Gangetic cities exhibit much higher pollution than coastal metros.</w:t>
            </w:r>
          </w:p>
        </w:tc>
      </w:tr>
      <w:tr>
        <w:tc>
          <w:tcPr/>
          <w:p>
            <w:pPr>
              <w:pStyle w:val="Compact"/>
              <w:jc w:val="left"/>
            </w:pPr>
            <w:r>
              <w:t xml:space="preserve">Pearson Correlation Test (PM2.5 vs PM10 Stoichiometry)</w:t>
            </w:r>
          </w:p>
        </w:tc>
        <w:tc>
          <w:tcPr/>
          <w:p>
            <w:pPr>
              <w:pStyle w:val="Compact"/>
              <w:jc w:val="left"/>
            </w:pPr>
            <w:r>
              <w:t xml:space="preserve">r = 0.845, t = 188.4</w:t>
            </w:r>
          </w:p>
        </w:tc>
        <w:tc>
          <w:tcPr/>
          <w:p>
            <w:pPr>
              <w:pStyle w:val="Compact"/>
              <w:jc w:val="left"/>
            </w:pPr>
            <w:r>
              <w:t xml:space="preserve">df = 14,832</w:t>
            </w:r>
          </w:p>
        </w:tc>
        <w:tc>
          <w:tcPr/>
          <w:p>
            <w:pPr>
              <w:pStyle w:val="Compact"/>
              <w:jc w:val="left"/>
            </w:pPr>
            <w:r>
              <w:t xml:space="preserve">&lt; 2.2e-16 (p &lt; 0.0001)</w:t>
            </w:r>
          </w:p>
        </w:tc>
        <w:tc>
          <w:tcPr/>
          <w:p>
            <w:pPr>
              <w:pStyle w:val="Compact"/>
              <w:jc w:val="left"/>
            </w:pPr>
            <w:r>
              <w:t xml:space="preserve">Reject H0: Extremely strong positive linear correlation confirming co-emission and shared combustion origins.</w:t>
            </w:r>
          </w:p>
        </w:tc>
      </w:tr>
      <w:tr>
        <w:tc>
          <w:tcPr/>
          <w:p>
            <w:pPr>
              <w:pStyle w:val="Compact"/>
              <w:jc w:val="left"/>
            </w:pPr>
            <w:r>
              <w:t xml:space="preserve">Kolmogorov-Smirnov Test (AQI Normality Diagnostic)</w:t>
            </w:r>
          </w:p>
        </w:tc>
        <w:tc>
          <w:tcPr/>
          <w:p>
            <w:pPr>
              <w:pStyle w:val="Compact"/>
              <w:jc w:val="left"/>
            </w:pPr>
            <w:r>
              <w:t xml:space="preserve">D = 0.1432</w:t>
            </w:r>
          </w:p>
        </w:tc>
        <w:tc>
          <w:tcPr/>
          <w:p>
            <w:pPr>
              <w:pStyle w:val="Compact"/>
              <w:jc w:val="left"/>
            </w:pPr>
            <w:r>
              <w:t xml:space="preserve">N = 1,000</w:t>
            </w:r>
          </w:p>
        </w:tc>
        <w:tc>
          <w:tcPr/>
          <w:p>
            <w:pPr>
              <w:pStyle w:val="Compact"/>
              <w:jc w:val="left"/>
            </w:pPr>
            <w:r>
              <w:t xml:space="preserve">&lt; 2.2e-16 (p &lt; 0.0001)</w:t>
            </w:r>
          </w:p>
        </w:tc>
        <w:tc>
          <w:tcPr/>
          <w:p>
            <w:pPr>
              <w:pStyle w:val="Compact"/>
              <w:jc w:val="left"/>
            </w:pPr>
            <w:r>
              <w:t xml:space="preserve">Reject H0: Ambient air quality distributions exhibit severe right-skewness and heavy positive tails.</w:t>
            </w:r>
          </w:p>
        </w:tc>
      </w:tr>
    </w:tbl>
    <w:p>
      <w:r>
        <w:pict>
          <v:rect style="width:0;height:1.5pt" o:hralign="center" o:hrstd="t" o:hr="t"/>
        </w:pict>
      </w:r>
    </w:p>
    <w:bookmarkEnd w:id="81"/>
    <w:bookmarkEnd w:id="82"/>
    <w:bookmarkStart w:id="91" w:name="Xadaa68b2d149e9efb23bb4f58e2ef4dba2413e4"/>
    <w:p>
      <w:pPr>
        <w:pStyle w:val="Heading2"/>
      </w:pPr>
      <w:r>
        <w:rPr>
          <w:rStyle w:val="SectionNumber"/>
        </w:rPr>
        <w:t xml:space="preserve">4.6</w:t>
      </w:r>
      <w:r>
        <w:tab/>
      </w:r>
      <w:r>
        <w:t xml:space="preserve">4.6 Native Predictive Time-Series Analytics (ARIMA &amp; Holt-Winters)</w:t>
      </w:r>
    </w:p>
    <w:bookmarkStart w:id="83" w:name="i.-introduction-5"/>
    <w:p>
      <w:pPr>
        <w:pStyle w:val="Heading3"/>
      </w:pPr>
      <w:r>
        <w:rPr>
          <w:rStyle w:val="SectionNumber"/>
        </w:rPr>
        <w:t xml:space="preserve">4.6.1</w:t>
      </w:r>
      <w:r>
        <w:tab/>
      </w:r>
      <w:r>
        <w:t xml:space="preserve">i. Introduction</w:t>
      </w:r>
    </w:p>
    <w:p>
      <w:pPr>
        <w:pStyle w:val="FirstParagraph"/>
      </w:pPr>
      <w:r>
        <w:t xml:space="preserve">Proactive environmental management requires forward-looking predictive models to anticipate severe pollution episodes days in advance.</w:t>
      </w:r>
    </w:p>
    <w:bookmarkEnd w:id="83"/>
    <w:bookmarkStart w:id="84" w:name="ii.-general-description-5"/>
    <w:p>
      <w:pPr>
        <w:pStyle w:val="Heading3"/>
      </w:pPr>
      <w:r>
        <w:rPr>
          <w:rStyle w:val="SectionNumber"/>
        </w:rPr>
        <w:t xml:space="preserve">4.6.2</w:t>
      </w:r>
      <w:r>
        <w:tab/>
      </w:r>
      <w:r>
        <w:t xml:space="preserve">ii. General Description</w:t>
      </w:r>
    </w:p>
    <w:p>
      <w:pPr>
        <w:pStyle w:val="FirstParagraph"/>
      </w:pPr>
      <w:r>
        <w:t xml:space="preserve">This analysis implements native base R time-series modeling deploying Autoregressive Integrated Moving Average (ARIMA) and Holt-Winters Exponential Smoothing. Models are evaluated using an out-of-sample temporal holdout test set.</w:t>
      </w:r>
    </w:p>
    <w:bookmarkEnd w:id="84"/>
    <w:bookmarkStart w:id="85" w:name="X0388811f8add56d6e19b1b4d4f8451f1b2dfa71"/>
    <w:p>
      <w:pPr>
        <w:pStyle w:val="Heading3"/>
      </w:pPr>
      <w:r>
        <w:rPr>
          <w:rStyle w:val="SectionNumber"/>
        </w:rPr>
        <w:t xml:space="preserve">4.6.3</w:t>
      </w:r>
      <w:r>
        <w:tab/>
      </w:r>
      <w:r>
        <w:t xml:space="preserve">iii. Specific Requirements, Functions and Formulas</w:t>
      </w:r>
    </w:p>
    <w:p>
      <w:pPr>
        <w:pStyle w:val="Compact"/>
        <w:numPr>
          <w:ilvl w:val="0"/>
          <w:numId w:val="1009"/>
        </w:numPr>
      </w:pPr>
      <w:r>
        <w:rPr>
          <w:b/>
          <w:bCs/>
        </w:rPr>
        <w:t xml:space="preserve">Mathematical Formulations:</w:t>
      </w:r>
    </w:p>
    <w:p>
      <w:pPr>
        <w:pStyle w:val="Compact"/>
      </w:pPr>
      <m:oMathPara>
        <m:oMathParaPr>
          <m:jc m:val="center"/>
        </m:oMathParaPr>
        <m:oMath>
          <m:r>
            <m:rPr>
              <m:nor/>
              <m:sty m:val="p"/>
            </m:rPr>
            <m:t>ARIMA</m:t>
          </m:r>
          <m:r>
            <m:rPr>
              <m:sty m:val="p"/>
            </m:rPr>
            <m:t>(</m:t>
          </m:r>
          <m:r>
            <m:t>p</m:t>
          </m:r>
          <m:r>
            <m:rPr>
              <m:sty m:val="p"/>
            </m:rPr>
            <m:t>,</m:t>
          </m:r>
          <m:r>
            <m:t>d</m:t>
          </m:r>
          <m:r>
            <m:rPr>
              <m:sty m:val="p"/>
            </m:rPr>
            <m:t>,</m:t>
          </m:r>
          <m:r>
            <m:t>q</m:t>
          </m:r>
          <m:r>
            <m:rPr>
              <m:sty m:val="p"/>
            </m:rPr>
            <m:t>)</m:t>
          </m:r>
          <m:r>
            <m:rPr>
              <m:sty m:val="p"/>
            </m:rPr>
            <m:t>:</m:t>
          </m:r>
          <m:r>
            <m:t> </m:t>
          </m:r>
          <m:d>
            <m:dPr>
              <m:begChr m:val="("/>
              <m:sepChr m:val=""/>
              <m:endChr m:val=")"/>
              <m:grow/>
            </m:dPr>
            <m:e>
              <m:r>
                <m:t>1</m:t>
              </m:r>
              <m:r>
                <m:rPr>
                  <m:sty m:val="p"/>
                </m:rPr>
                <m:t>−</m:t>
              </m:r>
              <m:nary>
                <m:naryPr>
                  <m:chr m:val="∑"/>
                  <m:limLoc m:val="undOvr"/>
                  <m:subHide m:val="off"/>
                  <m:supHide m:val="off"/>
                </m:naryPr>
                <m:sub>
                  <m:r>
                    <m:t>i</m:t>
                  </m:r>
                  <m:r>
                    <m:rPr>
                      <m:sty m:val="p"/>
                    </m:rPr>
                    <m:t>=</m:t>
                  </m:r>
                  <m:r>
                    <m:t>1</m:t>
                  </m:r>
                </m:sub>
                <m:sup>
                  <m:r>
                    <m:t>p</m:t>
                  </m:r>
                </m:sup>
                <m:e>
                  <m:sSub>
                    <m:e>
                      <m:r>
                        <m:t>ϕ</m:t>
                      </m:r>
                    </m:e>
                    <m:sub>
                      <m:r>
                        <m:t>i</m:t>
                      </m:r>
                    </m:sub>
                  </m:sSub>
                </m:e>
              </m:nary>
              <m:sSup>
                <m:e>
                  <m:r>
                    <m:t>B</m:t>
                  </m:r>
                </m:e>
                <m:sup>
                  <m:r>
                    <m:t>i</m:t>
                  </m:r>
                </m:sup>
              </m:sSup>
            </m:e>
          </m:d>
          <m:r>
            <m:rPr>
              <m:sty m:val="p"/>
            </m:rPr>
            <m:t>(</m:t>
          </m:r>
          <m:r>
            <m:t>1</m:t>
          </m:r>
          <m:r>
            <m:rPr>
              <m:sty m:val="p"/>
            </m:rPr>
            <m:t>−</m:t>
          </m:r>
          <m:r>
            <m:t>B</m:t>
          </m:r>
          <m:sSup>
            <m:e>
              <m:r>
                <m:rPr>
                  <m:sty m:val="p"/>
                </m:rPr>
                <m:t>)</m:t>
              </m:r>
            </m:e>
            <m:sup>
              <m:r>
                <m:t>d</m:t>
              </m:r>
            </m:sup>
          </m:sSup>
          <m:sSub>
            <m:e>
              <m:r>
                <m:t>X</m:t>
              </m:r>
            </m:e>
            <m:sub>
              <m:r>
                <m:t>t</m:t>
              </m:r>
            </m:sub>
          </m:sSub>
          <m:r>
            <m:rPr>
              <m:sty m:val="p"/>
            </m:rPr>
            <m:t>=</m:t>
          </m:r>
          <m:r>
            <m:t>c</m:t>
          </m:r>
          <m:r>
            <m:rPr>
              <m:sty m:val="p"/>
            </m:rPr>
            <m:t>+</m:t>
          </m:r>
          <m:d>
            <m:dPr>
              <m:begChr m:val="("/>
              <m:sepChr m:val=""/>
              <m:endChr m:val=")"/>
              <m:grow/>
            </m:dPr>
            <m:e>
              <m:r>
                <m:t>1</m:t>
              </m:r>
              <m:r>
                <m:rPr>
                  <m:sty m:val="p"/>
                </m:rPr>
                <m:t>+</m:t>
              </m:r>
              <m:nary>
                <m:naryPr>
                  <m:chr m:val="∑"/>
                  <m:limLoc m:val="undOvr"/>
                  <m:subHide m:val="off"/>
                  <m:supHide m:val="off"/>
                </m:naryPr>
                <m:sub>
                  <m:r>
                    <m:t>j</m:t>
                  </m:r>
                  <m:r>
                    <m:rPr>
                      <m:sty m:val="p"/>
                    </m:rPr>
                    <m:t>=</m:t>
                  </m:r>
                  <m:r>
                    <m:t>1</m:t>
                  </m:r>
                </m:sub>
                <m:sup>
                  <m:r>
                    <m:t>q</m:t>
                  </m:r>
                </m:sup>
                <m:e>
                  <m:sSub>
                    <m:e>
                      <m:r>
                        <m:t>θ</m:t>
                      </m:r>
                    </m:e>
                    <m:sub>
                      <m:r>
                        <m:t>j</m:t>
                      </m:r>
                    </m:sub>
                  </m:sSub>
                </m:e>
              </m:nary>
              <m:sSup>
                <m:e>
                  <m:r>
                    <m:t>B</m:t>
                  </m:r>
                </m:e>
                <m:sup>
                  <m:r>
                    <m:t>j</m:t>
                  </m:r>
                </m:sup>
              </m:sSup>
            </m:e>
          </m:d>
          <m:sSub>
            <m:e>
              <m:r>
                <m:t>ϵ</m:t>
              </m:r>
            </m:e>
            <m:sub>
              <m:r>
                <m:t>t</m:t>
              </m:r>
            </m:sub>
          </m:sSub>
        </m:oMath>
      </m:oMathPara>
    </w:p>
    <w:p>
      <w:pPr>
        <w:pStyle w:val="Compact"/>
      </w:pPr>
      <m:oMathPara>
        <m:oMathParaPr>
          <m:jc m:val="center"/>
        </m:oMathParaPr>
        <m:oMath>
          <m:r>
            <m:rPr>
              <m:nor/>
              <m:sty m:val="p"/>
            </m:rPr>
            <m:t>Holt-Winters Level: </m:t>
          </m:r>
          <m:sSub>
            <m:e>
              <m:r>
                <m:t>L</m:t>
              </m:r>
            </m:e>
            <m:sub>
              <m:r>
                <m:t>t</m:t>
              </m:r>
            </m:sub>
          </m:sSub>
          <m:r>
            <m:rPr>
              <m:sty m:val="p"/>
            </m:rPr>
            <m:t>=</m:t>
          </m:r>
          <m:r>
            <m:t>α</m:t>
          </m:r>
          <m:sSub>
            <m:e>
              <m:r>
                <m:t>Y</m:t>
              </m:r>
            </m:e>
            <m:sub>
              <m:r>
                <m:t>t</m:t>
              </m:r>
            </m:sub>
          </m:sSub>
          <m:r>
            <m:rPr>
              <m:sty m:val="p"/>
            </m:rPr>
            <m:t>+</m:t>
          </m:r>
          <m:r>
            <m:rPr>
              <m:sty m:val="p"/>
            </m:rPr>
            <m:t>(</m:t>
          </m:r>
          <m:r>
            <m:t>1</m:t>
          </m:r>
          <m:r>
            <m:rPr>
              <m:sty m:val="p"/>
            </m:rPr>
            <m:t>−</m:t>
          </m:r>
          <m:r>
            <m:t>α</m:t>
          </m:r>
          <m:r>
            <m:rPr>
              <m:sty m:val="p"/>
            </m:rPr>
            <m:t>)</m:t>
          </m:r>
          <m:r>
            <m:rPr>
              <m:sty m:val="p"/>
            </m:rPr>
            <m:t>(</m:t>
          </m:r>
          <m:sSub>
            <m:e>
              <m:r>
                <m:t>L</m:t>
              </m:r>
            </m:e>
            <m:sub>
              <m:r>
                <m:t>t</m:t>
              </m:r>
              <m:r>
                <m:rPr>
                  <m:sty m:val="p"/>
                </m:rPr>
                <m:t>−</m:t>
              </m:r>
              <m:r>
                <m:t>1</m:t>
              </m:r>
            </m:sub>
          </m:sSub>
          <m:r>
            <m:rPr>
              <m:sty m:val="p"/>
            </m:rPr>
            <m:t>+</m:t>
          </m:r>
          <m:sSub>
            <m:e>
              <m:r>
                <m:t>b</m:t>
              </m:r>
            </m:e>
            <m:sub>
              <m:r>
                <m:t>t</m:t>
              </m:r>
              <m:r>
                <m:rPr>
                  <m:sty m:val="p"/>
                </m:rPr>
                <m:t>−</m:t>
              </m:r>
              <m:r>
                <m:t>1</m:t>
              </m:r>
            </m:sub>
          </m:sSub>
          <m:r>
            <m:rPr>
              <m:sty m:val="p"/>
            </m:rPr>
            <m:t>)</m:t>
          </m:r>
        </m:oMath>
      </m:oMathPara>
    </w:p>
    <w:p>
      <w:pPr>
        <w:pStyle w:val="Compact"/>
      </w:pPr>
      <m:oMathPara>
        <m:oMathParaPr>
          <m:jc m:val="center"/>
        </m:oMathParaPr>
        <m:oMath>
          <m:r>
            <m:rPr>
              <m:nor/>
              <m:sty m:val="p"/>
            </m:rPr>
            <m:t>Holt-Winters Trend: </m:t>
          </m:r>
          <m:sSub>
            <m:e>
              <m:r>
                <m:t>b</m:t>
              </m:r>
            </m:e>
            <m:sub>
              <m:r>
                <m:t>t</m:t>
              </m:r>
            </m:sub>
          </m:sSub>
          <m:r>
            <m:rPr>
              <m:sty m:val="p"/>
            </m:rPr>
            <m:t>=</m:t>
          </m:r>
          <m:r>
            <m:t>β</m:t>
          </m:r>
          <m:r>
            <m:rPr>
              <m:sty m:val="p"/>
            </m:rPr>
            <m:t>(</m:t>
          </m:r>
          <m:sSub>
            <m:e>
              <m:r>
                <m:t>L</m:t>
              </m:r>
            </m:e>
            <m:sub>
              <m:r>
                <m:t>t</m:t>
              </m:r>
            </m:sub>
          </m:sSub>
          <m:r>
            <m:rPr>
              <m:sty m:val="p"/>
            </m:rPr>
            <m:t>−</m:t>
          </m:r>
          <m:sSub>
            <m:e>
              <m:r>
                <m:t>L</m:t>
              </m:r>
            </m:e>
            <m:sub>
              <m:r>
                <m:t>t</m:t>
              </m:r>
              <m:r>
                <m:rPr>
                  <m:sty m:val="p"/>
                </m:rPr>
                <m:t>−</m:t>
              </m:r>
              <m:r>
                <m:t>1</m:t>
              </m:r>
            </m:sub>
          </m:sSub>
          <m:r>
            <m:rPr>
              <m:sty m:val="p"/>
            </m:rPr>
            <m:t>)</m:t>
          </m:r>
          <m:r>
            <m:rPr>
              <m:sty m:val="p"/>
            </m:rPr>
            <m:t>+</m:t>
          </m:r>
          <m:r>
            <m:rPr>
              <m:sty m:val="p"/>
            </m:rPr>
            <m:t>(</m:t>
          </m:r>
          <m:r>
            <m:t>1</m:t>
          </m:r>
          <m:r>
            <m:rPr>
              <m:sty m:val="p"/>
            </m:rPr>
            <m:t>−</m:t>
          </m:r>
          <m:r>
            <m:t>β</m:t>
          </m:r>
          <m:r>
            <m:rPr>
              <m:sty m:val="p"/>
            </m:rPr>
            <m:t>)</m:t>
          </m:r>
          <m:sSub>
            <m:e>
              <m:r>
                <m:t>b</m:t>
              </m:r>
            </m:e>
            <m:sub>
              <m:r>
                <m:t>t</m:t>
              </m:r>
              <m:r>
                <m:rPr>
                  <m:sty m:val="p"/>
                </m:rPr>
                <m:t>−</m:t>
              </m:r>
              <m:r>
                <m:t>1</m:t>
              </m:r>
            </m:sub>
          </m:sSub>
        </m:oMath>
      </m:oMathPara>
    </w:p>
    <w:p>
      <w:pPr>
        <w:pStyle w:val="Compact"/>
      </w:pPr>
      <m:oMathPara>
        <m:oMathParaPr>
          <m:jc m:val="center"/>
        </m:oMathParaPr>
        <m:oMath>
          <m:r>
            <m:rPr>
              <m:nor/>
              <m:sty m:val="p"/>
            </m:rPr>
            <m:t>Evaluation Metrics: </m:t>
          </m:r>
          <m:r>
            <m:rPr>
              <m:nor/>
              <m:sty m:val="p"/>
            </m:rPr>
            <m:t>RMSE</m:t>
          </m:r>
          <m:r>
            <m:rPr>
              <m:sty m:val="p"/>
            </m:rPr>
            <m:t>=</m:t>
          </m:r>
          <m:rad>
            <m:radPr>
              <m:degHide m:val="on"/>
            </m:radPr>
            <m:deg/>
            <m:e>
              <m:f>
                <m:fPr>
                  <m:type m:val="bar"/>
                </m:fPr>
                <m:num>
                  <m:r>
                    <m:t>1</m:t>
                  </m:r>
                </m:num>
                <m:den>
                  <m:r>
                    <m:t>n</m:t>
                  </m:r>
                </m:den>
              </m:f>
              <m:r>
                <m:rPr>
                  <m:sty m:val="p"/>
                </m:rPr>
                <m:t>∑</m:t>
              </m:r>
              <m:r>
                <m:rPr>
                  <m:sty m:val="p"/>
                </m:rPr>
                <m:t>(</m:t>
              </m:r>
              <m:sSub>
                <m:e>
                  <m:r>
                    <m:t>Y</m:t>
                  </m:r>
                </m:e>
                <m:sub>
                  <m:r>
                    <m:t>t</m:t>
                  </m:r>
                </m:sub>
              </m:sSub>
              <m:r>
                <m:rPr>
                  <m:sty m:val="p"/>
                </m:rPr>
                <m:t>−</m:t>
              </m:r>
              <m:sSub>
                <m:e>
                  <m:acc>
                    <m:accPr>
                      <m:chr m:val="̂"/>
                    </m:accPr>
                    <m:e>
                      <m:r>
                        <m:t>Y</m:t>
                      </m:r>
                    </m:e>
                  </m:acc>
                </m:e>
                <m:sub>
                  <m:r>
                    <m:t>t</m:t>
                  </m:r>
                </m:sub>
              </m:sSub>
              <m:sSup>
                <m:e>
                  <m:r>
                    <m:rPr>
                      <m:sty m:val="p"/>
                    </m:rPr>
                    <m:t>)</m:t>
                  </m:r>
                </m:e>
                <m:sup>
                  <m:r>
                    <m:t>2</m:t>
                  </m:r>
                </m:sup>
              </m:sSup>
            </m:e>
          </m:rad>
          <m:r>
            <m:rPr>
              <m:sty m:val="p"/>
            </m:rPr>
            <m:t>,</m:t>
          </m:r>
          <m:r>
            <m:t> </m:t>
          </m:r>
          <m:r>
            <m:rPr>
              <m:nor/>
              <m:sty m:val="p"/>
            </m:rPr>
            <m:t>MAE</m:t>
          </m:r>
          <m:r>
            <m:rPr>
              <m:sty m:val="p"/>
            </m:rPr>
            <m:t>=</m:t>
          </m:r>
          <m:f>
            <m:fPr>
              <m:type m:val="bar"/>
            </m:fPr>
            <m:num>
              <m:r>
                <m:t>1</m:t>
              </m:r>
            </m:num>
            <m:den>
              <m:r>
                <m:t>n</m:t>
              </m:r>
            </m:den>
          </m:f>
          <m:r>
            <m:rPr>
              <m:sty m:val="p"/>
            </m:rPr>
            <m:t>∑</m:t>
          </m:r>
          <m:r>
            <m:rPr>
              <m:sty m:val="p"/>
            </m:rPr>
            <m:t>|</m:t>
          </m:r>
          <m:sSub>
            <m:e>
              <m:r>
                <m:t>Y</m:t>
              </m:r>
            </m:e>
            <m:sub>
              <m:r>
                <m:t>t</m:t>
              </m:r>
            </m:sub>
          </m:sSub>
          <m:r>
            <m:rPr>
              <m:sty m:val="p"/>
            </m:rPr>
            <m:t>−</m:t>
          </m:r>
          <m:sSub>
            <m:e>
              <m:acc>
                <m:accPr>
                  <m:chr m:val="̂"/>
                </m:accPr>
                <m:e>
                  <m:r>
                    <m:t>Y</m:t>
                  </m:r>
                </m:e>
              </m:acc>
            </m:e>
            <m:sub>
              <m:r>
                <m:t>t</m:t>
              </m:r>
            </m:sub>
          </m:sSub>
          <m:r>
            <m:rPr>
              <m:sty m:val="p"/>
            </m:rPr>
            <m:t>|</m:t>
          </m:r>
        </m:oMath>
      </m:oMathPara>
    </w:p>
    <w:p>
      <w:pPr>
        <w:pStyle w:val="Compact"/>
        <w:numPr>
          <w:ilvl w:val="0"/>
          <w:numId w:val="1009"/>
        </w:numPr>
      </w:pPr>
      <w:r>
        <w:rPr>
          <w:b/>
          <w:bCs/>
        </w:rPr>
        <w:t xml:space="preserve">R Functions:</w:t>
      </w:r>
      <w:r>
        <w:t xml:space="preserve"> </w:t>
      </w:r>
      <w:r>
        <w:rPr>
          <w:rStyle w:val="VerbatimChar"/>
        </w:rPr>
        <w:t xml:space="preserve">stats::ts()</w:t>
      </w:r>
      <w:r>
        <w:t xml:space="preserve">,</w:t>
      </w:r>
      <w:r>
        <w:t xml:space="preserve"> </w:t>
      </w:r>
      <w:r>
        <w:rPr>
          <w:rStyle w:val="VerbatimChar"/>
        </w:rPr>
        <w:t xml:space="preserve">stats::arima()</w:t>
      </w:r>
      <w:r>
        <w:t xml:space="preserve">,</w:t>
      </w:r>
      <w:r>
        <w:t xml:space="preserve"> </w:t>
      </w:r>
      <w:r>
        <w:rPr>
          <w:rStyle w:val="VerbatimChar"/>
        </w:rPr>
        <w:t xml:space="preserve">stats::HoltWinters()</w:t>
      </w:r>
      <w:r>
        <w:t xml:space="preserve">,</w:t>
      </w:r>
      <w:r>
        <w:t xml:space="preserve"> </w:t>
      </w:r>
      <w:r>
        <w:rPr>
          <w:rStyle w:val="VerbatimChar"/>
        </w:rPr>
        <w:t xml:space="preserve">stats::predict()</w:t>
      </w:r>
      <w:r>
        <w:t xml:space="preserve">.</w:t>
      </w:r>
    </w:p>
    <w:bookmarkEnd w:id="85"/>
    <w:bookmarkStart w:id="86" w:name="iv.-analysis-results-5"/>
    <w:p>
      <w:pPr>
        <w:pStyle w:val="Heading3"/>
      </w:pPr>
      <w:r>
        <w:rPr>
          <w:rStyle w:val="SectionNumber"/>
        </w:rPr>
        <w:t xml:space="preserve">4.6.4</w:t>
      </w:r>
      <w:r>
        <w:tab/>
      </w:r>
      <w:r>
        <w:t xml:space="preserve">iv. Analysis Results</w:t>
      </w:r>
    </w:p>
    <w:p>
      <w:pPr>
        <w:pStyle w:val="FirstParagraph"/>
      </w:pPr>
      <w:r>
        <w:t xml:space="preserve">Models were trained on an 80% chronological train partition and tested on a 20% out-of-sample temporal holdout:</w:t>
      </w:r>
      <w:r>
        <w:t xml:space="preserve"> </w:t>
      </w:r>
      <w:r>
        <w:t xml:space="preserve">-</w:t>
      </w:r>
      <w:r>
        <w:t xml:space="preserve"> </w:t>
      </w:r>
      <w:r>
        <w:rPr>
          <w:b/>
          <w:bCs/>
        </w:rPr>
        <w:t xml:space="preserve">Model Comparison:</w:t>
      </w:r>
      <w:r>
        <w:t xml:space="preserve"> </w:t>
      </w:r>
      <w:r>
        <w:t xml:space="preserve">On Delhi ambient</w:t>
      </w:r>
      <w:r>
        <w:t xml:space="preserve"> </w:t>
      </w:r>
      <m:oMath>
        <m:r>
          <m:t>P</m:t>
        </m:r>
        <m:sSub>
          <m:e>
            <m:r>
              <m:t>M</m:t>
            </m:r>
          </m:e>
          <m:sub>
            <m:r>
              <m:t>2.5</m:t>
            </m:r>
          </m:sub>
        </m:sSub>
      </m:oMath>
      <w:r>
        <w:t xml:space="preserve">, the</w:t>
      </w:r>
      <w:r>
        <w:t xml:space="preserve"> </w:t>
      </w:r>
      <m:oMath>
        <m:r>
          <m:rPr>
            <m:nor/>
            <m:sty m:val="p"/>
          </m:rPr>
          <m:t>ARIMA</m:t>
        </m:r>
        <m:r>
          <m:rPr>
            <m:sty m:val="p"/>
          </m:rPr>
          <m:t>(</m:t>
        </m:r>
        <m:r>
          <m:t>1</m:t>
        </m:r>
        <m:r>
          <m:rPr>
            <m:sty m:val="p"/>
          </m:rPr>
          <m:t>,</m:t>
        </m:r>
        <m:r>
          <m:t>1</m:t>
        </m:r>
        <m:r>
          <m:rPr>
            <m:sty m:val="p"/>
          </m:rPr>
          <m:t>,</m:t>
        </m:r>
        <m:r>
          <m:t>1</m:t>
        </m:r>
        <m:r>
          <m:rPr>
            <m:sty m:val="p"/>
          </m:rPr>
          <m:t>)</m:t>
        </m:r>
      </m:oMath>
      <w:r>
        <w:t xml:space="preserve"> </w:t>
      </w:r>
      <w:r>
        <w:t xml:space="preserve">specification outperformed Holt-Winters across all out-of-sample metrics:</w:t>
      </w:r>
      <w:r>
        <w:t xml:space="preserve"> </w:t>
      </w:r>
      <w:r>
        <w:t xml:space="preserve">-</w:t>
      </w:r>
      <w:r>
        <w:t xml:space="preserve"> </w:t>
      </w:r>
      <w:r>
        <w:rPr>
          <w:b/>
          <w:bCs/>
        </w:rPr>
        <w:t xml:space="preserve">ARIMA:</w:t>
      </w:r>
      <w:r>
        <w:t xml:space="preserve"> </w:t>
      </w:r>
      <m:oMath>
        <m:r>
          <m:rPr>
            <m:nor/>
            <m:sty m:val="p"/>
          </m:rPr>
          <m:t>RMSE</m:t>
        </m:r>
        <m:r>
          <m:rPr>
            <m:sty m:val="p"/>
          </m:rPr>
          <m:t>=</m:t>
        </m:r>
        <m:r>
          <m:t>11.37</m:t>
        </m:r>
        <m:r>
          <m:t> </m:t>
        </m:r>
        <m:r>
          <m:t>μ</m:t>
        </m:r>
        <m:sSup>
          <m:e>
            <m:r>
              <m:rPr>
                <m:nor/>
                <m:sty m:val="p"/>
              </m:rPr>
              <m:t>g/m</m:t>
            </m:r>
          </m:e>
          <m:sup>
            <m:r>
              <m:t>3</m:t>
            </m:r>
          </m:sup>
        </m:sSup>
      </m:oMath>
      <w:r>
        <w:t xml:space="preserve">,</w:t>
      </w:r>
      <w:r>
        <w:t xml:space="preserve"> </w:t>
      </w:r>
      <m:oMath>
        <m:r>
          <m:rPr>
            <m:nor/>
            <m:sty m:val="p"/>
          </m:rPr>
          <m:t>MAE</m:t>
        </m:r>
        <m:r>
          <m:rPr>
            <m:sty m:val="p"/>
          </m:rPr>
          <m:t>=</m:t>
        </m:r>
        <m:r>
          <m:t>9.74</m:t>
        </m:r>
        <m:r>
          <m:t> </m:t>
        </m:r>
        <m:r>
          <m:t>μ</m:t>
        </m:r>
        <m:sSup>
          <m:e>
            <m:r>
              <m:rPr>
                <m:nor/>
                <m:sty m:val="p"/>
              </m:rPr>
              <m:t>g/m</m:t>
            </m:r>
          </m:e>
          <m:sup>
            <m:r>
              <m:t>3</m:t>
            </m:r>
          </m:sup>
        </m:sSup>
      </m:oMath>
      <w:r>
        <w:t xml:space="preserve">,</w:t>
      </w:r>
      <w:r>
        <w:t xml:space="preserve"> </w:t>
      </w:r>
      <m:oMath>
        <m:r>
          <m:rPr>
            <m:nor/>
            <m:sty m:val="p"/>
          </m:rPr>
          <m:t>MAPE</m:t>
        </m:r>
        <m:r>
          <m:rPr>
            <m:sty m:val="p"/>
          </m:rPr>
          <m:t>=</m:t>
        </m:r>
        <m:r>
          <m:t>22.1</m:t>
        </m:r>
        <m:r>
          <m:rPr>
            <m:sty m:val="p"/>
          </m:rPr>
          <m:t>%</m:t>
        </m:r>
      </m:oMath>
      <w:r>
        <w:t xml:space="preserve">.</w:t>
      </w:r>
      <w:r>
        <w:t xml:space="preserve"> </w:t>
      </w:r>
      <w:r>
        <w:t xml:space="preserve">-</w:t>
      </w:r>
      <w:r>
        <w:t xml:space="preserve"> </w:t>
      </w:r>
      <w:r>
        <w:rPr>
          <w:b/>
          <w:bCs/>
        </w:rPr>
        <w:t xml:space="preserve">Holt-Winters:</w:t>
      </w:r>
      <w:r>
        <w:t xml:space="preserve"> </w:t>
      </w:r>
      <m:oMath>
        <m:r>
          <m:rPr>
            <m:nor/>
            <m:sty m:val="p"/>
          </m:rPr>
          <m:t>RMSE</m:t>
        </m:r>
        <m:r>
          <m:rPr>
            <m:sty m:val="p"/>
          </m:rPr>
          <m:t>=</m:t>
        </m:r>
        <m:r>
          <m:t>14.82</m:t>
        </m:r>
        <m:r>
          <m:t> </m:t>
        </m:r>
        <m:r>
          <m:t>μ</m:t>
        </m:r>
        <m:sSup>
          <m:e>
            <m:r>
              <m:rPr>
                <m:nor/>
                <m:sty m:val="p"/>
              </m:rPr>
              <m:t>g/m</m:t>
            </m:r>
          </m:e>
          <m:sup>
            <m:r>
              <m:t>3</m:t>
            </m:r>
          </m:sup>
        </m:sSup>
      </m:oMath>
      <w:r>
        <w:t xml:space="preserve">,</w:t>
      </w:r>
      <w:r>
        <w:t xml:space="preserve"> </w:t>
      </w:r>
      <m:oMath>
        <m:r>
          <m:rPr>
            <m:nor/>
            <m:sty m:val="p"/>
          </m:rPr>
          <m:t>MAE</m:t>
        </m:r>
        <m:r>
          <m:rPr>
            <m:sty m:val="p"/>
          </m:rPr>
          <m:t>=</m:t>
        </m:r>
        <m:r>
          <m:t>12.15</m:t>
        </m:r>
        <m:r>
          <m:t> </m:t>
        </m:r>
        <m:r>
          <m:t>μ</m:t>
        </m:r>
        <m:sSup>
          <m:e>
            <m:r>
              <m:rPr>
                <m:nor/>
                <m:sty m:val="p"/>
              </m:rPr>
              <m:t>g/m</m:t>
            </m:r>
          </m:e>
          <m:sup>
            <m:r>
              <m:t>3</m:t>
            </m:r>
          </m:sup>
        </m:sSup>
      </m:oMath>
      <w:r>
        <w:t xml:space="preserve">,</w:t>
      </w:r>
      <w:r>
        <w:t xml:space="preserve"> </w:t>
      </w:r>
      <m:oMath>
        <m:r>
          <m:rPr>
            <m:nor/>
            <m:sty m:val="p"/>
          </m:rPr>
          <m:t>MAPE</m:t>
        </m:r>
        <m:r>
          <m:rPr>
            <m:sty m:val="p"/>
          </m:rPr>
          <m:t>=</m:t>
        </m:r>
        <m:r>
          <m:t>28.4</m:t>
        </m:r>
        <m:r>
          <m:rPr>
            <m:sty m:val="p"/>
          </m:rPr>
          <m:t>%</m:t>
        </m:r>
      </m:oMath>
      <w:r>
        <w:t xml:space="preserve">.</w:t>
      </w:r>
      <w:r>
        <w:t xml:space="preserve"> </w:t>
      </w:r>
      <w:r>
        <w:t xml:space="preserve">-</w:t>
      </w:r>
      <w:r>
        <w:t xml:space="preserve"> </w:t>
      </w:r>
      <w:r>
        <w:rPr>
          <w:b/>
          <w:bCs/>
        </w:rPr>
        <w:t xml:space="preserve">30-Day Forward Projection:</w:t>
      </w:r>
      <w:r>
        <w:t xml:space="preserve"> </w:t>
      </w:r>
      <w:r>
        <w:t xml:space="preserve">The ARIMA model projected steady-state baseline trajectories with bounded 80% and 95% confidence intervals, providing essential risk bounds for environmental planners.</w:t>
      </w:r>
    </w:p>
    <w:bookmarkEnd w:id="86"/>
    <w:bookmarkStart w:id="90" w:name="v.-visualization-4"/>
    <w:p>
      <w:pPr>
        <w:pStyle w:val="Heading3"/>
      </w:pPr>
      <w:r>
        <w:rPr>
          <w:rStyle w:val="SectionNumber"/>
        </w:rPr>
        <w:t xml:space="preserve">4.6.5</w:t>
      </w:r>
      <w:r>
        <w:tab/>
      </w:r>
      <w:r>
        <w:t xml:space="preserve">v. Visualization</w:t>
      </w:r>
    </w:p>
    <w:p>
      <w:pPr>
        <w:pStyle w:val="CaptionedFigure"/>
      </w:pPr>
      <w:r>
        <w:drawing>
          <wp:inline>
            <wp:extent cx="4800600" cy="2667000"/>
            <wp:effectExtent b="0" l="0" r="0" t="0"/>
            <wp:docPr descr="Figure 9: 30-Day Predictive PM2.5 Forecast with 80% and 95% Confidence Intervals for Delhi" title="" id="88" name="Picture"/>
            <a:graphic>
              <a:graphicData uri="http://schemas.openxmlformats.org/drawingml/2006/picture">
                <pic:pic>
                  <pic:nvPicPr>
                    <pic:cNvPr descr="../outputs/figures/fig9_forecast_delhi.png" id="89" name="Picture"/>
                    <pic:cNvPicPr>
                      <a:picLocks noChangeArrowheads="1" noChangeAspect="1"/>
                    </pic:cNvPicPr>
                  </pic:nvPicPr>
                  <pic:blipFill>
                    <a:blip r:embed="rId87"/>
                    <a:stretch>
                      <a:fillRect/>
                    </a:stretch>
                  </pic:blipFill>
                  <pic:spPr bwMode="auto">
                    <a:xfrm>
                      <a:off x="0" y="0"/>
                      <a:ext cx="4800600" cy="2667000"/>
                    </a:xfrm>
                    <a:prstGeom prst="rect">
                      <a:avLst/>
                    </a:prstGeom>
                    <a:noFill/>
                    <a:ln w="9525">
                      <a:noFill/>
                      <a:headEnd/>
                      <a:tailEnd/>
                    </a:ln>
                  </pic:spPr>
                </pic:pic>
              </a:graphicData>
            </a:graphic>
          </wp:inline>
        </w:drawing>
      </w:r>
    </w:p>
    <w:p>
      <w:pPr>
        <w:pStyle w:val="ImageCaption"/>
      </w:pPr>
      <w:r>
        <w:t xml:space="preserve">Figure 9: 30-Day Predictive PM2.5 Forecast with 80% and 95% Confidence Intervals for Delhi</w:t>
      </w:r>
    </w:p>
    <w:p>
      <w:r>
        <w:pict>
          <v:rect style="width:0;height:1.5pt" o:hralign="center" o:hrstd="t" o:hr="t"/>
        </w:pict>
      </w:r>
    </w:p>
    <w:bookmarkEnd w:id="90"/>
    <w:bookmarkEnd w:id="91"/>
    <w:bookmarkStart w:id="100" w:name="X89bcfb78cc550471636f380ede3e04bd6e5a150"/>
    <w:p>
      <w:pPr>
        <w:pStyle w:val="Heading2"/>
      </w:pPr>
      <w:r>
        <w:rPr>
          <w:rStyle w:val="SectionNumber"/>
        </w:rPr>
        <w:t xml:space="preserve">4.7</w:t>
      </w:r>
      <w:r>
        <w:tab/>
      </w:r>
      <w:r>
        <w:t xml:space="preserve">4.7 Text Mining of CPCB Statutory Health Advisories &amp; Semantic Word Cloud</w:t>
      </w:r>
    </w:p>
    <w:bookmarkStart w:id="92" w:name="i.-introduction-6"/>
    <w:p>
      <w:pPr>
        <w:pStyle w:val="Heading3"/>
      </w:pPr>
      <w:r>
        <w:rPr>
          <w:rStyle w:val="SectionNumber"/>
        </w:rPr>
        <w:t xml:space="preserve">4.7.1</w:t>
      </w:r>
      <w:r>
        <w:tab/>
      </w:r>
      <w:r>
        <w:t xml:space="preserve">i. Introduction</w:t>
      </w:r>
    </w:p>
    <w:p>
      <w:pPr>
        <w:pStyle w:val="FirstParagraph"/>
      </w:pPr>
      <w:r>
        <w:t xml:space="preserve">Translating air quality data into societal benefit requires actionable public health communication. Text mining of official health advisories extracts core regulatory directives and mitigation vocabulary.</w:t>
      </w:r>
    </w:p>
    <w:bookmarkEnd w:id="92"/>
    <w:bookmarkStart w:id="93" w:name="ii.-general-description-6"/>
    <w:p>
      <w:pPr>
        <w:pStyle w:val="Heading3"/>
      </w:pPr>
      <w:r>
        <w:rPr>
          <w:rStyle w:val="SectionNumber"/>
        </w:rPr>
        <w:t xml:space="preserve">4.7.2</w:t>
      </w:r>
      <w:r>
        <w:tab/>
      </w:r>
      <w:r>
        <w:t xml:space="preserve">ii. General Description</w:t>
      </w:r>
    </w:p>
    <w:p>
      <w:pPr>
        <w:pStyle w:val="FirstParagraph"/>
      </w:pPr>
      <w:r>
        <w:t xml:space="preserve">A structured corpus of statutory CPCB health advisories across all six AQI categories and municipal mitigation frameworks was tokenized, cleaned, and analyzed for term frequency.</w:t>
      </w:r>
    </w:p>
    <w:bookmarkEnd w:id="93"/>
    <w:bookmarkStart w:id="94" w:name="X6450257f4da77fac8ea5bc2e2923d0d1f511dc1"/>
    <w:p>
      <w:pPr>
        <w:pStyle w:val="Heading3"/>
      </w:pPr>
      <w:r>
        <w:rPr>
          <w:rStyle w:val="SectionNumber"/>
        </w:rPr>
        <w:t xml:space="preserve">4.7.3</w:t>
      </w:r>
      <w:r>
        <w:tab/>
      </w:r>
      <w:r>
        <w:t xml:space="preserve">iii. Specific Requirements, Functions and Formulas</w:t>
      </w:r>
    </w:p>
    <w:p>
      <w:pPr>
        <w:pStyle w:val="Compact"/>
        <w:numPr>
          <w:ilvl w:val="0"/>
          <w:numId w:val="1010"/>
        </w:numPr>
      </w:pPr>
      <w:r>
        <w:rPr>
          <w:b/>
          <w:bCs/>
        </w:rPr>
        <w:t xml:space="preserve">Mathematical Formulations:</w:t>
      </w:r>
    </w:p>
    <w:p>
      <w:pPr>
        <w:pStyle w:val="Compact"/>
      </w:pPr>
      <m:oMathPara>
        <m:oMathParaPr>
          <m:jc m:val="center"/>
        </m:oMathParaPr>
        <m:oMath>
          <m:r>
            <m:rPr>
              <m:nor/>
              <m:sty m:val="p"/>
            </m:rPr>
            <m:t>Term Frequency </m:t>
          </m:r>
          <m:r>
            <m:rPr>
              <m:nor/>
              <m:sty m:val="p"/>
            </m:rPr>
            <m:t>TF</m:t>
          </m:r>
          <m:r>
            <m:rPr>
              <m:sty m:val="p"/>
            </m:rPr>
            <m:t>(</m:t>
          </m:r>
          <m:r>
            <m:t>t</m:t>
          </m:r>
          <m:r>
            <m:rPr>
              <m:sty m:val="p"/>
            </m:rPr>
            <m:t>,</m:t>
          </m:r>
          <m:r>
            <m:t>d</m:t>
          </m:r>
          <m:r>
            <m:rPr>
              <m:sty m:val="p"/>
            </m:rPr>
            <m:t>)</m:t>
          </m:r>
          <m:r>
            <m:rPr>
              <m:sty m:val="p"/>
            </m:rPr>
            <m:t>=</m:t>
          </m:r>
          <m:f>
            <m:fPr>
              <m:type m:val="bar"/>
            </m:fPr>
            <m:num>
              <m:sSub>
                <m:e>
                  <m:r>
                    <m:t>f</m:t>
                  </m:r>
                </m:e>
                <m:sub>
                  <m:r>
                    <m:t>t</m:t>
                  </m:r>
                  <m:r>
                    <m:rPr>
                      <m:sty m:val="p"/>
                    </m:rPr>
                    <m:t>,</m:t>
                  </m:r>
                  <m:r>
                    <m:t>d</m:t>
                  </m:r>
                </m:sub>
              </m:sSub>
            </m:num>
            <m:den>
              <m:nary>
                <m:naryPr>
                  <m:chr m:val="∑"/>
                  <m:limLoc m:val="undOvr"/>
                  <m:subHide m:val="off"/>
                  <m:supHide m:val="on"/>
                </m:naryPr>
                <m:sub>
                  <m:sSup>
                    <m:e>
                      <m:r>
                        <m:t>t</m:t>
                      </m:r>
                    </m:e>
                    <m:sup>
                      <m:r>
                        <m:rPr>
                          <m:sty m:val="p"/>
                        </m:rPr>
                        <m:t>′</m:t>
                      </m:r>
                    </m:sup>
                  </m:sSup>
                  <m:r>
                    <m:rPr>
                      <m:sty m:val="p"/>
                    </m:rPr>
                    <m:t>∈</m:t>
                  </m:r>
                  <m:r>
                    <m:t>d</m:t>
                  </m:r>
                </m:sub>
                <m:sup>
                  <m:r>
                    <m:t>​</m:t>
                  </m:r>
                </m:sup>
                <m:e>
                  <m:sSub>
                    <m:e>
                      <m:r>
                        <m:t>f</m:t>
                      </m:r>
                    </m:e>
                    <m:sub>
                      <m:sSup>
                        <m:e>
                          <m:r>
                            <m:t>t</m:t>
                          </m:r>
                        </m:e>
                        <m:sup>
                          <m:r>
                            <m:rPr>
                              <m:sty m:val="p"/>
                            </m:rPr>
                            <m:t>′</m:t>
                          </m:r>
                        </m:sup>
                      </m:sSup>
                      <m:r>
                        <m:rPr>
                          <m:sty m:val="p"/>
                        </m:rPr>
                        <m:t>,</m:t>
                      </m:r>
                      <m:r>
                        <m:t>d</m:t>
                      </m:r>
                    </m:sub>
                  </m:sSub>
                </m:e>
              </m:nary>
            </m:den>
          </m:f>
        </m:oMath>
      </m:oMathPara>
    </w:p>
    <w:p>
      <w:pPr>
        <w:pStyle w:val="Compact"/>
        <w:numPr>
          <w:ilvl w:val="0"/>
          <w:numId w:val="1010"/>
        </w:numPr>
      </w:pPr>
      <w:r>
        <w:rPr>
          <w:b/>
          <w:bCs/>
        </w:rPr>
        <w:t xml:space="preserve">R Functions:</w:t>
      </w:r>
      <w:r>
        <w:t xml:space="preserve"> </w:t>
      </w:r>
      <w:r>
        <w:rPr>
          <w:rStyle w:val="VerbatimChar"/>
        </w:rPr>
        <w:t xml:space="preserve">tidytext::unnest_tokens()</w:t>
      </w:r>
      <w:r>
        <w:t xml:space="preserve">,</w:t>
      </w:r>
      <w:r>
        <w:t xml:space="preserve"> </w:t>
      </w:r>
      <w:r>
        <w:rPr>
          <w:rStyle w:val="VerbatimChar"/>
        </w:rPr>
        <w:t xml:space="preserve">dplyr::anti_join()</w:t>
      </w:r>
      <w:r>
        <w:t xml:space="preserve">,</w:t>
      </w:r>
      <w:r>
        <w:t xml:space="preserve"> </w:t>
      </w:r>
      <w:r>
        <w:rPr>
          <w:rStyle w:val="VerbatimChar"/>
        </w:rPr>
        <w:t xml:space="preserve">wordcloud::wordcloud()</w:t>
      </w:r>
      <w:r>
        <w:t xml:space="preserve">,</w:t>
      </w:r>
      <w:r>
        <w:t xml:space="preserve"> </w:t>
      </w:r>
      <w:r>
        <w:rPr>
          <w:rStyle w:val="VerbatimChar"/>
        </w:rPr>
        <w:t xml:space="preserve">RColorBrewer::brewer.pal()</w:t>
      </w:r>
      <w:r>
        <w:t xml:space="preserve">.</w:t>
      </w:r>
    </w:p>
    <w:bookmarkEnd w:id="94"/>
    <w:bookmarkStart w:id="95" w:name="iv.-analysis-results-6"/>
    <w:p>
      <w:pPr>
        <w:pStyle w:val="Heading3"/>
      </w:pPr>
      <w:r>
        <w:rPr>
          <w:rStyle w:val="SectionNumber"/>
        </w:rPr>
        <w:t xml:space="preserve">4.7.4</w:t>
      </w:r>
      <w:r>
        <w:tab/>
      </w:r>
      <w:r>
        <w:t xml:space="preserve">iv. Analysis Results</w:t>
      </w:r>
    </w:p>
    <w:p>
      <w:pPr>
        <w:pStyle w:val="FirstParagraph"/>
      </w:pPr>
      <w:r>
        <w:t xml:space="preserve">After removing standard and domain-specific stopwords, term frequency analysis revealed the most salient action verbs and clinical terms:</w:t>
      </w:r>
      <w:r>
        <w:t xml:space="preserve"> </w:t>
      </w:r>
      <w:r>
        <w:t xml:space="preserve">- Primary clinical keywords:</w:t>
      </w:r>
      <w:r>
        <w:t xml:space="preserve"> </w:t>
      </w:r>
      <w:r>
        <w:rPr>
          <w:i/>
          <w:iCs/>
        </w:rPr>
        <w:t xml:space="preserve">discomfort</w:t>
      </w:r>
      <w:r>
        <w:t xml:space="preserve"> </w:t>
      </w:r>
      <w:r>
        <w:t xml:space="preserve">(8 occurrences),</w:t>
      </w:r>
      <w:r>
        <w:t xml:space="preserve"> </w:t>
      </w:r>
      <w:r>
        <w:rPr>
          <w:i/>
          <w:iCs/>
        </w:rPr>
        <w:t xml:space="preserve">respiratory</w:t>
      </w:r>
      <w:r>
        <w:t xml:space="preserve"> </w:t>
      </w:r>
      <w:r>
        <w:t xml:space="preserve">(7),</w:t>
      </w:r>
      <w:r>
        <w:t xml:space="preserve"> </w:t>
      </w:r>
      <w:r>
        <w:rPr>
          <w:i/>
          <w:iCs/>
        </w:rPr>
        <w:t xml:space="preserve">cardiovascular</w:t>
      </w:r>
      <w:r>
        <w:t xml:space="preserve"> </w:t>
      </w:r>
      <w:r>
        <w:t xml:space="preserve">(6),</w:t>
      </w:r>
      <w:r>
        <w:t xml:space="preserve"> </w:t>
      </w:r>
      <w:r>
        <w:rPr>
          <w:i/>
          <w:iCs/>
        </w:rPr>
        <w:t xml:space="preserve">prolonged</w:t>
      </w:r>
      <w:r>
        <w:t xml:space="preserve"> </w:t>
      </w:r>
      <w:r>
        <w:t xml:space="preserve">(5),</w:t>
      </w:r>
      <w:r>
        <w:t xml:space="preserve"> </w:t>
      </w:r>
      <w:r>
        <w:rPr>
          <w:i/>
          <w:iCs/>
        </w:rPr>
        <w:t xml:space="preserve">asthma</w:t>
      </w:r>
      <w:r>
        <w:t xml:space="preserve"> </w:t>
      </w:r>
      <w:r>
        <w:t xml:space="preserve">(4).</w:t>
      </w:r>
      <w:r>
        <w:t xml:space="preserve"> </w:t>
      </w:r>
      <w:r>
        <w:t xml:space="preserve">- Primary mitigation keywords:</w:t>
      </w:r>
      <w:r>
        <w:t xml:space="preserve"> </w:t>
      </w:r>
      <w:r>
        <w:rPr>
          <w:i/>
          <w:iCs/>
        </w:rPr>
        <w:t xml:space="preserve">closures</w:t>
      </w:r>
      <w:r>
        <w:t xml:space="preserve"> </w:t>
      </w:r>
      <w:r>
        <w:t xml:space="preserve">(3),</w:t>
      </w:r>
      <w:r>
        <w:t xml:space="preserve"> </w:t>
      </w:r>
      <w:r>
        <w:rPr>
          <w:i/>
          <w:iCs/>
        </w:rPr>
        <w:t xml:space="preserve">respirators</w:t>
      </w:r>
      <w:r>
        <w:t xml:space="preserve"> </w:t>
      </w:r>
      <w:r>
        <w:t xml:space="preserve">(3),</w:t>
      </w:r>
      <w:r>
        <w:t xml:space="preserve"> </w:t>
      </w:r>
      <w:r>
        <w:rPr>
          <w:i/>
          <w:iCs/>
        </w:rPr>
        <w:t xml:space="preserve">sweeping</w:t>
      </w:r>
      <w:r>
        <w:t xml:space="preserve"> </w:t>
      </w:r>
      <w:r>
        <w:t xml:space="preserve">(3),</w:t>
      </w:r>
      <w:r>
        <w:t xml:space="preserve"> </w:t>
      </w:r>
      <w:r>
        <w:rPr>
          <w:i/>
          <w:iCs/>
        </w:rPr>
        <w:t xml:space="preserve">sprinklers</w:t>
      </w:r>
      <w:r>
        <w:t xml:space="preserve"> </w:t>
      </w:r>
      <w:r>
        <w:t xml:space="preserve">(2),</w:t>
      </w:r>
      <w:r>
        <w:t xml:space="preserve"> </w:t>
      </w:r>
      <w:r>
        <w:rPr>
          <w:i/>
          <w:iCs/>
        </w:rPr>
        <w:t xml:space="preserve">emissions</w:t>
      </w:r>
      <w:r>
        <w:t xml:space="preserve"> </w:t>
      </w:r>
      <w:r>
        <w:t xml:space="preserve">(2).</w:t>
      </w:r>
    </w:p>
    <w:bookmarkEnd w:id="95"/>
    <w:bookmarkStart w:id="99" w:name="v.-visualization-5"/>
    <w:p>
      <w:pPr>
        <w:pStyle w:val="Heading3"/>
      </w:pPr>
      <w:r>
        <w:rPr>
          <w:rStyle w:val="SectionNumber"/>
        </w:rPr>
        <w:t xml:space="preserve">4.7.5</w:t>
      </w:r>
      <w:r>
        <w:tab/>
      </w:r>
      <w:r>
        <w:t xml:space="preserve">v. Visualization</w:t>
      </w:r>
    </w:p>
    <w:p>
      <w:pPr>
        <w:pStyle w:val="CaptionedFigure"/>
      </w:pPr>
      <w:r>
        <w:drawing>
          <wp:inline>
            <wp:extent cx="4800600" cy="4000500"/>
            <wp:effectExtent b="0" l="0" r="0" t="0"/>
            <wp:docPr descr="Figure 6: High-Resolution Word Cloud Mined from Statutory CPCB Environmental Health Advisories" title="" id="97" name="Picture"/>
            <a:graphic>
              <a:graphicData uri="http://schemas.openxmlformats.org/drawingml/2006/picture">
                <pic:pic>
                  <pic:nvPicPr>
                    <pic:cNvPr descr="../outputs/figures/fig6_advisory_wordcloud.png" id="98" name="Picture"/>
                    <pic:cNvPicPr>
                      <a:picLocks noChangeArrowheads="1" noChangeAspect="1"/>
                    </pic:cNvPicPr>
                  </pic:nvPicPr>
                  <pic:blipFill>
                    <a:blip r:embed="rId96"/>
                    <a:stretch>
                      <a:fillRect/>
                    </a:stretch>
                  </pic:blipFill>
                  <pic:spPr bwMode="auto">
                    <a:xfrm>
                      <a:off x="0" y="0"/>
                      <a:ext cx="4800600" cy="4000500"/>
                    </a:xfrm>
                    <a:prstGeom prst="rect">
                      <a:avLst/>
                    </a:prstGeom>
                    <a:noFill/>
                    <a:ln w="9525">
                      <a:noFill/>
                      <a:headEnd/>
                      <a:tailEnd/>
                    </a:ln>
                  </pic:spPr>
                </pic:pic>
              </a:graphicData>
            </a:graphic>
          </wp:inline>
        </w:drawing>
      </w:r>
    </w:p>
    <w:p>
      <w:pPr>
        <w:pStyle w:val="ImageCaption"/>
      </w:pPr>
      <w:r>
        <w:t xml:space="preserve">Figure 6: High-Resolution Word Cloud Mined from Statutory CPCB Environmental Health Advisories</w:t>
      </w:r>
    </w:p>
    <w:p>
      <w:r>
        <w:pict>
          <v:rect style="width:0;height:1.5pt" o:hralign="center" o:hrstd="t" o:hr="t"/>
        </w:pict>
      </w:r>
    </w:p>
    <w:bookmarkEnd w:id="99"/>
    <w:bookmarkEnd w:id="100"/>
    <w:bookmarkStart w:id="105" w:name="X10fada97ffa373644c1b3a990915c6e4b9a0502"/>
    <w:p>
      <w:pPr>
        <w:pStyle w:val="Heading2"/>
      </w:pPr>
      <w:r>
        <w:rPr>
          <w:rStyle w:val="SectionNumber"/>
        </w:rPr>
        <w:t xml:space="preserve">4.8</w:t>
      </w:r>
      <w:r>
        <w:tab/>
      </w:r>
      <w:r>
        <w:t xml:space="preserve">4.8 Environmental Vulnerability Index (EVI) &amp; Automated Municipal Decision Support</w:t>
      </w:r>
    </w:p>
    <w:bookmarkStart w:id="101" w:name="i.-introduction-7"/>
    <w:p>
      <w:pPr>
        <w:pStyle w:val="Heading3"/>
      </w:pPr>
      <w:r>
        <w:rPr>
          <w:rStyle w:val="SectionNumber"/>
        </w:rPr>
        <w:t xml:space="preserve">4.8.1</w:t>
      </w:r>
      <w:r>
        <w:tab/>
      </w:r>
      <w:r>
        <w:t xml:space="preserve">i. Introduction</w:t>
      </w:r>
    </w:p>
    <w:p>
      <w:pPr>
        <w:pStyle w:val="FirstParagraph"/>
      </w:pPr>
      <w:r>
        <w:t xml:space="preserve">Single-variable rankings (such as mean AQI alone) fail to capture chronic exposure versus acute peak hazards. An integrated multi-criteria index is required for objective municipal resource allocation.</w:t>
      </w:r>
    </w:p>
    <w:bookmarkEnd w:id="101"/>
    <w:bookmarkStart w:id="102" w:name="ii.-general-description-7"/>
    <w:p>
      <w:pPr>
        <w:pStyle w:val="Heading3"/>
      </w:pPr>
      <w:r>
        <w:rPr>
          <w:rStyle w:val="SectionNumber"/>
        </w:rPr>
        <w:t xml:space="preserve">4.8.2</w:t>
      </w:r>
      <w:r>
        <w:tab/>
      </w:r>
      <w:r>
        <w:t xml:space="preserve">ii. General Description</w:t>
      </w:r>
    </w:p>
    <w:p>
      <w:pPr>
        <w:pStyle w:val="FirstParagraph"/>
      </w:pPr>
      <w:r>
        <w:t xml:space="preserve">The</w:t>
      </w:r>
      <w:r>
        <w:t xml:space="preserve"> </w:t>
      </w:r>
      <w:r>
        <w:rPr>
          <w:b/>
          <w:bCs/>
        </w:rPr>
        <w:t xml:space="preserve">Environmental Vulnerability Index (EVI)</w:t>
      </w:r>
      <w:r>
        <w:t xml:space="preserve"> </w:t>
      </w:r>
      <w:r>
        <w:t xml:space="preserve">synthesizes average pollution intensity, chronic severe exposure frequency, and statutory standard exceedance rates into a single composite score (</w:t>
      </w:r>
      <m:oMath>
        <m:r>
          <m:t>0</m:t>
        </m:r>
        <m:r>
          <m:rPr>
            <m:sty m:val="p"/>
          </m:rPr>
          <m:t>–</m:t>
        </m:r>
        <m:r>
          <m:t>100</m:t>
        </m:r>
      </m:oMath>
      <w:r>
        <w:t xml:space="preserve">).</w:t>
      </w:r>
    </w:p>
    <w:bookmarkEnd w:id="102"/>
    <w:bookmarkStart w:id="103" w:name="X3c9bc629303d18e9ce77f2bf8a938ea6ca6f990"/>
    <w:p>
      <w:pPr>
        <w:pStyle w:val="Heading3"/>
      </w:pPr>
      <w:r>
        <w:rPr>
          <w:rStyle w:val="SectionNumber"/>
        </w:rPr>
        <w:t xml:space="preserve">4.8.3</w:t>
      </w:r>
      <w:r>
        <w:tab/>
      </w:r>
      <w:r>
        <w:t xml:space="preserve">iii. Specific Requirements, Functions and Formulas</w:t>
      </w:r>
    </w:p>
    <w:p>
      <w:pPr>
        <w:pStyle w:val="Compact"/>
        <w:numPr>
          <w:ilvl w:val="0"/>
          <w:numId w:val="1011"/>
        </w:numPr>
      </w:pPr>
      <w:r>
        <w:rPr>
          <w:b/>
          <w:bCs/>
        </w:rPr>
        <w:t xml:space="preserve">Mathematical Formulations:</w:t>
      </w:r>
    </w:p>
    <w:p>
      <w:pPr>
        <w:pStyle w:val="Compact"/>
      </w:pPr>
      <m:oMathPara>
        <m:oMathParaPr>
          <m:jc m:val="center"/>
        </m:oMathParaPr>
        <m:oMath>
          <m:sSub>
            <m:e>
              <m:r>
                <m:rPr>
                  <m:nor/>
                  <m:sty m:val="p"/>
                </m:rPr>
                <m:t>EVI</m:t>
              </m:r>
            </m:e>
            <m:sub>
              <m:r>
                <m:t>c</m:t>
              </m:r>
            </m:sub>
          </m:sSub>
          <m:r>
            <m:rPr>
              <m:sty m:val="p"/>
            </m:rPr>
            <m:t>=</m:t>
          </m:r>
          <m:r>
            <m:t>0.40</m:t>
          </m:r>
          <m:r>
            <m:rPr>
              <m:sty m:val="p"/>
            </m:rPr>
            <m:t>⋅</m:t>
          </m:r>
          <m:d>
            <m:dPr>
              <m:begChr m:val="("/>
              <m:sepChr m:val=""/>
              <m:endChr m:val=")"/>
              <m:grow/>
            </m:dPr>
            <m:e>
              <m:f>
                <m:fPr>
                  <m:type m:val="bar"/>
                </m:fPr>
                <m:num>
                  <m:sSub>
                    <m:e>
                      <m:acc>
                        <m:accPr>
                          <m:chr m:val="‾"/>
                        </m:accPr>
                        <m:e>
                          <m:r>
                            <m:rPr>
                              <m:nor/>
                              <m:sty m:val="p"/>
                            </m:rPr>
                            <m:t>AQI</m:t>
                          </m:r>
                        </m:e>
                      </m:acc>
                    </m:e>
                    <m:sub>
                      <m:r>
                        <m:t>c</m:t>
                      </m:r>
                    </m:sub>
                  </m:sSub>
                  <m:r>
                    <m:rPr>
                      <m:sty m:val="p"/>
                    </m:rPr>
                    <m:t>−</m:t>
                  </m:r>
                  <m:r>
                    <m:rPr>
                      <m:sty m:val="p"/>
                    </m:rPr>
                    <m:t>min</m:t>
                  </m:r>
                  <m:acc>
                    <m:accPr>
                      <m:chr m:val="‾"/>
                    </m:accPr>
                    <m:e>
                      <m:r>
                        <m:rPr>
                          <m:nor/>
                          <m:sty m:val="p"/>
                        </m:rPr>
                        <m:t>AQI</m:t>
                      </m:r>
                    </m:e>
                  </m:acc>
                </m:num>
                <m:den>
                  <m:r>
                    <m:rPr>
                      <m:sty m:val="p"/>
                    </m:rPr>
                    <m:t>max</m:t>
                  </m:r>
                  <m:acc>
                    <m:accPr>
                      <m:chr m:val="‾"/>
                    </m:accPr>
                    <m:e>
                      <m:r>
                        <m:rPr>
                          <m:nor/>
                          <m:sty m:val="p"/>
                        </m:rPr>
                        <m:t>AQI</m:t>
                      </m:r>
                    </m:e>
                  </m:acc>
                  <m:r>
                    <m:rPr>
                      <m:sty m:val="p"/>
                    </m:rPr>
                    <m:t>−</m:t>
                  </m:r>
                  <m:r>
                    <m:rPr>
                      <m:sty m:val="p"/>
                    </m:rPr>
                    <m:t>min</m:t>
                  </m:r>
                  <m:acc>
                    <m:accPr>
                      <m:chr m:val="‾"/>
                    </m:accPr>
                    <m:e>
                      <m:r>
                        <m:rPr>
                          <m:nor/>
                          <m:sty m:val="p"/>
                        </m:rPr>
                        <m:t>AQI</m:t>
                      </m:r>
                    </m:e>
                  </m:acc>
                </m:den>
              </m:f>
              <m:r>
                <m:rPr>
                  <m:sty m:val="p"/>
                </m:rPr>
                <m:t>×</m:t>
              </m:r>
              <m:r>
                <m:t>100</m:t>
              </m:r>
            </m:e>
          </m:d>
          <m:r>
            <m:rPr>
              <m:sty m:val="p"/>
            </m:rPr>
            <m:t>+</m:t>
          </m:r>
          <m:r>
            <m:t>0.40</m:t>
          </m:r>
          <m:r>
            <m:rPr>
              <m:sty m:val="p"/>
            </m:rPr>
            <m:t>⋅</m:t>
          </m:r>
          <m:sSub>
            <m:e>
              <m:r>
                <m:t>P</m:t>
              </m:r>
            </m:e>
            <m:sub>
              <m:r>
                <m:rPr>
                  <m:nor/>
                  <m:sty m:val="p"/>
                </m:rPr>
                <m:t>severe</m:t>
              </m:r>
              <m:r>
                <m:rPr>
                  <m:sty m:val="p"/>
                </m:rPr>
                <m:t>,</m:t>
              </m:r>
              <m:r>
                <m:t>c</m:t>
              </m:r>
            </m:sub>
          </m:sSub>
          <m:r>
            <m:rPr>
              <m:sty m:val="p"/>
            </m:rPr>
            <m:t>+</m:t>
          </m:r>
          <m:r>
            <m:t>0.20</m:t>
          </m:r>
          <m:r>
            <m:rPr>
              <m:sty m:val="p"/>
            </m:rPr>
            <m:t>⋅</m:t>
          </m:r>
          <m:sSub>
            <m:e>
              <m:r>
                <m:t>P</m:t>
              </m:r>
            </m:e>
            <m:sub>
              <m:r>
                <m:rPr>
                  <m:nor/>
                  <m:sty m:val="p"/>
                </m:rPr>
                <m:t>exceed</m:t>
              </m:r>
              <m:r>
                <m:rPr>
                  <m:sty m:val="p"/>
                </m:rPr>
                <m:t>,</m:t>
              </m:r>
              <m:r>
                <m:t>c</m:t>
              </m:r>
            </m:sub>
          </m:sSub>
        </m:oMath>
      </m:oMathPara>
    </w:p>
    <w:p>
      <w:pPr>
        <w:pStyle w:val="Compact"/>
        <w:numPr>
          <w:ilvl w:val="0"/>
          <w:numId w:val="1011"/>
        </w:numPr>
      </w:pPr>
      <w:r>
        <w:rPr>
          <w:b/>
          <w:bCs/>
        </w:rPr>
        <w:t xml:space="preserve">Vulnerability Tiers:</w:t>
      </w:r>
    </w:p>
    <w:p>
      <w:pPr>
        <w:pStyle w:val="Compact"/>
        <w:numPr>
          <w:ilvl w:val="1"/>
          <w:numId w:val="1012"/>
        </w:numPr>
      </w:pPr>
      <w:r>
        <w:rPr>
          <w:b/>
          <w:bCs/>
        </w:rPr>
        <w:t xml:space="preserve">Tier 1: Critical Emergency (</w:t>
      </w:r>
      <m:oMath>
        <m:r>
          <m:rPr>
            <m:nor/>
            <m:sty m:val="p"/>
          </m:rPr>
          <m:t>EVI</m:t>
        </m:r>
        <m:r>
          <m:rPr>
            <m:sty m:val="p"/>
          </m:rPr>
          <m:t>≥</m:t>
        </m:r>
        <m:r>
          <m:t>60</m:t>
        </m:r>
      </m:oMath>
      <w:r>
        <w:rPr>
          <w:b/>
          <w:bCs/>
        </w:rPr>
        <w:t xml:space="preserve">):</w:t>
      </w:r>
      <w:r>
        <w:t xml:space="preserve"> </w:t>
      </w:r>
      <w:r>
        <w:t xml:space="preserve">Immediate Red Alert, mandatory emergency interventions.</w:t>
      </w:r>
    </w:p>
    <w:p>
      <w:pPr>
        <w:pStyle w:val="Compact"/>
        <w:numPr>
          <w:ilvl w:val="1"/>
          <w:numId w:val="1012"/>
        </w:numPr>
      </w:pPr>
      <w:r>
        <w:rPr>
          <w:b/>
          <w:bCs/>
        </w:rPr>
        <w:t xml:space="preserve">Tier 2: High Vulnerability (</w:t>
      </w:r>
      <m:oMath>
        <m:r>
          <m:t>35</m:t>
        </m:r>
        <m:r>
          <m:rPr>
            <m:sty m:val="p"/>
          </m:rPr>
          <m:t>≤</m:t>
        </m:r>
        <m:r>
          <m:rPr>
            <m:nor/>
            <m:sty m:val="p"/>
          </m:rPr>
          <m:t>EVI</m:t>
        </m:r>
        <m:r>
          <m:rPr>
            <m:sty m:val="p"/>
          </m:rPr>
          <m:t>&lt;</m:t>
        </m:r>
        <m:r>
          <m:t>60</m:t>
        </m:r>
      </m:oMath>
      <w:r>
        <w:rPr>
          <w:b/>
          <w:bCs/>
        </w:rPr>
        <w:t xml:space="preserve">):</w:t>
      </w:r>
      <w:r>
        <w:t xml:space="preserve"> </w:t>
      </w:r>
      <w:r>
        <w:t xml:space="preserve">Active mitigation, continuous surveillance.</w:t>
      </w:r>
    </w:p>
    <w:p>
      <w:pPr>
        <w:pStyle w:val="Compact"/>
        <w:numPr>
          <w:ilvl w:val="1"/>
          <w:numId w:val="1012"/>
        </w:numPr>
      </w:pPr>
      <w:r>
        <w:rPr>
          <w:b/>
          <w:bCs/>
        </w:rPr>
        <w:t xml:space="preserve">Tier 3: Moderate / Baseline (</w:t>
      </w:r>
      <m:oMath>
        <m:r>
          <m:rPr>
            <m:nor/>
            <m:sty m:val="p"/>
          </m:rPr>
          <m:t>EVI</m:t>
        </m:r>
        <m:r>
          <m:rPr>
            <m:sty m:val="p"/>
          </m:rPr>
          <m:t>&lt;</m:t>
        </m:r>
        <m:r>
          <m:t>35</m:t>
        </m:r>
      </m:oMath>
      <w:r>
        <w:rPr>
          <w:b/>
          <w:bCs/>
        </w:rPr>
        <w:t xml:space="preserve">):</w:t>
      </w:r>
      <w:r>
        <w:t xml:space="preserve"> </w:t>
      </w:r>
      <w:r>
        <w:t xml:space="preserve">Routine maintenance and baseline monitoring.</w:t>
      </w:r>
    </w:p>
    <w:bookmarkEnd w:id="103"/>
    <w:bookmarkStart w:id="104" w:name="iv.-analysis-results-7"/>
    <w:p>
      <w:pPr>
        <w:pStyle w:val="Heading3"/>
      </w:pPr>
      <w:r>
        <w:rPr>
          <w:rStyle w:val="SectionNumber"/>
        </w:rPr>
        <w:t xml:space="preserve">4.8.4</w:t>
      </w:r>
      <w:r>
        <w:tab/>
      </w:r>
      <w:r>
        <w:t xml:space="preserve">iv. Analysis Results</w:t>
      </w:r>
    </w:p>
    <w:p>
      <w:pPr>
        <w:pStyle w:val="TableCaption"/>
      </w:pPr>
      <w:r>
        <w:t xml:space="preserve">Top High-Priority Vulnerability Hotspots Ranked by Environmental Vulnerability Index (EVI)</w:t>
      </w:r>
    </w:p>
    <w:tbl>
      <w:tblPr>
        <w:tblStyle w:val="Table"/>
        <w:tblW w:type="pct" w:w="5000"/>
        <w:tblLayout w:type="fixed"/>
        <w:tblLook w:firstRow="1" w:lastRow="0" w:firstColumn="0" w:lastColumn="0" w:noHBand="0" w:noVBand="0" w:val="0020"/>
        <w:tblCaption w:val="Top High-Priority Vulnerability Hotspots Ranked by Environmental Vulnerability Index (EVI)"/>
      </w:tblPr>
      <w:tblGrid>
        <w:gridCol w:w="302"/>
        <w:gridCol w:w="604"/>
        <w:gridCol w:w="846"/>
        <w:gridCol w:w="544"/>
        <w:gridCol w:w="967"/>
        <w:gridCol w:w="1088"/>
        <w:gridCol w:w="604"/>
        <w:gridCol w:w="2962"/>
      </w:tblGrid>
      <w:tr>
        <w:trPr>
          <w:tblHeader w:val="on"/>
        </w:trPr>
        <w:tc>
          <w:tcPr/>
          <w:p>
            <w:pPr>
              <w:pStyle w:val="Compact"/>
              <w:jc w:val="right"/>
            </w:pPr>
            <w:r>
              <w:t xml:space="preserve">Rank</w:t>
            </w:r>
          </w:p>
        </w:tc>
        <w:tc>
          <w:tcPr/>
          <w:p>
            <w:pPr>
              <w:pStyle w:val="Compact"/>
              <w:jc w:val="left"/>
            </w:pPr>
            <w:r>
              <w:t xml:space="preserve">City</w:t>
            </w:r>
          </w:p>
        </w:tc>
        <w:tc>
          <w:tcPr/>
          <w:p>
            <w:pPr>
              <w:pStyle w:val="Compact"/>
              <w:jc w:val="left"/>
            </w:pPr>
            <w:r>
              <w:t xml:space="preserve">State</w:t>
            </w:r>
          </w:p>
        </w:tc>
        <w:tc>
          <w:tcPr/>
          <w:p>
            <w:pPr>
              <w:pStyle w:val="Compact"/>
              <w:jc w:val="right"/>
            </w:pPr>
            <w:r>
              <w:t xml:space="preserve">Mean_AQI</w:t>
            </w:r>
          </w:p>
        </w:tc>
        <w:tc>
          <w:tcPr/>
          <w:p>
            <w:pPr>
              <w:pStyle w:val="Compact"/>
              <w:jc w:val="right"/>
            </w:pPr>
            <w:r>
              <w:t xml:space="preserve">Pct_Severe_Days</w:t>
            </w:r>
          </w:p>
        </w:tc>
        <w:tc>
          <w:tcPr/>
          <w:p>
            <w:pPr>
              <w:pStyle w:val="Compact"/>
              <w:jc w:val="right"/>
            </w:pPr>
            <w:r>
              <w:t xml:space="preserve">PM2.5_Exceed_Rate</w:t>
            </w:r>
          </w:p>
        </w:tc>
        <w:tc>
          <w:tcPr/>
          <w:p>
            <w:pPr>
              <w:pStyle w:val="Compact"/>
              <w:jc w:val="right"/>
            </w:pPr>
            <w:r>
              <w:t xml:space="preserve">EVI_Score</w:t>
            </w:r>
          </w:p>
        </w:tc>
        <w:tc>
          <w:tcPr/>
          <w:p>
            <w:pPr>
              <w:pStyle w:val="Compact"/>
              <w:jc w:val="left"/>
            </w:pPr>
            <w:r>
              <w:t xml:space="preserve">Priority_Tier</w:t>
            </w:r>
          </w:p>
        </w:tc>
      </w:tr>
      <w:tr>
        <w:tc>
          <w:tcPr/>
          <w:p>
            <w:pPr>
              <w:pStyle w:val="Compact"/>
              <w:jc w:val="right"/>
            </w:pPr>
            <w:r>
              <w:t xml:space="preserve">1</w:t>
            </w:r>
          </w:p>
        </w:tc>
        <w:tc>
          <w:tcPr/>
          <w:p>
            <w:pPr>
              <w:pStyle w:val="Compact"/>
              <w:jc w:val="left"/>
            </w:pPr>
            <w:r>
              <w:t xml:space="preserve">Ahmedabad</w:t>
            </w:r>
          </w:p>
        </w:tc>
        <w:tc>
          <w:tcPr/>
          <w:p>
            <w:pPr>
              <w:pStyle w:val="Compact"/>
              <w:jc w:val="left"/>
            </w:pPr>
            <w:r>
              <w:t xml:space="preserve">Gujarat</w:t>
            </w:r>
          </w:p>
        </w:tc>
        <w:tc>
          <w:tcPr/>
          <w:p>
            <w:pPr>
              <w:pStyle w:val="Compact"/>
              <w:jc w:val="right"/>
            </w:pPr>
            <w:r>
              <w:t xml:space="preserve">452.1</w:t>
            </w:r>
          </w:p>
        </w:tc>
        <w:tc>
          <w:tcPr/>
          <w:p>
            <w:pPr>
              <w:pStyle w:val="Compact"/>
              <w:jc w:val="right"/>
            </w:pPr>
            <w:r>
              <w:t xml:space="preserve">42.5</w:t>
            </w:r>
          </w:p>
        </w:tc>
        <w:tc>
          <w:tcPr/>
          <w:p>
            <w:pPr>
              <w:pStyle w:val="Compact"/>
              <w:jc w:val="right"/>
            </w:pPr>
            <w:r>
              <w:t xml:space="preserve">33.0</w:t>
            </w:r>
          </w:p>
        </w:tc>
        <w:tc>
          <w:tcPr/>
          <w:p>
            <w:pPr>
              <w:pStyle w:val="Compact"/>
              <w:jc w:val="right"/>
            </w:pPr>
            <w:r>
              <w:t xml:space="preserve">63.6</w:t>
            </w:r>
          </w:p>
        </w:tc>
        <w:tc>
          <w:tcPr/>
          <w:p>
            <w:pPr>
              <w:pStyle w:val="Compact"/>
              <w:jc w:val="left"/>
            </w:pPr>
            <w:r>
              <w:t xml:space="preserve">Tier 1: Critical Emergency (Immediate Red Alert)</w:t>
            </w:r>
          </w:p>
        </w:tc>
      </w:tr>
      <w:tr>
        <w:tc>
          <w:tcPr/>
          <w:p>
            <w:pPr>
              <w:pStyle w:val="Compact"/>
              <w:jc w:val="right"/>
            </w:pPr>
            <w:r>
              <w:t xml:space="preserve">2</w:t>
            </w:r>
          </w:p>
        </w:tc>
        <w:tc>
          <w:tcPr/>
          <w:p>
            <w:pPr>
              <w:pStyle w:val="Compact"/>
              <w:jc w:val="left"/>
            </w:pPr>
            <w:r>
              <w:t xml:space="preserve">Delhi</w:t>
            </w:r>
          </w:p>
        </w:tc>
        <w:tc>
          <w:tcPr/>
          <w:p>
            <w:pPr>
              <w:pStyle w:val="Compact"/>
              <w:jc w:val="left"/>
            </w:pPr>
            <w:r>
              <w:t xml:space="preserve">Delhi</w:t>
            </w:r>
          </w:p>
        </w:tc>
        <w:tc>
          <w:tcPr/>
          <w:p>
            <w:pPr>
              <w:pStyle w:val="Compact"/>
              <w:jc w:val="right"/>
            </w:pPr>
            <w:r>
              <w:t xml:space="preserve">259.5</w:t>
            </w:r>
          </w:p>
        </w:tc>
        <w:tc>
          <w:tcPr/>
          <w:p>
            <w:pPr>
              <w:pStyle w:val="Compact"/>
              <w:jc w:val="right"/>
            </w:pPr>
            <w:r>
              <w:t xml:space="preserve">37.8</w:t>
            </w:r>
          </w:p>
        </w:tc>
        <w:tc>
          <w:tcPr/>
          <w:p>
            <w:pPr>
              <w:pStyle w:val="Compact"/>
              <w:jc w:val="right"/>
            </w:pPr>
            <w:r>
              <w:t xml:space="preserve">72.5</w:t>
            </w:r>
          </w:p>
        </w:tc>
        <w:tc>
          <w:tcPr/>
          <w:p>
            <w:pPr>
              <w:pStyle w:val="Compact"/>
              <w:jc w:val="right"/>
            </w:pPr>
            <w:r>
              <w:t xml:space="preserve">51.2</w:t>
            </w:r>
          </w:p>
        </w:tc>
        <w:tc>
          <w:tcPr/>
          <w:p>
            <w:pPr>
              <w:pStyle w:val="Compact"/>
              <w:jc w:val="left"/>
            </w:pPr>
            <w:r>
              <w:t xml:space="preserve">Tier 2: High Vulnerability (Active Mitigation)</w:t>
            </w:r>
          </w:p>
        </w:tc>
      </w:tr>
      <w:tr>
        <w:tc>
          <w:tcPr/>
          <w:p>
            <w:pPr>
              <w:pStyle w:val="Compact"/>
              <w:jc w:val="right"/>
            </w:pPr>
            <w:r>
              <w:t xml:space="preserve">3</w:t>
            </w:r>
          </w:p>
        </w:tc>
        <w:tc>
          <w:tcPr/>
          <w:p>
            <w:pPr>
              <w:pStyle w:val="Compact"/>
              <w:jc w:val="left"/>
            </w:pPr>
            <w:r>
              <w:t xml:space="preserve">Patna</w:t>
            </w:r>
          </w:p>
        </w:tc>
        <w:tc>
          <w:tcPr/>
          <w:p>
            <w:pPr>
              <w:pStyle w:val="Compact"/>
              <w:jc w:val="left"/>
            </w:pPr>
            <w:r>
              <w:t xml:space="preserve">Bihar</w:t>
            </w:r>
          </w:p>
        </w:tc>
        <w:tc>
          <w:tcPr/>
          <w:p>
            <w:pPr>
              <w:pStyle w:val="Compact"/>
              <w:jc w:val="right"/>
            </w:pPr>
            <w:r>
              <w:t xml:space="preserve">240.8</w:t>
            </w:r>
          </w:p>
        </w:tc>
        <w:tc>
          <w:tcPr/>
          <w:p>
            <w:pPr>
              <w:pStyle w:val="Compact"/>
              <w:jc w:val="right"/>
            </w:pPr>
            <w:r>
              <w:t xml:space="preserve">29.3</w:t>
            </w:r>
          </w:p>
        </w:tc>
        <w:tc>
          <w:tcPr/>
          <w:p>
            <w:pPr>
              <w:pStyle w:val="Compact"/>
              <w:jc w:val="right"/>
            </w:pPr>
            <w:r>
              <w:t xml:space="preserve">56.3</w:t>
            </w:r>
          </w:p>
        </w:tc>
        <w:tc>
          <w:tcPr/>
          <w:p>
            <w:pPr>
              <w:pStyle w:val="Compact"/>
              <w:jc w:val="right"/>
            </w:pPr>
            <w:r>
              <w:t xml:space="preserve">42.7</w:t>
            </w:r>
          </w:p>
        </w:tc>
        <w:tc>
          <w:tcPr/>
          <w:p>
            <w:pPr>
              <w:pStyle w:val="Compact"/>
              <w:jc w:val="left"/>
            </w:pPr>
            <w:r>
              <w:t xml:space="preserve">Tier 2: High Vulnerability (Active Mitigation)</w:t>
            </w:r>
          </w:p>
        </w:tc>
      </w:tr>
      <w:tr>
        <w:tc>
          <w:tcPr/>
          <w:p>
            <w:pPr>
              <w:pStyle w:val="Compact"/>
              <w:jc w:val="right"/>
            </w:pPr>
            <w:r>
              <w:t xml:space="preserve">4</w:t>
            </w:r>
          </w:p>
        </w:tc>
        <w:tc>
          <w:tcPr/>
          <w:p>
            <w:pPr>
              <w:pStyle w:val="Compact"/>
              <w:jc w:val="left"/>
            </w:pPr>
            <w:r>
              <w:t xml:space="preserve">Gurugram</w:t>
            </w:r>
          </w:p>
        </w:tc>
        <w:tc>
          <w:tcPr/>
          <w:p>
            <w:pPr>
              <w:pStyle w:val="Compact"/>
              <w:jc w:val="left"/>
            </w:pPr>
            <w:r>
              <w:t xml:space="preserve">Haryana</w:t>
            </w:r>
          </w:p>
        </w:tc>
        <w:tc>
          <w:tcPr/>
          <w:p>
            <w:pPr>
              <w:pStyle w:val="Compact"/>
              <w:jc w:val="right"/>
            </w:pPr>
            <w:r>
              <w:t xml:space="preserve">225.1</w:t>
            </w:r>
          </w:p>
        </w:tc>
        <w:tc>
          <w:tcPr/>
          <w:p>
            <w:pPr>
              <w:pStyle w:val="Compact"/>
              <w:jc w:val="right"/>
            </w:pPr>
            <w:r>
              <w:t xml:space="preserve">26.4</w:t>
            </w:r>
          </w:p>
        </w:tc>
        <w:tc>
          <w:tcPr/>
          <w:p>
            <w:pPr>
              <w:pStyle w:val="Compact"/>
              <w:jc w:val="right"/>
            </w:pPr>
            <w:r>
              <w:t xml:space="preserve">65.9</w:t>
            </w:r>
          </w:p>
        </w:tc>
        <w:tc>
          <w:tcPr/>
          <w:p>
            <w:pPr>
              <w:pStyle w:val="Compact"/>
              <w:jc w:val="right"/>
            </w:pPr>
            <w:r>
              <w:t xml:space="preserve">42.0</w:t>
            </w:r>
          </w:p>
        </w:tc>
        <w:tc>
          <w:tcPr/>
          <w:p>
            <w:pPr>
              <w:pStyle w:val="Compact"/>
              <w:jc w:val="left"/>
            </w:pPr>
            <w:r>
              <w:t xml:space="preserve">Tier 2: High Vulnerability (Active Mitigation)</w:t>
            </w:r>
          </w:p>
        </w:tc>
      </w:tr>
      <w:tr>
        <w:tc>
          <w:tcPr/>
          <w:p>
            <w:pPr>
              <w:pStyle w:val="Compact"/>
              <w:jc w:val="right"/>
            </w:pPr>
            <w:r>
              <w:t xml:space="preserve">5</w:t>
            </w:r>
          </w:p>
        </w:tc>
        <w:tc>
          <w:tcPr/>
          <w:p>
            <w:pPr>
              <w:pStyle w:val="Compact"/>
              <w:jc w:val="left"/>
            </w:pPr>
            <w:r>
              <w:t xml:space="preserve">Lucknow</w:t>
            </w:r>
          </w:p>
        </w:tc>
        <w:tc>
          <w:tcPr/>
          <w:p>
            <w:pPr>
              <w:pStyle w:val="Compact"/>
              <w:jc w:val="left"/>
            </w:pPr>
            <w:r>
              <w:t xml:space="preserve">Uttar Pradesh</w:t>
            </w:r>
          </w:p>
        </w:tc>
        <w:tc>
          <w:tcPr/>
          <w:p>
            <w:pPr>
              <w:pStyle w:val="Compact"/>
              <w:jc w:val="right"/>
            </w:pPr>
            <w:r>
              <w:t xml:space="preserve">218.0</w:t>
            </w:r>
          </w:p>
        </w:tc>
        <w:tc>
          <w:tcPr/>
          <w:p>
            <w:pPr>
              <w:pStyle w:val="Compact"/>
              <w:jc w:val="right"/>
            </w:pPr>
            <w:r>
              <w:t xml:space="preserve">29.0</w:t>
            </w:r>
          </w:p>
        </w:tc>
        <w:tc>
          <w:tcPr/>
          <w:p>
            <w:pPr>
              <w:pStyle w:val="Compact"/>
              <w:jc w:val="right"/>
            </w:pPr>
            <w:r>
              <w:t xml:space="preserve">63.4</w:t>
            </w:r>
          </w:p>
        </w:tc>
        <w:tc>
          <w:tcPr/>
          <w:p>
            <w:pPr>
              <w:pStyle w:val="Compact"/>
              <w:jc w:val="right"/>
            </w:pPr>
            <w:r>
              <w:t xml:space="preserve">41.8</w:t>
            </w:r>
          </w:p>
        </w:tc>
        <w:tc>
          <w:tcPr/>
          <w:p>
            <w:pPr>
              <w:pStyle w:val="Compact"/>
              <w:jc w:val="left"/>
            </w:pPr>
            <w:r>
              <w:t xml:space="preserve">Tier 2: High Vulnerability (Active Mitigation)</w:t>
            </w:r>
          </w:p>
        </w:tc>
      </w:tr>
      <w:tr>
        <w:tc>
          <w:tcPr/>
          <w:p>
            <w:pPr>
              <w:pStyle w:val="Compact"/>
              <w:jc w:val="right"/>
            </w:pPr>
            <w:r>
              <w:t xml:space="preserve">6</w:t>
            </w:r>
          </w:p>
        </w:tc>
        <w:tc>
          <w:tcPr/>
          <w:p>
            <w:pPr>
              <w:pStyle w:val="Compact"/>
              <w:jc w:val="left"/>
            </w:pPr>
            <w:r>
              <w:t xml:space="preserve">Talcher</w:t>
            </w:r>
          </w:p>
        </w:tc>
        <w:tc>
          <w:tcPr/>
          <w:p>
            <w:pPr>
              <w:pStyle w:val="Compact"/>
              <w:jc w:val="left"/>
            </w:pPr>
            <w:r>
              <w:t xml:space="preserve">Odisha</w:t>
            </w:r>
          </w:p>
        </w:tc>
        <w:tc>
          <w:tcPr/>
          <w:p>
            <w:pPr>
              <w:pStyle w:val="Compact"/>
              <w:jc w:val="right"/>
            </w:pPr>
            <w:r>
              <w:t xml:space="preserve">172.9</w:t>
            </w:r>
          </w:p>
        </w:tc>
        <w:tc>
          <w:tcPr/>
          <w:p>
            <w:pPr>
              <w:pStyle w:val="Compact"/>
              <w:jc w:val="right"/>
            </w:pPr>
            <w:r>
              <w:t xml:space="preserve">13.1</w:t>
            </w:r>
          </w:p>
        </w:tc>
        <w:tc>
          <w:tcPr/>
          <w:p>
            <w:pPr>
              <w:pStyle w:val="Compact"/>
              <w:jc w:val="right"/>
            </w:pPr>
            <w:r>
              <w:t xml:space="preserve">30.4</w:t>
            </w:r>
          </w:p>
        </w:tc>
        <w:tc>
          <w:tcPr/>
          <w:p>
            <w:pPr>
              <w:pStyle w:val="Compact"/>
              <w:jc w:val="right"/>
            </w:pPr>
            <w:r>
              <w:t xml:space="preserve">24.6</w:t>
            </w:r>
          </w:p>
        </w:tc>
        <w:tc>
          <w:tcPr/>
          <w:p>
            <w:pPr>
              <w:pStyle w:val="Compact"/>
              <w:jc w:val="left"/>
            </w:pPr>
            <w:r>
              <w:t xml:space="preserve">Tier 3: Moderate / Baseline Surveillance</w:t>
            </w:r>
          </w:p>
        </w:tc>
      </w:tr>
      <w:tr>
        <w:tc>
          <w:tcPr/>
          <w:p>
            <w:pPr>
              <w:pStyle w:val="Compact"/>
              <w:jc w:val="right"/>
            </w:pPr>
            <w:r>
              <w:t xml:space="preserve">7</w:t>
            </w:r>
          </w:p>
        </w:tc>
        <w:tc>
          <w:tcPr/>
          <w:p>
            <w:pPr>
              <w:pStyle w:val="Compact"/>
              <w:jc w:val="left"/>
            </w:pPr>
            <w:r>
              <w:t xml:space="preserve">Guwahati</w:t>
            </w:r>
          </w:p>
        </w:tc>
        <w:tc>
          <w:tcPr/>
          <w:p>
            <w:pPr>
              <w:pStyle w:val="Compact"/>
              <w:jc w:val="left"/>
            </w:pPr>
            <w:r>
              <w:t xml:space="preserve">Assam</w:t>
            </w:r>
          </w:p>
        </w:tc>
        <w:tc>
          <w:tcPr/>
          <w:p>
            <w:pPr>
              <w:pStyle w:val="Compact"/>
              <w:jc w:val="right"/>
            </w:pPr>
            <w:r>
              <w:t xml:space="preserve">140.1</w:t>
            </w:r>
          </w:p>
        </w:tc>
        <w:tc>
          <w:tcPr/>
          <w:p>
            <w:pPr>
              <w:pStyle w:val="Compact"/>
              <w:jc w:val="right"/>
            </w:pPr>
            <w:r>
              <w:t xml:space="preserve">12.7</w:t>
            </w:r>
          </w:p>
        </w:tc>
        <w:tc>
          <w:tcPr/>
          <w:p>
            <w:pPr>
              <w:pStyle w:val="Compact"/>
              <w:jc w:val="right"/>
            </w:pPr>
            <w:r>
              <w:t xml:space="preserve">40.4</w:t>
            </w:r>
          </w:p>
        </w:tc>
        <w:tc>
          <w:tcPr/>
          <w:p>
            <w:pPr>
              <w:pStyle w:val="Compact"/>
              <w:jc w:val="right"/>
            </w:pPr>
            <w:r>
              <w:t xml:space="preserve">23.3</w:t>
            </w:r>
          </w:p>
        </w:tc>
        <w:tc>
          <w:tcPr/>
          <w:p>
            <w:pPr>
              <w:pStyle w:val="Compact"/>
              <w:jc w:val="left"/>
            </w:pPr>
            <w:r>
              <w:t xml:space="preserve">Tier 3: Moderate / Baseline Surveillance</w:t>
            </w:r>
          </w:p>
        </w:tc>
      </w:tr>
      <w:tr>
        <w:tc>
          <w:tcPr/>
          <w:p>
            <w:pPr>
              <w:pStyle w:val="Compact"/>
              <w:jc w:val="right"/>
            </w:pPr>
            <w:r>
              <w:t xml:space="preserve">8</w:t>
            </w:r>
          </w:p>
        </w:tc>
        <w:tc>
          <w:tcPr/>
          <w:p>
            <w:pPr>
              <w:pStyle w:val="Compact"/>
              <w:jc w:val="left"/>
            </w:pPr>
            <w:r>
              <w:t xml:space="preserve">Kolkata</w:t>
            </w:r>
          </w:p>
        </w:tc>
        <w:tc>
          <w:tcPr/>
          <w:p>
            <w:pPr>
              <w:pStyle w:val="Compact"/>
              <w:jc w:val="left"/>
            </w:pPr>
            <w:r>
              <w:t xml:space="preserve">West Bengal</w:t>
            </w:r>
          </w:p>
        </w:tc>
        <w:tc>
          <w:tcPr/>
          <w:p>
            <w:pPr>
              <w:pStyle w:val="Compact"/>
              <w:jc w:val="right"/>
            </w:pPr>
            <w:r>
              <w:t xml:space="preserve">140.6</w:t>
            </w:r>
          </w:p>
        </w:tc>
        <w:tc>
          <w:tcPr/>
          <w:p>
            <w:pPr>
              <w:pStyle w:val="Compact"/>
              <w:jc w:val="right"/>
            </w:pPr>
            <w:r>
              <w:t xml:space="preserve">9.7</w:t>
            </w:r>
          </w:p>
        </w:tc>
        <w:tc>
          <w:tcPr/>
          <w:p>
            <w:pPr>
              <w:pStyle w:val="Compact"/>
              <w:jc w:val="right"/>
            </w:pPr>
            <w:r>
              <w:t xml:space="preserve">36.9</w:t>
            </w:r>
          </w:p>
        </w:tc>
        <w:tc>
          <w:tcPr/>
          <w:p>
            <w:pPr>
              <w:pStyle w:val="Compact"/>
              <w:jc w:val="right"/>
            </w:pPr>
            <w:r>
              <w:t xml:space="preserve">21.4</w:t>
            </w:r>
          </w:p>
        </w:tc>
        <w:tc>
          <w:tcPr/>
          <w:p>
            <w:pPr>
              <w:pStyle w:val="Compact"/>
              <w:jc w:val="left"/>
            </w:pPr>
            <w:r>
              <w:t xml:space="preserve">Tier 3: Moderate / Baseline Surveillance</w:t>
            </w:r>
          </w:p>
        </w:tc>
      </w:tr>
    </w:tbl>
    <w:p>
      <w:r>
        <w:pict>
          <v:rect style="width:0;height:1.5pt" o:hralign="center" o:hrstd="t" o:hr="t"/>
        </w:pict>
      </w:r>
    </w:p>
    <w:bookmarkEnd w:id="104"/>
    <w:bookmarkEnd w:id="105"/>
    <w:bookmarkStart w:id="110" w:name="Xd5b80c1c2f577a023229d9990c32a15baa43b47"/>
    <w:p>
      <w:pPr>
        <w:pStyle w:val="Heading2"/>
      </w:pPr>
      <w:r>
        <w:rPr>
          <w:rStyle w:val="SectionNumber"/>
        </w:rPr>
        <w:t xml:space="preserve">4.9</w:t>
      </w:r>
      <w:r>
        <w:tab/>
      </w:r>
      <w:r>
        <w:t xml:space="preserve">4.9 Relational SQL Analytics via Embedded SQLite Engine</w:t>
      </w:r>
    </w:p>
    <w:bookmarkStart w:id="106" w:name="i.-introduction-8"/>
    <w:p>
      <w:pPr>
        <w:pStyle w:val="Heading3"/>
      </w:pPr>
      <w:r>
        <w:rPr>
          <w:rStyle w:val="SectionNumber"/>
        </w:rPr>
        <w:t xml:space="preserve">4.9.1</w:t>
      </w:r>
      <w:r>
        <w:tab/>
      </w:r>
      <w:r>
        <w:t xml:space="preserve">i. Introduction</w:t>
      </w:r>
    </w:p>
    <w:p>
      <w:pPr>
        <w:pStyle w:val="FirstParagraph"/>
      </w:pPr>
      <w:r>
        <w:t xml:space="preserve">Enterprise environmental monitoring systems require structured relational backends to handle high-frequency queries without loading monolithic CSV files into application memory.</w:t>
      </w:r>
    </w:p>
    <w:bookmarkEnd w:id="106"/>
    <w:bookmarkStart w:id="107" w:name="ii.-general-description-8"/>
    <w:p>
      <w:pPr>
        <w:pStyle w:val="Heading3"/>
      </w:pPr>
      <w:r>
        <w:rPr>
          <w:rStyle w:val="SectionNumber"/>
        </w:rPr>
        <w:t xml:space="preserve">4.9.2</w:t>
      </w:r>
      <w:r>
        <w:tab/>
      </w:r>
      <w:r>
        <w:t xml:space="preserve">ii. General Description</w:t>
      </w:r>
    </w:p>
    <w:p>
      <w:pPr>
        <w:pStyle w:val="FirstParagraph"/>
      </w:pPr>
      <w:r>
        <w:t xml:space="preserve">Direct SQL queries were authored and executed via</w:t>
      </w:r>
      <w:r>
        <w:t xml:space="preserve"> </w:t>
      </w:r>
      <w:r>
        <w:rPr>
          <w:rStyle w:val="VerbatimChar"/>
        </w:rPr>
        <w:t xml:space="preserve">DBI</w:t>
      </w:r>
      <w:r>
        <w:t xml:space="preserve"> </w:t>
      </w:r>
      <w:r>
        <w:t xml:space="preserve">and</w:t>
      </w:r>
      <w:r>
        <w:t xml:space="preserve"> </w:t>
      </w:r>
      <w:r>
        <w:rPr>
          <w:rStyle w:val="VerbatimChar"/>
        </w:rPr>
        <w:t xml:space="preserve">RSQLite</w:t>
      </w:r>
      <w:r>
        <w:t xml:space="preserve"> </w:t>
      </w:r>
      <w:r>
        <w:t xml:space="preserve">against</w:t>
      </w:r>
      <w:r>
        <w:t xml:space="preserve"> </w:t>
      </w:r>
      <w:r>
        <w:rPr>
          <w:rStyle w:val="VerbatimChar"/>
        </w:rPr>
        <w:t xml:space="preserve">data/airguard.sqlite</w:t>
      </w:r>
      <w:r>
        <w:t xml:space="preserve">, executing multi-table joins, grouped aggregations, and filtered sub-queries.</w:t>
      </w:r>
    </w:p>
    <w:bookmarkEnd w:id="107"/>
    <w:bookmarkStart w:id="108" w:name="X3e07e0e7d0881b86b49e80008c5f4af6853ec62"/>
    <w:p>
      <w:pPr>
        <w:pStyle w:val="Heading3"/>
      </w:pPr>
      <w:r>
        <w:rPr>
          <w:rStyle w:val="SectionNumber"/>
        </w:rPr>
        <w:t xml:space="preserve">4.9.3</w:t>
      </w:r>
      <w:r>
        <w:tab/>
      </w:r>
      <w:r>
        <w:t xml:space="preserve">iii. Specific Requirements, Functions and Formulas</w:t>
      </w:r>
    </w:p>
    <w:p>
      <w:pPr>
        <w:pStyle w:val="SourceCode"/>
      </w:pPr>
      <w:r>
        <w:rPr>
          <w:rStyle w:val="CommentTok"/>
        </w:rPr>
        <w:t xml:space="preserve">-- Query: Multi-Table Join Auditing Severe Station-Level Exceedances</w:t>
      </w:r>
      <w:r>
        <w:br/>
      </w:r>
      <w:r>
        <w:rPr>
          <w:rStyle w:val="KeywordTok"/>
        </w:rPr>
        <w:t xml:space="preserve">SELECT</w:t>
      </w:r>
      <w:r>
        <w:rPr>
          <w:rStyle w:val="NormalTok"/>
        </w:rPr>
        <w:t xml:space="preserve"> </w:t>
      </w:r>
      <w:r>
        <w:br/>
      </w:r>
      <w:r>
        <w:rPr>
          <w:rStyle w:val="NormalTok"/>
        </w:rPr>
        <w:t xml:space="preserve">    s.StationId,</w:t>
      </w:r>
      <w:r>
        <w:br/>
      </w:r>
      <w:r>
        <w:rPr>
          <w:rStyle w:val="NormalTok"/>
        </w:rPr>
        <w:t xml:space="preserve">    s.StationName,</w:t>
      </w:r>
      <w:r>
        <w:br/>
      </w:r>
      <w:r>
        <w:rPr>
          <w:rStyle w:val="NormalTok"/>
        </w:rPr>
        <w:t xml:space="preserve">    s.City,</w:t>
      </w:r>
      <w:r>
        <w:br/>
      </w:r>
      <w:r>
        <w:rPr>
          <w:rStyle w:val="NormalTok"/>
        </w:rPr>
        <w:t xml:space="preserve">    s.State,</w:t>
      </w:r>
      <w:r>
        <w:br/>
      </w:r>
      <w:r>
        <w:rPr>
          <w:rStyle w:val="NormalTok"/>
        </w:rPr>
        <w:t xml:space="preserve">    </w:t>
      </w:r>
      <w:r>
        <w:rPr>
          <w:rStyle w:val="FunctionTok"/>
        </w:rPr>
        <w:t xml:space="preserve">COUNT</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f.AQI </w:t>
      </w:r>
      <w:r>
        <w:rPr>
          <w:rStyle w:val="OperatorTok"/>
        </w:rPr>
        <w:t xml:space="preserve">&gt;</w:t>
      </w:r>
      <w:r>
        <w:rPr>
          <w:rStyle w:val="NormalTok"/>
        </w:rPr>
        <w:t xml:space="preserve"> </w:t>
      </w:r>
      <w:r>
        <w:rPr>
          <w:rStyle w:val="DecValTok"/>
        </w:rPr>
        <w:t xml:space="preserve">400</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Severe_Days_Count,</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(f.AQI), </w:t>
      </w:r>
      <w:r>
        <w:rPr>
          <w:rStyle w:val="DecValTok"/>
        </w:rPr>
        <w:t xml:space="preserve">1</w:t>
      </w:r>
      <w:r>
        <w:rPr>
          <w:rStyle w:val="NormalTok"/>
        </w:rPr>
        <w:t xml:space="preserve">) </w:t>
      </w:r>
      <w:r>
        <w:rPr>
          <w:rStyle w:val="KeywordTok"/>
        </w:rPr>
        <w:t xml:space="preserve">AS</w:t>
      </w:r>
      <w:r>
        <w:rPr>
          <w:rStyle w:val="NormalTok"/>
        </w:rPr>
        <w:t xml:space="preserve"> Overall_Mean_AQI</w:t>
      </w:r>
      <w:r>
        <w:br/>
      </w:r>
      <w:r>
        <w:rPr>
          <w:rStyle w:val="KeywordTok"/>
        </w:rPr>
        <w:t xml:space="preserve">FROM</w:t>
      </w:r>
      <w:r>
        <w:rPr>
          <w:rStyle w:val="NormalTok"/>
        </w:rPr>
        <w:t xml:space="preserve"> fact_station_day f</w:t>
      </w:r>
      <w:r>
        <w:br/>
      </w:r>
      <w:r>
        <w:rPr>
          <w:rStyle w:val="KeywordTok"/>
        </w:rPr>
        <w:t xml:space="preserve">JOIN</w:t>
      </w:r>
      <w:r>
        <w:rPr>
          <w:rStyle w:val="NormalTok"/>
        </w:rPr>
        <w:t xml:space="preserve"> dim_stations s </w:t>
      </w:r>
      <w:r>
        <w:rPr>
          <w:rStyle w:val="KeywordTok"/>
        </w:rPr>
        <w:t xml:space="preserve">ON</w:t>
      </w:r>
      <w:r>
        <w:rPr>
          <w:rStyle w:val="NormalTok"/>
        </w:rPr>
        <w:t xml:space="preserve"> f.StationId </w:t>
      </w:r>
      <w:r>
        <w:rPr>
          <w:rStyle w:val="OperatorTok"/>
        </w:rPr>
        <w:t xml:space="preserve">=</w:t>
      </w:r>
      <w:r>
        <w:rPr>
          <w:rStyle w:val="NormalTok"/>
        </w:rPr>
        <w:t xml:space="preserve"> s.StationId</w:t>
      </w:r>
      <w:r>
        <w:br/>
      </w:r>
      <w:r>
        <w:rPr>
          <w:rStyle w:val="KeywordTok"/>
        </w:rPr>
        <w:t xml:space="preserve">WHERE</w:t>
      </w:r>
      <w:r>
        <w:rPr>
          <w:rStyle w:val="NormalTok"/>
        </w:rPr>
        <w:t xml:space="preserve"> f.AQI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GROUP</w:t>
      </w:r>
      <w:r>
        <w:rPr>
          <w:rStyle w:val="NormalTok"/>
        </w:rPr>
        <w:t xml:space="preserve"> </w:t>
      </w:r>
      <w:r>
        <w:rPr>
          <w:rStyle w:val="KeywordTok"/>
        </w:rPr>
        <w:t xml:space="preserve">BY</w:t>
      </w:r>
      <w:r>
        <w:rPr>
          <w:rStyle w:val="NormalTok"/>
        </w:rPr>
        <w:t xml:space="preserve"> s.StationId, s.StationName, s.City, s.State</w:t>
      </w:r>
      <w:r>
        <w:br/>
      </w:r>
      <w:r>
        <w:rPr>
          <w:rStyle w:val="KeywordTok"/>
        </w:rPr>
        <w:t xml:space="preserve">HAVING</w:t>
      </w:r>
      <w:r>
        <w:rPr>
          <w:rStyle w:val="NormalTok"/>
        </w:rPr>
        <w:t xml:space="preserve"> Severe_Days_Count </w:t>
      </w:r>
      <w:r>
        <w:rPr>
          <w:rStyle w:val="OperatorTok"/>
        </w:rPr>
        <w:t xml:space="preserve">&gt;</w:t>
      </w:r>
      <w:r>
        <w:rPr>
          <w:rStyle w:val="NormalTok"/>
        </w:rPr>
        <w:t xml:space="preserve"> </w:t>
      </w:r>
      <w:r>
        <w:rPr>
          <w:rStyle w:val="DecValTok"/>
        </w:rPr>
        <w:t xml:space="preserve">20</w:t>
      </w:r>
      <w:r>
        <w:br/>
      </w:r>
      <w:r>
        <w:rPr>
          <w:rStyle w:val="KeywordTok"/>
        </w:rPr>
        <w:t xml:space="preserve">ORDER</w:t>
      </w:r>
      <w:r>
        <w:rPr>
          <w:rStyle w:val="NormalTok"/>
        </w:rPr>
        <w:t xml:space="preserve"> </w:t>
      </w:r>
      <w:r>
        <w:rPr>
          <w:rStyle w:val="KeywordTok"/>
        </w:rPr>
        <w:t xml:space="preserve">BY</w:t>
      </w:r>
      <w:r>
        <w:rPr>
          <w:rStyle w:val="NormalTok"/>
        </w:rPr>
        <w:t xml:space="preserve"> Severe_Days_Count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bookmarkEnd w:id="108"/>
    <w:bookmarkStart w:id="109" w:name="iv.-analysis-results-8"/>
    <w:p>
      <w:pPr>
        <w:pStyle w:val="Heading3"/>
      </w:pPr>
      <w:r>
        <w:rPr>
          <w:rStyle w:val="SectionNumber"/>
        </w:rPr>
        <w:t xml:space="preserve">4.9.4</w:t>
      </w:r>
      <w:r>
        <w:tab/>
      </w:r>
      <w:r>
        <w:t xml:space="preserve">iv. Analysis Results</w:t>
      </w:r>
    </w:p>
    <w:p>
      <w:pPr>
        <w:pStyle w:val="TableCaption"/>
      </w:pPr>
      <w:r>
        <w:t xml:space="preserve">SQL Query 2 Results: Monitoring Stations with Highest Severe Pollution Day Counts</w:t>
      </w:r>
    </w:p>
    <w:tbl>
      <w:tblPr>
        <w:tblStyle w:val="Table"/>
        <w:tblW w:type="pct" w:w="5000"/>
        <w:tblLayout w:type="fixed"/>
        <w:tblLook w:firstRow="1" w:lastRow="0" w:firstColumn="0" w:lastColumn="0" w:noHBand="0" w:noVBand="0" w:val="0020"/>
        <w:tblCaption w:val="SQL Query 2 Results: Monitoring Stations with Highest Severe Pollution Day Counts"/>
      </w:tblPr>
      <w:tblGrid>
        <w:gridCol w:w="768"/>
        <w:gridCol w:w="3075"/>
        <w:gridCol w:w="768"/>
        <w:gridCol w:w="615"/>
        <w:gridCol w:w="1384"/>
        <w:gridCol w:w="1307"/>
      </w:tblGrid>
      <w:tr>
        <w:trPr>
          <w:tblHeader w:val="on"/>
        </w:trPr>
        <w:tc>
          <w:tcPr/>
          <w:p>
            <w:pPr>
              <w:pStyle w:val="Compact"/>
              <w:jc w:val="left"/>
            </w:pPr>
            <w:r>
              <w:t xml:space="preserve">StationId</w:t>
            </w:r>
          </w:p>
        </w:tc>
        <w:tc>
          <w:tcPr/>
          <w:p>
            <w:pPr>
              <w:pStyle w:val="Compact"/>
              <w:jc w:val="left"/>
            </w:pPr>
            <w:r>
              <w:t xml:space="preserve">StationName</w:t>
            </w:r>
          </w:p>
        </w:tc>
        <w:tc>
          <w:tcPr/>
          <w:p>
            <w:pPr>
              <w:pStyle w:val="Compact"/>
              <w:jc w:val="left"/>
            </w:pPr>
            <w:r>
              <w:t xml:space="preserve">City</w:t>
            </w:r>
          </w:p>
        </w:tc>
        <w:tc>
          <w:tcPr/>
          <w:p>
            <w:pPr>
              <w:pStyle w:val="Compact"/>
              <w:jc w:val="left"/>
            </w:pPr>
            <w:r>
              <w:t xml:space="preserve">State</w:t>
            </w:r>
          </w:p>
        </w:tc>
        <w:tc>
          <w:tcPr/>
          <w:p>
            <w:pPr>
              <w:pStyle w:val="Compact"/>
              <w:jc w:val="right"/>
            </w:pPr>
            <w:r>
              <w:t xml:space="preserve">Severe_Days_Count</w:t>
            </w:r>
          </w:p>
        </w:tc>
        <w:tc>
          <w:tcPr/>
          <w:p>
            <w:pPr>
              <w:pStyle w:val="Compact"/>
              <w:jc w:val="right"/>
            </w:pPr>
            <w:r>
              <w:t xml:space="preserve">Overall_Mean_AQI</w:t>
            </w:r>
          </w:p>
        </w:tc>
      </w:tr>
      <w:tr>
        <w:tc>
          <w:tcPr/>
          <w:p>
            <w:pPr>
              <w:pStyle w:val="Compact"/>
              <w:jc w:val="left"/>
            </w:pPr>
            <w:r>
              <w:t xml:space="preserve">GJ001</w:t>
            </w:r>
          </w:p>
        </w:tc>
        <w:tc>
          <w:tcPr/>
          <w:p>
            <w:pPr>
              <w:pStyle w:val="Compact"/>
              <w:jc w:val="left"/>
            </w:pPr>
            <w:r>
              <w:t xml:space="preserve">Maninagar, Ahmedabad - GPCB</w:t>
            </w:r>
          </w:p>
        </w:tc>
        <w:tc>
          <w:tcPr/>
          <w:p>
            <w:pPr>
              <w:pStyle w:val="Compact"/>
              <w:jc w:val="left"/>
            </w:pPr>
            <w:r>
              <w:t xml:space="preserve">Ahmedabad</w:t>
            </w:r>
          </w:p>
        </w:tc>
        <w:tc>
          <w:tcPr/>
          <w:p>
            <w:pPr>
              <w:pStyle w:val="Compact"/>
              <w:jc w:val="left"/>
            </w:pPr>
            <w:r>
              <w:t xml:space="preserve">Gujarat</w:t>
            </w:r>
          </w:p>
        </w:tc>
        <w:tc>
          <w:tcPr/>
          <w:p>
            <w:pPr>
              <w:pStyle w:val="Compact"/>
              <w:jc w:val="right"/>
            </w:pPr>
            <w:r>
              <w:t xml:space="preserve">638</w:t>
            </w:r>
          </w:p>
        </w:tc>
        <w:tc>
          <w:tcPr/>
          <w:p>
            <w:pPr>
              <w:pStyle w:val="Compact"/>
              <w:jc w:val="right"/>
            </w:pPr>
            <w:r>
              <w:t xml:space="preserve">452.1</w:t>
            </w:r>
          </w:p>
        </w:tc>
      </w:tr>
      <w:tr>
        <w:tc>
          <w:tcPr/>
          <w:p>
            <w:pPr>
              <w:pStyle w:val="Compact"/>
              <w:jc w:val="left"/>
            </w:pPr>
            <w:r>
              <w:t xml:space="preserve">DL002</w:t>
            </w:r>
          </w:p>
        </w:tc>
        <w:tc>
          <w:tcPr/>
          <w:p>
            <w:pPr>
              <w:pStyle w:val="Compact"/>
              <w:jc w:val="left"/>
            </w:pPr>
            <w:r>
              <w:t xml:space="preserve">Anand Vihar, Delhi - DPCC</w:t>
            </w:r>
          </w:p>
        </w:tc>
        <w:tc>
          <w:tcPr/>
          <w:p>
            <w:pPr>
              <w:pStyle w:val="Compact"/>
              <w:jc w:val="left"/>
            </w:pPr>
            <w:r>
              <w:t xml:space="preserve">Delhi</w:t>
            </w:r>
          </w:p>
        </w:tc>
        <w:tc>
          <w:tcPr/>
          <w:p>
            <w:pPr>
              <w:pStyle w:val="Compact"/>
              <w:jc w:val="left"/>
            </w:pPr>
            <w:r>
              <w:t xml:space="preserve">Delhi</w:t>
            </w:r>
          </w:p>
        </w:tc>
        <w:tc>
          <w:tcPr/>
          <w:p>
            <w:pPr>
              <w:pStyle w:val="Compact"/>
              <w:jc w:val="right"/>
            </w:pPr>
            <w:r>
              <w:t xml:space="preserve">577</w:t>
            </w:r>
          </w:p>
        </w:tc>
        <w:tc>
          <w:tcPr/>
          <w:p>
            <w:pPr>
              <w:pStyle w:val="Compact"/>
              <w:jc w:val="right"/>
            </w:pPr>
            <w:r>
              <w:t xml:space="preserve">355.8</w:t>
            </w:r>
          </w:p>
        </w:tc>
      </w:tr>
      <w:tr>
        <w:tc>
          <w:tcPr/>
          <w:p>
            <w:pPr>
              <w:pStyle w:val="Compact"/>
              <w:jc w:val="left"/>
            </w:pPr>
            <w:r>
              <w:t xml:space="preserve">DL028</w:t>
            </w:r>
          </w:p>
        </w:tc>
        <w:tc>
          <w:tcPr/>
          <w:p>
            <w:pPr>
              <w:pStyle w:val="Compact"/>
              <w:jc w:val="left"/>
            </w:pPr>
            <w:r>
              <w:t xml:space="preserve">Punjabi Bagh, Delhi - DPCC</w:t>
            </w:r>
          </w:p>
        </w:tc>
        <w:tc>
          <w:tcPr/>
          <w:p>
            <w:pPr>
              <w:pStyle w:val="Compact"/>
              <w:jc w:val="left"/>
            </w:pPr>
            <w:r>
              <w:t xml:space="preserve">Delhi</w:t>
            </w:r>
          </w:p>
        </w:tc>
        <w:tc>
          <w:tcPr/>
          <w:p>
            <w:pPr>
              <w:pStyle w:val="Compact"/>
              <w:jc w:val="left"/>
            </w:pPr>
            <w:r>
              <w:t xml:space="preserve">Delhi</w:t>
            </w:r>
          </w:p>
        </w:tc>
        <w:tc>
          <w:tcPr/>
          <w:p>
            <w:pPr>
              <w:pStyle w:val="Compact"/>
              <w:jc w:val="right"/>
            </w:pPr>
            <w:r>
              <w:t xml:space="preserve">205</w:t>
            </w:r>
          </w:p>
        </w:tc>
        <w:tc>
          <w:tcPr/>
          <w:p>
            <w:pPr>
              <w:pStyle w:val="Compact"/>
              <w:jc w:val="right"/>
            </w:pPr>
            <w:r>
              <w:t xml:space="preserve">294.3</w:t>
            </w:r>
          </w:p>
        </w:tc>
      </w:tr>
      <w:tr>
        <w:tc>
          <w:tcPr/>
          <w:p>
            <w:pPr>
              <w:pStyle w:val="Compact"/>
              <w:jc w:val="left"/>
            </w:pPr>
            <w:r>
              <w:t xml:space="preserve">DL031</w:t>
            </w:r>
          </w:p>
        </w:tc>
        <w:tc>
          <w:tcPr/>
          <w:p>
            <w:pPr>
              <w:pStyle w:val="Compact"/>
              <w:jc w:val="left"/>
            </w:pPr>
            <w:r>
              <w:t xml:space="preserve">R K Puram, Delhi - DPCC</w:t>
            </w:r>
          </w:p>
        </w:tc>
        <w:tc>
          <w:tcPr/>
          <w:p>
            <w:pPr>
              <w:pStyle w:val="Compact"/>
              <w:jc w:val="left"/>
            </w:pPr>
            <w:r>
              <w:t xml:space="preserve">Delhi</w:t>
            </w:r>
          </w:p>
        </w:tc>
        <w:tc>
          <w:tcPr/>
          <w:p>
            <w:pPr>
              <w:pStyle w:val="Compact"/>
              <w:jc w:val="left"/>
            </w:pPr>
            <w:r>
              <w:t xml:space="preserve">Delhi</w:t>
            </w:r>
          </w:p>
        </w:tc>
        <w:tc>
          <w:tcPr/>
          <w:p>
            <w:pPr>
              <w:pStyle w:val="Compact"/>
              <w:jc w:val="right"/>
            </w:pPr>
            <w:r>
              <w:t xml:space="preserve">191</w:t>
            </w:r>
          </w:p>
        </w:tc>
        <w:tc>
          <w:tcPr/>
          <w:p>
            <w:pPr>
              <w:pStyle w:val="Compact"/>
              <w:jc w:val="right"/>
            </w:pPr>
            <w:r>
              <w:t xml:space="preserve">247.4</w:t>
            </w:r>
          </w:p>
        </w:tc>
      </w:tr>
      <w:tr>
        <w:tc>
          <w:tcPr/>
          <w:p>
            <w:pPr>
              <w:pStyle w:val="Compact"/>
              <w:jc w:val="left"/>
            </w:pPr>
            <w:r>
              <w:t xml:space="preserve">BR007</w:t>
            </w:r>
          </w:p>
        </w:tc>
        <w:tc>
          <w:tcPr/>
          <w:p>
            <w:pPr>
              <w:pStyle w:val="Compact"/>
              <w:jc w:val="left"/>
            </w:pPr>
            <w:r>
              <w:t xml:space="preserve">IGSC Planetarium Complex, Patna - BSPCB</w:t>
            </w:r>
          </w:p>
        </w:tc>
        <w:tc>
          <w:tcPr/>
          <w:p>
            <w:pPr>
              <w:pStyle w:val="Compact"/>
              <w:jc w:val="left"/>
            </w:pPr>
            <w:r>
              <w:t xml:space="preserve">Patna</w:t>
            </w:r>
          </w:p>
        </w:tc>
        <w:tc>
          <w:tcPr/>
          <w:p>
            <w:pPr>
              <w:pStyle w:val="Compact"/>
              <w:jc w:val="left"/>
            </w:pPr>
            <w:r>
              <w:t xml:space="preserve">Bihar</w:t>
            </w:r>
          </w:p>
        </w:tc>
        <w:tc>
          <w:tcPr/>
          <w:p>
            <w:pPr>
              <w:pStyle w:val="Compact"/>
              <w:jc w:val="right"/>
            </w:pPr>
            <w:r>
              <w:t xml:space="preserve">181</w:t>
            </w:r>
          </w:p>
        </w:tc>
        <w:tc>
          <w:tcPr/>
          <w:p>
            <w:pPr>
              <w:pStyle w:val="Compact"/>
              <w:jc w:val="right"/>
            </w:pPr>
            <w:r>
              <w:t xml:space="preserve">251.1</w:t>
            </w:r>
          </w:p>
        </w:tc>
      </w:tr>
    </w:tbl>
    <w:p>
      <w:r>
        <w:pict>
          <v:rect style="width:0;height:1.5pt" o:hralign="center" o:hrstd="t" o:hr="t"/>
        </w:pict>
      </w:r>
    </w:p>
    <w:bookmarkEnd w:id="109"/>
    <w:bookmarkEnd w:id="110"/>
    <w:bookmarkStart w:id="119" w:name="Xc34257d9718de95c150256b32d83697f29190f4"/>
    <w:p>
      <w:pPr>
        <w:pStyle w:val="Heading2"/>
      </w:pPr>
      <w:r>
        <w:rPr>
          <w:rStyle w:val="SectionNumber"/>
        </w:rPr>
        <w:t xml:space="preserve">4.10</w:t>
      </w:r>
      <w:r>
        <w:tab/>
      </w:r>
      <w:r>
        <w:t xml:space="preserve">4.10 National CAAQMS Geographic Station Network &amp; Spatial Exploration</w:t>
      </w:r>
    </w:p>
    <w:bookmarkStart w:id="111" w:name="i.-introduction-9"/>
    <w:p>
      <w:pPr>
        <w:pStyle w:val="Heading3"/>
      </w:pPr>
      <w:r>
        <w:rPr>
          <w:rStyle w:val="SectionNumber"/>
        </w:rPr>
        <w:t xml:space="preserve">4.10.1</w:t>
      </w:r>
      <w:r>
        <w:tab/>
      </w:r>
      <w:r>
        <w:t xml:space="preserve">i. Introduction</w:t>
      </w:r>
    </w:p>
    <w:p>
      <w:pPr>
        <w:pStyle w:val="FirstParagraph"/>
      </w:pPr>
      <w:r>
        <w:t xml:space="preserve">Ambient monitoring stations are distributed heterogeneously across India. Visualizing station density and spatial distribution provides context on monitoring equity.</w:t>
      </w:r>
    </w:p>
    <w:bookmarkEnd w:id="111"/>
    <w:bookmarkStart w:id="112" w:name="ii.-general-description-9"/>
    <w:p>
      <w:pPr>
        <w:pStyle w:val="Heading3"/>
      </w:pPr>
      <w:r>
        <w:rPr>
          <w:rStyle w:val="SectionNumber"/>
        </w:rPr>
        <w:t xml:space="preserve">4.10.2</w:t>
      </w:r>
      <w:r>
        <w:tab/>
      </w:r>
      <w:r>
        <w:t xml:space="preserve">ii. General Description</w:t>
      </w:r>
    </w:p>
    <w:p>
      <w:pPr>
        <w:pStyle w:val="FirstParagraph"/>
      </w:pPr>
      <w:r>
        <w:t xml:space="preserve">Station coordinates from</w:t>
      </w:r>
      <w:r>
        <w:t xml:space="preserve"> </w:t>
      </w:r>
      <w:r>
        <w:rPr>
          <w:rStyle w:val="VerbatimChar"/>
        </w:rPr>
        <w:t xml:space="preserve">StationCoordinates.csv</w:t>
      </w:r>
      <w:r>
        <w:t xml:space="preserve"> </w:t>
      </w:r>
      <w:r>
        <w:t xml:space="preserve">were validated and mapped across all 230 CAAQMS monitoring points across India.</w:t>
      </w:r>
    </w:p>
    <w:bookmarkEnd w:id="112"/>
    <w:bookmarkStart w:id="113" w:name="Xed0028784982be6da018bb784e73520fc51801c"/>
    <w:p>
      <w:pPr>
        <w:pStyle w:val="Heading3"/>
      </w:pPr>
      <w:r>
        <w:rPr>
          <w:rStyle w:val="SectionNumber"/>
        </w:rPr>
        <w:t xml:space="preserve">4.10.3</w:t>
      </w:r>
      <w:r>
        <w:tab/>
      </w:r>
      <w:r>
        <w:t xml:space="preserve">iii. Specific Requirements, Functions and Formulas</w:t>
      </w:r>
    </w:p>
    <w:p>
      <w:pPr>
        <w:pStyle w:val="Compact"/>
        <w:numPr>
          <w:ilvl w:val="0"/>
          <w:numId w:val="1013"/>
        </w:numPr>
      </w:pPr>
      <w:r>
        <w:t xml:space="preserve">Valid coordinates: Latitude</w:t>
      </w:r>
      <w:r>
        <w:t xml:space="preserve"> </w:t>
      </w:r>
      <m:oMath>
        <m:r>
          <m:rPr>
            <m:sty m:val="p"/>
          </m:rPr>
          <m:t>∈</m:t>
        </m:r>
        <m:r>
          <m:rPr>
            <m:sty m:val="p"/>
          </m:rPr>
          <m:t>[</m:t>
        </m:r>
        <m:sSup>
          <m:e>
            <m:r>
              <m:t>6</m:t>
            </m:r>
          </m:e>
          <m:sup>
            <m:r>
              <m:rPr>
                <m:sty m:val="p"/>
              </m:rPr>
              <m:t>∘</m:t>
            </m:r>
          </m:sup>
        </m:sSup>
        <m:r>
          <m:rPr>
            <m:nor/>
            <m:sty m:val="p"/>
          </m:rPr>
          <m:t>N</m:t>
        </m:r>
        <m:r>
          <m:rPr>
            <m:sty m:val="p"/>
          </m:rPr>
          <m:t>,</m:t>
        </m:r>
        <m:sSup>
          <m:e>
            <m:r>
              <m:t>38</m:t>
            </m:r>
          </m:e>
          <m:sup>
            <m:r>
              <m:rPr>
                <m:sty m:val="p"/>
              </m:rPr>
              <m:t>∘</m:t>
            </m:r>
          </m:sup>
        </m:sSup>
        <m:r>
          <m:rPr>
            <m:nor/>
            <m:sty m:val="p"/>
          </m:rPr>
          <m:t>N</m:t>
        </m:r>
        <m:r>
          <m:rPr>
            <m:sty m:val="p"/>
          </m:rPr>
          <m:t>]</m:t>
        </m:r>
      </m:oMath>
      <w:r>
        <w:t xml:space="preserve">, Longitude</w:t>
      </w:r>
      <w:r>
        <w:t xml:space="preserve"> </w:t>
      </w:r>
      <m:oMath>
        <m:r>
          <m:rPr>
            <m:sty m:val="p"/>
          </m:rPr>
          <m:t>∈</m:t>
        </m:r>
        <m:r>
          <m:rPr>
            <m:sty m:val="p"/>
          </m:rPr>
          <m:t>[</m:t>
        </m:r>
        <m:sSup>
          <m:e>
            <m:r>
              <m:t>68</m:t>
            </m:r>
          </m:e>
          <m:sup>
            <m:r>
              <m:rPr>
                <m:sty m:val="p"/>
              </m:rPr>
              <m:t>∘</m:t>
            </m:r>
          </m:sup>
        </m:sSup>
        <m:r>
          <m:rPr>
            <m:nor/>
            <m:sty m:val="p"/>
          </m:rPr>
          <m:t>E</m:t>
        </m:r>
        <m:r>
          <m:rPr>
            <m:sty m:val="p"/>
          </m:rPr>
          <m:t>,</m:t>
        </m:r>
        <m:sSup>
          <m:e>
            <m:r>
              <m:t>98</m:t>
            </m:r>
          </m:e>
          <m:sup>
            <m:r>
              <m:rPr>
                <m:sty m:val="p"/>
              </m:rPr>
              <m:t>∘</m:t>
            </m:r>
          </m:sup>
        </m:sSup>
        <m:r>
          <m:rPr>
            <m:nor/>
            <m:sty m:val="p"/>
          </m:rPr>
          <m:t>E</m:t>
        </m:r>
        <m:r>
          <m:rPr>
            <m:sty m:val="p"/>
          </m:rPr>
          <m:t>]</m:t>
        </m:r>
      </m:oMath>
      <w:r>
        <w:t xml:space="preserve">.</w:t>
      </w:r>
    </w:p>
    <w:p>
      <w:pPr>
        <w:pStyle w:val="Compact"/>
        <w:numPr>
          <w:ilvl w:val="0"/>
          <w:numId w:val="1013"/>
        </w:numPr>
      </w:pPr>
      <w:r>
        <w:t xml:space="preserve">R Functions:</w:t>
      </w:r>
      <w:r>
        <w:t xml:space="preserve"> </w:t>
      </w:r>
      <w:r>
        <w:rPr>
          <w:rStyle w:val="VerbatimChar"/>
        </w:rPr>
        <w:t xml:space="preserve">plot_station_map()</w:t>
      </w:r>
      <w:r>
        <w:t xml:space="preserve">,</w:t>
      </w:r>
      <w:r>
        <w:t xml:space="preserve"> </w:t>
      </w:r>
      <w:r>
        <w:rPr>
          <w:rStyle w:val="VerbatimChar"/>
        </w:rPr>
        <w:t xml:space="preserve">ggplot2::geom_point()</w:t>
      </w:r>
      <w:r>
        <w:t xml:space="preserve">, Plotly</w:t>
      </w:r>
      <w:r>
        <w:t xml:space="preserve"> </w:t>
      </w:r>
      <w:r>
        <w:rPr>
          <w:rStyle w:val="VerbatimChar"/>
        </w:rPr>
        <w:t xml:space="preserve">plot_geo()</w:t>
      </w:r>
      <w:r>
        <w:t xml:space="preserve">.</w:t>
      </w:r>
    </w:p>
    <w:bookmarkEnd w:id="113"/>
    <w:bookmarkStart w:id="114" w:name="iv.-analysis-results-9"/>
    <w:p>
      <w:pPr>
        <w:pStyle w:val="Heading3"/>
      </w:pPr>
      <w:r>
        <w:rPr>
          <w:rStyle w:val="SectionNumber"/>
        </w:rPr>
        <w:t xml:space="preserve">4.10.4</w:t>
      </w:r>
      <w:r>
        <w:tab/>
      </w:r>
      <w:r>
        <w:t xml:space="preserve">iv. Analysis Results</w:t>
      </w:r>
    </w:p>
    <w:p>
      <w:pPr>
        <w:pStyle w:val="FirstParagraph"/>
      </w:pPr>
      <w:r>
        <w:t xml:space="preserve">Spatial analysis reveals significant regional clustering:</w:t>
      </w:r>
      <w:r>
        <w:t xml:space="preserve"> </w:t>
      </w:r>
      <w:r>
        <w:t xml:space="preserve">- Over 45% of all active monitoring stations are concentrated in the National Capital Region (Delhi, Gurugram, Noida, Ghaziabad).</w:t>
      </w:r>
      <w:r>
        <w:t xml:space="preserve"> </w:t>
      </w:r>
      <w:r>
        <w:t xml:space="preserve">- Dense station networks exist in industrial corridors in Maharashtra, Gujarat, and Tamil Nadu.</w:t>
      </w:r>
      <w:r>
        <w:t xml:space="preserve"> </w:t>
      </w:r>
      <w:r>
        <w:t xml:space="preserve">- Vast regions in central, eastern, and north-eastern India remain severely under-monitored, highlighting the urgent need for expanded sensor infrastructure.</w:t>
      </w:r>
    </w:p>
    <w:bookmarkEnd w:id="114"/>
    <w:bookmarkStart w:id="118" w:name="v.-visualization-6"/>
    <w:p>
      <w:pPr>
        <w:pStyle w:val="Heading3"/>
      </w:pPr>
      <w:r>
        <w:rPr>
          <w:rStyle w:val="SectionNumber"/>
        </w:rPr>
        <w:t xml:space="preserve">4.10.5</w:t>
      </w:r>
      <w:r>
        <w:tab/>
      </w:r>
      <w:r>
        <w:t xml:space="preserve">v. Visualization</w:t>
      </w:r>
    </w:p>
    <w:p>
      <w:pPr>
        <w:pStyle w:val="CaptionedFigure"/>
      </w:pPr>
      <w:r>
        <w:drawing>
          <wp:inline>
            <wp:extent cx="4800600" cy="4800600"/>
            <wp:effectExtent b="0" l="0" r="0" t="0"/>
            <wp:docPr descr="Figure 7: National Continuous Ambient Air Quality Monitoring Network (CAAQMS) Station Locations across India" title="" id="116" name="Picture"/>
            <a:graphic>
              <a:graphicData uri="http://schemas.openxmlformats.org/drawingml/2006/picture">
                <pic:pic>
                  <pic:nvPicPr>
                    <pic:cNvPr descr="../outputs/figures/fig7_station_network_map.png" id="117" name="Picture"/>
                    <pic:cNvPicPr>
                      <a:picLocks noChangeArrowheads="1" noChangeAspect="1"/>
                    </pic:cNvPicPr>
                  </pic:nvPicPr>
                  <pic:blipFill>
                    <a:blip r:embed="rId115"/>
                    <a:stretch>
                      <a:fillRect/>
                    </a:stretch>
                  </pic:blipFill>
                  <pic:spPr bwMode="auto">
                    <a:xfrm>
                      <a:off x="0" y="0"/>
                      <a:ext cx="4800600" cy="4800600"/>
                    </a:xfrm>
                    <a:prstGeom prst="rect">
                      <a:avLst/>
                    </a:prstGeom>
                    <a:noFill/>
                    <a:ln w="9525">
                      <a:noFill/>
                      <a:headEnd/>
                      <a:tailEnd/>
                    </a:ln>
                  </pic:spPr>
                </pic:pic>
              </a:graphicData>
            </a:graphic>
          </wp:inline>
        </w:drawing>
      </w:r>
    </w:p>
    <w:p>
      <w:pPr>
        <w:pStyle w:val="ImageCaption"/>
      </w:pPr>
      <w:r>
        <w:t xml:space="preserve">Figure 7: National Continuous Ambient Air Quality Monitoring Network (CAAQMS) Station Locations across India</w:t>
      </w:r>
    </w:p>
    <w:bookmarkEnd w:id="118"/>
    <w:bookmarkEnd w:id="119"/>
    <w:bookmarkEnd w:id="120"/>
    <w:bookmarkStart w:id="124" w:name="Xe6de61dbdb8fc57913da9e5dda7c7e708e7cf7a"/>
    <w:p>
      <w:pPr>
        <w:pStyle w:val="Heading1"/>
      </w:pPr>
      <w:r>
        <w:rPr>
          <w:rStyle w:val="SectionNumber"/>
        </w:rPr>
        <w:t xml:space="preserve">5</w:t>
      </w:r>
      <w:r>
        <w:tab/>
      </w:r>
      <w:r>
        <w:t xml:space="preserve">5. DASHBOARD DESIGN &amp; INTERACTIVE USER EXPERIENCE</w:t>
      </w:r>
    </w:p>
    <w:bookmarkStart w:id="121" w:name="Xe5188c559f9413956f65c7689ae6a83401728ed"/>
    <w:p>
      <w:pPr>
        <w:pStyle w:val="Heading2"/>
      </w:pPr>
      <w:r>
        <w:rPr>
          <w:rStyle w:val="SectionNumber"/>
        </w:rPr>
        <w:t xml:space="preserve">5.1</w:t>
      </w:r>
      <w:r>
        <w:tab/>
      </w:r>
      <w:r>
        <w:t xml:space="preserve">5.1 Architecture of the Interactive Shiny Dashboard (</w:t>
      </w:r>
      <w:r>
        <w:rPr>
          <w:rStyle w:val="VerbatimChar"/>
        </w:rPr>
        <w:t xml:space="preserve">app.R</w:t>
      </w:r>
      <w:r>
        <w:t xml:space="preserve">)</w:t>
      </w:r>
    </w:p>
    <w:p>
      <w:pPr>
        <w:pStyle w:val="FirstParagraph"/>
      </w:pPr>
      <w:r>
        <w:t xml:space="preserve">The user interface is engineered using R Shiny and modern web styling via</w:t>
      </w:r>
      <w:r>
        <w:t xml:space="preserve"> </w:t>
      </w:r>
      <w:r>
        <w:rPr>
          <w:rStyle w:val="VerbatimChar"/>
        </w:rPr>
        <w:t xml:space="preserve">bslib</w:t>
      </w:r>
      <w:r>
        <w:t xml:space="preserve"> </w:t>
      </w:r>
      <w:r>
        <w:t xml:space="preserve">(Bootstrap 5) and</w:t>
      </w:r>
      <w:r>
        <w:t xml:space="preserve"> </w:t>
      </w:r>
      <w:r>
        <w:rPr>
          <w:rStyle w:val="VerbatimChar"/>
        </w:rPr>
        <w:t xml:space="preserve">plotly</w:t>
      </w:r>
      <w:r>
        <w:t xml:space="preserve">:</w:t>
      </w:r>
    </w:p>
    <w:p>
      <w:pPr>
        <w:pStyle w:val="TableCaption"/>
      </w:pPr>
      <w:r>
        <w:t xml:space="preserve">AIRGUARD 360 Interactive Dashboard Architectural Structure and Navigation Hierarchy</w:t>
      </w:r>
    </w:p>
    <w:tbl>
      <w:tblPr>
        <w:tblStyle w:val="Table"/>
        <w:tblW w:type="pct" w:w="5000"/>
        <w:tblLayout w:type="fixed"/>
        <w:tblLook w:firstRow="1" w:lastRow="0" w:firstColumn="0" w:lastColumn="0" w:noHBand="0" w:noVBand="0" w:val="0020"/>
        <w:tblCaption w:val="AIRGUARD 360 Interactive Dashboard Architectural Structure and Navigation Hierarchy"/>
      </w:tblPr>
      <w:tblGrid>
        <w:gridCol w:w="1210"/>
        <w:gridCol w:w="4011"/>
        <w:gridCol w:w="2697"/>
      </w:tblGrid>
      <w:tr>
        <w:trPr>
          <w:tblHeader w:val="on"/>
        </w:trPr>
        <w:tc>
          <w:tcPr/>
          <w:p>
            <w:pPr>
              <w:pStyle w:val="Compact"/>
              <w:jc w:val="left"/>
            </w:pPr>
            <w:r>
              <w:t xml:space="preserve">Tab_Name</w:t>
            </w:r>
          </w:p>
        </w:tc>
        <w:tc>
          <w:tcPr/>
          <w:p>
            <w:pPr>
              <w:pStyle w:val="Compact"/>
              <w:jc w:val="left"/>
            </w:pPr>
            <w:r>
              <w:t xml:space="preserve">Core_Components</w:t>
            </w:r>
          </w:p>
        </w:tc>
        <w:tc>
          <w:tcPr/>
          <w:p>
            <w:pPr>
              <w:pStyle w:val="Compact"/>
              <w:jc w:val="left"/>
            </w:pPr>
            <w:r>
              <w:t xml:space="preserve">User_Action_Supported</w:t>
            </w:r>
          </w:p>
        </w:tc>
      </w:tr>
      <w:tr>
        <w:tc>
          <w:tcPr/>
          <w:p>
            <w:pPr>
              <w:pStyle w:val="Compact"/>
              <w:jc w:val="left"/>
            </w:pPr>
            <w:r>
              <w:t xml:space="preserve">1. Executive Overview</w:t>
            </w:r>
          </w:p>
        </w:tc>
        <w:tc>
          <w:tcPr/>
          <w:p>
            <w:pPr>
              <w:pStyle w:val="Compact"/>
              <w:jc w:val="left"/>
            </w:pPr>
            <w:r>
              <w:t xml:space="preserve">4 Dynamic KPI Cards, Temporal Trajectory Plotly line, CPCB Category Donut chart, City/Pollutant filters</w:t>
            </w:r>
          </w:p>
        </w:tc>
        <w:tc>
          <w:tcPr/>
          <w:p>
            <w:pPr>
              <w:pStyle w:val="Compact"/>
              <w:jc w:val="left"/>
            </w:pPr>
            <w:r>
              <w:t xml:space="preserve">Rapid macro-level health check across cities and criteria pollutants</w:t>
            </w:r>
          </w:p>
        </w:tc>
      </w:tr>
      <w:tr>
        <w:tc>
          <w:tcPr/>
          <w:p>
            <w:pPr>
              <w:pStyle w:val="Compact"/>
              <w:jc w:val="left"/>
            </w:pPr>
            <w:r>
              <w:t xml:space="preserve">2. Geographic Intelligence</w:t>
            </w:r>
          </w:p>
        </w:tc>
        <w:tc>
          <w:tcPr/>
          <w:p>
            <w:pPr>
              <w:pStyle w:val="Compact"/>
              <w:jc w:val="left"/>
            </w:pPr>
            <w:r>
              <w:t xml:space="preserve">Interactive National CAAQMS Station Map (Plotly scattergeo), Top Hotspots bar chart, Datatable ranking</w:t>
            </w:r>
          </w:p>
        </w:tc>
        <w:tc>
          <w:tcPr/>
          <w:p>
            <w:pPr>
              <w:pStyle w:val="Compact"/>
              <w:jc w:val="left"/>
            </w:pPr>
            <w:r>
              <w:t xml:space="preserve">Spatial exploration of monitoring station density and vulnerability tiers</w:t>
            </w:r>
          </w:p>
        </w:tc>
      </w:tr>
      <w:tr>
        <w:tc>
          <w:tcPr/>
          <w:p>
            <w:pPr>
              <w:pStyle w:val="Compact"/>
              <w:jc w:val="left"/>
            </w:pPr>
            <w:r>
              <w:t xml:space="preserve">3. Pollutant Dynamics</w:t>
            </w:r>
          </w:p>
        </w:tc>
        <w:tc>
          <w:tcPr/>
          <w:p>
            <w:pPr>
              <w:pStyle w:val="Compact"/>
              <w:jc w:val="left"/>
            </w:pPr>
            <w:r>
              <w:t xml:space="preserve">Multi-pollutant correlation heatmap, Stoichiometric scatter plot with regression and seasonal clustering</w:t>
            </w:r>
          </w:p>
        </w:tc>
        <w:tc>
          <w:tcPr/>
          <w:p>
            <w:pPr>
              <w:pStyle w:val="Compact"/>
              <w:jc w:val="left"/>
            </w:pPr>
            <w:r>
              <w:t xml:space="preserve">Evaluation of chemical collinearity and particulate stoichiometry</w:t>
            </w:r>
          </w:p>
        </w:tc>
      </w:tr>
      <w:tr>
        <w:tc>
          <w:tcPr/>
          <w:p>
            <w:pPr>
              <w:pStyle w:val="Compact"/>
              <w:jc w:val="left"/>
            </w:pPr>
            <w:r>
              <w:t xml:space="preserve">4. Volatility &amp; Bollinger Bands</w:t>
            </w:r>
          </w:p>
        </w:tc>
        <w:tc>
          <w:tcPr/>
          <w:p>
            <w:pPr>
              <w:pStyle w:val="Compact"/>
              <w:jc w:val="left"/>
            </w:pPr>
            <w:r>
              <w:t xml:space="preserve">20-day Bollinger Volatility Band envelope plot with highlighted red anomaly surge markers</w:t>
            </w:r>
          </w:p>
        </w:tc>
        <w:tc>
          <w:tcPr/>
          <w:p>
            <w:pPr>
              <w:pStyle w:val="Compact"/>
              <w:jc w:val="left"/>
            </w:pPr>
            <w:r>
              <w:t xml:space="preserve">Detection of acute episodic pollution shocks vs baseline drift</w:t>
            </w:r>
          </w:p>
        </w:tc>
      </w:tr>
      <w:tr>
        <w:tc>
          <w:tcPr/>
          <w:p>
            <w:pPr>
              <w:pStyle w:val="Compact"/>
              <w:jc w:val="left"/>
            </w:pPr>
            <w:r>
              <w:t xml:space="preserve">5. Statistical &amp; Predictive Models</w:t>
            </w:r>
          </w:p>
        </w:tc>
        <w:tc>
          <w:tcPr/>
          <w:p>
            <w:pPr>
              <w:pStyle w:val="Compact"/>
              <w:jc w:val="left"/>
            </w:pPr>
            <w:r>
              <w:t xml:space="preserve">Formal hypothesis testing summary badges, Interactive ARIMA/Holt-Winters 30-day forecast projection ribbon</w:t>
            </w:r>
          </w:p>
        </w:tc>
        <w:tc>
          <w:tcPr/>
          <w:p>
            <w:pPr>
              <w:pStyle w:val="Compact"/>
              <w:jc w:val="left"/>
            </w:pPr>
            <w:r>
              <w:t xml:space="preserve">Inspection of p-values, test statistics, and forward predictive risk bounds</w:t>
            </w:r>
          </w:p>
        </w:tc>
      </w:tr>
      <w:tr>
        <w:tc>
          <w:tcPr/>
          <w:p>
            <w:pPr>
              <w:pStyle w:val="Compact"/>
              <w:jc w:val="left"/>
            </w:pPr>
            <w:r>
              <w:t xml:space="preserve">6. Decision Support &amp; SQL Explorer</w:t>
            </w:r>
          </w:p>
        </w:tc>
        <w:tc>
          <w:tcPr/>
          <w:p>
            <w:pPr>
              <w:pStyle w:val="Compact"/>
              <w:jc w:val="left"/>
            </w:pPr>
            <w:r>
              <w:t xml:space="preserve">Graded Response Action Plan (GRAP) dynamic advisory box, CPCB text-mined Word Cloud, Embedded SQLite table explorer</w:t>
            </w:r>
          </w:p>
        </w:tc>
        <w:tc>
          <w:tcPr/>
          <w:p>
            <w:pPr>
              <w:pStyle w:val="Compact"/>
              <w:jc w:val="left"/>
            </w:pPr>
            <w:r>
              <w:t xml:space="preserve">Retrieval of statutory municipal emergency actions and relational SQL queries</w:t>
            </w:r>
          </w:p>
        </w:tc>
      </w:tr>
    </w:tbl>
    <w:bookmarkEnd w:id="121"/>
    <w:bookmarkStart w:id="122" w:name="X7db899cf0a051c72b125b81efd698de34cfb61b"/>
    <w:p>
      <w:pPr>
        <w:pStyle w:val="Heading2"/>
      </w:pPr>
      <w:r>
        <w:rPr>
          <w:rStyle w:val="SectionNumber"/>
        </w:rPr>
        <w:t xml:space="preserve">5.2</w:t>
      </w:r>
      <w:r>
        <w:tab/>
      </w:r>
      <w:r>
        <w:t xml:space="preserve">5.2 Responsive State Management &amp; Fail-Safe Controls</w:t>
      </w:r>
    </w:p>
    <w:p>
      <w:pPr>
        <w:pStyle w:val="Compact"/>
        <w:numPr>
          <w:ilvl w:val="0"/>
          <w:numId w:val="1014"/>
        </w:numPr>
      </w:pPr>
      <w:r>
        <w:rPr>
          <w:b/>
          <w:bCs/>
        </w:rPr>
        <w:t xml:space="preserve">Dynamic Date Adaptation:</w:t>
      </w:r>
      <w:r>
        <w:t xml:space="preserve"> </w:t>
      </w:r>
      <w:r>
        <w:t xml:space="preserve">When a user switches between cities with differing historical monitoring windows,</w:t>
      </w:r>
      <w:r>
        <w:t xml:space="preserve"> </w:t>
      </w:r>
      <w:r>
        <w:rPr>
          <w:rStyle w:val="VerbatimChar"/>
        </w:rPr>
        <w:t xml:space="preserve">observeEvent(input$sel_city)</w:t>
      </w:r>
      <w:r>
        <w:t xml:space="preserve"> </w:t>
      </w:r>
      <w:r>
        <w:t xml:space="preserve">automatically updates the</w:t>
      </w:r>
      <w:r>
        <w:t xml:space="preserve"> </w:t>
      </w:r>
      <w:r>
        <w:rPr>
          <w:rStyle w:val="VerbatimChar"/>
        </w:rPr>
        <w:t xml:space="preserve">dateRangeInput</w:t>
      </w:r>
      <w:r>
        <w:t xml:space="preserve"> </w:t>
      </w:r>
      <w:r>
        <w:t xml:space="preserve">bounds, eliminating blank chart errors.</w:t>
      </w:r>
    </w:p>
    <w:p>
      <w:pPr>
        <w:pStyle w:val="Compact"/>
        <w:numPr>
          <w:ilvl w:val="0"/>
          <w:numId w:val="1014"/>
        </w:numPr>
      </w:pPr>
      <w:r>
        <w:rPr>
          <w:b/>
          <w:bCs/>
        </w:rPr>
        <w:t xml:space="preserve">Glassmorphism KPI Cards:</w:t>
      </w:r>
      <w:r>
        <w:t xml:space="preserve"> </w:t>
      </w:r>
      <w:r>
        <w:t xml:space="preserve">Cards feature colored left-border indicators dynamically matching the CPCB severity color of the active metric.</w:t>
      </w:r>
    </w:p>
    <w:p>
      <w:pPr>
        <w:pStyle w:val="Compact"/>
        <w:numPr>
          <w:ilvl w:val="0"/>
          <w:numId w:val="1014"/>
        </w:numPr>
      </w:pPr>
      <w:r>
        <w:rPr>
          <w:b/>
          <w:bCs/>
        </w:rPr>
        <w:t xml:space="preserve">Self-Healing Bootstrap:</w:t>
      </w:r>
      <w:r>
        <w:t xml:space="preserve"> </w:t>
      </w:r>
      <w:r>
        <w:t xml:space="preserve">If processed RDS files are absent upon startup,</w:t>
      </w:r>
      <w:r>
        <w:t xml:space="preserve"> </w:t>
      </w:r>
      <w:r>
        <w:rPr>
          <w:rStyle w:val="VerbatimChar"/>
        </w:rPr>
        <w:t xml:space="preserve">app.R</w:t>
      </w:r>
      <w:r>
        <w:t xml:space="preserve"> </w:t>
      </w:r>
      <w:r>
        <w:t xml:space="preserve">automatically executes</w:t>
      </w:r>
      <w:r>
        <w:t xml:space="preserve"> </w:t>
      </w:r>
      <w:r>
        <w:rPr>
          <w:rStyle w:val="VerbatimChar"/>
        </w:rPr>
        <w:t xml:space="preserve">run_pipeline.R</w:t>
      </w:r>
      <w:r>
        <w:t xml:space="preserve"> </w:t>
      </w:r>
      <w:r>
        <w:t xml:space="preserve">without crashing.</w:t>
      </w:r>
    </w:p>
    <w:bookmarkEnd w:id="122"/>
    <w:bookmarkStart w:id="123" w:name="X9f3e3d48f30a73d9a428690cf83400c745bfeb6"/>
    <w:p>
      <w:pPr>
        <w:pStyle w:val="Heading2"/>
      </w:pPr>
      <w:r>
        <w:rPr>
          <w:rStyle w:val="SectionNumber"/>
        </w:rPr>
        <w:t xml:space="preserve">5.3</w:t>
      </w:r>
      <w:r>
        <w:tab/>
      </w:r>
      <w:r>
        <w:t xml:space="preserve">5.3 Standalone Interactive R Markdown Dashboard (</w:t>
      </w:r>
      <w:r>
        <w:rPr>
          <w:rStyle w:val="VerbatimChar"/>
        </w:rPr>
        <w:t xml:space="preserve">dashboard.Rmd</w:t>
      </w:r>
      <w:r>
        <w:t xml:space="preserve"> </w:t>
      </w:r>
      <w:r>
        <w:t xml:space="preserve">/</w:t>
      </w:r>
      <w:r>
        <w:t xml:space="preserve"> </w:t>
      </w:r>
      <w:r>
        <w:rPr>
          <w:rStyle w:val="VerbatimChar"/>
        </w:rPr>
        <w:t xml:space="preserve">dashboard.html</w:t>
      </w:r>
      <w:r>
        <w:t xml:space="preserve">)</w:t>
      </w:r>
    </w:p>
    <w:p>
      <w:pPr>
        <w:pStyle w:val="FirstParagraph"/>
      </w:pPr>
      <w:r>
        <w:t xml:space="preserve">To fulfill the teacher’s requirement for an</w:t>
      </w:r>
      <w:r>
        <w:t xml:space="preserve"> </w:t>
      </w:r>
      <w:r>
        <w:rPr>
          <w:b/>
          <w:bCs/>
        </w:rPr>
        <w:t xml:space="preserve">Interactive Dashboard using R Markdown</w:t>
      </w:r>
      <w:r>
        <w:t xml:space="preserve">, a dedicated, high-performance dashboard was engineered using the</w:t>
      </w:r>
      <w:r>
        <w:t xml:space="preserve"> </w:t>
      </w:r>
      <w:r>
        <w:rPr>
          <w:rStyle w:val="VerbatimChar"/>
        </w:rPr>
        <w:t xml:space="preserve">flexdashboard</w:t>
      </w:r>
      <w:r>
        <w:t xml:space="preserve">,</w:t>
      </w:r>
      <w:r>
        <w:t xml:space="preserve"> </w:t>
      </w:r>
      <w:r>
        <w:rPr>
          <w:rStyle w:val="VerbatimChar"/>
        </w:rPr>
        <w:t xml:space="preserve">plotly</w:t>
      </w:r>
      <w:r>
        <w:t xml:space="preserve">, and</w:t>
      </w:r>
      <w:r>
        <w:t xml:space="preserve"> </w:t>
      </w:r>
      <w:r>
        <w:rPr>
          <w:rStyle w:val="VerbatimChar"/>
        </w:rPr>
        <w:t xml:space="preserve">DT</w:t>
      </w:r>
      <w:r>
        <w:t xml:space="preserve"> </w:t>
      </w:r>
      <w:r>
        <w:t xml:space="preserve">packages:</w:t>
      </w:r>
      <w:r>
        <w:t xml:space="preserve"> </w:t>
      </w:r>
      <w:r>
        <w:t xml:space="preserve">-</w:t>
      </w:r>
      <w:r>
        <w:t xml:space="preserve"> </w:t>
      </w:r>
      <w:r>
        <w:rPr>
          <w:b/>
          <w:bCs/>
        </w:rPr>
        <w:t xml:space="preserve">Zero-Server Portability:</w:t>
      </w:r>
      <w:r>
        <w:t xml:space="preserve"> </w:t>
      </w:r>
      <w:r>
        <w:t xml:space="preserve">The dashboard compiles to a standalone, client-side HTML bundle (</w:t>
      </w:r>
      <w:r>
        <w:rPr>
          <w:rStyle w:val="VerbatimChar"/>
        </w:rPr>
        <w:t xml:space="preserve">dashboard.html</w:t>
      </w:r>
      <w:r>
        <w:t xml:space="preserve"> </w:t>
      </w:r>
      <w:r>
        <w:t xml:space="preserve">/</w:t>
      </w:r>
      <w:r>
        <w:t xml:space="preserve"> </w:t>
      </w:r>
      <w:r>
        <w:rPr>
          <w:rStyle w:val="VerbatimChar"/>
        </w:rPr>
        <w:t xml:space="preserve">reports/airguard_dashboard.html</w:t>
      </w:r>
      <w:r>
        <w:t xml:space="preserve">), operating seamlessly across all modern browsers without requiring an active R runtime or server process.</w:t>
      </w:r>
      <w:r>
        <w:t xml:space="preserve"> </w:t>
      </w:r>
      <w:r>
        <w:t xml:space="preserve">-</w:t>
      </w:r>
      <w:r>
        <w:t xml:space="preserve"> </w:t>
      </w:r>
      <w:r>
        <w:rPr>
          <w:b/>
          <w:bCs/>
        </w:rPr>
        <w:t xml:space="preserve">Structured Multi-Page Views:</w:t>
      </w:r>
      <w:r>
        <w:t xml:space="preserve"> </w:t>
      </w:r>
      <w:r>
        <w:t xml:space="preserve">Six dedicated tabs mirror the syllabus:</w:t>
      </w:r>
      <w:r>
        <w:t xml:space="preserve"> </w:t>
      </w:r>
      <w:r>
        <w:t xml:space="preserve">1.</w:t>
      </w:r>
      <w:r>
        <w:t xml:space="preserve"> </w:t>
      </w:r>
      <w:r>
        <w:rPr>
          <w:i/>
          <w:iCs/>
        </w:rPr>
        <w:t xml:space="preserve">Overview &amp; Trends:</w:t>
      </w:r>
      <w:r>
        <w:t xml:space="preserve"> </w:t>
      </w:r>
      <w:r>
        <w:t xml:space="preserve">Dynamic KPI value boxes, temporal PM2.5 trajectories with 7-day moving averages, and CPCB category distributions.</w:t>
      </w:r>
      <w:r>
        <w:t xml:space="preserve"> </w:t>
      </w:r>
      <w:r>
        <w:t xml:space="preserve">2.</w:t>
      </w:r>
      <w:r>
        <w:t xml:space="preserve"> </w:t>
      </w:r>
      <w:r>
        <w:rPr>
          <w:i/>
          <w:iCs/>
        </w:rPr>
        <w:t xml:space="preserve">Geographic Intelligence &amp; Hotspots:</w:t>
      </w:r>
      <w:r>
        <w:t xml:space="preserve"> </w:t>
      </w:r>
      <w:r>
        <w:t xml:space="preserve">230-station interactive CAAQMS map and composite Environmental Vulnerability Index (EVI) ranking table.</w:t>
      </w:r>
      <w:r>
        <w:t xml:space="preserve"> </w:t>
      </w:r>
      <w:r>
        <w:t xml:space="preserve">3.</w:t>
      </w:r>
      <w:r>
        <w:t xml:space="preserve"> </w:t>
      </w:r>
      <w:r>
        <w:rPr>
          <w:i/>
          <w:iCs/>
        </w:rPr>
        <w:t xml:space="preserve">Chemical Dynamics &amp; Volatility:</w:t>
      </w:r>
      <w:r>
        <w:t xml:space="preserve"> </w:t>
      </w:r>
      <w:r>
        <w:t xml:space="preserve">Stoichiometric particulate scatter plot with seasonal OLS regressions, correlation matrix, and 20-day Bollinger volatility bands.</w:t>
      </w:r>
      <w:r>
        <w:t xml:space="preserve"> </w:t>
      </w:r>
      <w:r>
        <w:t xml:space="preserve">4.</w:t>
      </w:r>
      <w:r>
        <w:t xml:space="preserve"> </w:t>
      </w:r>
      <w:r>
        <w:rPr>
          <w:i/>
          <w:iCs/>
        </w:rPr>
        <w:t xml:space="preserve">Statistical Models &amp; Forecasts:</w:t>
      </w:r>
      <w:r>
        <w:t xml:space="preserve"> </w:t>
      </w:r>
      <w:r>
        <w:t xml:space="preserve">Formal hypothesis testing badges and 30-day ARIMA predictive ribbons with 80% and 95% confidence bounds.</w:t>
      </w:r>
      <w:r>
        <w:t xml:space="preserve"> </w:t>
      </w:r>
      <w:r>
        <w:t xml:space="preserve">5.</w:t>
      </w:r>
      <w:r>
        <w:t xml:space="preserve"> </w:t>
      </w:r>
      <w:r>
        <w:rPr>
          <w:i/>
          <w:iCs/>
        </w:rPr>
        <w:t xml:space="preserve">Decision Support &amp; Relational SQL:</w:t>
      </w:r>
      <w:r>
        <w:t xml:space="preserve"> </w:t>
      </w:r>
      <w:r>
        <w:t xml:space="preserve">Graded Response Action Plan (GRAP Stages 0 to 4) matrix, text-mined advisory terms, and embedded SQLite star schema summary.</w:t>
      </w:r>
      <w:r>
        <w:t xml:space="preserve"> </w:t>
      </w:r>
      <w:r>
        <w:t xml:space="preserve">6.</w:t>
      </w:r>
      <w:r>
        <w:t xml:space="preserve"> </w:t>
      </w:r>
      <w:r>
        <w:rPr>
          <w:i/>
          <w:iCs/>
        </w:rPr>
        <w:t xml:space="preserve">About &amp; Rubrics Compliance:</w:t>
      </w:r>
      <w:r>
        <w:t xml:space="preserve"> </w:t>
      </w:r>
      <w:r>
        <w:t xml:space="preserve">Traceable mapping across all assessment criteria.</w:t>
      </w:r>
    </w:p>
    <w:bookmarkEnd w:id="123"/>
    <w:bookmarkEnd w:id="124"/>
    <w:bookmarkStart w:id="128" w:name="key-insights-and-societal-benefit"/>
    <w:p>
      <w:pPr>
        <w:pStyle w:val="Heading1"/>
      </w:pPr>
      <w:r>
        <w:rPr>
          <w:rStyle w:val="SectionNumber"/>
        </w:rPr>
        <w:t xml:space="preserve">6</w:t>
      </w:r>
      <w:r>
        <w:tab/>
      </w:r>
      <w:r>
        <w:t xml:space="preserve">6. KEY INSIGHTS AND SOCIETAL BENEFIT</w:t>
      </w:r>
    </w:p>
    <w:bookmarkStart w:id="125" w:name="core-scientific-findings"/>
    <w:p>
      <w:pPr>
        <w:pStyle w:val="Heading2"/>
      </w:pPr>
      <w:r>
        <w:rPr>
          <w:rStyle w:val="SectionNumber"/>
        </w:rPr>
        <w:t xml:space="preserve">6.1</w:t>
      </w:r>
      <w:r>
        <w:tab/>
      </w:r>
      <w:r>
        <w:t xml:space="preserve">6.1 Core Scientific Findings</w:t>
      </w:r>
    </w:p>
    <w:p>
      <w:pPr>
        <w:pStyle w:val="Compact"/>
        <w:numPr>
          <w:ilvl w:val="0"/>
          <w:numId w:val="1015"/>
        </w:numPr>
      </w:pPr>
      <w:r>
        <w:rPr>
          <w:b/>
          <w:bCs/>
        </w:rPr>
        <w:t xml:space="preserve">Pervasive Particulate Violation:</w:t>
      </w:r>
      <w:r>
        <w:t xml:space="preserve"> </w:t>
      </w:r>
      <w:r>
        <w:t xml:space="preserve">Ambient</w:t>
      </w:r>
      <w:r>
        <w:t xml:space="preserve"> </w:t>
      </w:r>
      <m:oMath>
        <m:r>
          <m:t>P</m:t>
        </m:r>
        <m:sSub>
          <m:e>
            <m:r>
              <m:t>M</m:t>
            </m:r>
          </m:e>
          <m:sub>
            <m:r>
              <m:t>2.5</m:t>
            </m:r>
          </m:sub>
        </m:sSub>
      </m:oMath>
      <w:r>
        <w:t xml:space="preserve"> </w:t>
      </w:r>
      <w:r>
        <w:t xml:space="preserve">violates the statutory</w:t>
      </w:r>
      <w:r>
        <w:t xml:space="preserve"> </w:t>
      </w:r>
      <m:oMath>
        <m:r>
          <m:t>60</m:t>
        </m:r>
        <m:r>
          <m:t> </m:t>
        </m:r>
        <m:r>
          <m:t>μ</m:t>
        </m:r>
        <m:sSup>
          <m:e>
            <m:r>
              <m:rPr>
                <m:nor/>
                <m:sty m:val="p"/>
              </m:rPr>
              <m:t>g/m</m:t>
            </m:r>
          </m:e>
          <m:sup>
            <m:r>
              <m:t>3</m:t>
            </m:r>
          </m:sup>
        </m:sSup>
      </m:oMath>
      <w:r>
        <w:t xml:space="preserve"> </w:t>
      </w:r>
      <w:r>
        <w:t xml:space="preserve">NAAQS benchmark on 39.2% of all monitored days nationally, and</w:t>
      </w:r>
      <w:r>
        <w:t xml:space="preserve"> </w:t>
      </w:r>
      <m:oMath>
        <m:r>
          <m:t>P</m:t>
        </m:r>
        <m:sSub>
          <m:e>
            <m:r>
              <m:t>M</m:t>
            </m:r>
          </m:e>
          <m:sub>
            <m:r>
              <m:t>10</m:t>
            </m:r>
          </m:sub>
        </m:sSub>
      </m:oMath>
      <w:r>
        <w:t xml:space="preserve"> </w:t>
      </w:r>
      <w:r>
        <w:t xml:space="preserve">violates the</w:t>
      </w:r>
      <w:r>
        <w:t xml:space="preserve"> </w:t>
      </w:r>
      <m:oMath>
        <m:r>
          <m:t>100</m:t>
        </m:r>
        <m:r>
          <m:t> </m:t>
        </m:r>
        <m:r>
          <m:t>μ</m:t>
        </m:r>
        <m:sSup>
          <m:e>
            <m:r>
              <m:rPr>
                <m:nor/>
                <m:sty m:val="p"/>
              </m:rPr>
              <m:t>g/m</m:t>
            </m:r>
          </m:e>
          <m:sup>
            <m:r>
              <m:t>3</m:t>
            </m:r>
          </m:sup>
        </m:sSup>
      </m:oMath>
      <w:r>
        <w:t xml:space="preserve"> </w:t>
      </w:r>
      <w:r>
        <w:t xml:space="preserve">limit on 47.3% of days.</w:t>
      </w:r>
    </w:p>
    <w:p>
      <w:pPr>
        <w:pStyle w:val="Compact"/>
        <w:numPr>
          <w:ilvl w:val="0"/>
          <w:numId w:val="1015"/>
        </w:numPr>
      </w:pPr>
      <w:r>
        <w:rPr>
          <w:b/>
          <w:bCs/>
        </w:rPr>
        <w:t xml:space="preserve">Severe Wintertime Entrapment:</w:t>
      </w:r>
      <w:r>
        <w:t xml:space="preserve"> </w:t>
      </w:r>
      <w:r>
        <w:t xml:space="preserve">Winter ambient PM2.5 in northern metros is over 2.5 times higher than summer/monsoon levels due to shallow planetary boundary layer thermal inversions.</w:t>
      </w:r>
    </w:p>
    <w:p>
      <w:pPr>
        <w:pStyle w:val="Compact"/>
        <w:numPr>
          <w:ilvl w:val="0"/>
          <w:numId w:val="1015"/>
        </w:numPr>
      </w:pPr>
      <w:r>
        <w:rPr>
          <w:b/>
          <w:bCs/>
        </w:rPr>
        <w:t xml:space="preserve">High Particulate Stoichiometry:</w:t>
      </w:r>
      <w:r>
        <w:t xml:space="preserve"> </w:t>
      </w:r>
      <w:r>
        <w:t xml:space="preserve">An exceptionally strong correlation (</w:t>
      </w:r>
      <m:oMath>
        <m:r>
          <m:t>r</m:t>
        </m:r>
        <m:r>
          <m:rPr>
            <m:sty m:val="p"/>
          </m:rPr>
          <m:t>=</m:t>
        </m:r>
        <m:r>
          <m:t>0.845</m:t>
        </m:r>
      </m:oMath>
      <w:r>
        <w:t xml:space="preserve">) between</w:t>
      </w:r>
      <w:r>
        <w:t xml:space="preserve"> </w:t>
      </w:r>
      <m:oMath>
        <m:r>
          <m:t>P</m:t>
        </m:r>
        <m:sSub>
          <m:e>
            <m:r>
              <m:t>M</m:t>
            </m:r>
          </m:e>
          <m:sub>
            <m:r>
              <m:t>2.5</m:t>
            </m:r>
          </m:sub>
        </m:sSub>
      </m:oMath>
      <w:r>
        <w:t xml:space="preserve"> </w:t>
      </w:r>
      <w:r>
        <w:t xml:space="preserve">and</w:t>
      </w:r>
      <w:r>
        <w:t xml:space="preserve"> </w:t>
      </w:r>
      <m:oMath>
        <m:r>
          <m:t>P</m:t>
        </m:r>
        <m:sSub>
          <m:e>
            <m:r>
              <m:t>M</m:t>
            </m:r>
          </m:e>
          <m:sub>
            <m:r>
              <m:t>10</m:t>
            </m:r>
          </m:sub>
        </m:sSub>
      </m:oMath>
      <w:r>
        <w:t xml:space="preserve"> </w:t>
      </w:r>
      <w:r>
        <w:t xml:space="preserve">indicates that coarse dust and fine combustion aerosols are co-entrained in urban atmospheres.</w:t>
      </w:r>
    </w:p>
    <w:p>
      <w:pPr>
        <w:pStyle w:val="Compact"/>
        <w:numPr>
          <w:ilvl w:val="0"/>
          <w:numId w:val="1015"/>
        </w:numPr>
      </w:pPr>
      <w:r>
        <w:rPr>
          <w:b/>
          <w:bCs/>
        </w:rPr>
        <w:t xml:space="preserve">Episodic Surge Signatures:</w:t>
      </w:r>
      <w:r>
        <w:t xml:space="preserve"> </w:t>
      </w:r>
      <w:r>
        <w:t xml:space="preserve">Bollinger Bands successfully isolate post-monsoon stubble burning and festival fireworks events from chronic urban traffic baselines.</w:t>
      </w:r>
    </w:p>
    <w:bookmarkEnd w:id="125"/>
    <w:bookmarkStart w:id="126" w:name="stakeholder-impact-matrix"/>
    <w:p>
      <w:pPr>
        <w:pStyle w:val="Heading2"/>
      </w:pPr>
      <w:r>
        <w:rPr>
          <w:rStyle w:val="SectionNumber"/>
        </w:rPr>
        <w:t xml:space="preserve">6.2</w:t>
      </w:r>
      <w:r>
        <w:tab/>
      </w:r>
      <w:r>
        <w:t xml:space="preserve">6.2 Stakeholder Impact Matrix</w:t>
      </w:r>
    </w:p>
    <w:p>
      <w:pPr>
        <w:pStyle w:val="TableCaption"/>
      </w:pPr>
      <w:r>
        <w:t xml:space="preserve">Societal Benefit and Stakeholder Decision-Support Matrix</w:t>
      </w:r>
    </w:p>
    <w:tbl>
      <w:tblPr>
        <w:tblStyle w:val="Table"/>
        <w:tblW w:type="pct" w:w="5000"/>
        <w:tblLayout w:type="fixed"/>
        <w:tblLook w:firstRow="1" w:lastRow="0" w:firstColumn="0" w:lastColumn="0" w:noHBand="0" w:noVBand="0" w:val="0020"/>
        <w:tblCaption w:val="Societal Benefit and Stakeholder Decision-Support Matrix"/>
      </w:tblPr>
      <w:tblGrid>
        <w:gridCol w:w="1269"/>
        <w:gridCol w:w="3308"/>
        <w:gridCol w:w="3341"/>
      </w:tblGrid>
      <w:tr>
        <w:trPr>
          <w:tblHeader w:val="on"/>
        </w:trPr>
        <w:tc>
          <w:tcPr/>
          <w:p>
            <w:pPr>
              <w:pStyle w:val="Compact"/>
              <w:jc w:val="left"/>
            </w:pPr>
            <w:r>
              <w:t xml:space="preserve">Stakeholder_Group</w:t>
            </w:r>
          </w:p>
        </w:tc>
        <w:tc>
          <w:tcPr/>
          <w:p>
            <w:pPr>
              <w:pStyle w:val="Compact"/>
              <w:jc w:val="left"/>
            </w:pPr>
            <w:r>
              <w:t xml:space="preserve">AIRGUARD_360_Utility</w:t>
            </w:r>
          </w:p>
        </w:tc>
        <w:tc>
          <w:tcPr/>
          <w:p>
            <w:pPr>
              <w:pStyle w:val="Compact"/>
              <w:jc w:val="left"/>
            </w:pPr>
            <w:r>
              <w:t xml:space="preserve">Recommended_Safe_Action</w:t>
            </w:r>
          </w:p>
        </w:tc>
      </w:tr>
      <w:tr>
        <w:tc>
          <w:tcPr/>
          <w:p>
            <w:pPr>
              <w:pStyle w:val="Compact"/>
              <w:jc w:val="left"/>
            </w:pPr>
            <w:r>
              <w:t xml:space="preserve">Municipal Authorities &amp; CPCB</w:t>
            </w:r>
          </w:p>
        </w:tc>
        <w:tc>
          <w:tcPr/>
          <w:p>
            <w:pPr>
              <w:pStyle w:val="Compact"/>
              <w:jc w:val="left"/>
            </w:pPr>
            <w:r>
              <w:t xml:space="preserve">Automated Graded Response Action Plan (GRAP Stages 0 to 4) triggers based on active AQI</w:t>
            </w:r>
          </w:p>
        </w:tc>
        <w:tc>
          <w:tcPr/>
          <w:p>
            <w:pPr>
              <w:pStyle w:val="Compact"/>
              <w:jc w:val="left"/>
            </w:pPr>
            <w:r>
              <w:t xml:space="preserve">Cross-reference automated GRAP alerts with latest official telemetry before issuing gazetted orders</w:t>
            </w:r>
          </w:p>
        </w:tc>
      </w:tr>
      <w:tr>
        <w:tc>
          <w:tcPr/>
          <w:p>
            <w:pPr>
              <w:pStyle w:val="Compact"/>
              <w:jc w:val="left"/>
            </w:pPr>
            <w:r>
              <w:t xml:space="preserve">Urban Planners &amp; Transport Agencies</w:t>
            </w:r>
          </w:p>
        </w:tc>
        <w:tc>
          <w:tcPr/>
          <w:p>
            <w:pPr>
              <w:pStyle w:val="Compact"/>
              <w:jc w:val="left"/>
            </w:pPr>
            <w:r>
              <w:t xml:space="preserve">Identification of chronic hotspot corridors requiring bypass routes or electric bus prioritization</w:t>
            </w:r>
          </w:p>
        </w:tc>
        <w:tc>
          <w:tcPr/>
          <w:p>
            <w:pPr>
              <w:pStyle w:val="Compact"/>
              <w:jc w:val="left"/>
            </w:pPr>
            <w:r>
              <w:t xml:space="preserve">Incorporate meteorological dispersion modeling alongside historical empirical traffic data</w:t>
            </w:r>
          </w:p>
        </w:tc>
      </w:tr>
      <w:tr>
        <w:tc>
          <w:tcPr/>
          <w:p>
            <w:pPr>
              <w:pStyle w:val="Compact"/>
              <w:jc w:val="left"/>
            </w:pPr>
            <w:r>
              <w:t xml:space="preserve">Public Health &amp; Medical Practitioners</w:t>
            </w:r>
          </w:p>
        </w:tc>
        <w:tc>
          <w:tcPr/>
          <w:p>
            <w:pPr>
              <w:pStyle w:val="Compact"/>
              <w:jc w:val="left"/>
            </w:pPr>
            <w:r>
              <w:t xml:space="preserve">Empirical evidence on seasonal respiratory emergency surges for hospital ICU preparedness</w:t>
            </w:r>
          </w:p>
        </w:tc>
        <w:tc>
          <w:tcPr/>
          <w:p>
            <w:pPr>
              <w:pStyle w:val="Compact"/>
              <w:jc w:val="left"/>
            </w:pPr>
            <w:r>
              <w:t xml:space="preserve">Issue targeted advisories to asthmatic and cardiac patient registries during winter inversions</w:t>
            </w:r>
          </w:p>
        </w:tc>
      </w:tr>
      <w:tr>
        <w:tc>
          <w:tcPr/>
          <w:p>
            <w:pPr>
              <w:pStyle w:val="Compact"/>
              <w:jc w:val="left"/>
            </w:pPr>
            <w:r>
              <w:t xml:space="preserve">Vulnerable Citizens &amp; Schools</w:t>
            </w:r>
          </w:p>
        </w:tc>
        <w:tc>
          <w:tcPr/>
          <w:p>
            <w:pPr>
              <w:pStyle w:val="Compact"/>
              <w:jc w:val="left"/>
            </w:pPr>
            <w:r>
              <w:t xml:space="preserve">Plain-language advisories on when to avoid strenuous outdoor activity and wear N95 respirators</w:t>
            </w:r>
          </w:p>
        </w:tc>
        <w:tc>
          <w:tcPr/>
          <w:p>
            <w:pPr>
              <w:pStyle w:val="Compact"/>
              <w:jc w:val="left"/>
            </w:pPr>
            <w:r>
              <w:t xml:space="preserve">Install indoor HEPA filtration during flagged Bollinger episodic surges; keep windows sealed</w:t>
            </w:r>
          </w:p>
        </w:tc>
      </w:tr>
      <w:tr>
        <w:tc>
          <w:tcPr/>
          <w:p>
            <w:pPr>
              <w:pStyle w:val="Compact"/>
              <w:jc w:val="left"/>
            </w:pPr>
            <w:r>
              <w:t xml:space="preserve">Environmental Researchers</w:t>
            </w:r>
          </w:p>
        </w:tc>
        <w:tc>
          <w:tcPr/>
          <w:p>
            <w:pPr>
              <w:pStyle w:val="Compact"/>
              <w:jc w:val="left"/>
            </w:pPr>
            <w:r>
              <w:t xml:space="preserve">Open, reproducible R code pipeline and relational SQLite database for atmospheric modeling</w:t>
            </w:r>
          </w:p>
        </w:tc>
        <w:tc>
          <w:tcPr/>
          <w:p>
            <w:pPr>
              <w:pStyle w:val="Compact"/>
              <w:jc w:val="left"/>
            </w:pPr>
            <w:r>
              <w:t xml:space="preserve">Utilize out-of-sample ARIMA validation frameworks when publishing predictive air quality studies</w:t>
            </w:r>
          </w:p>
        </w:tc>
      </w:tr>
    </w:tbl>
    <w:bookmarkEnd w:id="126"/>
    <w:bookmarkStart w:id="127" w:name="X9938ce2530db0e2346da31ccecfc0e67f7054bb"/>
    <w:p>
      <w:pPr>
        <w:pStyle w:val="Heading2"/>
      </w:pPr>
      <w:r>
        <w:rPr>
          <w:rStyle w:val="SectionNumber"/>
        </w:rPr>
        <w:t xml:space="preserve">6.3</w:t>
      </w:r>
      <w:r>
        <w:tab/>
      </w:r>
      <w:r>
        <w:t xml:space="preserve">6.3 Ethical Principles in Environmental Risk Communication</w:t>
      </w:r>
    </w:p>
    <w:p>
      <w:pPr>
        <w:pStyle w:val="Compact"/>
        <w:numPr>
          <w:ilvl w:val="0"/>
          <w:numId w:val="1016"/>
        </w:numPr>
      </w:pPr>
      <w:r>
        <w:t xml:space="preserve">Avoid panic-inducing headlines; always present concentration units, averaging times, and statutory reference lines together.</w:t>
      </w:r>
    </w:p>
    <w:p>
      <w:pPr>
        <w:pStyle w:val="Compact"/>
        <w:numPr>
          <w:ilvl w:val="0"/>
          <w:numId w:val="1016"/>
        </w:numPr>
      </w:pPr>
      <w:r>
        <w:t xml:space="preserve">Never use aggregate city-level averages to infer individual personal clinical diagnoses.</w:t>
      </w:r>
    </w:p>
    <w:p>
      <w:pPr>
        <w:pStyle w:val="Compact"/>
        <w:numPr>
          <w:ilvl w:val="0"/>
          <w:numId w:val="1016"/>
        </w:numPr>
      </w:pPr>
      <w:r>
        <w:t xml:space="preserve">Transparently document historical boundaries (data ends July 2020) and encourage validation against live official portals for immediate daily precautions.</w:t>
      </w:r>
    </w:p>
    <w:bookmarkEnd w:id="127"/>
    <w:bookmarkEnd w:id="128"/>
    <w:bookmarkStart w:id="129" w:name="Xb43a05d91f5f7298ab45547c18f6717c0f54585"/>
    <w:p>
      <w:pPr>
        <w:pStyle w:val="Heading1"/>
      </w:pPr>
      <w:r>
        <w:rPr>
          <w:rStyle w:val="SectionNumber"/>
        </w:rPr>
        <w:t xml:space="preserve">7</w:t>
      </w:r>
      <w:r>
        <w:tab/>
      </w:r>
      <w:r>
        <w:t xml:space="preserve">7. LIMITATIONS, GOVERNANCE &amp; RESPONSIBLE ANALYTICS</w:t>
      </w:r>
    </w:p>
    <w:p>
      <w:pPr>
        <w:pStyle w:val="TableCaption"/>
      </w:pPr>
      <w:r>
        <w:t xml:space="preserve">Methodological Limitations, Scientific Risks, and Implemented Governance Controls</w:t>
      </w:r>
    </w:p>
    <w:tbl>
      <w:tblPr>
        <w:tblStyle w:val="Table"/>
        <w:tblW w:type="pct" w:w="5000"/>
        <w:tblLayout w:type="fixed"/>
        <w:tblLook w:firstRow="1" w:lastRow="0" w:firstColumn="0" w:lastColumn="0" w:noHBand="0" w:noVBand="0" w:val="0020"/>
        <w:tblCaption w:val="Methodological Limitations, Scientific Risks, and Implemented Governance Controls"/>
      </w:tblPr>
      <w:tblGrid>
        <w:gridCol w:w="1186"/>
        <w:gridCol w:w="3655"/>
        <w:gridCol w:w="3078"/>
      </w:tblGrid>
      <w:tr>
        <w:trPr>
          <w:tblHeader w:val="on"/>
        </w:trPr>
        <w:tc>
          <w:tcPr/>
          <w:p>
            <w:pPr>
              <w:pStyle w:val="Compact"/>
              <w:jc w:val="left"/>
            </w:pPr>
            <w:r>
              <w:t xml:space="preserve">Limitation_or_Risk</w:t>
            </w:r>
          </w:p>
        </w:tc>
        <w:tc>
          <w:tcPr/>
          <w:p>
            <w:pPr>
              <w:pStyle w:val="Compact"/>
              <w:jc w:val="left"/>
            </w:pPr>
            <w:r>
              <w:t xml:space="preserve">Scientific_Implication</w:t>
            </w:r>
          </w:p>
        </w:tc>
        <w:tc>
          <w:tcPr/>
          <w:p>
            <w:pPr>
              <w:pStyle w:val="Compact"/>
              <w:jc w:val="left"/>
            </w:pPr>
            <w:r>
              <w:t xml:space="preserve">Recommended_Mitigation_Control</w:t>
            </w:r>
          </w:p>
        </w:tc>
      </w:tr>
      <w:tr>
        <w:tc>
          <w:tcPr/>
          <w:p>
            <w:pPr>
              <w:pStyle w:val="Compact"/>
              <w:jc w:val="left"/>
            </w:pPr>
            <w:r>
              <w:t xml:space="preserve">Historical Data Boundary (July 2020)</w:t>
            </w:r>
          </w:p>
        </w:tc>
        <w:tc>
          <w:tcPr/>
          <w:p>
            <w:pPr>
              <w:pStyle w:val="Compact"/>
              <w:jc w:val="left"/>
            </w:pPr>
            <w:r>
              <w:t xml:space="preserve">Dataset reflects 2015-2020 conditions; cannot describe post-2020 policy impacts or 2026 conditions.</w:t>
            </w:r>
          </w:p>
        </w:tc>
        <w:tc>
          <w:tcPr/>
          <w:p>
            <w:pPr>
              <w:pStyle w:val="Compact"/>
              <w:jc w:val="left"/>
            </w:pPr>
            <w:r>
              <w:t xml:space="preserve">Display prominent date stamps; clearly label analysis as retrospective historical intelligence.</w:t>
            </w:r>
          </w:p>
        </w:tc>
      </w:tr>
      <w:tr>
        <w:tc>
          <w:tcPr/>
          <w:p>
            <w:pPr>
              <w:pStyle w:val="Compact"/>
              <w:jc w:val="left"/>
            </w:pPr>
            <w:r>
              <w:t xml:space="preserve">Variable Sensor Missingness</w:t>
            </w:r>
          </w:p>
        </w:tc>
        <w:tc>
          <w:tcPr/>
          <w:p>
            <w:pPr>
              <w:pStyle w:val="Compact"/>
              <w:jc w:val="left"/>
            </w:pPr>
            <w:r>
              <w:t xml:space="preserve">Pollutant averages draw from differing sample counts; replacing missingness with zero severely biases statistics.</w:t>
            </w:r>
          </w:p>
        </w:tc>
        <w:tc>
          <w:tcPr/>
          <w:p>
            <w:pPr>
              <w:pStyle w:val="Compact"/>
              <w:jc w:val="left"/>
            </w:pPr>
            <w:r>
              <w:t xml:space="preserve">Preserve NA values; explicitly report valid sample sizes (N_Obs) for all summary moments.</w:t>
            </w:r>
          </w:p>
        </w:tc>
      </w:tr>
      <w:tr>
        <w:tc>
          <w:tcPr/>
          <w:p>
            <w:pPr>
              <w:pStyle w:val="Compact"/>
              <w:jc w:val="left"/>
            </w:pPr>
            <w:r>
              <w:t xml:space="preserve">Extreme Sensor Outliers (&gt; 500)</w:t>
            </w:r>
          </w:p>
        </w:tc>
        <w:tc>
          <w:tcPr/>
          <w:p>
            <w:pPr>
              <w:pStyle w:val="Compact"/>
              <w:jc w:val="left"/>
            </w:pPr>
            <w:r>
              <w:t xml:space="preserve">Readings such as AQI = 2,049 in Maninagar distort arithmetic means if unflagged.</w:t>
            </w:r>
          </w:p>
        </w:tc>
        <w:tc>
          <w:tcPr/>
          <w:p>
            <w:pPr>
              <w:pStyle w:val="Compact"/>
              <w:jc w:val="left"/>
            </w:pPr>
            <w:r>
              <w:t xml:space="preserve">Flag records &gt; 500 with AQI_Outlier_Flag; report medians alongside arithmetic means.</w:t>
            </w:r>
          </w:p>
        </w:tc>
      </w:tr>
      <w:tr>
        <w:tc>
          <w:tcPr/>
          <w:p>
            <w:pPr>
              <w:pStyle w:val="Compact"/>
              <w:jc w:val="left"/>
            </w:pPr>
            <w:r>
              <w:t xml:space="preserve">Descriptive vs Causal Inference</w:t>
            </w:r>
          </w:p>
        </w:tc>
        <w:tc>
          <w:tcPr/>
          <w:p>
            <w:pPr>
              <w:pStyle w:val="Compact"/>
              <w:jc w:val="left"/>
            </w:pPr>
            <w:r>
              <w:t xml:space="preserve">Correlation between NO2 and PM2.5 does not prove NO2 caused particulate pollution.</w:t>
            </w:r>
          </w:p>
        </w:tc>
        <w:tc>
          <w:tcPr/>
          <w:p>
            <w:pPr>
              <w:pStyle w:val="Compact"/>
              <w:jc w:val="left"/>
            </w:pPr>
            <w:r>
              <w:t xml:space="preserve">Pair correlation findings with atmospheric dispersion and emissions inventory context.</w:t>
            </w:r>
          </w:p>
        </w:tc>
      </w:tr>
      <w:tr>
        <w:tc>
          <w:tcPr/>
          <w:p>
            <w:pPr>
              <w:pStyle w:val="Compact"/>
              <w:jc w:val="left"/>
            </w:pPr>
            <w:r>
              <w:t xml:space="preserve">Unequal Station Spatial Density</w:t>
            </w:r>
          </w:p>
        </w:tc>
        <w:tc>
          <w:tcPr/>
          <w:p>
            <w:pPr>
              <w:pStyle w:val="Compact"/>
              <w:jc w:val="left"/>
            </w:pPr>
            <w:r>
              <w:t xml:space="preserve">Cities with 10 stations capture micro-climates; cities with 1 station reflect single-point exposure.</w:t>
            </w:r>
          </w:p>
        </w:tc>
        <w:tc>
          <w:tcPr/>
          <w:p>
            <w:pPr>
              <w:pStyle w:val="Compact"/>
              <w:jc w:val="left"/>
            </w:pPr>
            <w:r>
              <w:t xml:space="preserve">Maintain strict grain separation between city-daily rollups and station-level deep dives.</w:t>
            </w:r>
          </w:p>
        </w:tc>
      </w:tr>
    </w:tbl>
    <w:bookmarkEnd w:id="129"/>
    <w:bookmarkStart w:id="132" w:name="conclusion-system-evaluation"/>
    <w:p>
      <w:pPr>
        <w:pStyle w:val="Heading1"/>
      </w:pPr>
      <w:r>
        <w:rPr>
          <w:rStyle w:val="SectionNumber"/>
        </w:rPr>
        <w:t xml:space="preserve">8</w:t>
      </w:r>
      <w:r>
        <w:tab/>
      </w:r>
      <w:r>
        <w:t xml:space="preserve">8. CONCLUSION &amp; SYSTEM EVALUATION</w:t>
      </w:r>
    </w:p>
    <w:bookmarkStart w:id="130" w:name="summary-of-project-outcomes"/>
    <w:p>
      <w:pPr>
        <w:pStyle w:val="Heading2"/>
      </w:pPr>
      <w:r>
        <w:rPr>
          <w:rStyle w:val="SectionNumber"/>
        </w:rPr>
        <w:t xml:space="preserve">8.1</w:t>
      </w:r>
      <w:r>
        <w:tab/>
      </w:r>
      <w:r>
        <w:t xml:space="preserve">8.1 Summary of Project Outcomes</w:t>
      </w:r>
    </w:p>
    <w:p>
      <w:pPr>
        <w:pStyle w:val="FirstParagraph"/>
      </w:pPr>
      <w:r>
        <w:t xml:space="preserve">AIRGUARD 360 successfully fulfills all objectives set forth for</w:t>
      </w:r>
      <w:r>
        <w:t xml:space="preserve"> </w:t>
      </w:r>
      <w:r>
        <w:rPr>
          <w:b/>
          <w:bCs/>
        </w:rPr>
        <w:t xml:space="preserve">INT232: Data Science Toolbox : R Programming</w:t>
      </w:r>
      <w:r>
        <w:t xml:space="preserve">:</w:t>
      </w:r>
      <w:r>
        <w:t xml:space="preserve"> </w:t>
      </w:r>
      <w:r>
        <w:t xml:space="preserve">1.</w:t>
      </w:r>
      <w:r>
        <w:t xml:space="preserve"> </w:t>
      </w:r>
      <w:r>
        <w:rPr>
          <w:b/>
          <w:bCs/>
        </w:rPr>
        <w:t xml:space="preserve">Architectural Excellence:</w:t>
      </w:r>
      <w:r>
        <w:t xml:space="preserve"> </w:t>
      </w:r>
      <w:r>
        <w:t xml:space="preserve">Built 100% natively in R, integrating Base R,</w:t>
      </w:r>
      <w:r>
        <w:t xml:space="preserve"> </w:t>
      </w:r>
      <w:r>
        <w:rPr>
          <w:rStyle w:val="VerbatimChar"/>
        </w:rPr>
        <w:t xml:space="preserve">dplyr</w:t>
      </w:r>
      <w:r>
        <w:t xml:space="preserve">,</w:t>
      </w:r>
      <w:r>
        <w:t xml:space="preserve"> </w:t>
      </w:r>
      <w:r>
        <w:rPr>
          <w:rStyle w:val="VerbatimChar"/>
        </w:rPr>
        <w:t xml:space="preserve">ggplot2</w:t>
      </w:r>
      <w:r>
        <w:t xml:space="preserve">,</w:t>
      </w:r>
      <w:r>
        <w:t xml:space="preserve"> </w:t>
      </w:r>
      <w:r>
        <w:rPr>
          <w:rStyle w:val="VerbatimChar"/>
        </w:rPr>
        <w:t xml:space="preserve">plotly</w:t>
      </w:r>
      <w:r>
        <w:t xml:space="preserve">,</w:t>
      </w:r>
      <w:r>
        <w:t xml:space="preserve"> </w:t>
      </w:r>
      <w:r>
        <w:rPr>
          <w:rStyle w:val="VerbatimChar"/>
        </w:rPr>
        <w:t xml:space="preserve">DBI</w:t>
      </w:r>
      <w:r>
        <w:t xml:space="preserve">,</w:t>
      </w:r>
      <w:r>
        <w:t xml:space="preserve"> </w:t>
      </w:r>
      <w:r>
        <w:rPr>
          <w:rStyle w:val="VerbatimChar"/>
        </w:rPr>
        <w:t xml:space="preserve">RSQLite</w:t>
      </w:r>
      <w:r>
        <w:t xml:space="preserve">,</w:t>
      </w:r>
      <w:r>
        <w:t xml:space="preserve"> </w:t>
      </w:r>
      <w:r>
        <w:rPr>
          <w:rStyle w:val="VerbatimChar"/>
        </w:rPr>
        <w:t xml:space="preserve">tidytext</w:t>
      </w:r>
      <w:r>
        <w:t xml:space="preserve">, and</w:t>
      </w:r>
      <w:r>
        <w:t xml:space="preserve"> </w:t>
      </w:r>
      <w:r>
        <w:rPr>
          <w:rStyle w:val="VerbatimChar"/>
        </w:rPr>
        <w:t xml:space="preserve">shiny</w:t>
      </w:r>
      <w:r>
        <w:t xml:space="preserve">.</w:t>
      </w:r>
      <w:r>
        <w:t xml:space="preserve"> </w:t>
      </w:r>
      <w:r>
        <w:t xml:space="preserve">2.</w:t>
      </w:r>
      <w:r>
        <w:t xml:space="preserve"> </w:t>
      </w:r>
      <w:r>
        <w:rPr>
          <w:b/>
          <w:bCs/>
        </w:rPr>
        <w:t xml:space="preserve">Data Engineering Rigor:</w:t>
      </w:r>
      <w:r>
        <w:t xml:space="preserve"> </w:t>
      </w:r>
      <w:r>
        <w:t xml:space="preserve">Reconciled 108,035 station records and 29,531 city records, resolved coordinate geometry for 230 stations, and implemented a relational SQLite database.</w:t>
      </w:r>
      <w:r>
        <w:t xml:space="preserve"> </w:t>
      </w:r>
      <w:r>
        <w:t xml:space="preserve">3.</w:t>
      </w:r>
      <w:r>
        <w:t xml:space="preserve"> </w:t>
      </w:r>
      <w:r>
        <w:rPr>
          <w:b/>
          <w:bCs/>
        </w:rPr>
        <w:t xml:space="preserve">Statistical Integrity:</w:t>
      </w:r>
      <w:r>
        <w:t xml:space="preserve"> </w:t>
      </w:r>
      <w:r>
        <w:t xml:space="preserve">Executed formal hypothesis tests (Welch t-test, ANOVA, Pearson correlation, Kolmogorov-Smirnov) with rigorous interpretations.</w:t>
      </w:r>
      <w:r>
        <w:t xml:space="preserve"> </w:t>
      </w:r>
      <w:r>
        <w:t xml:space="preserve">4.</w:t>
      </w:r>
      <w:r>
        <w:t xml:space="preserve"> </w:t>
      </w:r>
      <w:r>
        <w:rPr>
          <w:b/>
          <w:bCs/>
        </w:rPr>
        <w:t xml:space="preserve">Predictive Innovation:</w:t>
      </w:r>
      <w:r>
        <w:t xml:space="preserve"> </w:t>
      </w:r>
      <w:r>
        <w:t xml:space="preserve">Evaluated out-of-sample ARIMA and Holt-Winters time-series forecasts with 80% and 95% confidence bounds.</w:t>
      </w:r>
      <w:r>
        <w:t xml:space="preserve"> </w:t>
      </w:r>
      <w:r>
        <w:t xml:space="preserve">5.</w:t>
      </w:r>
      <w:r>
        <w:t xml:space="preserve"> </w:t>
      </w:r>
      <w:r>
        <w:rPr>
          <w:b/>
          <w:bCs/>
        </w:rPr>
        <w:t xml:space="preserve">Societal Value:</w:t>
      </w:r>
      <w:r>
        <w:t xml:space="preserve"> </w:t>
      </w:r>
      <w:r>
        <w:t xml:space="preserve">Delivered an objective Environmental Vulnerability Index (EVI) and automated Graded Response Action Plan (GRAP) decision-support matrix.</w:t>
      </w:r>
    </w:p>
    <w:bookmarkEnd w:id="130"/>
    <w:bookmarkStart w:id="131" w:name="overall-evaluation"/>
    <w:p>
      <w:pPr>
        <w:pStyle w:val="Heading2"/>
      </w:pPr>
      <w:r>
        <w:rPr>
          <w:rStyle w:val="SectionNumber"/>
        </w:rPr>
        <w:t xml:space="preserve">8.2</w:t>
      </w:r>
      <w:r>
        <w:tab/>
      </w:r>
      <w:r>
        <w:t xml:space="preserve">8.2 Overall Evaluation</w:t>
      </w:r>
    </w:p>
    <w:p>
      <w:pPr>
        <w:pStyle w:val="FirstParagraph"/>
      </w:pPr>
      <w:r>
        <w:t xml:space="preserve">The system establishes a transparent, reproducible benchmark for environmental analytics. By embedding data quality audits, outlier flags, and multi-grain reconciliation into the core code, AIRGUARD 360 bridges the gap between academic data science and real-world civic decision-making.</w:t>
      </w:r>
    </w:p>
    <w:bookmarkEnd w:id="131"/>
    <w:bookmarkEnd w:id="132"/>
    <w:bookmarkStart w:id="133" w:name="future-scope-roadmap"/>
    <w:p>
      <w:pPr>
        <w:pStyle w:val="Heading1"/>
      </w:pPr>
      <w:r>
        <w:rPr>
          <w:rStyle w:val="SectionNumber"/>
        </w:rPr>
        <w:t xml:space="preserve">9</w:t>
      </w:r>
      <w:r>
        <w:tab/>
      </w:r>
      <w:r>
        <w:t xml:space="preserve">9. FUTURE SCOPE &amp; ROADMAP</w:t>
      </w:r>
    </w:p>
    <w:p>
      <w:pPr>
        <w:pStyle w:val="TableCaption"/>
      </w:pPr>
      <w:r>
        <w:t xml:space="preserve">Four-Phase Future Engineering and Scalability Roadmap</w:t>
      </w:r>
    </w:p>
    <w:tbl>
      <w:tblPr>
        <w:tblStyle w:val="Table"/>
        <w:tblW w:type="pct" w:w="5000"/>
        <w:tblLayout w:type="fixed"/>
        <w:tblLook w:firstRow="1" w:lastRow="0" w:firstColumn="0" w:lastColumn="0" w:noHBand="0" w:noVBand="0" w:val="0020"/>
        <w:tblCaption w:val="Four-Phase Future Engineering and Scalability Roadmap"/>
      </w:tblPr>
      <w:tblGrid>
        <w:gridCol w:w="1044"/>
        <w:gridCol w:w="3276"/>
        <w:gridCol w:w="2844"/>
        <w:gridCol w:w="756"/>
      </w:tblGrid>
      <w:tr>
        <w:trPr>
          <w:tblHeader w:val="on"/>
        </w:trPr>
        <w:tc>
          <w:tcPr/>
          <w:p>
            <w:pPr>
              <w:pStyle w:val="Compact"/>
              <w:jc w:val="left"/>
            </w:pPr>
            <w:r>
              <w:t xml:space="preserve">Phase</w:t>
            </w:r>
          </w:p>
        </w:tc>
        <w:tc>
          <w:tcPr/>
          <w:p>
            <w:pPr>
              <w:pStyle w:val="Compact"/>
              <w:jc w:val="left"/>
            </w:pPr>
            <w:r>
              <w:t xml:space="preserve">Target_Milestone</w:t>
            </w:r>
          </w:p>
        </w:tc>
        <w:tc>
          <w:tcPr/>
          <w:p>
            <w:pPr>
              <w:pStyle w:val="Compact"/>
              <w:jc w:val="left"/>
            </w:pPr>
            <w:r>
              <w:t xml:space="preserve">Expected_Impact</w:t>
            </w:r>
          </w:p>
        </w:tc>
        <w:tc>
          <w:tcPr/>
          <w:p>
            <w:pPr>
              <w:pStyle w:val="Compact"/>
              <w:jc w:val="left"/>
            </w:pPr>
            <w:r>
              <w:t xml:space="preserve">Technical_Complexity</w:t>
            </w:r>
          </w:p>
        </w:tc>
      </w:tr>
      <w:tr>
        <w:tc>
          <w:tcPr/>
          <w:p>
            <w:pPr>
              <w:pStyle w:val="Compact"/>
              <w:jc w:val="left"/>
            </w:pPr>
            <w:r>
              <w:t xml:space="preserve">Phase 1: Telemetry Ingestion</w:t>
            </w:r>
          </w:p>
        </w:tc>
        <w:tc>
          <w:tcPr/>
          <w:p>
            <w:pPr>
              <w:pStyle w:val="Compact"/>
              <w:jc w:val="left"/>
            </w:pPr>
            <w:r>
              <w:t xml:space="preserve">Live API integration with CPCB Open Data API for real-time streaming</w:t>
            </w:r>
          </w:p>
        </w:tc>
        <w:tc>
          <w:tcPr/>
          <w:p>
            <w:pPr>
              <w:pStyle w:val="Compact"/>
              <w:jc w:val="left"/>
            </w:pPr>
            <w:r>
              <w:t xml:space="preserve">Transitions system from retrospective analysis to real-time operations</w:t>
            </w:r>
          </w:p>
        </w:tc>
        <w:tc>
          <w:tcPr/>
          <w:p>
            <w:pPr>
              <w:pStyle w:val="Compact"/>
              <w:jc w:val="left"/>
            </w:pPr>
            <w:r>
              <w:t xml:space="preserve">Medium</w:t>
            </w:r>
          </w:p>
        </w:tc>
      </w:tr>
      <w:tr>
        <w:tc>
          <w:tcPr/>
          <w:p>
            <w:pPr>
              <w:pStyle w:val="Compact"/>
              <w:jc w:val="left"/>
            </w:pPr>
            <w:r>
              <w:t xml:space="preserve">Phase 2: Advanced ML</w:t>
            </w:r>
          </w:p>
        </w:tc>
        <w:tc>
          <w:tcPr/>
          <w:p>
            <w:pPr>
              <w:pStyle w:val="Compact"/>
              <w:jc w:val="left"/>
            </w:pPr>
            <w:r>
              <w:t xml:space="preserve">Spatio-temporal Deep Learning (LSTM &amp; Graph Neural Networks) for multi-station forecasting</w:t>
            </w:r>
          </w:p>
        </w:tc>
        <w:tc>
          <w:tcPr/>
          <w:p>
            <w:pPr>
              <w:pStyle w:val="Compact"/>
              <w:jc w:val="left"/>
            </w:pPr>
            <w:r>
              <w:t xml:space="preserve">Reduces multi-day forecast RMSE by an estimated 25-35%</w:t>
            </w:r>
          </w:p>
        </w:tc>
        <w:tc>
          <w:tcPr/>
          <w:p>
            <w:pPr>
              <w:pStyle w:val="Compact"/>
              <w:jc w:val="left"/>
            </w:pPr>
            <w:r>
              <w:t xml:space="preserve">High</w:t>
            </w:r>
          </w:p>
        </w:tc>
      </w:tr>
      <w:tr>
        <w:tc>
          <w:tcPr/>
          <w:p>
            <w:pPr>
              <w:pStyle w:val="Compact"/>
              <w:jc w:val="left"/>
            </w:pPr>
            <w:r>
              <w:t xml:space="preserve">Phase 3: Spatial Dispersion</w:t>
            </w:r>
          </w:p>
        </w:tc>
        <w:tc>
          <w:tcPr/>
          <w:p>
            <w:pPr>
              <w:pStyle w:val="Compact"/>
              <w:jc w:val="left"/>
            </w:pPr>
            <w:r>
              <w:t xml:space="preserve">Coupling WRF-Chem atmospheric weather models with satellite AOD data</w:t>
            </w:r>
          </w:p>
        </w:tc>
        <w:tc>
          <w:tcPr/>
          <w:p>
            <w:pPr>
              <w:pStyle w:val="Compact"/>
              <w:jc w:val="left"/>
            </w:pPr>
            <w:r>
              <w:t xml:space="preserve">Enables accurate plume dispersion tracking and source attribution</w:t>
            </w:r>
          </w:p>
        </w:tc>
        <w:tc>
          <w:tcPr/>
          <w:p>
            <w:pPr>
              <w:pStyle w:val="Compact"/>
              <w:jc w:val="left"/>
            </w:pPr>
            <w:r>
              <w:t xml:space="preserve">Very High</w:t>
            </w:r>
          </w:p>
        </w:tc>
      </w:tr>
      <w:tr>
        <w:tc>
          <w:tcPr/>
          <w:p>
            <w:pPr>
              <w:pStyle w:val="Compact"/>
              <w:jc w:val="left"/>
            </w:pPr>
            <w:r>
              <w:t xml:space="preserve">Phase 4: Civic Dissemination</w:t>
            </w:r>
          </w:p>
        </w:tc>
        <w:tc>
          <w:tcPr/>
          <w:p>
            <w:pPr>
              <w:pStyle w:val="Compact"/>
              <w:jc w:val="left"/>
            </w:pPr>
            <w:r>
              <w:t xml:space="preserve">Mobile Progressive Web App (PWA) with SMS/WhatsApp localized emergency alerts</w:t>
            </w:r>
          </w:p>
        </w:tc>
        <w:tc>
          <w:tcPr/>
          <w:p>
            <w:pPr>
              <w:pStyle w:val="Compact"/>
              <w:jc w:val="left"/>
            </w:pPr>
            <w:r>
              <w:t xml:space="preserve">Delivers life-saving air quality advisories directly to vulnerable communities</w:t>
            </w:r>
          </w:p>
        </w:tc>
        <w:tc>
          <w:tcPr/>
          <w:p>
            <w:pPr>
              <w:pStyle w:val="Compact"/>
              <w:jc w:val="left"/>
            </w:pPr>
            <w:r>
              <w:t xml:space="preserve">Medium</w:t>
            </w:r>
          </w:p>
        </w:tc>
      </w:tr>
    </w:tbl>
    <w:bookmarkEnd w:id="133"/>
    <w:bookmarkStart w:id="136" w:name="references-bibliography"/>
    <w:p>
      <w:pPr>
        <w:pStyle w:val="Heading1"/>
      </w:pPr>
      <w:r>
        <w:rPr>
          <w:rStyle w:val="SectionNumber"/>
        </w:rPr>
        <w:t xml:space="preserve">10</w:t>
      </w:r>
      <w:r>
        <w:tab/>
      </w:r>
      <w:r>
        <w:t xml:space="preserve">10. REFERENCES &amp; BIBLIOGRAPHY</w:t>
      </w:r>
    </w:p>
    <w:p>
      <w:pPr>
        <w:pStyle w:val="Compact"/>
        <w:numPr>
          <w:ilvl w:val="0"/>
          <w:numId w:val="1017"/>
        </w:numPr>
      </w:pPr>
      <w:r>
        <w:t xml:space="preserve">Central Pollution Control Board (CPCB), Ministry of Environment, Forest and Climate Change, Government of India. (2014).</w:t>
      </w:r>
      <w:r>
        <w:t xml:space="preserve"> </w:t>
      </w:r>
      <w:r>
        <w:rPr>
          <w:i/>
          <w:iCs/>
        </w:rPr>
        <w:t xml:space="preserve">National Air Quality Index (NAQI) Report</w:t>
      </w:r>
      <w:r>
        <w:t xml:space="preserve">. New Delhi: CPCB.</w:t>
      </w:r>
    </w:p>
    <w:p>
      <w:pPr>
        <w:pStyle w:val="Compact"/>
        <w:numPr>
          <w:ilvl w:val="0"/>
          <w:numId w:val="1017"/>
        </w:numPr>
      </w:pPr>
      <w:r>
        <w:t xml:space="preserve">Central Pollution Control Board (CPCB). (2009).</w:t>
      </w:r>
      <w:r>
        <w:t xml:space="preserve"> </w:t>
      </w:r>
      <w:r>
        <w:rPr>
          <w:i/>
          <w:iCs/>
        </w:rPr>
        <w:t xml:space="preserve">National Ambient Air Quality Standards (NAAQS)</w:t>
      </w:r>
      <w:r>
        <w:t xml:space="preserve">, Gazette of India, Extraordinary, Part III, Section 4.</w:t>
      </w:r>
    </w:p>
    <w:p>
      <w:pPr>
        <w:pStyle w:val="Compact"/>
        <w:numPr>
          <w:ilvl w:val="0"/>
          <w:numId w:val="1017"/>
        </w:numPr>
      </w:pPr>
      <w:r>
        <w:t xml:space="preserve">World Health Organization (WHO). (2021).</w:t>
      </w:r>
      <w:r>
        <w:t xml:space="preserve"> </w:t>
      </w:r>
      <w:r>
        <w:rPr>
          <w:i/>
          <w:iCs/>
        </w:rPr>
        <w:t xml:space="preserve">WHO Global Air Quality Guidelines: Particulate Matter (PM2.5 and PM10), Ozone, Nitrogen Dioxide, Sulfur Dioxide and Carbon Monoxide</w:t>
      </w:r>
      <w:r>
        <w:t xml:space="preserve">. Geneva: World Health Organization.</w:t>
      </w:r>
    </w:p>
    <w:p>
      <w:pPr>
        <w:pStyle w:val="Compact"/>
        <w:numPr>
          <w:ilvl w:val="0"/>
          <w:numId w:val="1017"/>
        </w:numPr>
      </w:pPr>
      <w:r>
        <w:t xml:space="preserve">Rao, Rohan. (2020).</w:t>
      </w:r>
      <w:r>
        <w:t xml:space="preserve"> </w:t>
      </w:r>
      <w:r>
        <w:rPr>
          <w:i/>
          <w:iCs/>
        </w:rPr>
        <w:t xml:space="preserve">Air Quality Data in India (2015-2020)</w:t>
      </w:r>
      <w:r>
        <w:t xml:space="preserve">. Distributed via Kaggle. Available at:</w:t>
      </w:r>
      <w:r>
        <w:t xml:space="preserve"> </w:t>
      </w:r>
      <w:hyperlink r:id="rId134">
        <w:r>
          <w:rPr>
            <w:rStyle w:val="Hyperlink"/>
          </w:rPr>
          <w:t xml:space="preserve">https://www.kaggle.com/datasets/rohanrao/air-quality-data-in-india</w:t>
        </w:r>
      </w:hyperlink>
      <w:r>
        <w:t xml:space="preserve">.</w:t>
      </w:r>
    </w:p>
    <w:p>
      <w:pPr>
        <w:pStyle w:val="Compact"/>
        <w:numPr>
          <w:ilvl w:val="0"/>
          <w:numId w:val="1017"/>
        </w:numPr>
      </w:pPr>
      <w:r>
        <w:t xml:space="preserve">Hyndman, R. J., &amp; Athanasopoulos, G. (2021).</w:t>
      </w:r>
      <w:r>
        <w:t xml:space="preserve"> </w:t>
      </w:r>
      <w:r>
        <w:rPr>
          <w:i/>
          <w:iCs/>
        </w:rPr>
        <w:t xml:space="preserve">Forecasting: Principles and Practice</w:t>
      </w:r>
      <w:r>
        <w:t xml:space="preserve"> </w:t>
      </w:r>
      <w:r>
        <w:t xml:space="preserve">(3rd ed.). OTexts: Melbourne, Australia.</w:t>
      </w:r>
    </w:p>
    <w:p>
      <w:pPr>
        <w:pStyle w:val="Compact"/>
        <w:numPr>
          <w:ilvl w:val="0"/>
          <w:numId w:val="1017"/>
        </w:numPr>
      </w:pPr>
      <w:r>
        <w:t xml:space="preserve">Wickham, H., &amp; Grolemund, G. (2017).</w:t>
      </w:r>
      <w:r>
        <w:t xml:space="preserve"> </w:t>
      </w:r>
      <w:r>
        <w:rPr>
          <w:i/>
          <w:iCs/>
        </w:rPr>
        <w:t xml:space="preserve">R for Data Science: Import, Tidy, Transform, Visualize, and Model Data</w:t>
      </w:r>
      <w:r>
        <w:t xml:space="preserve">. O’Reilly Media.</w:t>
      </w:r>
    </w:p>
    <w:p>
      <w:pPr>
        <w:pStyle w:val="Compact"/>
        <w:numPr>
          <w:ilvl w:val="0"/>
          <w:numId w:val="1017"/>
        </w:numPr>
      </w:pPr>
      <w:r>
        <w:t xml:space="preserve">Chang, W., Cheng, J., Allaire, J. J., Sievert, C., Schloerke, B., Xie, Y., Allen, J., McPherson, J., Dipert, A., &amp; Borges, B. (2023).</w:t>
      </w:r>
      <w:r>
        <w:t xml:space="preserve"> </w:t>
      </w:r>
      <w:r>
        <w:rPr>
          <w:i/>
          <w:iCs/>
        </w:rPr>
        <w:t xml:space="preserve">shiny: Web Application Framework for R</w:t>
      </w:r>
      <w:r>
        <w:t xml:space="preserve">. R package version 1.8.0.</w:t>
      </w:r>
    </w:p>
    <w:p>
      <w:pPr>
        <w:pStyle w:val="Compact"/>
        <w:numPr>
          <w:ilvl w:val="0"/>
          <w:numId w:val="1017"/>
        </w:numPr>
      </w:pPr>
      <w:r>
        <w:t xml:space="preserve">Sievert, C. (2020).</w:t>
      </w:r>
      <w:r>
        <w:t xml:space="preserve"> </w:t>
      </w:r>
      <w:r>
        <w:rPr>
          <w:i/>
          <w:iCs/>
        </w:rPr>
        <w:t xml:space="preserve">Interactive Web-Based Data Visualization with R, plotly, and shiny</w:t>
      </w:r>
      <w:r>
        <w:t xml:space="preserve">. Chapman and Hall/CRC.</w:t>
      </w:r>
    </w:p>
    <w:p>
      <w:pPr>
        <w:pStyle w:val="Compact"/>
        <w:numPr>
          <w:ilvl w:val="0"/>
          <w:numId w:val="1017"/>
        </w:numPr>
      </w:pPr>
      <w:r>
        <w:t xml:space="preserve">Silge, J., &amp; Robinson, D. (2017).</w:t>
      </w:r>
      <w:r>
        <w:t xml:space="preserve"> </w:t>
      </w:r>
      <w:r>
        <w:rPr>
          <w:i/>
          <w:iCs/>
        </w:rPr>
        <w:t xml:space="preserve">Text Mining with R: A Tidy Approach</w:t>
      </w:r>
      <w:r>
        <w:t xml:space="preserve">. O’Reilly Media.</w:t>
      </w:r>
    </w:p>
    <w:p>
      <w:pPr>
        <w:pStyle w:val="Compact"/>
        <w:numPr>
          <w:ilvl w:val="0"/>
          <w:numId w:val="1017"/>
        </w:numPr>
      </w:pPr>
      <w:r>
        <w:t xml:space="preserve">Panigrahi, Subrat. (2026).</w:t>
      </w:r>
      <w:r>
        <w:t xml:space="preserve"> </w:t>
      </w:r>
      <w:r>
        <w:rPr>
          <w:i/>
          <w:iCs/>
        </w:rPr>
        <w:t xml:space="preserve">AIRGUARD 360: Interactive Air Quality Intelligence Dashboard</w:t>
      </w:r>
      <w:r>
        <w:t xml:space="preserve">. GitHub Source Code Repository. Available at:</w:t>
      </w:r>
      <w:r>
        <w:t xml:space="preserve"> </w:t>
      </w:r>
      <w:hyperlink r:id="rId135">
        <w:r>
          <w:rPr>
            <w:rStyle w:val="Hyperlink"/>
          </w:rPr>
          <w:t xml:space="preserve">https://github.com/Subu2006/AIRGUARD-360</w:t>
        </w:r>
      </w:hyperlink>
      <w:r>
        <w:t xml:space="preserve">.</w:t>
      </w:r>
    </w:p>
    <w:bookmarkEnd w:id="136"/>
    <w:bookmarkStart w:id="139" w:name="Xe8da9b43e1bf15377fd8ec349134dcad70f7b02"/>
    <w:p>
      <w:pPr>
        <w:pStyle w:val="Heading1"/>
      </w:pPr>
      <w:r>
        <w:rPr>
          <w:rStyle w:val="SectionNumber"/>
        </w:rPr>
        <w:t xml:space="preserve">11</w:t>
      </w:r>
      <w:r>
        <w:tab/>
      </w:r>
      <w:r>
        <w:t xml:space="preserve">11. PROJECT RESOURCES, VERIFICATION SUITE &amp; RUN GUIDE</w:t>
      </w:r>
    </w:p>
    <w:bookmarkStart w:id="137" w:name="file-manifest-in-submitted-bundle"/>
    <w:p>
      <w:pPr>
        <w:pStyle w:val="Heading2"/>
      </w:pPr>
      <w:r>
        <w:rPr>
          <w:rStyle w:val="SectionNumber"/>
        </w:rPr>
        <w:t xml:space="preserve">11.1</w:t>
      </w:r>
      <w:r>
        <w:tab/>
      </w:r>
      <w:r>
        <w:t xml:space="preserve">11.1 File Manifest in Submitted Bundle</w:t>
      </w:r>
    </w:p>
    <w:p>
      <w:pPr>
        <w:pStyle w:val="SourceCode"/>
      </w:pPr>
      <w:r>
        <w:rPr>
          <w:rStyle w:val="VerbatimChar"/>
        </w:rPr>
        <w:t xml:space="preserve">AIRGUARD 360/</w:t>
      </w:r>
      <w:r>
        <w:br/>
      </w:r>
      <w:r>
        <w:rPr>
          <w:rStyle w:val="VerbatimChar"/>
        </w:rPr>
        <w:t xml:space="preserve">├── R/</w:t>
      </w:r>
      <w:r>
        <w:br/>
      </w:r>
      <w:r>
        <w:rPr>
          <w:rStyle w:val="VerbatimChar"/>
        </w:rPr>
        <w:t xml:space="preserve">│   ├── 00_config.R              # Standard thresholds, colors, and publication theme</w:t>
      </w:r>
      <w:r>
        <w:br/>
      </w:r>
      <w:r>
        <w:rPr>
          <w:rStyle w:val="VerbatimChar"/>
        </w:rPr>
        <w:t xml:space="preserve">│   ├── 01_data_import.R         # Ingestion, CSV loading, and SQLite database setup</w:t>
      </w:r>
      <w:r>
        <w:br/>
      </w:r>
      <w:r>
        <w:rPr>
          <w:rStyle w:val="VerbatimChar"/>
        </w:rPr>
        <w:t xml:space="preserve">│   ├── 02_data_cleaning.R       # Missingness audit, factor levels, and outlier flags</w:t>
      </w:r>
      <w:r>
        <w:br/>
      </w:r>
      <w:r>
        <w:rPr>
          <w:rStyle w:val="VerbatimChar"/>
        </w:rPr>
        <w:t xml:space="preserve">│   ├── 03_feature_engineering.R # Seasons, 7/30-day MAs, and Bollinger Bands</w:t>
      </w:r>
      <w:r>
        <w:br/>
      </w:r>
      <w:r>
        <w:rPr>
          <w:rStyle w:val="VerbatimChar"/>
        </w:rPr>
        <w:t xml:space="preserve">│   ├── 04_statistics.R          # Descriptive moments and 4 formal hypothesis tests</w:t>
      </w:r>
      <w:r>
        <w:br/>
      </w:r>
      <w:r>
        <w:rPr>
          <w:rStyle w:val="VerbatimChar"/>
        </w:rPr>
        <w:t xml:space="preserve">│   ├── 05_forecasting.R         # Native Base R ARIMA &amp; Holt-Winters forecasting</w:t>
      </w:r>
      <w:r>
        <w:br/>
      </w:r>
      <w:r>
        <w:rPr>
          <w:rStyle w:val="VerbatimChar"/>
        </w:rPr>
        <w:t xml:space="preserve">│   ├── 06_text_mining.R         # CPCB health advisory text mining &amp; word cloud</w:t>
      </w:r>
      <w:r>
        <w:br/>
      </w:r>
      <w:r>
        <w:rPr>
          <w:rStyle w:val="VerbatimChar"/>
        </w:rPr>
        <w:t xml:space="preserve">│   ├── 07_visualizations.R      # Reusable ggplot2, plotly, and station map routines</w:t>
      </w:r>
      <w:r>
        <w:br/>
      </w:r>
      <w:r>
        <w:rPr>
          <w:rStyle w:val="VerbatimChar"/>
        </w:rPr>
        <w:t xml:space="preserve">│   ├── 08_decision_support.R    # Environmental Vulnerability Index (EVI) &amp; GRAP</w:t>
      </w:r>
      <w:r>
        <w:br/>
      </w:r>
      <w:r>
        <w:rPr>
          <w:rStyle w:val="VerbatimChar"/>
        </w:rPr>
        <w:t xml:space="preserve">│   └── 09_sql_queries.R         # Direct SQL queries via DBI/RSQLite</w:t>
      </w:r>
      <w:r>
        <w:br/>
      </w:r>
      <w:r>
        <w:rPr>
          <w:rStyle w:val="VerbatimChar"/>
        </w:rPr>
        <w:t xml:space="preserve">├── data/</w:t>
      </w:r>
      <w:r>
        <w:br/>
      </w:r>
      <w:r>
        <w:rPr>
          <w:rStyle w:val="VerbatimChar"/>
        </w:rPr>
        <w:t xml:space="preserve">│   ├── raw/                     # Raw statutory CPCB CSV files and catalogues</w:t>
      </w:r>
      <w:r>
        <w:br/>
      </w:r>
      <w:r>
        <w:rPr>
          <w:rStyle w:val="VerbatimChar"/>
        </w:rPr>
        <w:t xml:space="preserve">│   ├── processed/               # Cleaned RDS analytical datasets</w:t>
      </w:r>
      <w:r>
        <w:br/>
      </w:r>
      <w:r>
        <w:rPr>
          <w:rStyle w:val="VerbatimChar"/>
        </w:rPr>
        <w:t xml:space="preserve">│   └── airguard.sqlite          # Embedded indexed SQLite relational database</w:t>
      </w:r>
      <w:r>
        <w:br/>
      </w:r>
      <w:r>
        <w:rPr>
          <w:rStyle w:val="VerbatimChar"/>
        </w:rPr>
        <w:t xml:space="preserve">├── outputs/</w:t>
      </w:r>
      <w:r>
        <w:br/>
      </w:r>
      <w:r>
        <w:rPr>
          <w:rStyle w:val="VerbatimChar"/>
        </w:rPr>
        <w:t xml:space="preserve">│   ├── tables/                  # Empirical CSV/RDS statistical summaries and models</w:t>
      </w:r>
      <w:r>
        <w:br/>
      </w:r>
      <w:r>
        <w:rPr>
          <w:rStyle w:val="VerbatimChar"/>
        </w:rPr>
        <w:t xml:space="preserve">│   └── figures/                 # 9 High-resolution publication-quality PNG charts</w:t>
      </w:r>
      <w:r>
        <w:br/>
      </w:r>
      <w:r>
        <w:rPr>
          <w:rStyle w:val="VerbatimChar"/>
        </w:rPr>
        <w:t xml:space="preserve">├── reports/</w:t>
      </w:r>
      <w:r>
        <w:br/>
      </w:r>
      <w:r>
        <w:rPr>
          <w:rStyle w:val="VerbatimChar"/>
        </w:rPr>
        <w:t xml:space="preserve">│   ├── airguard_project_report.Rmd  # Master R Markdown academic report</w:t>
      </w:r>
      <w:r>
        <w:br/>
      </w:r>
      <w:r>
        <w:rPr>
          <w:rStyle w:val="VerbatimChar"/>
        </w:rPr>
        <w:t xml:space="preserve">│   ├── AIRGUARD_360_Project_Report.docx # Formatted Microsoft Word Report</w:t>
      </w:r>
      <w:r>
        <w:br/>
      </w:r>
      <w:r>
        <w:rPr>
          <w:rStyle w:val="VerbatimChar"/>
        </w:rPr>
        <w:t xml:space="preserve">│   ├── AIRGUARD_360_Project_Report.pdf  # Publication-grade PDF Report</w:t>
      </w:r>
      <w:r>
        <w:br/>
      </w:r>
      <w:r>
        <w:rPr>
          <w:rStyle w:val="VerbatimChar"/>
        </w:rPr>
        <w:t xml:space="preserve">│   ├── AIRGUARD_360_Project_Report.html # Standalone interactive HTML report</w:t>
      </w:r>
      <w:r>
        <w:br/>
      </w:r>
      <w:r>
        <w:rPr>
          <w:rStyle w:val="VerbatimChar"/>
        </w:rPr>
        <w:t xml:space="preserve">│   └── airguard_dashboard.html      # Compiled standalone R Markdown dashboard</w:t>
      </w:r>
      <w:r>
        <w:br/>
      </w:r>
      <w:r>
        <w:rPr>
          <w:rStyle w:val="VerbatimChar"/>
        </w:rPr>
        <w:t xml:space="preserve">├── tests/</w:t>
      </w:r>
      <w:r>
        <w:br/>
      </w:r>
      <w:r>
        <w:rPr>
          <w:rStyle w:val="VerbatimChar"/>
        </w:rPr>
        <w:t xml:space="preserve">│   └── test_shiny_app.R         # Automated verification suite (100% test pass)</w:t>
      </w:r>
      <w:r>
        <w:br/>
      </w:r>
      <w:r>
        <w:rPr>
          <w:rStyle w:val="VerbatimChar"/>
        </w:rPr>
        <w:t xml:space="preserve">├── app.R                        # Reactive Shiny Dashboard (bslib + plotly)</w:t>
      </w:r>
      <w:r>
        <w:br/>
      </w:r>
      <w:r>
        <w:rPr>
          <w:rStyle w:val="VerbatimChar"/>
        </w:rPr>
        <w:t xml:space="preserve">├── dashboard.Rmd                # Standalone Interactive R Markdown Dashboard (flexdashboard)</w:t>
      </w:r>
      <w:r>
        <w:br/>
      </w:r>
      <w:r>
        <w:rPr>
          <w:rStyle w:val="VerbatimChar"/>
        </w:rPr>
        <w:t xml:space="preserve">├── dashboard.html               # Compiled zero-server interactive HTML dashboard</w:t>
      </w:r>
      <w:r>
        <w:br/>
      </w:r>
      <w:r>
        <w:rPr>
          <w:rStyle w:val="VerbatimChar"/>
        </w:rPr>
        <w:t xml:space="preserve">├── run_pipeline.R               # Master end-to-end execution script</w:t>
      </w:r>
      <w:r>
        <w:br/>
      </w:r>
      <w:r>
        <w:rPr>
          <w:rStyle w:val="VerbatimChar"/>
        </w:rPr>
        <w:t xml:space="preserve">├── generate_figures.R           # Publication figure generator</w:t>
      </w:r>
      <w:r>
        <w:br/>
      </w:r>
      <w:r>
        <w:rPr>
          <w:rStyle w:val="VerbatimChar"/>
        </w:rPr>
        <w:t xml:space="preserve">├── VIVA_PREPARATION_GUIDE.md    # 30 Technical Viva questions, pitch &amp; cheat-sheet</w:t>
      </w:r>
      <w:r>
        <w:br/>
      </w:r>
      <w:r>
        <w:rPr>
          <w:rStyle w:val="VerbatimChar"/>
        </w:rPr>
        <w:t xml:space="preserve">├── LINKEDIN_POST_KIT.md         # Viral post copy drafts, hashtags &amp; 24-hr growth strategy</w:t>
      </w:r>
      <w:r>
        <w:br/>
      </w:r>
      <w:r>
        <w:rPr>
          <w:rStyle w:val="VerbatimChar"/>
        </w:rPr>
        <w:t xml:space="preserve">├── README.md                    # Comprehensive enterprise documentation &amp; rubrics matrix</w:t>
      </w:r>
      <w:r>
        <w:br/>
      </w:r>
      <w:r>
        <w:rPr>
          <w:rStyle w:val="VerbatimChar"/>
        </w:rPr>
        <w:t xml:space="preserve">└── .gitignore                   # Version control exclusions</w:t>
      </w:r>
    </w:p>
    <w:bookmarkEnd w:id="137"/>
    <w:bookmarkStart w:id="138" w:name="reproduction-execution-guide"/>
    <w:p>
      <w:pPr>
        <w:pStyle w:val="Heading2"/>
      </w:pPr>
      <w:r>
        <w:rPr>
          <w:rStyle w:val="SectionNumber"/>
        </w:rPr>
        <w:t xml:space="preserve">11.2</w:t>
      </w:r>
      <w:r>
        <w:tab/>
      </w:r>
      <w:r>
        <w:t xml:space="preserve">11.2 Reproduction &amp; Execution Guide</w:t>
      </w:r>
    </w:p>
    <w:p>
      <w:pPr>
        <w:pStyle w:val="Compact"/>
        <w:numPr>
          <w:ilvl w:val="0"/>
          <w:numId w:val="1018"/>
        </w:numPr>
      </w:pPr>
      <w:r>
        <w:rPr>
          <w:b/>
          <w:bCs/>
        </w:rPr>
        <w:t xml:space="preserve">Set Working Directory:</w:t>
      </w:r>
    </w:p>
    <w:p>
      <w:pPr>
        <w:pStyle w:val="SourceCode"/>
      </w:pPr>
      <w:r>
        <w:rPr>
          <w:rStyle w:val="FunctionTok"/>
        </w:rPr>
        <w:t xml:space="preserve">setwd</w:t>
      </w:r>
      <w:r>
        <w:rPr>
          <w:rStyle w:val="NormalTok"/>
        </w:rPr>
        <w:t xml:space="preserve">(</w:t>
      </w:r>
      <w:r>
        <w:rPr>
          <w:rStyle w:val="StringTok"/>
        </w:rPr>
        <w:t xml:space="preserve">"c:/Users/subra/OneDrive/Desktop/AIRGUARD 360"</w:t>
      </w:r>
      <w:r>
        <w:rPr>
          <w:rStyle w:val="NormalTok"/>
        </w:rPr>
        <w:t xml:space="preserve">)</w:t>
      </w:r>
    </w:p>
    <w:p>
      <w:pPr>
        <w:pStyle w:val="Compact"/>
        <w:numPr>
          <w:ilvl w:val="0"/>
          <w:numId w:val="1019"/>
        </w:numPr>
      </w:pPr>
      <w:r>
        <w:rPr>
          <w:b/>
          <w:bCs/>
        </w:rPr>
        <w:t xml:space="preserve">Execute Master Pipeline:</w:t>
      </w:r>
    </w:p>
    <w:p>
      <w:pPr>
        <w:pStyle w:val="SourceCode"/>
      </w:pPr>
      <w:r>
        <w:rPr>
          <w:rStyle w:val="FunctionTok"/>
        </w:rPr>
        <w:t xml:space="preserve">source</w:t>
      </w:r>
      <w:r>
        <w:rPr>
          <w:rStyle w:val="NormalTok"/>
        </w:rPr>
        <w:t xml:space="preserve">(</w:t>
      </w:r>
      <w:r>
        <w:rPr>
          <w:rStyle w:val="StringTok"/>
        </w:rPr>
        <w:t xml:space="preserve">"run_pipeline.R"</w:t>
      </w:r>
      <w:r>
        <w:rPr>
          <w:rStyle w:val="NormalTok"/>
        </w:rPr>
        <w:t xml:space="preserve">)</w:t>
      </w:r>
    </w:p>
    <w:p>
      <w:pPr>
        <w:pStyle w:val="Compact"/>
        <w:numPr>
          <w:ilvl w:val="0"/>
          <w:numId w:val="1020"/>
        </w:numPr>
      </w:pPr>
      <w:r>
        <w:rPr>
          <w:b/>
          <w:bCs/>
        </w:rPr>
        <w:t xml:space="preserve">Generate Publication Figures:</w:t>
      </w:r>
    </w:p>
    <w:p>
      <w:pPr>
        <w:pStyle w:val="SourceCode"/>
      </w:pPr>
      <w:r>
        <w:rPr>
          <w:rStyle w:val="FunctionTok"/>
        </w:rPr>
        <w:t xml:space="preserve">source</w:t>
      </w:r>
      <w:r>
        <w:rPr>
          <w:rStyle w:val="NormalTok"/>
        </w:rPr>
        <w:t xml:space="preserve">(</w:t>
      </w:r>
      <w:r>
        <w:rPr>
          <w:rStyle w:val="StringTok"/>
        </w:rPr>
        <w:t xml:space="preserve">"generate_figures.R"</w:t>
      </w:r>
      <w:r>
        <w:rPr>
          <w:rStyle w:val="NormalTok"/>
        </w:rPr>
        <w:t xml:space="preserve">)</w:t>
      </w:r>
    </w:p>
    <w:p>
      <w:pPr>
        <w:pStyle w:val="Compact"/>
        <w:numPr>
          <w:ilvl w:val="0"/>
          <w:numId w:val="1021"/>
        </w:numPr>
      </w:pPr>
      <w:r>
        <w:rPr>
          <w:b/>
          <w:bCs/>
        </w:rPr>
        <w:t xml:space="preserve">Launch Interactive Dashboard:</w:t>
      </w:r>
    </w:p>
    <w:p>
      <w:pPr>
        <w:pStyle w:val="SourceCode"/>
      </w:pPr>
      <w:r>
        <w:rPr>
          <w:rStyle w:val="NormalTok"/>
        </w:rPr>
        <w:t xml:space="preserve">shiny</w:t>
      </w:r>
      <w:r>
        <w:rPr>
          <w:rStyle w:val="SpecialCharTok"/>
        </w:rPr>
        <w:t xml:space="preserve">::</w:t>
      </w:r>
      <w:r>
        <w:rPr>
          <w:rStyle w:val="FunctionTok"/>
        </w:rPr>
        <w:t xml:space="preserve">runApp</w:t>
      </w:r>
      <w:r>
        <w:rPr>
          <w:rStyle w:val="NormalTok"/>
        </w:rPr>
        <w:t xml:space="preserve">(</w:t>
      </w:r>
      <w:r>
        <w:rPr>
          <w:rStyle w:val="StringTok"/>
        </w:rPr>
        <w:t xml:space="preserve">"app.R"</w:t>
      </w:r>
      <w:r>
        <w:rPr>
          <w:rStyle w:val="NormalTok"/>
        </w:rPr>
        <w:t xml:space="preserve">)</w:t>
      </w:r>
    </w:p>
    <w:p>
      <w:pPr>
        <w:pStyle w:val="Compact"/>
        <w:numPr>
          <w:ilvl w:val="0"/>
          <w:numId w:val="1022"/>
        </w:numPr>
      </w:pPr>
      <w:r>
        <w:rPr>
          <w:b/>
          <w:bCs/>
        </w:rPr>
        <w:t xml:space="preserve">Run Automated Test Suite:</w:t>
      </w:r>
    </w:p>
    <w:p>
      <w:pPr>
        <w:pStyle w:val="SourceCode"/>
      </w:pPr>
      <w:r>
        <w:rPr>
          <w:rStyle w:val="FunctionTok"/>
        </w:rPr>
        <w:t xml:space="preserve">source</w:t>
      </w:r>
      <w:r>
        <w:rPr>
          <w:rStyle w:val="NormalTok"/>
        </w:rPr>
        <w:t xml:space="preserve">(</w:t>
      </w:r>
      <w:r>
        <w:rPr>
          <w:rStyle w:val="StringTok"/>
        </w:rPr>
        <w:t xml:space="preserve">"tests/test_shiny_app.R"</w:t>
      </w:r>
      <w:r>
        <w:rPr>
          <w:rStyle w:val="NormalTok"/>
        </w:rPr>
        <w:t xml:space="preserve">)</w:t>
      </w:r>
    </w:p>
    <w:bookmarkEnd w:id="138"/>
    <w:bookmarkEnd w:id="139"/>
    <w:bookmarkStart w:id="140" w:name="X57c6bd8855f1e8402cc00716a77b85b0e88f13e"/>
    <w:p>
      <w:pPr>
        <w:pStyle w:val="Heading1"/>
      </w:pPr>
      <w:r>
        <w:t xml:space="preserve">APPENDIX A: METRIC, PARAMETER &amp; FIELD GLOSSARY</w:t>
      </w:r>
    </w:p>
    <w:p>
      <w:pPr>
        <w:pStyle w:val="TableCaption"/>
      </w:pPr>
      <w:r>
        <w:t xml:space="preserve">Statutory Ambient Air Quality Metric and Field Glossary</w:t>
      </w:r>
    </w:p>
    <w:tbl>
      <w:tblPr>
        <w:tblStyle w:val="Table"/>
        <w:tblW w:type="pct" w:w="5000"/>
        <w:tblLayout w:type="fixed"/>
        <w:tblLook w:firstRow="1" w:lastRow="0" w:firstColumn="0" w:lastColumn="0" w:noHBand="0" w:noVBand="0" w:val="0020"/>
        <w:tblCaption w:val="Statutory Ambient Air Quality Metric and Field Glossary"/>
      </w:tblPr>
      <w:tblGrid>
        <w:gridCol w:w="924"/>
        <w:gridCol w:w="4971"/>
        <w:gridCol w:w="867"/>
        <w:gridCol w:w="1156"/>
      </w:tblGrid>
      <w:tr>
        <w:trPr>
          <w:tblHeader w:val="on"/>
        </w:trPr>
        <w:tc>
          <w:tcPr/>
          <w:p>
            <w:pPr>
              <w:pStyle w:val="Compact"/>
              <w:jc w:val="left"/>
            </w:pPr>
            <w:r>
              <w:t xml:space="preserve">Field_or_Metric</w:t>
            </w:r>
          </w:p>
        </w:tc>
        <w:tc>
          <w:tcPr/>
          <w:p>
            <w:pPr>
              <w:pStyle w:val="Compact"/>
              <w:jc w:val="left"/>
            </w:pPr>
            <w:r>
              <w:t xml:space="preserve">Definition</w:t>
            </w:r>
          </w:p>
        </w:tc>
        <w:tc>
          <w:tcPr/>
          <w:p>
            <w:pPr>
              <w:pStyle w:val="Compact"/>
              <w:jc w:val="left"/>
            </w:pPr>
            <w:r>
              <w:t xml:space="preserve">Units_or_Range</w:t>
            </w:r>
          </w:p>
        </w:tc>
        <w:tc>
          <w:tcPr/>
          <w:p>
            <w:pPr>
              <w:pStyle w:val="Compact"/>
              <w:jc w:val="left"/>
            </w:pPr>
            <w:r>
              <w:t xml:space="preserve">Regulatory_Standard</w:t>
            </w:r>
          </w:p>
        </w:tc>
      </w:tr>
      <w:tr>
        <w:tc>
          <w:tcPr/>
          <w:p>
            <w:pPr>
              <w:pStyle w:val="Compact"/>
              <w:jc w:val="left"/>
            </w:pPr>
            <w:r>
              <w:t xml:space="preserve">AQI</w:t>
            </w:r>
          </w:p>
        </w:tc>
        <w:tc>
          <w:tcPr/>
          <w:p>
            <w:pPr>
              <w:pStyle w:val="Compact"/>
              <w:jc w:val="left"/>
            </w:pPr>
            <w:r>
              <w:t xml:space="preserve">Air Quality Index; composite index communicating air health risk on a 0–500 scale</w:t>
            </w:r>
          </w:p>
        </w:tc>
        <w:tc>
          <w:tcPr/>
          <w:p>
            <w:pPr>
              <w:pStyle w:val="Compact"/>
              <w:jc w:val="left"/>
            </w:pPr>
            <w:r>
              <w:t xml:space="preserve">0–500 index</w:t>
            </w:r>
          </w:p>
        </w:tc>
        <w:tc>
          <w:tcPr/>
          <w:p>
            <w:pPr>
              <w:pStyle w:val="Compact"/>
              <w:jc w:val="left"/>
            </w:pPr>
            <w:r>
              <w:t xml:space="preserve">NAQI &lt;= 100</w:t>
            </w:r>
          </w:p>
        </w:tc>
      </w:tr>
      <w:tr>
        <w:tc>
          <w:tcPr/>
          <w:p>
            <w:pPr>
              <w:pStyle w:val="Compact"/>
              <w:jc w:val="left"/>
            </w:pPr>
            <w:r>
              <w:t xml:space="preserve">PM2.5</w:t>
            </w:r>
          </w:p>
        </w:tc>
        <w:tc>
          <w:tcPr/>
          <w:p>
            <w:pPr>
              <w:pStyle w:val="Compact"/>
              <w:jc w:val="left"/>
            </w:pPr>
            <w:r>
              <w:t xml:space="preserve">Fine particulate matter with aerodynamic diameter &lt;= 2.5 micrometers (respirable)</w:t>
            </w:r>
          </w:p>
        </w:tc>
        <w:tc>
          <w:tcPr/>
          <w:p>
            <w:pPr>
              <w:pStyle w:val="Compact"/>
              <w:jc w:val="left"/>
            </w:pPr>
            <w:r>
              <w:t xml:space="preserve">µg/m³</w:t>
            </w:r>
          </w:p>
        </w:tc>
        <w:tc>
          <w:tcPr/>
          <w:p>
            <w:pPr>
              <w:pStyle w:val="Compact"/>
              <w:jc w:val="left"/>
            </w:pPr>
            <w:r>
              <w:t xml:space="preserve">60 µg/m³ (24-hr)</w:t>
            </w:r>
          </w:p>
        </w:tc>
      </w:tr>
      <w:tr>
        <w:tc>
          <w:tcPr/>
          <w:p>
            <w:pPr>
              <w:pStyle w:val="Compact"/>
              <w:jc w:val="left"/>
            </w:pPr>
            <w:r>
              <w:t xml:space="preserve">PM10</w:t>
            </w:r>
          </w:p>
        </w:tc>
        <w:tc>
          <w:tcPr/>
          <w:p>
            <w:pPr>
              <w:pStyle w:val="Compact"/>
              <w:jc w:val="left"/>
            </w:pPr>
            <w:r>
              <w:t xml:space="preserve">Coarse particulate matter with aerodynamic diameter &lt;= 10 micrometers (inhalable)</w:t>
            </w:r>
          </w:p>
        </w:tc>
        <w:tc>
          <w:tcPr/>
          <w:p>
            <w:pPr>
              <w:pStyle w:val="Compact"/>
              <w:jc w:val="left"/>
            </w:pPr>
            <w:r>
              <w:t xml:space="preserve">µg/m³</w:t>
            </w:r>
          </w:p>
        </w:tc>
        <w:tc>
          <w:tcPr/>
          <w:p>
            <w:pPr>
              <w:pStyle w:val="Compact"/>
              <w:jc w:val="left"/>
            </w:pPr>
            <w:r>
              <w:t xml:space="preserve">100 µg/m³ (24-hr)</w:t>
            </w:r>
          </w:p>
        </w:tc>
      </w:tr>
      <w:tr>
        <w:tc>
          <w:tcPr/>
          <w:p>
            <w:pPr>
              <w:pStyle w:val="Compact"/>
              <w:jc w:val="left"/>
            </w:pPr>
            <w:r>
              <w:t xml:space="preserve">NO2</w:t>
            </w:r>
          </w:p>
        </w:tc>
        <w:tc>
          <w:tcPr/>
          <w:p>
            <w:pPr>
              <w:pStyle w:val="Compact"/>
              <w:jc w:val="left"/>
            </w:pPr>
            <w:r>
              <w:t xml:space="preserve">Nitrogen Dioxide; criteria gaseous combustion byproduct from vehicles and industry</w:t>
            </w:r>
          </w:p>
        </w:tc>
        <w:tc>
          <w:tcPr/>
          <w:p>
            <w:pPr>
              <w:pStyle w:val="Compact"/>
              <w:jc w:val="left"/>
            </w:pPr>
            <w:r>
              <w:t xml:space="preserve">µg/m³</w:t>
            </w:r>
          </w:p>
        </w:tc>
        <w:tc>
          <w:tcPr/>
          <w:p>
            <w:pPr>
              <w:pStyle w:val="Compact"/>
              <w:jc w:val="left"/>
            </w:pPr>
            <w:r>
              <w:t xml:space="preserve">80 µg/m³ (24-hr)</w:t>
            </w:r>
          </w:p>
        </w:tc>
      </w:tr>
      <w:tr>
        <w:tc>
          <w:tcPr/>
          <w:p>
            <w:pPr>
              <w:pStyle w:val="Compact"/>
              <w:jc w:val="left"/>
            </w:pPr>
            <w:r>
              <w:t xml:space="preserve">SO2</w:t>
            </w:r>
          </w:p>
        </w:tc>
        <w:tc>
          <w:tcPr/>
          <w:p>
            <w:pPr>
              <w:pStyle w:val="Compact"/>
              <w:jc w:val="left"/>
            </w:pPr>
            <w:r>
              <w:t xml:space="preserve">Sulphur Dioxide; gaseous combustion byproduct from coal combustion and smelters</w:t>
            </w:r>
          </w:p>
        </w:tc>
        <w:tc>
          <w:tcPr/>
          <w:p>
            <w:pPr>
              <w:pStyle w:val="Compact"/>
              <w:jc w:val="left"/>
            </w:pPr>
            <w:r>
              <w:t xml:space="preserve">µg/m³</w:t>
            </w:r>
          </w:p>
        </w:tc>
        <w:tc>
          <w:tcPr/>
          <w:p>
            <w:pPr>
              <w:pStyle w:val="Compact"/>
              <w:jc w:val="left"/>
            </w:pPr>
            <w:r>
              <w:t xml:space="preserve">80 µg/m³ (24-hr)</w:t>
            </w:r>
          </w:p>
        </w:tc>
      </w:tr>
      <w:tr>
        <w:tc>
          <w:tcPr/>
          <w:p>
            <w:pPr>
              <w:pStyle w:val="Compact"/>
              <w:jc w:val="left"/>
            </w:pPr>
            <w:r>
              <w:t xml:space="preserve">CO</w:t>
            </w:r>
          </w:p>
        </w:tc>
        <w:tc>
          <w:tcPr/>
          <w:p>
            <w:pPr>
              <w:pStyle w:val="Compact"/>
              <w:jc w:val="left"/>
            </w:pPr>
            <w:r>
              <w:t xml:space="preserve">Carbon Monoxide; toxic product of incomplete hydrocarbon combustion</w:t>
            </w:r>
          </w:p>
        </w:tc>
        <w:tc>
          <w:tcPr/>
          <w:p>
            <w:pPr>
              <w:pStyle w:val="Compact"/>
              <w:jc w:val="left"/>
            </w:pPr>
            <w:r>
              <w:t xml:space="preserve">mg/m³</w:t>
            </w:r>
          </w:p>
        </w:tc>
        <w:tc>
          <w:tcPr/>
          <w:p>
            <w:pPr>
              <w:pStyle w:val="Compact"/>
              <w:jc w:val="left"/>
            </w:pPr>
            <w:r>
              <w:t xml:space="preserve">2.0 mg/m³ (8-hr)</w:t>
            </w:r>
          </w:p>
        </w:tc>
      </w:tr>
      <w:tr>
        <w:tc>
          <w:tcPr/>
          <w:p>
            <w:pPr>
              <w:pStyle w:val="Compact"/>
              <w:jc w:val="left"/>
            </w:pPr>
            <w:r>
              <w:t xml:space="preserve">O3</w:t>
            </w:r>
          </w:p>
        </w:tc>
        <w:tc>
          <w:tcPr/>
          <w:p>
            <w:pPr>
              <w:pStyle w:val="Compact"/>
              <w:jc w:val="left"/>
            </w:pPr>
            <w:r>
              <w:t xml:space="preserve">Ground-level Tropospheric Ozone; secondary photochemical oxidant</w:t>
            </w:r>
          </w:p>
        </w:tc>
        <w:tc>
          <w:tcPr/>
          <w:p>
            <w:pPr>
              <w:pStyle w:val="Compact"/>
              <w:jc w:val="left"/>
            </w:pPr>
            <w:r>
              <w:t xml:space="preserve">µg/m³</w:t>
            </w:r>
          </w:p>
        </w:tc>
        <w:tc>
          <w:tcPr/>
          <w:p>
            <w:pPr>
              <w:pStyle w:val="Compact"/>
              <w:jc w:val="left"/>
            </w:pPr>
            <w:r>
              <w:t xml:space="preserve">100 µg/m³ (8-hr)</w:t>
            </w:r>
          </w:p>
        </w:tc>
      </w:tr>
      <w:tr>
        <w:tc>
          <w:tcPr/>
          <w:p>
            <w:pPr>
              <w:pStyle w:val="Compact"/>
              <w:jc w:val="left"/>
            </w:pPr>
            <w:r>
              <w:t xml:space="preserve">EVI</w:t>
            </w:r>
          </w:p>
        </w:tc>
        <w:tc>
          <w:tcPr/>
          <w:p>
            <w:pPr>
              <w:pStyle w:val="Compact"/>
              <w:jc w:val="left"/>
            </w:pPr>
            <w:r>
              <w:t xml:space="preserve">Environmental Vulnerability Index; multi-criteria score (0–100) weighting severity</w:t>
            </w:r>
          </w:p>
        </w:tc>
        <w:tc>
          <w:tcPr/>
          <w:p>
            <w:pPr>
              <w:pStyle w:val="Compact"/>
              <w:jc w:val="left"/>
            </w:pPr>
            <w:r>
              <w:t xml:space="preserve">0–100 score</w:t>
            </w:r>
          </w:p>
        </w:tc>
        <w:tc>
          <w:tcPr/>
          <w:p>
            <w:pPr>
              <w:pStyle w:val="Compact"/>
              <w:jc w:val="left"/>
            </w:pPr>
            <w:r>
              <w:t xml:space="preserve">EVI &lt; 35 (Tier 3)</w:t>
            </w:r>
          </w:p>
        </w:tc>
      </w:tr>
      <w:tr>
        <w:tc>
          <w:tcPr/>
          <w:p>
            <w:pPr>
              <w:pStyle w:val="Compact"/>
              <w:jc w:val="left"/>
            </w:pPr>
            <w:r>
              <w:t xml:space="preserve">Bollinger Spike</w:t>
            </w:r>
          </w:p>
        </w:tc>
        <w:tc>
          <w:tcPr/>
          <w:p>
            <w:pPr>
              <w:pStyle w:val="Compact"/>
              <w:jc w:val="left"/>
            </w:pPr>
            <w:r>
              <w:t xml:space="preserve">Binary indicator (1/0) flagging observations exceeding the 20-day MA + 2 SD ceiling</w:t>
            </w:r>
          </w:p>
        </w:tc>
        <w:tc>
          <w:tcPr/>
          <w:p>
            <w:pPr>
              <w:pStyle w:val="Compact"/>
              <w:jc w:val="left"/>
            </w:pPr>
            <w:r>
              <w:t xml:space="preserve">Binary</w:t>
            </w:r>
          </w:p>
        </w:tc>
        <w:tc>
          <w:tcPr/>
          <w:p>
            <w:pPr>
              <w:pStyle w:val="Compact"/>
              <w:jc w:val="left"/>
            </w:pPr>
            <w:r>
              <w:t xml:space="preserve">+2σ threshold</w:t>
            </w:r>
          </w:p>
        </w:tc>
      </w:tr>
      <w:tr>
        <w:tc>
          <w:tcPr/>
          <w:p>
            <w:pPr>
              <w:pStyle w:val="Compact"/>
              <w:jc w:val="left"/>
            </w:pPr>
            <w:r>
              <w:t xml:space="preserve">GRAP Stage</w:t>
            </w:r>
          </w:p>
        </w:tc>
        <w:tc>
          <w:tcPr/>
          <w:p>
            <w:pPr>
              <w:pStyle w:val="Compact"/>
              <w:jc w:val="left"/>
            </w:pPr>
            <w:r>
              <w:t xml:space="preserve">Graded Response Action Plan; statutory emergency operational mitigation tier (0 to 4)</w:t>
            </w:r>
          </w:p>
        </w:tc>
        <w:tc>
          <w:tcPr/>
          <w:p>
            <w:pPr>
              <w:pStyle w:val="Compact"/>
              <w:jc w:val="left"/>
            </w:pPr>
            <w:r>
              <w:t xml:space="preserve">Stage 0 to 4</w:t>
            </w:r>
          </w:p>
        </w:tc>
        <w:tc>
          <w:tcPr/>
          <w:p>
            <w:pPr>
              <w:pStyle w:val="Compact"/>
              <w:jc w:val="left"/>
            </w:pPr>
            <w:r>
              <w:t xml:space="preserve">CPCB Gazetted</w:t>
            </w:r>
          </w:p>
        </w:tc>
      </w:tr>
    </w:tbl>
    <w:bookmarkEnd w:id="1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73" Target="media/rId73.png" /><Relationship Type="http://schemas.openxmlformats.org/officeDocument/2006/relationships/image" Id="rId96" Target="media/rId96.png" /><Relationship Type="http://schemas.openxmlformats.org/officeDocument/2006/relationships/image" Id="rId115" Target="media/rId115.png" /><Relationship Type="http://schemas.openxmlformats.org/officeDocument/2006/relationships/image" Id="rId52" Target="media/rId52.png" /><Relationship Type="http://schemas.openxmlformats.org/officeDocument/2006/relationships/image" Id="rId87" Target="media/rId87.png" /><Relationship Type="http://schemas.openxmlformats.org/officeDocument/2006/relationships/hyperlink" Id="rId135" Target="https://github.com/Subu2006/AIRGUARD-360" TargetMode="External" /><Relationship Type="http://schemas.openxmlformats.org/officeDocument/2006/relationships/hyperlink" Id="rId134" Target="https://www.kaggle.com/datasets/rohanrao/air-quality-data-in-india" TargetMode="External" /></Relationships>
</file>

<file path=word/_rels/footnotes.xml.rels><?xml version="1.0" encoding="UTF-8"?><Relationships xmlns="http://schemas.openxmlformats.org/package/2006/relationships"><Relationship Type="http://schemas.openxmlformats.org/officeDocument/2006/relationships/hyperlink" Id="rId135" Target="https://github.com/Subu2006/AIRGUARD-360" TargetMode="External" /><Relationship Type="http://schemas.openxmlformats.org/officeDocument/2006/relationships/hyperlink" Id="rId134" Target="https://www.kaggle.com/datasets/rohanrao/air-quality-data-in-ind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AIRGUARD 360: An Interactive Air Quality Intelligence, Multi-Pollutant Analytics &amp; Environmental Decision-Support System</dc:title>
  <dc:creator>Subrat Panigrahi (Reg No: 26143073, Section: N1)</dc:creator>
  <cp:keywords/>
  <dcterms:created xsi:type="dcterms:W3CDTF">2026-10-26T16:50:38Z</dcterms:created>
  <dcterms:modified xsi:type="dcterms:W3CDTF">2026-10-26T16:50:38Z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Academic Year 2025-2026</vt:lpwstr>
  </property>
  <property fmtid="{D5CDD505-2E9C-101B-9397-08002B2CF9AE}" pid="3" name="output">
    <vt:lpwstr/>
  </property>
  <property fmtid="{D5CDD505-2E9C-101B-9397-08002B2CF9AE}" pid="4" name="subtitle">
    <vt:lpwstr>INT232: Data Science Toolbox : R Programming — Project Report</vt:lpwstr>
  </property>
</Properties>
</file>