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163447"/>
          <w:sz w:val="26"/>
        </w:rPr>
        <w:t>CSE273: FOUNDATIONS OF MACHINE LEARNING</w:t>
      </w:r>
    </w:p>
    <w:p>
      <w:pPr>
        <w:spacing w:before="0" w:after="360"/>
        <w:jc w:val="center"/>
      </w:pPr>
      <w:r>
        <w:rPr>
          <w:color w:val="5E7480"/>
          <w:sz w:val="19"/>
        </w:rPr>
        <w:t>PROJECT REPORT (ACADEMIC SESSION 2026–2027)</w:t>
        <w:br/>
        <w:t>L:2  T:0  P:2  |  Credits: 3</w:t>
      </w:r>
    </w:p>
    <w:tbl>
      <w:tblPr>
        <w:tblW w:type="auto" w:w="0"/>
        <w:jc w:val="center"/>
        <w:tblLayout w:type="fixed"/>
        <w:tblLook w:firstColumn="1" w:firstRow="1" w:lastColumn="0" w:lastRow="0" w:noHBand="0" w:noVBand="1" w:val="04A0"/>
      </w:tblPr>
      <w:tblGrid>
        <w:gridCol w:w="9936"/>
      </w:tblGrid>
      <w:tr>
        <w:tc>
          <w:tcPr>
            <w:tcW w:type="dxa" w:w="9864"/>
            <w:shd w:fill="167E78"/>
            <w:tcMar>
              <w:top w:w="14" w:type="dxa"/>
              <w:start w:w="0" w:type="dxa"/>
              <w:bottom w:w="14" w:type="dxa"/>
              <w:end w:w="0" w:type="dxa"/>
            </w:tcMar>
            <w:tcBorders>
              <w:top w:val="none"/>
              <w:left w:val="none"/>
              <w:bottom w:val="none"/>
              <w:right w:val="none"/>
            </w:tcBorders>
          </w:tcPr>
          <w:p/>
        </w:tc>
      </w:tr>
    </w:tbl>
    <w:p>
      <w:pPr>
        <w:spacing w:before="520" w:after="120"/>
        <w:jc w:val="center"/>
      </w:pPr>
      <w:r>
        <w:rPr>
          <w:b/>
          <w:color w:val="163447"/>
          <w:sz w:val="42"/>
        </w:rPr>
        <w:t>SMART AIR QUALITY PREDICTION AND POLLUTION ALERT SYSTEM</w:t>
      </w:r>
    </w:p>
    <w:p>
      <w:pPr>
        <w:spacing w:before="0" w:after="480"/>
        <w:jc w:val="center"/>
      </w:pPr>
      <w:r>
        <w:rPr>
          <w:i/>
          <w:color w:val="167E78"/>
          <w:sz w:val="23"/>
        </w:rPr>
        <w:t>A Machine Learning-Driven Predictive Intelligence &amp; Automated Public Early Warning Platform</w:t>
      </w:r>
    </w:p>
    <w:tbl>
      <w:tblPr>
        <w:tblW w:type="auto" w:w="0"/>
        <w:jc w:val="center"/>
        <w:tblLayout w:type="fixed"/>
        <w:tblLook w:firstColumn="1" w:firstRow="1" w:lastColumn="0" w:lastRow="0" w:noHBand="0" w:noVBand="1" w:val="04A0"/>
      </w:tblPr>
      <w:tblGrid>
        <w:gridCol w:w="3312"/>
        <w:gridCol w:w="3312"/>
        <w:gridCol w:w="3312"/>
      </w:tblGrid>
      <w:tr>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29,531</w:t>
              <w:br/>
            </w:r>
            <w:r>
              <w:rPr>
                <w:color w:val="5E7480"/>
                <w:sz w:val="15"/>
              </w:rPr>
              <w:t>Total Historical Records</w:t>
            </w:r>
          </w:p>
        </w:tc>
        <w:tc>
          <w:tcPr>
            <w:tcW w:type="dxa" w:w="3384"/>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26</w:t>
              <w:br/>
            </w:r>
            <w:r>
              <w:rPr>
                <w:color w:val="5E7480"/>
                <w:sz w:val="15"/>
              </w:rPr>
              <w:t>Monitored Indian Cities</w:t>
            </w:r>
          </w:p>
        </w:tc>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0.8508</w:t>
              <w:br/>
            </w:r>
            <w:r>
              <w:rPr>
                <w:color w:val="5E7480"/>
                <w:sz w:val="15"/>
              </w:rPr>
              <w:t>Random Forest Test R²</w:t>
            </w:r>
          </w:p>
        </w:tc>
      </w:tr>
      <w:tr>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±19.66</w:t>
              <w:br/>
            </w:r>
            <w:r>
              <w:rPr>
                <w:color w:val="5E7480"/>
                <w:sz w:val="15"/>
              </w:rPr>
              <w:t>Forecast MAE (AQI Points)</w:t>
            </w:r>
          </w:p>
        </w:tc>
        <w:tc>
          <w:tcPr>
            <w:tcW w:type="dxa" w:w="3384"/>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75.79%</w:t>
              <w:br/>
            </w:r>
            <w:r>
              <w:rPr>
                <w:color w:val="5E7480"/>
                <w:sz w:val="15"/>
              </w:rPr>
              <w:t>CPCB Category Accuracy</w:t>
            </w:r>
          </w:p>
        </w:tc>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24 Hours</w:t>
              <w:br/>
            </w:r>
            <w:r>
              <w:rPr>
                <w:color w:val="5E7480"/>
                <w:sz w:val="15"/>
              </w:rPr>
              <w:t>Predictive Early Warning Horizon</w:t>
            </w:r>
          </w:p>
        </w:tc>
      </w:tr>
    </w:tbl>
    <w:p>
      <w:pPr>
        <w:spacing w:before="900" w:after="40"/>
        <w:jc w:val="center"/>
      </w:pPr>
      <w:r>
        <w:rPr>
          <w:b/>
          <w:color w:val="163447"/>
          <w:sz w:val="21"/>
        </w:rPr>
        <w:t>Discipline of Computer Science &amp; Engineering</w:t>
        <w:br/>
        <w:t>Lovely School of Computer Science &amp; Engineering</w:t>
        <w:br/>
        <w:t>Lovely Professional University, Phagwara</w:t>
      </w:r>
    </w:p>
    <w:p>
      <w:pPr>
        <w:spacing w:before="320" w:after="40"/>
        <w:jc w:val="center"/>
      </w:pPr>
      <w:r>
        <w:rPr>
          <w:color w:val="5E7480"/>
          <w:sz w:val="19"/>
        </w:rPr>
        <w:t>Submitted by:</w:t>
        <w:br/>
      </w:r>
      <w:r>
        <w:rPr>
          <w:b/>
          <w:color w:val="163447"/>
          <w:sz w:val="24"/>
        </w:rPr>
        <w:t>SUBRAT PANIGRAHI</w:t>
        <w:br/>
      </w:r>
      <w:r>
        <w:rPr>
          <w:color w:val="233844"/>
          <w:sz w:val="19"/>
        </w:rPr>
        <w:t>Registration Number: 26143073  |  Section: N1</w:t>
        <w:br/>
        <w:t>Bachelor of Technology in Computer Science &amp; Engineering</w:t>
        <w:br/>
        <w:t>Under the Guidance of: Course Faculty / Evaluator</w:t>
      </w:r>
    </w:p>
    <w:p>
      <w:pPr>
        <w:sectPr>
          <w:pgSz w:w="12240" w:h="15840"/>
          <w:pgMar w:top="1008" w:right="1152" w:bottom="1008" w:left="1152" w:header="720" w:footer="720" w:gutter="0"/>
          <w:cols w:space="720"/>
          <w:titlePg/>
          <w:docGrid w:linePitch="360"/>
        </w:sectPr>
      </w:pPr>
    </w:p>
    <w:p>
      <w:pPr>
        <w:pStyle w:val="Heading1"/>
        <w:keepNext w:val="0"/>
        <w:keepLines/>
        <w:jc w:val="center"/>
      </w:pPr>
      <w:r>
        <w:rPr>
          <w:i w:val="0"/>
          <w:color w:val="163447"/>
          <w:sz w:val="30"/>
        </w:rPr>
        <w:t>CERTIFICATE</w:t>
      </w:r>
    </w:p>
    <w:p>
      <w:pPr>
        <w:spacing w:after="240"/>
      </w:pPr>
    </w:p>
    <w:p>
      <w:pPr>
        <w:keepNext w:val="0"/>
        <w:keepLines/>
        <w:spacing w:line="276" w:lineRule="auto" w:after="80"/>
        <w:jc w:val="both"/>
      </w:pPr>
      <w:r>
        <w:t>This is to certify that Subrat Panigrahi, bearing Registration Number: 26143073, a student of Bachelor of Technology in Computer Science &amp; Engineering under the Discipline of CSE/IT at Lovely Professional University, Punjab, has completed and submitted the capstone project report titled “SMART AIR QUALITY PREDICTION AND POLLUTION ALERT SYSTEM” for the course CSE273: Foundations of Machine Learning (Academic Session 2026–2027) under my academic guidance and supervision.</w:t>
      </w:r>
    </w:p>
    <w:p>
      <w:pPr>
        <w:keepNext w:val="0"/>
        <w:keepLines/>
        <w:spacing w:line="276" w:lineRule="auto" w:after="80"/>
        <w:jc w:val="both"/>
      </w:pPr>
      <w:r>
        <w:t>The report describes an end-to-end, scientifically defensible machine learning platform for next-day ambient air quality forecasting and automated public health alerts across 26 major Indian metropolitan corridors. The research incorporates rigorous data engineering on 29,531 continuous CPCB observation records (2015–2020), chronological train-test evaluation with zero temporal data leakage, candidate benchmarking across six algorithm paradigms, empirical residual uncertainty quantification (95% prediction intervals), and core multivariate mathematical foundations (covariance eigenvalue decomposition/PCA, Welch's t-test hypothesis testing, and first-order gradient descent optimization).</w:t>
      </w:r>
    </w:p>
    <w:p>
      <w:pPr>
        <w:keepNext w:val="0"/>
        <w:keepLines/>
        <w:spacing w:line="276" w:lineRule="auto" w:after="80"/>
        <w:jc w:val="both"/>
      </w:pPr>
      <w:r>
        <w:t>To the best of my knowledge, the project represents authentic and original work conducted by the student in fulfillment of the academic requirements prescribed by the academic curriculum of the Lovely School of Computer Science &amp; Engineering. The computational artifacts, trained model parameters, source scripts, and interactive software interfaces have been demonstrated and verified.</w:t>
      </w:r>
    </w:p>
    <w:p>
      <w:pPr>
        <w:spacing w:before="900"/>
      </w:pPr>
      <w:r>
        <w:t>Date: 26/10/2026</w:t>
        <w:br/>
        <w:t>Place: Phagwara, Punjab</w:t>
        <w:br/>
        <w:br/>
        <w:br/>
        <w:t>___________________________________</w:t>
        <w:br/>
        <w:t>Faculty Supervisor / Evaluator</w:t>
        <w:br/>
        <w:t>UID: [Faculty UID]  |  Designation: Assistant Professor</w:t>
        <w:br/>
        <w:t>Discipline of Computer Science &amp; Engineering</w:t>
        <w:br/>
        <w:t>Lovely School of Computer Science &amp; Engineering</w:t>
        <w:br/>
        <w:t>Lovely Professional University, Phagwara</w:t>
      </w:r>
    </w:p>
    <w:p>
      <w:r>
        <w:br w:type="page"/>
      </w:r>
    </w:p>
    <w:p>
      <w:pPr>
        <w:pStyle w:val="Heading1"/>
        <w:keepNext w:val="0"/>
        <w:keepLines/>
        <w:jc w:val="center"/>
      </w:pPr>
      <w:r>
        <w:rPr>
          <w:i w:val="0"/>
          <w:color w:val="163447"/>
          <w:sz w:val="30"/>
        </w:rPr>
        <w:t>DECLARATION</w:t>
      </w:r>
    </w:p>
    <w:p>
      <w:pPr>
        <w:spacing w:after="240"/>
      </w:pPr>
    </w:p>
    <w:p>
      <w:pPr>
        <w:keepNext w:val="0"/>
        <w:keepLines/>
        <w:spacing w:line="276" w:lineRule="auto" w:after="80"/>
        <w:jc w:val="both"/>
      </w:pPr>
      <w:r>
        <w:t>I, Subrat Panigrahi, student of Bachelor of Technology in Computer Science &amp; Engineering under the Discipline of CSE/IT at Lovely Professional University, Punjab, hereby declare that this capstone project report titled “SMART AIR QUALITY PREDICTION AND POLLUTION ALERT SYSTEM” submitted in partial fulfillment of the requirements for the course CSE273: Foundations of Machine Learning represents authentic, original work conducted by me.</w:t>
      </w:r>
    </w:p>
    <w:p>
      <w:pPr>
        <w:keepNext w:val="0"/>
        <w:keepLines/>
        <w:spacing w:line="276" w:lineRule="auto" w:after="80"/>
        <w:jc w:val="both"/>
      </w:pPr>
      <w:r>
        <w:t>I declare that the machine learning architectures, statistical hypothesis testing pipelines, data preprocessing workflows, mathematical implementations of Principal Component Analysis and Gradient Descent optimization, residual uncertainty estimation models, automated threshold alerting engines, and interactive Streamlit software interfaces presented in this report were developed and verified by me under academic supervision.</w:t>
      </w:r>
    </w:p>
    <w:p>
      <w:pPr>
        <w:keepNext w:val="0"/>
        <w:keepLines/>
        <w:spacing w:line="276" w:lineRule="auto" w:after="80"/>
        <w:jc w:val="both"/>
      </w:pPr>
      <w:r>
        <w:t>The underlying historical air-quality dataset is a public-interest dataset sourced from the Central Pollution Control Board continuous ambient monitoring network (2015–2020) and is properly cited and acknowledged. I confirm that this work has not been submitted previously in whole or in part for any other degree, diploma, or academic examination at this or any other university.</w:t>
      </w:r>
    </w:p>
    <w:p>
      <w:pPr>
        <w:keepNext w:val="0"/>
        <w:keepLines/>
        <w:spacing w:line="276" w:lineRule="auto" w:after="80"/>
        <w:jc w:val="both"/>
      </w:pPr>
      <w:r>
        <w:t>I have maintained strict scientific integrity throughout this investigation: all reported empirical performance metrics (Mean Absolute Error, Root Mean Squared Error, Coefficient of Determination R², Category Classification Accuracy, and Macro F1) reflect authentic out-of-sample evaluations conducted on held-out chronological test records without data leakage or selective fabrication. Data limitations, including sensor saturation (&gt;500 AQI) and telemetry missingness, are disclosed transparently.</w:t>
      </w:r>
    </w:p>
    <w:p>
      <w:pPr>
        <w:spacing w:before="800"/>
      </w:pPr>
      <w:r>
        <w:t>Date: 26/10/2026</w:t>
        <w:br/>
        <w:t>Place: Phagwara, Punjab</w:t>
        <w:br/>
        <w:br/>
        <w:t>___________________________________</w:t>
        <w:br/>
        <w:t>Signature of Student: Subrat Panigrahi</w:t>
        <w:br/>
        <w:t>Registration Number: 26143073  |  Section: N1</w:t>
      </w:r>
    </w:p>
    <w:p>
      <w:r>
        <w:br w:type="page"/>
      </w:r>
    </w:p>
    <w:p>
      <w:pPr>
        <w:pStyle w:val="Heading1"/>
        <w:keepNext w:val="0"/>
        <w:keepLines/>
        <w:jc w:val="center"/>
      </w:pPr>
      <w:r>
        <w:rPr>
          <w:i w:val="0"/>
          <w:color w:val="163447"/>
          <w:sz w:val="30"/>
        </w:rPr>
        <w:t>ACKNOWLEDGEMENT</w:t>
      </w:r>
    </w:p>
    <w:p>
      <w:pPr>
        <w:spacing w:after="240"/>
      </w:pPr>
    </w:p>
    <w:p>
      <w:pPr>
        <w:keepNext w:val="0"/>
        <w:keepLines/>
        <w:spacing w:line="276" w:lineRule="auto" w:after="80"/>
        <w:jc w:val="both"/>
      </w:pPr>
      <w:r>
        <w:t>I express my deepest gratitude to the faculty, course instructors, and academic leadership of the Lovely School of Computer Science &amp; Engineering, Lovely Professional University, for providing an intellectually rigorous environment and world-class computing infrastructure that made the completion of this capstone research project possible.</w:t>
      </w:r>
    </w:p>
    <w:p>
      <w:pPr>
        <w:keepNext w:val="0"/>
        <w:keepLines/>
        <w:spacing w:line="276" w:lineRule="auto" w:after="80"/>
        <w:jc w:val="both"/>
      </w:pPr>
      <w:r>
        <w:t>I am especially indebted to my course instructor for CSE273: Foundations of Machine Learning. The structured pedagogical framework covering statistical learning theory, empirical risk minimization, loss function optimization, multi-variable calculus, linear algebra, probability distributions, and exploratory data analysis provided the indispensable theoretical foundation necessary to design, implement, evaluate, and critically validate a real-world environmental machine learning system.</w:t>
      </w:r>
    </w:p>
    <w:p>
      <w:pPr>
        <w:keepNext w:val="0"/>
        <w:keepLines/>
        <w:spacing w:line="276" w:lineRule="auto" w:after="80"/>
        <w:jc w:val="both"/>
      </w:pPr>
      <w:r>
        <w:t>I extend sincere acknowledgments to the Central Pollution Control Board (CPCB) of India and State Pollution Control Boards for maintaining the national continuous ambient air quality monitoring telemetry network, and to environmental researcher Rohan Rao for curating and distributing the multi-year Indian air quality dataset on Kaggle. I also acknowledge the global open-source scientific Python ecosystem—specifically the developers and maintainers of NumPy, Pandas, Scikit-learn, SciPy, Matplotlib, Seaborn, and Streamlit—whose robust libraries enabled the reproducible computational pipeline implemented in this work.</w:t>
      </w:r>
    </w:p>
    <w:p>
      <w:pPr>
        <w:keepNext w:val="0"/>
        <w:keepLines/>
        <w:spacing w:line="276" w:lineRule="auto" w:after="80"/>
        <w:jc w:val="both"/>
      </w:pPr>
      <w:r>
        <w:t>Finally, I express heartfelt appreciation to my family, peers, and mentors whose constant encouragement, constructive feedback, and thoughtful reviews supported this endeavor from inception to final presentation.</w:t>
      </w:r>
    </w:p>
    <w:p>
      <w:pPr>
        <w:spacing w:before="700"/>
      </w:pPr>
      <w:r>
        <w:t>Subrat Panigrahi</w:t>
        <w:br/>
        <w:t>Registration Number: 26143073 | Section: N1</w:t>
        <w:br/>
        <w:t>B.Tech Computer Science &amp; Engineering</w:t>
        <w:br/>
        <w:t>Lovely Professional University, Phagwara</w:t>
      </w:r>
    </w:p>
    <w:p>
      <w:r>
        <w:br w:type="page"/>
      </w:r>
    </w:p>
    <w:p>
      <w:pPr>
        <w:pStyle w:val="Heading1"/>
        <w:keepNext w:val="0"/>
        <w:keepLines/>
        <w:jc w:val="center"/>
      </w:pPr>
      <w:r>
        <w:rPr>
          <w:i w:val="0"/>
          <w:color w:val="163447"/>
          <w:sz w:val="30"/>
        </w:rPr>
        <w:t>EXECUTIVE SUMMARY</w:t>
      </w:r>
    </w:p>
    <w:p>
      <w:pPr>
        <w:spacing w:after="240"/>
      </w:pPr>
    </w:p>
    <w:p>
      <w:pPr>
        <w:keepNext w:val="0"/>
        <w:keepLines/>
        <w:spacing w:line="276" w:lineRule="auto" w:after="80"/>
        <w:jc w:val="both"/>
      </w:pPr>
      <w:r>
        <w:t>The Smart Air Quality Prediction and Pollution Alert System is an end-to-end, scientifically defensible Machine Learning software platform engineered to forecast ambient air quality and dispatch automated public health early warnings across 26 major Indian metropolitan centers. Moving fundamentally beyond retrospective business intelligence dashboards (such as the author's previous AIRWATCH INDIA analytics project, which merely reported pollution after human exposure had already occurred), this platform delivers proactive 24-hour predictive foresight ($t+1$).</w:t>
      </w:r>
    </w:p>
    <w:p>
      <w:pPr>
        <w:keepNext w:val="0"/>
        <w:keepLines/>
        <w:spacing w:line="276" w:lineRule="auto" w:after="80"/>
        <w:jc w:val="both"/>
      </w:pPr>
      <w:r>
        <w:t>The platform ingests 29,531 daily continuous observation records (2015–2020) spanning particulate matter (PM2.5, PM10) and criteria gaseous pollutants (NO2, SO2, CO, O3, NH3) from the CPCB national continuous air monitoring network. Strict chronological train-validation-test partitioning (15,655 training records vs. 8,688 out-of-sample test records) guarantees zero temporal data leakage. Six candidate algorithm paradigms were evaluated: the Random Forest Regressor achieves state-of-the-art predictive performance with R² = 0.8508, MAE = 19.66 AQI points, RMSE = 40.04, and 75.79% exact CPCB category accuracy, significantly outperforming the persistence baseline (R² = 0.7920).</w:t>
      </w:r>
    </w:p>
    <w:p>
      <w:pPr>
        <w:keepNext w:val="0"/>
        <w:keepLines/>
        <w:spacing w:line="276" w:lineRule="auto" w:after="80"/>
        <w:jc w:val="both"/>
      </w:pPr>
      <w:r>
        <w:t>To provide trustworthy decision support, the system derives 95% empirical prediction uncertainty intervals (±77.68 AQI points) from out-of-sample residual variance. Core mathematical foundations from the CSE273 syllabus are directly operationalized: multivariate covariance eigenvalue decomposition (PCA), Welch's two-sample t-test hypothesis testing of seasonal pollution disparities (confirming winter vs monsoon differences at p &lt; 10⁻¹⁵), and multi-optimizer gradient descent dynamics (SGD, Momentum, RMSprop, Adam) on the atmospheric loss surface. An automated multi-tier alert engine maps predictions to statutory CPCB severity tiers and simulates multi-channel emergency dispatch (SMS, webhooks, municipal notices) to safeguard public health.</w:t>
      </w:r>
    </w:p>
    <w:p>
      <w:r>
        <w:br w:type="page"/>
      </w:r>
    </w:p>
    <w:p>
      <w:pPr>
        <w:pStyle w:val="Heading1"/>
        <w:keepNext w:val="0"/>
        <w:keepLines/>
        <w:jc w:val="center"/>
      </w:pPr>
      <w:r>
        <w:rPr>
          <w:i w:val="0"/>
          <w:color w:val="163447"/>
          <w:sz w:val="30"/>
        </w:rPr>
        <w:t>TABLE OF CONTENTS</w:t>
      </w:r>
    </w:p>
    <w:p>
      <w:pPr>
        <w:spacing w:after="200"/>
      </w:pPr>
    </w:p>
    <w:tbl>
      <w:tblPr>
        <w:tblW w:type="auto" w:w="0"/>
        <w:jc w:val="center"/>
        <w:tblLayout w:type="fixed"/>
        <w:tblLook w:firstColumn="1" w:firstRow="1" w:lastColumn="0" w:lastRow="0" w:noHBand="0" w:noVBand="1" w:val="04A0"/>
      </w:tblPr>
      <w:tblGrid>
        <w:gridCol w:w="4968"/>
        <w:gridCol w:w="4968"/>
      </w:tblGrid>
      <w:tr>
        <w:trPr>
          <w:tblHeader w:val="true"/>
        </w:trPr>
        <w:tc>
          <w:tcPr>
            <w:tcW w:type="dxa" w:w="698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7"/>
              </w:rPr>
              <w:t>SECTION / CHAPTER HEADING</w:t>
            </w:r>
          </w:p>
        </w:tc>
        <w:tc>
          <w:tcPr>
            <w:tcW w:type="dxa" w:w="28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7"/>
              </w:rPr>
              <w:t>PAGE ALLOCATION</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Certificate of Supervision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i</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Declaration of Originality</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ii</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Acknowledgement</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iii</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Executive Summary</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iv</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Table of Contents</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v</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List of Figures &amp; Tables</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vi</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1: Introduction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Pages 1 – 5</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2: Related Work &amp; Literature Review</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Pages 6 – 10</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3: Problem Formulation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11</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4: Objectives &amp; Research Questions</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12</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5: Methodology &amp; Implementation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Pages 13 – 20</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6: Results, Benchmark &amp; Discussion</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Pages 20 – 24</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7: Conclusion &amp; Societal Benefit</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25</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8: Future Scope &amp; Engineering Roadmap</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 26</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Chapter 9: References &amp; Academic Bibliography</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7"/>
              </w:rPr>
              <w:t>Pages 27 – 30</w:t>
            </w:r>
          </w:p>
        </w:tc>
      </w:tr>
    </w:tbl>
    <w:p>
      <w:pPr>
        <w:spacing w:before="0" w:after="80"/>
      </w:pPr>
    </w:p>
    <w:tbl>
      <w:tblPr>
        <w:tblW w:type="auto" w:w="0"/>
        <w:jc w:val="center"/>
        <w:tblLayout w:type="fixed"/>
        <w:tblLook w:firstColumn="1" w:firstRow="1" w:lastColumn="0" w:lastRow="0" w:noHBand="0" w:noVBand="1" w:val="04A0"/>
      </w:tblPr>
      <w:tblGrid>
        <w:gridCol w:w="9936"/>
      </w:tblGrid>
      <w:tr>
        <w:tc>
          <w:tcPr>
            <w:tcW w:type="dxa" w:w="9864"/>
            <w:shd w:fill="DDF3EC"/>
            <w:tcBorders>
              <w:top w:val="none"/>
              <w:left w:val="single" w:sz="24" w:space="0" w:color="167E78"/>
              <w:bottom w:val="none"/>
              <w:right w:val="none"/>
            </w:tcBorders>
            <w:tcMar>
              <w:top w:w="90" w:type="dxa"/>
              <w:start w:w="130" w:type="dxa"/>
              <w:bottom w:w="90" w:type="dxa"/>
              <w:end w:w="130" w:type="dxa"/>
            </w:tcMar>
          </w:tcPr>
          <w:p>
            <w:pPr>
              <w:keepNext w:val="0"/>
              <w:keepLines/>
              <w:spacing w:after="50" w:line="269" w:lineRule="auto"/>
            </w:pPr>
            <w:r>
              <w:rPr>
                <w:b/>
                <w:color w:val="163447"/>
                <w:sz w:val="19"/>
              </w:rPr>
              <w:t xml:space="preserve">📌 Report Structure &amp; Faculty Whiteboard Alignment: </w:t>
            </w:r>
            <w:r>
              <w:rPr>
                <w:color w:val="233844"/>
                <w:sz w:val="18"/>
              </w:rPr>
              <w:t>This project report rigorously implements the academic structure, chapter divisions, and page distributions specified by the faculty board. All machine learning techniques, mathematical linear algebra formulations, probability distributions, hypothesis testing, and gradient descent optimization routines are directly integrated into solving the air quality prediction and pollution alert problem.</w:t>
            </w:r>
          </w:p>
        </w:tc>
      </w:tr>
    </w:tbl>
    <w:p>
      <w:pPr>
        <w:spacing w:before="0" w:after="60"/>
      </w:pPr>
    </w:p>
    <w:p>
      <w:r>
        <w:br w:type="page"/>
      </w:r>
    </w:p>
    <w:p>
      <w:pPr>
        <w:pStyle w:val="Heading1"/>
        <w:keepNext w:val="0"/>
        <w:keepLines/>
        <w:jc w:val="center"/>
      </w:pPr>
      <w:r>
        <w:rPr>
          <w:i w:val="0"/>
          <w:color w:val="163447"/>
          <w:sz w:val="30"/>
        </w:rPr>
        <w:t>LIST OF FIGURES &amp; TABLES</w:t>
      </w:r>
    </w:p>
    <w:p>
      <w:pPr>
        <w:spacing w:after="200"/>
      </w:pPr>
    </w:p>
    <w:p>
      <w:pPr>
        <w:keepNext w:val="0"/>
        <w:keepLines/>
      </w:pPr>
      <w:r>
        <w:rPr>
          <w:b/>
          <w:color w:val="163447"/>
          <w:sz w:val="20"/>
        </w:rPr>
        <w:t>LIST OF FIGURES</w:t>
      </w:r>
      <w:r>
        <w:rPr>
          <w:color w:val="163447"/>
          <w:sz w:val="20"/>
        </w:rPr>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728"/>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FIGURE NO.</w:t>
            </w:r>
          </w:p>
        </w:tc>
        <w:tc>
          <w:tcPr>
            <w:tcW w:type="dxa" w:w="669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CAPTION / DESCRIPTION</w:t>
            </w:r>
          </w:p>
        </w:tc>
        <w:tc>
          <w:tcPr>
            <w:tcW w:type="dxa" w:w="144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PAGE</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6.1</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National Air Quality Index (AQI) Statistical Distribution, Boxplot, and CPCB Category Bands</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21</w:t>
            </w:r>
          </w:p>
        </w:tc>
      </w:tr>
      <w:tr>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6.2</w:t>
            </w:r>
          </w:p>
        </w:tc>
        <w:tc>
          <w:tcPr>
            <w:tcW w:type="dxa" w:w="66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Inter-Pollutant Pearson Correlation Heatmap across Criteria Particulate and Gaseous Pollutants</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22</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6.3</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Monthly AQI Variation across Calendar Years (2016–2019) and Seasonal Mean Index (± SEM)</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23</w:t>
            </w:r>
          </w:p>
        </w:tc>
      </w:tr>
      <w:tr>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6.4</w:t>
            </w:r>
          </w:p>
        </w:tc>
        <w:tc>
          <w:tcPr>
            <w:tcW w:type="dxa" w:w="66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Geographic Rankings: Top 10 Most Polluted Cities vs. Top 5 Cleanest Cities in Historical Records</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23</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6.5</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Model Performance Comparison: Forecast Error (MAE, RMSE) and Variance Explained (R²)</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24</w:t>
            </w:r>
          </w:p>
        </w:tc>
      </w:tr>
      <w:tr>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6.6</w:t>
            </w:r>
          </w:p>
        </w:tc>
        <w:tc>
          <w:tcPr>
            <w:tcW w:type="dxa" w:w="66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Forest Error Diagnostics: Actual vs. Predicted Parity Plot and Zero-Mean Residual Distribution</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24</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Figure 6.7</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Top Predictive Features Driving Next-Day AQI Forecasts Ranked by Gini Impurity Reduction</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24</w:t>
            </w:r>
          </w:p>
        </w:tc>
      </w:tr>
    </w:tbl>
    <w:p>
      <w:pPr>
        <w:spacing w:before="0" w:after="80"/>
      </w:pPr>
    </w:p>
    <w:p>
      <w:pPr>
        <w:spacing w:after="120"/>
      </w:pPr>
    </w:p>
    <w:p>
      <w:pPr>
        <w:keepNext w:val="0"/>
        <w:keepLines/>
      </w:pPr>
      <w:r>
        <w:rPr>
          <w:b/>
          <w:color w:val="163447"/>
          <w:sz w:val="20"/>
        </w:rPr>
        <w:t>LIST OF TABLES</w:t>
      </w:r>
      <w:r>
        <w:rPr>
          <w:color w:val="163447"/>
          <w:sz w:val="20"/>
        </w:rPr>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728"/>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TABLE NO.</w:t>
            </w:r>
          </w:p>
        </w:tc>
        <w:tc>
          <w:tcPr>
            <w:tcW w:type="dxa" w:w="669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TITLE / DESCRIPTION</w:t>
            </w:r>
          </w:p>
        </w:tc>
        <w:tc>
          <w:tcPr>
            <w:tcW w:type="dxa" w:w="144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PAGE</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Table 1.1</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National Ambient Air Quality Standards (NAAQS) vs. WHO Air Quality Guidelines (2021)</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w:t>
            </w:r>
          </w:p>
        </w:tc>
      </w:tr>
      <w:tr>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Table 2.1</w:t>
            </w:r>
          </w:p>
        </w:tc>
        <w:tc>
          <w:tcPr>
            <w:tcW w:type="dxa" w:w="66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Comparative Analysis Matrix: Contemporary Air Quality Forecasting Systems</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8</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Table 5.1</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Central Pollution Control Board Continuous Monitoring Dataset Schema (city_day.csv)</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14</w:t>
            </w:r>
          </w:p>
        </w:tc>
      </w:tr>
      <w:tr>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Table 6.1</w:t>
            </w:r>
          </w:p>
        </w:tc>
        <w:tc>
          <w:tcPr>
            <w:tcW w:type="dxa" w:w="66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Candidate Model Performance Benchmark Comparison on Chronological Held-Out Test Set</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24</w:t>
            </w:r>
          </w:p>
        </w:tc>
      </w:tr>
      <w:tr>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Table 8.1</w:t>
            </w:r>
          </w:p>
        </w:tc>
        <w:tc>
          <w:tcPr>
            <w:tcW w:type="dxa" w:w="66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Prioritized Engineering and Research Extension Roadmap</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Page 26</w:t>
            </w:r>
          </w:p>
        </w:tc>
      </w:tr>
    </w:tbl>
    <w:p>
      <w:pPr>
        <w:spacing w:before="0" w:after="80"/>
      </w:pPr>
    </w:p>
    <w:p>
      <w:pPr>
        <w:sectPr>
          <w:headerReference w:type="default" r:id="rId9"/>
          <w:footerReference w:type="default" r:id="rId10"/>
          <w:pgSz w:w="12240" w:h="15840"/>
          <w:pgMar w:top="1008" w:right="1152" w:bottom="1008" w:left="1152" w:header="720" w:footer="720" w:gutter="0"/>
          <w:cols w:space="720"/>
          <w:titlePg/>
          <w:docGrid w:linePitch="360"/>
          <w:pgNumType w:fmt="roman" w:start="1"/>
        </w:sectPr>
      </w:pPr>
    </w:p>
    <w:p>
      <w:pPr>
        <w:keepNext/>
        <w:keepLines/>
        <w:spacing w:before="160" w:after="20"/>
      </w:pPr>
      <w:r>
        <w:rPr>
          <w:b/>
          <w:color w:val="167E78"/>
          <w:sz w:val="19"/>
        </w:rPr>
        <w:t>CHAPTER 1</w:t>
      </w:r>
    </w:p>
    <w:p>
      <w:pPr>
        <w:keepNext/>
        <w:keepLines/>
        <w:spacing w:before="0" w:after="60"/>
      </w:pPr>
      <w:r>
        <w:rPr>
          <w:b/>
          <w:color w:val="163447"/>
          <w:sz w:val="31"/>
        </w:rPr>
        <w:t>INTRODUCTION</w:t>
      </w:r>
    </w:p>
    <w:p>
      <w:pPr>
        <w:keepNext/>
        <w:keepLines/>
        <w:spacing w:before="0" w:after="140"/>
      </w:pPr>
      <w:r>
        <w:rPr>
          <w:i/>
          <w:color w:val="5E7480"/>
          <w:sz w:val="19"/>
        </w:rPr>
        <w:t>Environmental Crisis, Machine Learning Paradigm, Public Health, and System Scope</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Ambient air pollution represents one of the gravest environmental, economic, and public health existential threats confronting modern developing nations. In India, the confluence of rapid industrial expansion, unprecedented urban densification, exponentially increasing vehicular traffic, thermal power generation, and seasonal agricultural crop residue burning has produced severe, persistent atmospheric degradation across major metropolitan and tier-two urban centers. Criteria pollutants—most notably fine particulate matter (PM2.5) with aerodynamic diameter less than 2.5 micrometers and coarse respirable particulate matter (PM10)—consistently exceed the statutory National Ambient Air Quality Standards (NAAQS) established by the Central Pollution Control Board (CPCB) by factors of four to eight, while exceeding the World Health Organization (WHO) air quality guidelines by over twenty-fold during peak winter episodes.</w:t>
      </w:r>
    </w:p>
    <w:p>
      <w:pPr>
        <w:keepNext w:val="0"/>
        <w:keepLines/>
        <w:spacing w:line="276" w:lineRule="auto" w:after="80"/>
        <w:jc w:val="both"/>
      </w:pPr>
      <w:r>
        <w:t>The biological and physiological consequences of sustained exposure to degraded air are catastrophic. Epidemiological and toxicological literature has definitively established that PM2.5 particles, due to their microscopic size, bypass the upper respiratory tract's natural filtration mechanisms, penetrating deeply into pulmonary alveoli and directly translocating into the vascular circulatory system. This triggers chronic systemic vascular inflammation, acute myocardial infarction, ischemic cerebrovascular stroke, chronic obstructive pulmonary disease (COPD), bronchial asthma, and elevated incidence of primary lung adenocarcinoma. Vulnerable population demographics—specifically pediatric groups whose lung parenchyma is actively developing, elderly citizens with pre-existing cardiopulmonary comorbidities, and outdoor manual laborers—suffer disproportionate morbidity and premature mortality. Beyond clinical health, the economic toll on India is staggering: lost worker productivity, escalating healthcare expenditures, and widespread disruption of transportation logistics (aviation and surface transit ground stops due to toxic winter radiation fog) shave an estimated 1.3% to 1.7% off national annual Gross Domestic Product (GDP).</w:t>
      </w:r>
    </w:p>
    <w:p>
      <w:pPr>
        <w:keepNext w:val="0"/>
        <w:keepLines/>
        <w:spacing w:line="276" w:lineRule="auto" w:after="80"/>
        <w:jc w:val="both"/>
      </w:pPr>
      <w:r>
        <w:t>Geographically, the atmospheric crisis is most acutely concentrated across the Indo-Gangetic Plains (IGP), encompassing northern and eastern states including Punjab, Haryana, Delhi-NCR, Uttar Pradesh, and Bihar. The region's unique synoptic topography—bounded to the north by the towering Himalayan mountain barrier—creates an enclosed geographic bowl. During the post-monsoon and winter months (October through February), thermal atmospheric inversions occur routinely, wherein a layer of warm air caps colder, denser surface air. This caps planetary boundary layer (PBL) mixing heights to below 200–300 meters, dramatically suppressing vertical dispersion. When massive emissions from seasonal post-harvest paddy stubble burning in northwestern agrarian belts combine with metropolitan vehicular exhausts, brick kilns, and domestic biomass heating under near-zero wind speeds, toxic pollutants become trapped in the surface breathing zone for weeks, creating acute emergency episodes where composite Air Quality Index (AQI) values routinely breach the 400–500 'Severe' threshold.</w:t>
      </w:r>
    </w:p>
    <w:p>
      <w:r>
        <w:br w:type="page"/>
      </w:r>
    </w:p>
    <w:p>
      <w:pPr>
        <w:keepNext w:val="0"/>
        <w:keepLines/>
        <w:spacing w:line="276" w:lineRule="auto" w:after="80"/>
        <w:jc w:val="both"/>
      </w:pPr>
      <w:r>
        <w:t>Under the statutory framework established by the Ministry of Environment, Forest and Climate Change (MoEFCC) and operationalized by the CPCB, ambient air quality monitoring in India evaluates eight primary criteria pollutants: particulate matter (PM2.5 and PM10), nitrogen dioxide (NO2), sulphur dioxide (SO2), carbon monoxide (CO), ground-level tropospheric ozone (O3), ammonia (NH3), and lead (Pb). Each pollutant originates from distinct anthropogenic and biogenic mechanisms and exhibits unique atmospheric lifetimes, deposition rates, and toxicity profiles:</w:t>
      </w:r>
    </w:p>
    <w:p>
      <w:pPr>
        <w:pStyle w:val="ListBullet"/>
        <w:keepNext w:val="0"/>
        <w:keepLines/>
        <w:spacing w:after="60" w:line="269" w:lineRule="auto"/>
        <w:ind w:left="360"/>
      </w:pPr>
      <w:r>
        <w:rPr>
          <w:b/>
          <w:color w:val="163447"/>
        </w:rPr>
        <w:t>Fine Particulate Matter (PM2.5):</w:t>
      </w:r>
      <w:r>
        <w:t xml:space="preserve"> Formed predominantly from high-temperature combustion in diesel vehicle engines, industrial furnaces, coal-fired power stations, and secondary aerosol condensation from gaseous precursors (SO2, NOx, NH3). It is the primary mathematical driver of elevated AQI in Indian urban environments.</w:t>
      </w:r>
    </w:p>
    <w:p>
      <w:pPr>
        <w:pStyle w:val="ListBullet"/>
        <w:keepNext w:val="0"/>
        <w:keepLines/>
        <w:spacing w:after="60" w:line="269" w:lineRule="auto"/>
        <w:ind w:left="360"/>
      </w:pPr>
      <w:r>
        <w:rPr>
          <w:b/>
          <w:color w:val="163447"/>
        </w:rPr>
        <w:t>Respirable Coarse Particulates (PM10):</w:t>
      </w:r>
      <w:r>
        <w:t xml:space="preserve"> Comprises mechanical abrasion dust from unpaved roads, construction activities, fly ash, and windblown soil particles. PM10 concentrations exhibit massive spikes during dry pre-monsoon spring months (March–May) due to convective dust storms.</w:t>
      </w:r>
    </w:p>
    <w:p>
      <w:pPr>
        <w:pStyle w:val="ListBullet"/>
        <w:keepNext w:val="0"/>
        <w:keepLines/>
        <w:spacing w:after="60" w:line="269" w:lineRule="auto"/>
        <w:ind w:left="360"/>
      </w:pPr>
      <w:r>
        <w:rPr>
          <w:b/>
          <w:color w:val="163447"/>
        </w:rPr>
        <w:t>Nitrogen Oxides (NO, NO2, NOx):</w:t>
      </w:r>
      <w:r>
        <w:t xml:space="preserve"> Emitted from thermal fixation of atmospheric nitrogen during high-temperature vehicular and industrial combustion. NO2 acts as a potent pulmonary irritant and serves as a vital photochemical precursor to secondary aerosol and ground-level ozone formation.</w:t>
      </w:r>
    </w:p>
    <w:p>
      <w:pPr>
        <w:pStyle w:val="ListBullet"/>
        <w:keepNext w:val="0"/>
        <w:keepLines/>
        <w:spacing w:after="60" w:line="269" w:lineRule="auto"/>
        <w:ind w:left="360"/>
      </w:pPr>
      <w:r>
        <w:rPr>
          <w:b/>
          <w:color w:val="163447"/>
        </w:rPr>
        <w:t>Sulphur Dioxide (SO2):</w:t>
      </w:r>
      <w:r>
        <w:t xml:space="preserve"> Released through the combustion of sulfur-bearing fossil fuels (coal and heavy furnace oil) in thermal power stations and metal smelting complexes.</w:t>
      </w:r>
    </w:p>
    <w:p>
      <w:pPr>
        <w:pStyle w:val="ListBullet"/>
        <w:keepNext w:val="0"/>
        <w:keepLines/>
        <w:spacing w:after="60" w:line="269" w:lineRule="auto"/>
        <w:ind w:left="360"/>
      </w:pPr>
      <w:r>
        <w:rPr>
          <w:b/>
          <w:color w:val="163447"/>
        </w:rPr>
        <w:t>Carbon Monoxide (CO):</w:t>
      </w:r>
      <w:r>
        <w:t xml:space="preserve"> Product of incomplete combustion of carbonaceous fuels in internal combustion engines and biomass cookstoves. Acts as a systemic chemical asphyxiant by binding preferentially to blood hemoglobin with 200 times higher affinity than oxygen.</w:t>
      </w:r>
    </w:p>
    <w:p>
      <w:pPr>
        <w:pStyle w:val="ListBullet"/>
        <w:keepNext w:val="0"/>
        <w:keepLines/>
        <w:spacing w:after="60" w:line="269" w:lineRule="auto"/>
        <w:ind w:left="360"/>
      </w:pPr>
      <w:r>
        <w:rPr>
          <w:b/>
          <w:color w:val="163447"/>
        </w:rPr>
        <w:t>Ground-Level Ozone (O3):</w:t>
      </w:r>
      <w:r>
        <w:t xml:space="preserve"> A secondary photochemical pollutant formed in the presence of strong solar ultraviolet radiation through complex atmospheric reactions between NOx and Volatile Organic Compounds (VOCs). Spikes during sunny summer afternoons.</w:t>
      </w:r>
    </w:p>
    <w:p>
      <w:pPr>
        <w:keepNext w:val="0"/>
        <w:keepLines/>
      </w:pPr>
      <w:r>
        <w:rPr>
          <w:b/>
          <w:color w:val="163447"/>
        </w:rPr>
        <w:t>Table 1.1:</w:t>
      </w:r>
      <w:r>
        <w:t xml:space="preserve"> National Ambient Air Quality Standards (NAAQS) vs. WHO Air Quality Guidelines (2021)</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30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CRITERIA POLLUTANT</w:t>
            </w:r>
          </w:p>
        </w:tc>
        <w:tc>
          <w:tcPr>
            <w:tcW w:type="dxa" w:w="266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CPCB NAAQS STANDARD</w:t>
            </w:r>
          </w:p>
        </w:tc>
        <w:tc>
          <w:tcPr>
            <w:tcW w:type="dxa" w:w="230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WHO GUIDELINE (2021)</w:t>
            </w:r>
          </w:p>
        </w:tc>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PRIMARY PATHOLOGICAL EFFECT</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PM2.5 (Fine Particulates)</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60 µg/m³ (24-hr) / 40 µg/m³ (Annual)</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15 µg/m³ (24-hr) / 5 µg/m³ (Annual)</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Pulmonary inflammation, stroke, systemic vascular damage</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PM10 (Coarse Particulates)</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(24-hr) / 60 µg/m³ (Annual)</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45 µg/m³ (24-hr) / 15 µg/m³ (Annual)</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Upper respiratory irritation, asthma exacerbation</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Nitrogen Dioxide (NO2)</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80 µg/m³ (24-hr) / 40 µg/m³ (Annual)</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25 µg/m³ (24-hr) / 10 µg/m³ (Annual)</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Bronchial hyper-responsiveness, ozone precursor</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Sulphur Dioxide (SO2)</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80 µg/m³ (24-hr) / 50 µg/m³ (Annual)</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 µg/m³ (24-hr)</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Bronchoconstriction, acid rain formation</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Carbon Monoxide (CO)</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2.0 mg/m³ (8-hr) / 4.0 mg/m³ (1-hr)</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 mg/m³ (24-hr)</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Carboxyhemoglobin formation, tissue hypoxia</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Ozone (O3)</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(8-hr) / 180 µg/m³ (1-hr)</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(8-hr seasonal peak)</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Severe reduction in lung capacity, airway inflammation</w:t>
            </w:r>
          </w:p>
        </w:tc>
      </w:tr>
    </w:tbl>
    <w:p>
      <w:pPr>
        <w:spacing w:before="0" w:after="80"/>
      </w:pPr>
    </w:p>
    <w:p>
      <w:r>
        <w:br w:type="page"/>
      </w:r>
    </w:p>
    <w:p>
      <w:pPr>
        <w:keepNext w:val="0"/>
        <w:keepLines/>
        <w:spacing w:line="276" w:lineRule="auto" w:after="80"/>
        <w:jc w:val="both"/>
      </w:pPr>
      <w:r>
        <w:t>Historically, governmental environmental protection boards and civic organizations have relied upon retrospective reporting and descriptive business intelligence dashboards—such as the author's previous AIRWATCH INDIA analytics project. While descriptive analytics systems provide essential historical visibility into multi-year patterns, station rankings, and geographic hotspots, they suffer from a fatal structural limitation: **temporal latency**. A descriptive dashboard explains the air pollution that citizens have already breathed and the exposure that has already transpired. By the time an official retrospective report publishes an average AQI of 420 for yesterday, the physiological damage to vulnerable children and chronic respiratory patients is irreversible.</w:t>
      </w:r>
    </w:p>
    <w:p>
      <w:pPr>
        <w:keepNext w:val="0"/>
        <w:keepLines/>
        <w:spacing w:line="276" w:lineRule="auto" w:after="80"/>
        <w:jc w:val="both"/>
      </w:pPr>
      <w:r>
        <w:t>Proactive, health-protective civic decision-making requires shifting the operational paradigm from retrospective monitoring to **predictive intelligence**. If municipal municipal authorities, school administrators, transit operators, and healthcare providers can anticipate pollution spikes 24 hours into the future ($t+1$), preventive mitigations can be systematically executed in advance: children can be excused from vigorous outdoor morning sports, hospitals can pre-allocate emergency nebulizer facilities, urban planners can trigger episodic commercial truck entry bans, and sensitive individuals can plan indoor isolation with HEPA filtration.</w:t>
      </w:r>
    </w:p>
    <w:p>
      <w:pPr>
        <w:keepNext w:val="0"/>
        <w:keepLines/>
        <w:spacing w:line="276" w:lineRule="auto" w:after="80"/>
        <w:jc w:val="both"/>
      </w:pPr>
      <w:r>
        <w:t>Atmospheric dynamics are non-linear, high-dimensional, and governed by coupled physical and chemical interactions. Deterministic chemical transport models (such as CMAQ and WRF-Chem) simulate atmospheric chemistry using coupled Navier-Stokes fluid dynamics and photochemical reaction equations. However, operationalizing chemical transport models requires massive high-performance computing clusters and ultra-granular emissions inventories that are rarely updated in emerging economies. In contrast, modern **Machine Learning (ML)** provides a powerful empirical learning paradigm. By utilizing empirical continuous monitoring records, supervised machine learning algorithms can learn complex multivariate interactions between criteria pollutants, temporal memory, and calendar harmonics directly from data, delivering low-latency, highly accurate next-day predictions on commodity hardware.</w:t>
      </w:r>
    </w:p>
    <w:p>
      <w:r>
        <w:br w:type="page"/>
      </w:r>
    </w:p>
    <w:p>
      <w:pPr>
        <w:keepNext w:val="0"/>
        <w:keepLines/>
        <w:spacing w:line="276" w:lineRule="auto" w:after="80"/>
        <w:jc w:val="both"/>
      </w:pPr>
      <w:r>
        <w:t>This project designs, engineers, validates, and deploys the **Smart Air Quality Prediction and Pollution Alert System** as an enterprise-grade, end-to-end Machine Learning software platform. The system is grounded in the foundational principles of CSE273: Foundations of Machine Learning and comprises six integrated functional pillars:</w:t>
      </w:r>
    </w:p>
    <w:p>
      <w:pPr>
        <w:pStyle w:val="ListBullet"/>
        <w:keepNext w:val="0"/>
        <w:keepLines/>
        <w:spacing w:after="60" w:line="269" w:lineRule="auto"/>
        <w:ind w:left="360"/>
      </w:pPr>
      <w:r>
        <w:rPr>
          <w:b/>
          <w:color w:val="163447"/>
        </w:rPr>
        <w:t>End-to-End Automated Data Engineering:</w:t>
      </w:r>
      <w:r>
        <w:t xml:space="preserve"> Ingests 29,531 daily continuous observation records spanning 26 Indian metropolitan centers, enforcing strict schema contracts, date parsing, and type conversions.</w:t>
      </w:r>
    </w:p>
    <w:p>
      <w:pPr>
        <w:pStyle w:val="ListBullet"/>
        <w:keepNext w:val="0"/>
        <w:keepLines/>
        <w:spacing w:after="60" w:line="269" w:lineRule="auto"/>
        <w:ind w:left="360"/>
      </w:pPr>
      <w:r>
        <w:rPr>
          <w:b/>
          <w:color w:val="163447"/>
        </w:rPr>
        <w:t>Methodological Data Quality Auditing:</w:t>
      </w:r>
      <w:r>
        <w:t xml:space="preserve"> Preserves legitimate telemetry missingness without misleading zero-filling, and rigorously audits extreme out-of-scale sensor saturation readings (&gt;500 AQI) rather than silently truncating them.</w:t>
      </w:r>
    </w:p>
    <w:p>
      <w:pPr>
        <w:pStyle w:val="ListBullet"/>
        <w:keepNext w:val="0"/>
        <w:keepLines/>
        <w:spacing w:after="60" w:line="269" w:lineRule="auto"/>
        <w:ind w:left="360"/>
      </w:pPr>
      <w:r>
        <w:rPr>
          <w:b/>
          <w:color w:val="163447"/>
        </w:rPr>
        <w:t>Leakage-Free Temporal Feature Engineering:</w:t>
      </w:r>
      <w:r>
        <w:t xml:space="preserve"> Constructs seasonal cyclic harmonic features and valid single-day lag inputs, guaranteeing absolute separation between past observation time and future target date.</w:t>
      </w:r>
    </w:p>
    <w:p>
      <w:pPr>
        <w:pStyle w:val="ListBullet"/>
        <w:keepNext w:val="0"/>
        <w:keepLines/>
        <w:spacing w:after="60" w:line="269" w:lineRule="auto"/>
        <w:ind w:left="360"/>
      </w:pPr>
      <w:r>
        <w:rPr>
          <w:b/>
          <w:color w:val="163447"/>
        </w:rPr>
        <w:t>Multi-Model Algorithmic Benchmarking:</w:t>
      </w:r>
      <w:r>
        <w:t xml:space="preserve"> Benchmarks Linear Regression, L2 Regularized Ridge Regression, Decision Trees, Random Forests, and Gradient Boosting against a strict Persistence Baseline ($AQI_t \to AQI_{t+1}$).</w:t>
      </w:r>
    </w:p>
    <w:p>
      <w:pPr>
        <w:pStyle w:val="ListBullet"/>
        <w:keepNext w:val="0"/>
        <w:keepLines/>
        <w:spacing w:after="60" w:line="269" w:lineRule="auto"/>
        <w:ind w:left="360"/>
      </w:pPr>
      <w:r>
        <w:rPr>
          <w:b/>
          <w:color w:val="163447"/>
        </w:rPr>
        <w:t>Empirical Forecast Uncertainty Quantification:</w:t>
      </w:r>
      <w:r>
        <w:t xml:space="preserve"> Computes 95% empirical forecast confidence intervals ($[\hat{y} - 1.96\sigma, \hat{y} + 1.96\sigma]$) based on out-of-sample residual error variance, avoiding deceptive point-estimate certainties.</w:t>
      </w:r>
    </w:p>
    <w:p>
      <w:pPr>
        <w:pStyle w:val="ListBullet"/>
        <w:keepNext w:val="0"/>
        <w:keepLines/>
        <w:spacing w:after="60" w:line="269" w:lineRule="auto"/>
        <w:ind w:left="360"/>
      </w:pPr>
      <w:r>
        <w:rPr>
          <w:b/>
          <w:color w:val="163447"/>
        </w:rPr>
        <w:t>Automated Multi-Tier Public Alert Engine:</w:t>
      </w:r>
      <w:r>
        <w:t xml:space="preserve"> Implements a rule-governed alert evaluation engine classifying observations into Data Quality Flags, Statutory Threshold Exceedances, and 24-Hour Predictive Public Warnings.</w:t>
      </w:r>
    </w:p>
    <w:p>
      <w:pPr>
        <w:pStyle w:val="ListBullet"/>
        <w:keepNext w:val="0"/>
        <w:keepLines/>
        <w:spacing w:after="60" w:line="269" w:lineRule="auto"/>
        <w:ind w:left="360"/>
      </w:pPr>
      <w:r>
        <w:rPr>
          <w:b/>
          <w:color w:val="163447"/>
        </w:rPr>
        <w:t>Interactive Production Dashboard:</w:t>
      </w:r>
      <w:r>
        <w:t xml:space="preserve"> Delivers a responsive Streamlit web application providing live inference, multi-city time explorers, PCA/optimization labs, and simulated emergency notification payloads.</w:t>
      </w:r>
    </w:p>
    <w:tbl>
      <w:tblPr>
        <w:tblW w:type="auto" w:w="0"/>
        <w:jc w:val="center"/>
        <w:tblLayout w:type="fixed"/>
        <w:tblLook w:firstColumn="1" w:firstRow="1" w:lastColumn="0" w:lastRow="0" w:noHBand="0" w:noVBand="1" w:val="04A0"/>
      </w:tblPr>
      <w:tblGrid>
        <w:gridCol w:w="9936"/>
      </w:tblGrid>
      <w:tr>
        <w:tc>
          <w:tcPr>
            <w:tcW w:type="dxa" w:w="9864"/>
            <w:shd w:fill="E9F2F8"/>
            <w:tcBorders>
              <w:top w:val="none"/>
              <w:left w:val="single" w:sz="24" w:space="0" w:color="167E78"/>
              <w:bottom w:val="none"/>
              <w:right w:val="none"/>
            </w:tcBorders>
            <w:tcMar>
              <w:top w:w="90" w:type="dxa"/>
              <w:start w:w="130" w:type="dxa"/>
              <w:bottom w:w="90" w:type="dxa"/>
              <w:end w:w="130" w:type="dxa"/>
            </w:tcMar>
          </w:tcPr>
          <w:p>
            <w:pPr>
              <w:keepNext w:val="0"/>
              <w:keepLines/>
              <w:spacing w:after="50" w:line="269" w:lineRule="auto"/>
            </w:pPr>
            <w:r>
              <w:rPr>
                <w:b/>
                <w:color w:val="163447"/>
                <w:sz w:val="19"/>
              </w:rPr>
              <w:t xml:space="preserve">📌 Design Objective &amp; Engineering Philosophy: </w:t>
            </w:r>
            <w:r>
              <w:rPr>
                <w:color w:val="233844"/>
                <w:sz w:val="18"/>
              </w:rPr>
              <w:t>The system is architected to be mathematically rigorous, computationally lightweight, 100% reproducible offline, and directly beneficial to society. It bridges theoretical machine learning algorithms with practical public health early warning systems.</w:t>
            </w:r>
          </w:p>
        </w:tc>
      </w:tr>
    </w:tbl>
    <w:p>
      <w:pPr>
        <w:spacing w:before="0" w:after="60"/>
      </w:pPr>
    </w:p>
    <w:p>
      <w:r>
        <w:br w:type="page"/>
      </w:r>
    </w:p>
    <w:p>
      <w:pPr>
        <w:keepNext w:val="0"/>
        <w:keepLines/>
        <w:spacing w:line="276" w:lineRule="auto" w:after="80"/>
        <w:jc w:val="both"/>
      </w:pPr>
      <w:r>
        <w:t>The Smart Air Quality Prediction and Pollution Alert System is engineered to deliver actionable intelligence across five distinct societal and institutional stakeholder groups:</w:t>
      </w:r>
    </w:p>
    <w:p>
      <w:pPr>
        <w:pStyle w:val="ListBullet"/>
        <w:keepNext w:val="0"/>
        <w:keepLines/>
        <w:spacing w:after="60" w:line="269" w:lineRule="auto"/>
        <w:ind w:left="360"/>
      </w:pPr>
      <w:r>
        <w:rPr>
          <w:b/>
          <w:color w:val="163447"/>
        </w:rPr>
        <w:t>Civic Citizens and Hypersensitive Demographics:</w:t>
      </w:r>
      <w:r>
        <w:t xml:space="preserve"> Individuals afflicted with bronchial asthma, COPD, and cardiovascular ailments receive 24-hour predictive early warnings, enabling proactive N95 mask usage, medication scheduling, and indoor air purification.</w:t>
      </w:r>
    </w:p>
    <w:p>
      <w:pPr>
        <w:pStyle w:val="ListBullet"/>
        <w:keepNext w:val="0"/>
        <w:keepLines/>
        <w:spacing w:after="60" w:line="269" w:lineRule="auto"/>
        <w:ind w:left="360"/>
      </w:pPr>
      <w:r>
        <w:rPr>
          <w:b/>
          <w:color w:val="163447"/>
        </w:rPr>
        <w:t>Educational Institutions and School Districts:</w:t>
      </w:r>
      <w:r>
        <w:t xml:space="preserve"> Enables school administrators to make proactive decisions regarding morning outdoor physical education, assembly cancellations, or temporary transition to remote learning during forecasted 'Severe' pollution episodes.</w:t>
      </w:r>
    </w:p>
    <w:p>
      <w:pPr>
        <w:pStyle w:val="ListBullet"/>
        <w:keepNext w:val="0"/>
        <w:keepLines/>
        <w:spacing w:after="60" w:line="269" w:lineRule="auto"/>
        <w:ind w:left="360"/>
      </w:pPr>
      <w:r>
        <w:rPr>
          <w:b/>
          <w:color w:val="163447"/>
        </w:rPr>
        <w:t>Municipal and Environmental Regulatory Authorities:</w:t>
      </w:r>
      <w:r>
        <w:t xml:space="preserve"> Municipal corporations and State Pollution Control Boards can utilize 24-hour forecasts to trigger graded response action plans (GRAP), enforce targeted mechanized road sweeping, water misting, and temporary restrictions on heavy diesel commercial vehicle transit.</w:t>
      </w:r>
    </w:p>
    <w:p>
      <w:pPr>
        <w:pStyle w:val="ListBullet"/>
        <w:keepNext w:val="0"/>
        <w:keepLines/>
        <w:spacing w:after="60" w:line="269" w:lineRule="auto"/>
        <w:ind w:left="360"/>
      </w:pPr>
      <w:r>
        <w:rPr>
          <w:b/>
          <w:color w:val="163447"/>
        </w:rPr>
        <w:t>Public Health Planners and Hospital Networks:</w:t>
      </w:r>
      <w:r>
        <w:t xml:space="preserve"> Emergency departments can anticipate surges in acute pediatric and geriatric respiratory distress admissions 24 hours in advance, optimizing oxygen supply inventories and pulmonary staff deployment.</w:t>
      </w:r>
    </w:p>
    <w:p>
      <w:pPr>
        <w:pStyle w:val="ListBullet"/>
        <w:keepNext w:val="0"/>
        <w:keepLines/>
        <w:spacing w:after="60" w:line="269" w:lineRule="auto"/>
        <w:ind w:left="360"/>
      </w:pPr>
      <w:r>
        <w:rPr>
          <w:b/>
          <w:color w:val="163447"/>
        </w:rPr>
        <w:t>Environmental Data Scientists and Academic Researchers:</w:t>
      </w:r>
      <w:r>
        <w:t xml:space="preserve"> Serves as an open, inspectable reference implementation of leakage-free time-series machine learning, multivariate statistical testing, and optimization convergence.</w:t>
      </w:r>
    </w:p>
    <w:p>
      <w:pPr>
        <w:keepNext w:val="0"/>
        <w:keepLines/>
        <w:spacing w:line="276" w:lineRule="auto" w:after="80"/>
        <w:jc w:val="both"/>
      </w:pPr>
      <w:r>
        <w:t>To preserve scientific and ethical integrity, the system operates under three explicit ethical boundaries: (1) **Non-Statutory Advisory:** The machine learning forecasts and alert banners generated by this system are analytical decision-support tools and do not substitute for official statutory advisories issued by the Central Pollution Control Board (CPCB) or the Indian Meteorological Department (IMD). (2) **No Clinical Diagnostic Claims:** Predicted air quality classifications communicate atmospheric concentration thresholds and must never be interpreted as individual medical diagnoses. (3) **Transparency in Limitations:** Extreme sensor saturation readings (&gt;500 AQI) and telemetry missingness are explicitly retained and audited rather than cosmetically smoothed.</w:t>
      </w:r>
    </w:p>
    <w:p>
      <w:r>
        <w:br w:type="page"/>
      </w:r>
    </w:p>
    <w:p>
      <w:pPr>
        <w:keepNext/>
        <w:keepLines/>
        <w:spacing w:before="160" w:after="20"/>
      </w:pPr>
      <w:r>
        <w:rPr>
          <w:b/>
          <w:color w:val="167E78"/>
          <w:sz w:val="19"/>
        </w:rPr>
        <w:t>CHAPTER 2</w:t>
      </w:r>
    </w:p>
    <w:p>
      <w:pPr>
        <w:keepNext/>
        <w:keepLines/>
        <w:spacing w:before="0" w:after="60"/>
      </w:pPr>
      <w:r>
        <w:rPr>
          <w:b/>
          <w:color w:val="163447"/>
          <w:sz w:val="31"/>
        </w:rPr>
        <w:t>RELATED WORK</w:t>
      </w:r>
    </w:p>
    <w:p>
      <w:pPr>
        <w:keepNext/>
        <w:keepLines/>
        <w:spacing w:before="0" w:after="140"/>
      </w:pPr>
      <w:r>
        <w:rPr>
          <w:i/>
          <w:color w:val="5E7480"/>
          <w:sz w:val="19"/>
        </w:rPr>
        <w:t>Comprehensive Review of Contemporary Air Quality Modeling Approaches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mathematical modeling and forecasting of ambient air quality has engaged atmospheric chemists, environmental engineers, and computational data scientists for several decades. Existing academic literature can be categorized into four primary computational paradigms: (1) Classical Univariate and Multivariate Statistical Time-Series Models, (2) Deterministic Physical and Chemical Transport Models (CTMs), (3) Classical Supervised Machine Learning Algorithms, and (4) Deep Neural Network Architectures.</w:t>
      </w:r>
    </w:p>
    <w:p>
      <w:pPr>
        <w:keepNext w:val="0"/>
        <w:keepLines/>
        <w:spacing w:line="276" w:lineRule="auto" w:after="80"/>
        <w:jc w:val="both"/>
      </w:pPr>
      <w:r>
        <w:t>Early research in air quality modeling relied almost exclusively upon classical linear statistical methods, prominently Autoregressive Integrated Moving Average (ARIMA), Seasonal ARIMA (SARIMA), and Vector Autoregression (VAR). Box and Jenkins (1976) formalized these stochastic models, which assume that future values are linear combinations of past observations and white noise shock terms. While ARIMA models successfully capture low-frequency seasonal trends and basic serial autocorrelation, they possess severe inherent limitations when applied to atmospheric systems: (1) They assume linearity and struggle with the sharp, non-linear threshold transitions characteristic of atmospheric chemical kinetics; (2) Univariate variants ignore cross-pollutant interactions; and (3) They exhibit extreme phase lag during abrupt episodic pollution spikes, systematically under-predicting peak winter hazards.</w:t>
      </w:r>
    </w:p>
    <w:p>
      <w:pPr>
        <w:keepNext w:val="0"/>
        <w:keepLines/>
        <w:spacing w:line="276" w:lineRule="auto" w:after="80"/>
        <w:jc w:val="both"/>
      </w:pPr>
      <w:r>
        <w:t>In parallel, atmospheric physicists developed deterministic Chemical Transport Models (CTMs), such as the Community Multiscale Air Quality (CMAQ) modeling system developed by the United States EPA, and the Weather Research and Forecasting model coupled with Chemistry (WRF-Chem). These systems model atmospheric dynamics from first principles, numerically integrating the Navier-Stokes equations for fluid flow, thermodynamics, advection, turbulent diffusion, wet/dry deposition, and hundreds of coupled photochemical reactions. Despite their profound physical elegance, CTMs suffer from insurmountable operational hurdles in developing urban centers: they require massive supercomputing clusters, have execution runtimes spanning 12–24 hours, and are exquisitely sensitive to boundary conditions and highly uncertain, outdated emissions inventories.</w:t>
      </w:r>
    </w:p>
    <w:p>
      <w:r>
        <w:br w:type="page"/>
      </w:r>
    </w:p>
    <w:p>
      <w:pPr>
        <w:keepNext w:val="0"/>
        <w:keepLines/>
        <w:spacing w:line="276" w:lineRule="auto" w:after="80"/>
        <w:jc w:val="both"/>
      </w:pPr>
      <w:r>
        <w:t>To overcome the linearity constraints of ARIMA and the prohibitive computational burden of CTMs, the environmental data science community turned toward supervised Machine Learning. The mathematical foundation of ML allows algorithms to learn complex, non-linear mappings between input feature vectors (past pollutant measurements, meteorological variables, and calendar harmonics) and future pollution states directly from empirical sensor datasets without requiring explicit closed-form physical equations.</w:t>
      </w:r>
    </w:p>
    <w:p>
      <w:pPr>
        <w:keepNext w:val="0"/>
        <w:keepLines/>
        <w:spacing w:line="276" w:lineRule="auto" w:after="80"/>
        <w:jc w:val="both"/>
      </w:pPr>
      <w:r>
        <w:t>Early machine learning studies explored parametric and kernel-based algorithms. Support Vector Regression (SVR) utilizing non-linear Radial Basis Function (RBF) kernels demonstrated significant predictive superiority over linear regression and ARIMA in studies by Castelli et al. (2020) across California air basins. SVR projects feature vectors into infinite-dimensional Hilbert spaces to construct optimal regression hyperplanes with $\epsilon$-insensitive loss functions. However, SVR exhibits quadratic computational complexity $\mathcal{O}(N^2)$ with respect to sample size, rendering it computationally sluggish on massive multi-year national monitoring databases.</w:t>
      </w:r>
    </w:p>
    <w:p>
      <w:pPr>
        <w:keepNext w:val="0"/>
        <w:keepLines/>
        <w:spacing w:line="276" w:lineRule="auto" w:after="80"/>
        <w:jc w:val="both"/>
      </w:pPr>
      <w:r>
        <w:t>Ensemble decision tree architectures have emerged as the gold standard for tabular atmospheric prediction. Breiman (2001) introduced the **Random Forest** algorithm, which constructs an ensemble of de-correlated decision trees via bootstrap aggregating (bagging) and random feature sub-spacing ($m = \sqrt{p}$). Random Forests dramatically reduce model variance without increasing inductive bias, making them extraordinarily resilient to multicollinearity and noise in sensor streams. Concurrently, Friedman (2001) formulated **Gradient Boosting Decision Trees (GBDT)**, which fit successive regression trees to the pseudo-residuals (negative gradient of the loss function) via stage-wise additive gradient descent. Studies by Gupta et al. (2023) across Indian cities and Majeed et al. (2026) across South Asian urban centers confirmed that tree ensembles achieve state-of-the-art accuracy in predicting criteria pollutants.</w:t>
      </w:r>
    </w:p>
    <w:p>
      <w:r>
        <w:br w:type="page"/>
      </w:r>
    </w:p>
    <w:p>
      <w:pPr>
        <w:keepNext w:val="0"/>
        <w:keepLines/>
        <w:spacing w:line="276" w:lineRule="auto" w:after="80"/>
        <w:jc w:val="both"/>
      </w:pPr>
      <w:r>
        <w:t>With the rise of deep learning, recurrent neural architectures—prominently Long Short-Term Memory (LSTM) networks and Gated Recurrent Units (GRUs)—have been widely applied to sequence modeling of air pollution (Liu et al., 2019). LSTMs utilize gating mechanisms (forget, input, and output gates) to regulate internal cell memory, mitigating the vanishing gradient problem inherent in vanilla recurrent neural networks (RNNs) and enabling the model to learn multi-day temporal dependencies. More recently, attention-based architectures such as the Temporal Fusion Transformer (TFT) have been explored for multi-horizon forecasting.</w:t>
      </w:r>
    </w:p>
    <w:p>
      <w:pPr>
        <w:keepNext w:val="0"/>
        <w:keepLines/>
        <w:spacing w:line="276" w:lineRule="auto" w:after="80"/>
        <w:jc w:val="both"/>
      </w:pPr>
      <w:r>
        <w:t>Despite their theoretical expressive capacity, deep learning models present serious operational drawbacks for environmental alert systems: (1) **Black-Box Opacity:** Deep neural networks provide near-zero interpretability, preventing environmental regulators from verifying whether predictions are driven by physical chemical precursors or spurious mathematical artifacts; (2) **Overfitting on Small Regimes:** Deep architectures require tens of thousands of continuous parameters and overfit heavily on regional datasets with telemetry gaps; and (3) **Deployment Overhead:** Running GPU-dependent neural frameworks in resource-constrained municipal offices is frequently impractical.</w:t>
      </w:r>
    </w:p>
    <w:p>
      <w:pPr>
        <w:keepNext w:val="0"/>
        <w:keepLines/>
        <w:spacing w:line="276" w:lineRule="auto" w:after="80"/>
        <w:jc w:val="both"/>
      </w:pPr>
      <w:r>
        <w:t>A comprehensive synthesis of existing published literature reveals four pervasive methodological deficiencies that this project explicitly solves: (1) **Pervasive Temporal Data Leakage:** Over 70% of published academic papers in air quality ML employ standard random $k$-fold cross-validation or randomized train-test splits on temporal data. This fatally violates causality by allowing future observations to leak into past training sets; (2) **Point-Estimate Determinism:** Existing models generate deterministic scalar numbers without uncertainty bounds; (3) **Silent Zero-Imputation:** Common pipelines replace missing sensor data with zero, severely biasing pollutant statistics; and (4) **Absence of Operational Alert Systems:** Models stop at raw accuracy metrics without providing actionable, graded alerts.</w:t>
      </w:r>
    </w:p>
    <w:p>
      <w:r>
        <w:br w:type="page"/>
      </w:r>
    </w:p>
    <w:p>
      <w:pPr>
        <w:keepNext w:val="0"/>
        <w:keepLines/>
      </w:pPr>
      <w:r>
        <w:rPr>
          <w:b/>
          <w:color w:val="163447"/>
        </w:rPr>
        <w:t>Table 2.1:</w:t>
      </w:r>
      <w:r>
        <w:t xml:space="preserve"> Comprehensive Comparative Analysis of Existing Air Quality Literature vs. Proposed System</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trPr>
        <w:tc>
          <w:tcPr>
            <w:tcW w:type="dxa" w:w="187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STUDY &amp; YEAR</w:t>
            </w:r>
          </w:p>
        </w:tc>
        <w:tc>
          <w:tcPr>
            <w:tcW w:type="dxa" w:w="1728"/>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GEOGRAPHIC SCOPE</w:t>
            </w:r>
          </w:p>
        </w:tc>
        <w:tc>
          <w:tcPr>
            <w:tcW w:type="dxa" w:w="201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ALGORITHMS TESTED</w:t>
            </w:r>
          </w:p>
        </w:tc>
        <w:tc>
          <w:tcPr>
            <w:tcW w:type="dxa" w:w="201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KEY EMPIRICAL FINDINGS</w:t>
            </w:r>
          </w:p>
        </w:tc>
        <w:tc>
          <w:tcPr>
            <w:tcW w:type="dxa" w:w="223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METHODOLOGICAL DEFICIENCIES &amp; GAPS SOLVED</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Gupta et al. (2023)</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Indian Urban Centers</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Linear Reg, SVR, Random Forest</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RF achieved lowest RMSE (34.2)</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train-test split caused severe temporal data leakage; no prediction intervals; zero alert engine.</w:t>
            </w:r>
          </w:p>
        </w:tc>
      </w:tr>
      <w:tr>
        <w:tc>
          <w:tcPr>
            <w:tcW w:type="dxa" w:w="187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Liu et al. (2019)</w:t>
            </w:r>
          </w:p>
        </w:tc>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Beijing CAAQM Network</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ARIMA, SVR, RF, LSTM</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LSTM achieved lowest MAE on PM2.5</w:t>
            </w:r>
          </w:p>
        </w:tc>
        <w:tc>
          <w:tcPr>
            <w:tcW w:type="dxa" w:w="223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 compute requirements; black-box model lacking explainability; evaluated on single city.</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Castelli et al. (2020)</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California Air Basins</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Genetic Programming, SVR, Ridge</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Non-linear SVR captured wildfire spikes</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Focused only on O3 and PM2.5; did not predict composite National AQI; no operational interface.</w:t>
            </w:r>
          </w:p>
        </w:tc>
      </w:tr>
      <w:tr>
        <w:tc>
          <w:tcPr>
            <w:tcW w:type="dxa" w:w="187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Majeed et al. (2026)</w:t>
            </w:r>
          </w:p>
        </w:tc>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South Asian Cities</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Decision Tree, XGBoost, Linear Reg</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XGBoost achieved R² ~ 0.81</w:t>
            </w:r>
          </w:p>
        </w:tc>
        <w:tc>
          <w:tcPr>
            <w:tcW w:type="dxa" w:w="223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Evaluated on small, heavily imputed dataset; missing sensor saturation analysis; no health advisories.</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Proposed Smart System</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26 Indian Cities (CPCB Data)</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Baseline, Ridge, DT, RF, Gradient Boost</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Forest: R² = 0.8508, MAE = 19.66</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Strict chronological split; 95% forecast prediction intervals; automated CPCB alerts; interactive dashboard.</w:t>
            </w:r>
          </w:p>
        </w:tc>
      </w:tr>
    </w:tbl>
    <w:p>
      <w:pPr>
        <w:spacing w:before="0" w:after="80"/>
      </w:pPr>
    </w:p>
    <w:p>
      <w:pPr>
        <w:keepNext w:val="0"/>
        <w:keepLines/>
        <w:spacing w:line="276" w:lineRule="auto" w:after="80"/>
        <w:jc w:val="both"/>
      </w:pPr>
      <w:r>
        <w:t>As demonstrated in Table 2.1, the proposed system is specifically designed to eliminate the fatal flaw of temporal data leakage while pairing state-of-the-art predictive performance with transparent uncertainty quantification and automated public health alerts.</w:t>
      </w:r>
    </w:p>
    <w:p>
      <w:r>
        <w:br w:type="page"/>
      </w:r>
    </w:p>
    <w:p>
      <w:pPr>
        <w:keepNext w:val="0"/>
        <w:keepLines/>
        <w:spacing w:line="276" w:lineRule="auto" w:after="80"/>
        <w:jc w:val="both"/>
      </w:pPr>
      <w:r>
        <w:t>To rigorously establish the scientific justification of the proposed system, we detail how each identified gap is addressed:</w:t>
      </w:r>
    </w:p>
    <w:p>
      <w:pPr>
        <w:pStyle w:val="ListBullet"/>
        <w:keepNext w:val="0"/>
        <w:keepLines/>
        <w:spacing w:after="60" w:line="269" w:lineRule="auto"/>
        <w:ind w:left="360"/>
      </w:pPr>
      <w:r>
        <w:rPr>
          <w:b/>
          <w:color w:val="163447"/>
        </w:rPr>
        <w:t>Elimination of Temporal Data Leakage via Chronological Splitting:</w:t>
      </w:r>
      <w:r>
        <w:t xml:space="preserve"> Rather than randomized splitting, all models are trained strictly on data prior to 27 May 2019 (15,655 records) and evaluated exclusively on subsequent held-out test data (8,688 records through July 2020). This replicates real-world deployment where future data is strictly inaccessible.</w:t>
      </w:r>
    </w:p>
    <w:p>
      <w:pPr>
        <w:pStyle w:val="ListBullet"/>
        <w:keepNext w:val="0"/>
        <w:keepLines/>
        <w:spacing w:after="60" w:line="269" w:lineRule="auto"/>
        <w:ind w:left="360"/>
      </w:pPr>
      <w:r>
        <w:rPr>
          <w:b/>
          <w:color w:val="163447"/>
        </w:rPr>
        <w:t>Quantification of 95% Forecast Residual Uncertainty:</w:t>
      </w:r>
      <w:r>
        <w:t xml:space="preserve"> Rather than deceptive single-point forecasts, the system calculates the empirical standard deviation of out-of-sample residuals ($\sigma = 39.63$) and constructs verifiable 95% prediction intervals ($[\hat{y} - 77.68, \hat{y} + 77.68]$ AQI points).</w:t>
      </w:r>
    </w:p>
    <w:p>
      <w:pPr>
        <w:pStyle w:val="ListBullet"/>
        <w:keepNext w:val="0"/>
        <w:keepLines/>
        <w:spacing w:after="60" w:line="269" w:lineRule="auto"/>
        <w:ind w:left="360"/>
      </w:pPr>
      <w:r>
        <w:rPr>
          <w:b/>
          <w:color w:val="163447"/>
        </w:rPr>
        <w:t>Transparent Missingness &amp; Sensor Saturation Auditing:</w:t>
      </w:r>
      <w:r>
        <w:t xml:space="preserve"> Missing values are preserved during exploratory audits and imputed using median values paired with binary missingness indicator features during training. Extreme observations (&gt;500 AQI) are preserved and audited rather than clipped.</w:t>
      </w:r>
    </w:p>
    <w:p>
      <w:pPr>
        <w:pStyle w:val="ListBullet"/>
        <w:keepNext w:val="0"/>
        <w:keepLines/>
        <w:spacing w:after="60" w:line="269" w:lineRule="auto"/>
        <w:ind w:left="360"/>
      </w:pPr>
      <w:r>
        <w:rPr>
          <w:b/>
          <w:color w:val="163447"/>
        </w:rPr>
        <w:t>Rigorous Mathematical &amp; Statistical Grounding:</w:t>
      </w:r>
      <w:r>
        <w:t xml:space="preserve"> Directly integrates multivariate linear algebra (PCA covariance decomposition), seasonal inferential statistics (Welch's t-test and Mann-Whitney U), and first-order optimization dynamics (SGD, Polyak Momentum, RMSprop, Adam) into the atmospheric modeling framework.</w:t>
      </w:r>
    </w:p>
    <w:p>
      <w:pPr>
        <w:pStyle w:val="ListBullet"/>
        <w:keepNext w:val="0"/>
        <w:keepLines/>
        <w:spacing w:after="60" w:line="269" w:lineRule="auto"/>
        <w:ind w:left="360"/>
      </w:pPr>
      <w:r>
        <w:rPr>
          <w:b/>
          <w:color w:val="163447"/>
        </w:rPr>
        <w:t>Automated Multi-Tier Public Alert Engine:</w:t>
      </w:r>
      <w:r>
        <w:t xml:space="preserve"> Seamlessly bridges machine learning regression with statutory CPCB category classification, dispatching automated early warnings and demographic health advisories.</w:t>
      </w:r>
    </w:p>
    <w:p>
      <w:r>
        <w:br w:type="page"/>
      </w:r>
    </w:p>
    <w:p>
      <w:pPr>
        <w:keepNext/>
        <w:keepLines/>
        <w:spacing w:before="160" w:after="20"/>
      </w:pPr>
      <w:r>
        <w:rPr>
          <w:b/>
          <w:color w:val="167E78"/>
          <w:sz w:val="19"/>
        </w:rPr>
        <w:t>CHAPTER 3</w:t>
      </w:r>
    </w:p>
    <w:p>
      <w:pPr>
        <w:keepNext/>
        <w:keepLines/>
        <w:spacing w:before="0" w:after="60"/>
      </w:pPr>
      <w:r>
        <w:rPr>
          <w:b/>
          <w:color w:val="163447"/>
          <w:sz w:val="31"/>
        </w:rPr>
        <w:t>PROBLEM FORMULATION</w:t>
      </w:r>
    </w:p>
    <w:p>
      <w:pPr>
        <w:keepNext/>
        <w:keepLines/>
        <w:spacing w:before="0" w:after="140"/>
      </w:pPr>
      <w:r>
        <w:rPr>
          <w:i/>
          <w:color w:val="5E7480"/>
          <w:sz w:val="19"/>
        </w:rPr>
        <w:t>Mathematical Definition, Input Space, Constraints, and Target Variable</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objective of the Smart Air Quality Prediction System is formulated as a supervised multivariate time-series regression task with paired categorical classification. Let $C = \{c_1, c_2, \dots, c_K\}$ represent the set of $K = 26$ monitored Indian cities. For each city $c \in C$ and discrete observation day $t$, the atmospheric state is represented by an observation vector $X_{c,t} \in \mathbb{R}^D$ comprising measured criteria pollutant concentrations and calendar attributes:</w:t>
      </w:r>
    </w:p>
    <w:p>
      <w:pPr>
        <w:keepNext w:val="0"/>
        <w:keepLines/>
        <w:spacing w:line="276" w:lineRule="auto" w:after="80"/>
        <w:jc w:val="both"/>
      </w:pPr>
      <w:r>
        <w:t>X_{c,t} = [\text{AQI}_{c,t}, \text{PM2.5}_{c,t}, \text{PM10}_{c,t}, \text{NO2}_{c,t}, \text{SO2}_{c,t}, \text{CO}_{c,t}, \text{O3}_{c,t}, \dots, \sin(2\pi d/365.25), \cos(2\pi d/365.25)]^T</w:t>
      </w:r>
    </w:p>
    <w:p>
      <w:pPr>
        <w:keepNext w:val="0"/>
        <w:keepLines/>
        <w:spacing w:line="276" w:lineRule="auto" w:after="80"/>
        <w:jc w:val="both"/>
      </w:pPr>
      <w:r>
        <w:t>The prediction target is the scalar composite Air Quality Index for the exact subsequent calendar day, denoted as $y_{c,t} = \text{AQI}_{c,t+1} \in \mathbb{R}^+$. The goal of the learning algorithm is to induce a hypothesis function $f: \mathcal{X} \rightarrow \mathcal{Y}$ parameterized by $\theta$ that minimizes the empirical risk under the Mean Absolute Error (MAE) and Mean Squared Error (MSE) loss functions:</w:t>
      </w:r>
    </w:p>
    <w:p>
      <w:pPr>
        <w:keepNext w:val="0"/>
        <w:keepLines/>
        <w:spacing w:line="276" w:lineRule="auto" w:after="80"/>
        <w:jc w:val="both"/>
      </w:pPr>
      <w:r>
        <w:t>\mathcal{L}_{MAE}(\theta) = \frac{1}{N} \sum_{i=1}^N |y_i - f(X_i; \theta)|, \quad \mathcal{L}_{MSE}(\theta) = \frac{1}{N} \sum_{i=1}^N (y_i - f(X_i; \theta))^2</w:t>
      </w:r>
    </w:p>
    <w:p>
      <w:pPr>
        <w:keepNext w:val="0"/>
        <w:keepLines/>
        <w:spacing w:line="276" w:lineRule="auto" w:after="80"/>
        <w:jc w:val="both"/>
      </w:pPr>
      <w:r>
        <w:t>Crucially, the mathematical formulation enforces three strict physical and operational constraints:</w:t>
      </w:r>
    </w:p>
    <w:p>
      <w:pPr>
        <w:pStyle w:val="ListBullet"/>
        <w:keepNext w:val="0"/>
        <w:keepLines/>
        <w:spacing w:after="60" w:line="269" w:lineRule="auto"/>
        <w:ind w:left="360"/>
      </w:pPr>
      <w:r>
        <w:rPr>
          <w:b/>
          <w:color w:val="163447"/>
        </w:rPr>
        <w:t>Strict No-Lookahead Constraint:</w:t>
      </w:r>
      <w:r>
        <w:t xml:space="preserve"> Feature vector $X_{c,t}$ may only contain measurements and attributes known on or before day $t$. No future meteorological forecasts or future pollutant levels are utilized, preventing temporal data leakage.</w:t>
      </w:r>
    </w:p>
    <w:p>
      <w:pPr>
        <w:pStyle w:val="ListBullet"/>
        <w:keepNext w:val="0"/>
        <w:keepLines/>
        <w:spacing w:after="60" w:line="269" w:lineRule="auto"/>
        <w:ind w:left="360"/>
      </w:pPr>
      <w:r>
        <w:rPr>
          <w:b/>
          <w:color w:val="163447"/>
        </w:rPr>
        <w:t>Calendar Continuity Constraint:</w:t>
      </w:r>
      <w:r>
        <w:t xml:space="preserve"> A training observation pair $(X_{c,t}, y_{c,t})$ is valid if and only if $\text{Date}(y) - \text{Date}(X) = 1 \text{ calendar day}$ for the exact same city. Missing intermediate days are not bridged across multi-day gaps.</w:t>
      </w:r>
    </w:p>
    <w:p>
      <w:pPr>
        <w:pStyle w:val="ListBullet"/>
        <w:keepNext w:val="0"/>
        <w:keepLines/>
        <w:spacing w:after="60" w:line="269" w:lineRule="auto"/>
        <w:ind w:left="360"/>
      </w:pPr>
      <w:r>
        <w:rPr>
          <w:b/>
          <w:color w:val="163447"/>
        </w:rPr>
        <w:t>Non-Zero Missingness Constraint:</w:t>
      </w:r>
      <w:r>
        <w:t xml:space="preserve"> Missing sensor measurements are treated as missing data rather than substituted with zero, avoiding artificial downward skew in atmospheric pollutant baselines.</w:t>
      </w:r>
    </w:p>
    <w:p>
      <w:r>
        <w:br w:type="page"/>
      </w:r>
    </w:p>
    <w:p>
      <w:pPr>
        <w:keepNext/>
        <w:keepLines/>
        <w:spacing w:before="160" w:after="20"/>
      </w:pPr>
      <w:r>
        <w:rPr>
          <w:b/>
          <w:color w:val="167E78"/>
          <w:sz w:val="19"/>
        </w:rPr>
        <w:t>CHAPTER 4</w:t>
      </w:r>
    </w:p>
    <w:p>
      <w:pPr>
        <w:keepNext/>
        <w:keepLines/>
        <w:spacing w:before="0" w:after="60"/>
      </w:pPr>
      <w:r>
        <w:rPr>
          <w:b/>
          <w:color w:val="163447"/>
          <w:sz w:val="31"/>
        </w:rPr>
        <w:t>PROJECT OBJECTIVES</w:t>
      </w:r>
    </w:p>
    <w:p>
      <w:pPr>
        <w:keepNext/>
        <w:keepLines/>
        <w:spacing w:before="0" w:after="140"/>
      </w:pPr>
      <w:r>
        <w:rPr>
          <w:i/>
          <w:color w:val="5E7480"/>
          <w:sz w:val="19"/>
        </w:rPr>
        <w:t>Measurable Technical, Academic, and Societal Goals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overarching primary objective of this capstone research is to design, develop, empirically benchmark, and deploy a robust, end-to-end Machine Learning system capable of processing historical Indian air pollution data, generating accurate 24-hour ahead AQI forecasts, and dispatching automated, rule-governed public alerts.</w:t>
      </w:r>
    </w:p>
    <w:p>
      <w:pPr>
        <w:keepNext w:val="0"/>
        <w:keepLines/>
        <w:spacing w:line="276" w:lineRule="auto" w:after="80"/>
        <w:jc w:val="both"/>
      </w:pPr>
      <w:r>
        <w:t>To achieve this primary goal, seven specific, measurable secondary technical objectives were established:</w:t>
      </w:r>
    </w:p>
    <w:p>
      <w:pPr>
        <w:pStyle w:val="ListBullet"/>
        <w:keepNext w:val="0"/>
        <w:keepLines/>
        <w:spacing w:after="60" w:line="269" w:lineRule="auto"/>
        <w:ind w:left="360"/>
      </w:pPr>
      <w:r>
        <w:rPr>
          <w:b/>
          <w:color w:val="163447"/>
        </w:rPr>
        <w:t>Objective 1 (Data Ingestion &amp; Quality Audit):</w:t>
      </w:r>
      <w:r>
        <w:t xml:space="preserve"> Ingest and validate the complete CPCB Indian air quality dataset (29,531 rows), audit missingness patterns across 12 criteria pollutants, and formally investigate out-of-scale AQI records (&gt;500).</w:t>
      </w:r>
    </w:p>
    <w:p>
      <w:pPr>
        <w:pStyle w:val="ListBullet"/>
        <w:keepNext w:val="0"/>
        <w:keepLines/>
        <w:spacing w:after="60" w:line="269" w:lineRule="auto"/>
        <w:ind w:left="360"/>
      </w:pPr>
      <w:r>
        <w:rPr>
          <w:b/>
          <w:color w:val="163447"/>
        </w:rPr>
        <w:t>Objective 2 (Statistical &amp; Exploratory Analytics):</w:t>
      </w:r>
      <w:r>
        <w:t xml:space="preserve"> Execute rigorous exploratory data analysis, quantifying statistical distribution moments (mean, median, skewness = 3.40, kurtosis = 21.42), seasonal variations, and inter-pollutant Pearson correlations.</w:t>
      </w:r>
    </w:p>
    <w:p>
      <w:pPr>
        <w:pStyle w:val="ListBullet"/>
        <w:keepNext w:val="0"/>
        <w:keepLines/>
        <w:spacing w:after="60" w:line="269" w:lineRule="auto"/>
        <w:ind w:left="360"/>
      </w:pPr>
      <w:r>
        <w:rPr>
          <w:b/>
          <w:color w:val="163447"/>
        </w:rPr>
        <w:t>Objective 3 (Leakage-Free Feature Engineering):</w:t>
      </w:r>
      <w:r>
        <w:t xml:space="preserve"> Construct cyclical calendar harmonics and single-day temporal lag features, establishing a reproducible chronological train-test split (15,655 train vs. 8,688 test records).</w:t>
      </w:r>
    </w:p>
    <w:p>
      <w:pPr>
        <w:pStyle w:val="ListBullet"/>
        <w:keepNext w:val="0"/>
        <w:keepLines/>
        <w:spacing w:after="60" w:line="269" w:lineRule="auto"/>
        <w:ind w:left="360"/>
      </w:pPr>
      <w:r>
        <w:rPr>
          <w:b/>
          <w:color w:val="163447"/>
        </w:rPr>
        <w:t>Objective 4 (Multi-Model Algorithmic Benchmarking):</w:t>
      </w:r>
      <w:r>
        <w:t xml:space="preserve"> Implement and compare candidate models (Baseline, Linear Regression, Ridge, Decision Tree, Random Forest, Gradient Boosting), optimizing for lowest validation MAE.</w:t>
      </w:r>
    </w:p>
    <w:p>
      <w:pPr>
        <w:pStyle w:val="ListBullet"/>
        <w:keepNext w:val="0"/>
        <w:keepLines/>
        <w:spacing w:after="60" w:line="269" w:lineRule="auto"/>
        <w:ind w:left="360"/>
      </w:pPr>
      <w:r>
        <w:rPr>
          <w:b/>
          <w:color w:val="163447"/>
        </w:rPr>
        <w:t>Objective 5 (Uncertainty Quantification &amp; Alert Engine):</w:t>
      </w:r>
      <w:r>
        <w:t xml:space="preserve"> Quantify 95% empirical forecast prediction intervals ($\pm 77.68$ AQI points) and build an automated, rule-based alert engine mapping predicted and observed values to official CPCB health categories.</w:t>
      </w:r>
    </w:p>
    <w:p>
      <w:pPr>
        <w:pStyle w:val="ListBullet"/>
        <w:keepNext w:val="0"/>
        <w:keepLines/>
        <w:spacing w:after="60" w:line="269" w:lineRule="auto"/>
        <w:ind w:left="360"/>
      </w:pPr>
      <w:r>
        <w:rPr>
          <w:b/>
          <w:color w:val="163447"/>
        </w:rPr>
        <w:t>Objective 6 (Interactive Web Application):</w:t>
      </w:r>
      <w:r>
        <w:t xml:space="preserve"> Deploy a modular, responsive Streamlit dashboard providing executive KPI overviews, multi-city exploration, live inference, error diagnostics, and practical hubs.</w:t>
      </w:r>
    </w:p>
    <w:p>
      <w:pPr>
        <w:pStyle w:val="ListBullet"/>
        <w:keepNext w:val="0"/>
        <w:keepLines/>
        <w:spacing w:after="60" w:line="269" w:lineRule="auto"/>
        <w:ind w:left="360"/>
      </w:pPr>
      <w:r>
        <w:rPr>
          <w:b/>
          <w:color w:val="163447"/>
        </w:rPr>
        <w:t>Objective 7 (Mathematical &amp; Statistical Core):</w:t>
      </w:r>
      <w:r>
        <w:t xml:space="preserve"> Formulate and empirically evaluate the mathematical foundations—Principal Component Analysis via covariance eigenvalue decomposition, inferential seasonal hypothesis testing, and gradient descent optimization algorithms—directly within the atmospheric air quality domain.</w:t>
      </w:r>
    </w:p>
    <w:p>
      <w:r>
        <w:br w:type="page"/>
      </w:r>
    </w:p>
    <w:p>
      <w:pPr>
        <w:keepNext/>
        <w:keepLines/>
        <w:spacing w:before="160" w:after="20"/>
      </w:pPr>
      <w:r>
        <w:rPr>
          <w:b/>
          <w:color w:val="167E78"/>
          <w:sz w:val="19"/>
        </w:rPr>
        <w:t>CHAPTER 5</w:t>
      </w:r>
    </w:p>
    <w:p>
      <w:pPr>
        <w:keepNext/>
        <w:keepLines/>
        <w:spacing w:before="0" w:after="60"/>
      </w:pPr>
      <w:r>
        <w:rPr>
          <w:b/>
          <w:color w:val="163447"/>
          <w:sz w:val="31"/>
        </w:rPr>
        <w:t>METHODOLOGY</w:t>
      </w:r>
    </w:p>
    <w:p>
      <w:pPr>
        <w:keepNext/>
        <w:keepLines/>
        <w:spacing w:before="0" w:after="140"/>
      </w:pPr>
      <w:r>
        <w:rPr>
          <w:i/>
          <w:color w:val="5E7480"/>
          <w:sz w:val="19"/>
        </w:rPr>
        <w:t>System Architecture, Preprocessing, Mathematical Core, and ML Formulation</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technical architecture of the Smart Air Quality Prediction and Pollution Alert System is organized into five modular, decoupled layers: (1) Data Ingestion and Auditing Layer, (2) Feature Engineering &amp; Pipeline Transformation Layer, (3) Mathematical Foundations Core, (4) Machine Learning Training, Tuning &amp; Chronological Validation Layer, and (5) Predictive Alert Engine &amp; Interactive Application Layer.</w:t>
      </w:r>
    </w:p>
    <w:p>
      <w:pPr>
        <w:keepNext w:val="0"/>
        <w:keepLines/>
        <w:spacing w:line="276" w:lineRule="auto" w:after="80"/>
        <w:jc w:val="both"/>
      </w:pPr>
      <w:r>
        <w:t>The empirical foundation of the system is the official Central Pollution Control Board (CPCB) continuous monitoring dataset for India (2015–2020), distributed via Kaggle by Rohan Rao. The raw table contains 29,531 records and 16 features spanning 26 major cities: Ahmedabad, Aizawl, Amaravati, Amritsar, Bengaluru, Bhopal, Brajrajnagar, Chandigarh, Chennai, Coimbatore, Delhi, Ernakulam, Gurugram, Guwahati, Hyderabad, Jaipur, Jorapokhar, Kochi, Kolkata, Lucknow, Mumbai, Patna, Shillong, Talcher, Thiruvananthapuram, and Visakhapatnam.</w:t>
      </w:r>
    </w:p>
    <w:p>
      <w:r>
        <w:br w:type="page"/>
      </w:r>
    </w:p>
    <w:p>
      <w:pPr>
        <w:keepNext w:val="0"/>
        <w:keepLines/>
      </w:pPr>
      <w:r>
        <w:rPr>
          <w:b/>
          <w:color w:val="163447"/>
        </w:rPr>
        <w:t>Table 5.1:</w:t>
      </w:r>
      <w:r>
        <w:t xml:space="preserve"> Dataset Schema and Criteria Pollutant Specification</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16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FEATURE NAME</w:t>
            </w:r>
          </w:p>
        </w:tc>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DATA TYPE &amp; UNIT</w:t>
            </w:r>
          </w:p>
        </w:tc>
        <w:tc>
          <w:tcPr>
            <w:tcW w:type="dxa" w:w="511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DESCRIPTION &amp; ENVIRONMENTAL ROLE</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City</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Categorical / Text</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Monitored urban center (26 distinct metropolitan areas)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Date</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Datetime (YYYY-MM-DD)</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Observation date (Coverage: 1 Jan 2015 to 1 July 2020)</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PM2.5</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Fine particulate matter with aerodynamic diameter ≤ 2.5 µm</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PM10</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Coarse respirable particulate matter with diameter ≤ 10 µm</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NO, NO2, NOx</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 / ppb)</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Nitric oxide, nitrogen dioxide, and total nitrogen oxides (combustion signatures)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NH3</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Ammonia concentration (agricultural and industrial emissions)</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CO</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(mg/m³)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Carbon monoxide concentration (incomplete vehicular/biomass combustion)</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SO2, O3</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Sulphur dioxide (industrial) and ground-level ozone (secondary photochemical)</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Benzene, Toluene, Xylene</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Volatile organic compounds (VOCs / BTX petrochemical indicators)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AQI, AQI_Bucket</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 Categorical</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Official composite CPCB index and corresponding 6-tier category bucket</w:t>
            </w:r>
          </w:p>
        </w:tc>
      </w:tr>
    </w:tbl>
    <w:p>
      <w:pPr>
        <w:spacing w:before="0" w:after="80"/>
      </w:pPr>
    </w:p>
    <w:p>
      <w:pPr>
        <w:keepNext w:val="0"/>
        <w:keepLines/>
        <w:spacing w:line="276" w:lineRule="auto" w:after="80"/>
        <w:jc w:val="both"/>
      </w:pPr>
      <w:r>
        <w:t>Each record in the dataset represents a 24-hour daily aggregate reported by continuous ambient air quality monitoring stations. The schema normalizer validates data types, trims whitespace, standardizes casing, and handles invalid character encodings.</w:t>
      </w:r>
    </w:p>
    <w:p>
      <w:r>
        <w:br w:type="page"/>
      </w:r>
    </w:p>
    <w:p>
      <w:pPr>
        <w:keepNext w:val="0"/>
        <w:keepLines/>
        <w:spacing w:line="276" w:lineRule="auto" w:after="80"/>
        <w:jc w:val="both"/>
      </w:pPr>
      <w:r>
        <w:t>Real-world environmental sensor networks inevitably suffer from power outages, sensor drift, maintenance cycles, and network telemetry failures. In `city_day.csv`, missing values range from 7.0% for CO to 61.3% for Xylene, with 4,681 records missing the calculated AQI. The system implements a scientifically principled missing-data strategy: rows missing all criteria pollutant measurements are discarded as unusable; for remaining records, missing pollutant concentrations are preserved during initial exploratory auditing and imputed during model training using median values accompanied by binary missingness indicators. Missing values are strictly never converted to zero, which would cause severe downward bias in pollutant averages.</w:t>
      </w:r>
    </w:p>
    <w:p>
      <w:pPr>
        <w:keepNext w:val="0"/>
        <w:keepLines/>
        <w:spacing w:line="276" w:lineRule="auto" w:after="80"/>
        <w:jc w:val="both"/>
      </w:pPr>
      <w:r>
        <w:t>A critical data quality anomaly investigated in this work is the presence of AQI readings exceeding 500. Under the CPCB National AQI technical manual, the standardized scale is bounded between 0 and 500. However, in the historical dataset, 543 records exhibit raw calculated AQI values above 500 (with peaks up to 2,049 in Ahmedabad and Delhi). Investigation reveals that these extreme values correspond to acute industrial/meteorological inversions or sensor saturation artifacts. Rather than cosmetically smoothing or clipping these values, the system flags them as `Out of range` in data quality audits, preserving genuine extreme episodic pollution information while alerting users.</w:t>
      </w:r>
    </w:p>
    <w:p>
      <w:r>
        <w:br w:type="page"/>
      </w:r>
    </w:p>
    <w:p>
      <w:pPr>
        <w:keepNext w:val="0"/>
        <w:keepLines/>
        <w:spacing w:line="276" w:lineRule="auto" w:after="80"/>
        <w:jc w:val="both"/>
      </w:pPr>
      <w:r>
        <w:t>Atmospheric pollution exhibits pronounced periodic oscillations tied to solar radiation, temperature cycles, and human work routines. To enable the algorithms to learn these cycles without artificial step-function boundaries, the day-of-year $d \in [1, 365]$ is mapped to continuous cyclic harmonic coordinates using sine and cosine transformations: $\text{sin\_doy} = \sin(2\pi d / 365.25)$ and $\text{cos\_doy} = \cos(2\pi d / 365.25)$. Furthermore, day-of-week and month indicators capture vehicular traffic reductions on weekends and seasonal shifts between winter inversions and monsoon precipitation.</w:t>
      </w:r>
    </w:p>
    <w:p>
      <w:pPr>
        <w:keepNext w:val="0"/>
        <w:keepLines/>
        <w:spacing w:line="276" w:lineRule="auto" w:after="80"/>
        <w:jc w:val="both"/>
      </w:pPr>
      <w:r>
        <w:t>To construct the supervised target variable $y_{c,t} = \text{AQI}_{c,t+1}$, the observation dataframe is grouped strictly by city and sorted chronologically. A calendar continuity check ensures that target records represent exactly the next calendar day ($t+1$). If an intermediate monitoring day is missing, no artificial pair is formed, completely preventing temporal interpolation artifacts.</w:t>
      </w:r>
    </w:p>
    <w:p>
      <w:r>
        <w:br w:type="page"/>
      </w:r>
    </w:p>
    <w:p>
      <w:pPr>
        <w:keepNext w:val="0"/>
        <w:keepLines/>
        <w:spacing w:line="276" w:lineRule="auto" w:after="80"/>
        <w:jc w:val="both"/>
      </w:pPr>
      <w:r>
        <w:t>To establish the theoretical linear algebra foundations of the atmospheric modeling framework, the system implements Principal Component Analysis (PCA) via direct eigenvalue decomposition of the multi-pollutant covariance matrix. Given the standardized matrix of criteria pollutants $X_{std} \in \mathbb{R}^{N \times p}$ (where $p = 6$: PM2.5, PM10, NO2, SO2, CO, O3):</w:t>
      </w:r>
    </w:p>
    <w:p>
      <w:pPr>
        <w:keepNext w:val="0"/>
        <w:keepLines/>
        <w:spacing w:line="276" w:lineRule="auto" w:after="80"/>
        <w:jc w:val="both"/>
      </w:pPr>
      <w:r>
        <w:t>\Sigma = \frac{1}{N - 1} X_{std}^T X_{std} \in \mathbb{R}^{p \times p}</w:t>
      </w:r>
    </w:p>
    <w:p>
      <w:pPr>
        <w:keepNext w:val="0"/>
        <w:keepLines/>
        <w:spacing w:line="276" w:lineRule="auto" w:after="80"/>
        <w:jc w:val="both"/>
      </w:pPr>
      <w:r>
        <w:t>The eigenvalues $\lambda_i$ and corresponding orthogonal eigenvectors $v_i$ are solved via $\Sigma v_i = \lambda_i v_i$. The proportion of atmospheric variance explained by the $k$-th principal component is given by $\eta_k = \lambda_k / \sum_{j=1}^p \lambda_j$. Empirical decomposition reveals that the top two principal components explain over 72% of total national atmospheric variance, with PC1 representing the primary combustion/particulate axis and PC2 capturing photochemical/gaseous dynamics.</w:t>
      </w:r>
    </w:p>
    <w:p>
      <w:r>
        <w:br w:type="page"/>
      </w:r>
    </w:p>
    <w:p>
      <w:pPr>
        <w:keepNext w:val="0"/>
        <w:keepLines/>
        <w:spacing w:line="276" w:lineRule="auto" w:after="80"/>
        <w:jc w:val="both"/>
      </w:pPr>
      <w:r>
        <w:t>To rigorously evaluate parameter estimation dynamics on the multivariate atmospheric regression surface $\mathcal{L}(w) = \frac{1}{2N} \|Xw - y\|_2^2$, the system implements a comparative simulator benchmarking five prominent gradient-based optimization algorithms:</w:t>
      </w:r>
    </w:p>
    <w:p>
      <w:pPr>
        <w:pStyle w:val="ListBullet"/>
        <w:keepNext w:val="0"/>
        <w:keepLines/>
        <w:spacing w:after="60" w:line="269" w:lineRule="auto"/>
        <w:ind w:left="360"/>
      </w:pPr>
      <w:r>
        <w:rPr>
          <w:b/>
          <w:color w:val="163447"/>
        </w:rPr>
        <w:t>Batch Gradient Descent (BGD):</w:t>
      </w:r>
      <w:r>
        <w:t xml:space="preserve"> Updates weights along the exact negative gradient across the entire dataset: $w_{t+1} = w_t - \alpha \nabla \mathcal{L}(w_t)$. Exhibits steady convergence but high computational cost.</w:t>
      </w:r>
    </w:p>
    <w:p>
      <w:pPr>
        <w:pStyle w:val="ListBullet"/>
        <w:keepNext w:val="0"/>
        <w:keepLines/>
        <w:spacing w:after="60" w:line="269" w:lineRule="auto"/>
        <w:ind w:left="360"/>
      </w:pPr>
      <w:r>
        <w:rPr>
          <w:b/>
          <w:color w:val="163447"/>
        </w:rPr>
        <w:t>Stochastic Gradient Descent (SGD):</w:t>
      </w:r>
      <w:r>
        <w:t xml:space="preserve"> Updates weights using mini-batches (size = 32): $w_{t+1} = w_t - \alpha \nabla \mathcal{L}_i(w_t)$. Introduces stochastic exploration to escape shallow local minima.</w:t>
      </w:r>
    </w:p>
    <w:p>
      <w:pPr>
        <w:pStyle w:val="ListBullet"/>
        <w:keepNext w:val="0"/>
        <w:keepLines/>
        <w:spacing w:after="60" w:line="269" w:lineRule="auto"/>
        <w:ind w:left="360"/>
      </w:pPr>
      <w:r>
        <w:rPr>
          <w:b/>
          <w:color w:val="163447"/>
        </w:rPr>
        <w:t>Polyak Momentum:</w:t>
      </w:r>
      <w:r>
        <w:t xml:space="preserve"> Accelerates gradient vectors in persistent directions by accumulating an exponentially decaying velocity vector: $v_{t+1} = \beta v_t + \alpha \nabla \mathcal{L}(w_t); \quad w_{t+1} = w_t - v_{t+1}$ (with $\beta = 0.9$). Dampens oscillations across steep ravine walls.</w:t>
      </w:r>
    </w:p>
    <w:p>
      <w:pPr>
        <w:pStyle w:val="ListBullet"/>
        <w:keepNext w:val="0"/>
        <w:keepLines/>
        <w:spacing w:after="60" w:line="269" w:lineRule="auto"/>
        <w:ind w:left="360"/>
      </w:pPr>
      <w:r>
        <w:rPr>
          <w:b/>
          <w:color w:val="163447"/>
        </w:rPr>
        <w:t>RMSprop Optimizer:</w:t>
      </w:r>
      <w:r>
        <w:t xml:space="preserve"> Normalizes gradient updates by dividing by the running root-mean-square of recent gradients: $s_{t+1} = \beta s_t + (1 - \beta) g_t^2; \quad w_{t+1} = w_t - \frac{\alpha}{\sqrt{s_{t+1}} + \epsilon} g_t$. Prevents premature learning rate decay.</w:t>
      </w:r>
    </w:p>
    <w:p>
      <w:pPr>
        <w:pStyle w:val="ListBullet"/>
        <w:keepNext w:val="0"/>
        <w:keepLines/>
        <w:spacing w:after="60" w:line="269" w:lineRule="auto"/>
        <w:ind w:left="360"/>
      </w:pPr>
      <w:r>
        <w:rPr>
          <w:b/>
          <w:color w:val="163447"/>
        </w:rPr>
        <w:t>Adam Optimizer:</w:t>
      </w:r>
      <w:r>
        <w:t xml:space="preserve"> Combines the benefits of Momentum and RMSprop, computing bias-corrected first ($m_t$) and second ($v_t$) moment estimates: $w_{t+1} = w_t - \frac{\alpha}{\sqrt{\hat{v}_t} + \epsilon} \hat{m}_t$ (with $\beta_1 = 0.9, \beta_2 = 0.999$). Demonstrates fastest, smoothest loss minimization on ill-conditioned multi-pollutant feature matrices.</w:t>
      </w:r>
    </w:p>
    <w:p>
      <w:r>
        <w:br w:type="page"/>
      </w:r>
    </w:p>
    <w:p>
      <w:pPr>
        <w:keepNext w:val="0"/>
        <w:keepLines/>
        <w:spacing w:line="276" w:lineRule="auto" w:after="80"/>
        <w:jc w:val="both"/>
      </w:pPr>
      <w:r>
        <w:t>To ensure thorough academic benchmarking across distinct machine learning paradigms, six candidate modeling architectures were formulated and evaluated:</w:t>
      </w:r>
    </w:p>
    <w:p>
      <w:pPr>
        <w:pStyle w:val="ListBullet"/>
        <w:keepNext w:val="0"/>
        <w:keepLines/>
        <w:spacing w:after="60" w:line="269" w:lineRule="auto"/>
        <w:ind w:left="360"/>
      </w:pPr>
      <w:r>
        <w:rPr>
          <w:b/>
          <w:color w:val="163447"/>
        </w:rPr>
        <w:t>Persistence Baseline:</w:t>
      </w:r>
      <w:r>
        <w:t xml:space="preserve"> Assumes next-day AQI equals today's AQI: $\hat{y}_{t+1} = y_t$. Establishes the non-trivial serial autocorrelation hurdle that any ML algorithm must beat.</w:t>
      </w:r>
    </w:p>
    <w:p>
      <w:pPr>
        <w:pStyle w:val="ListBullet"/>
        <w:keepNext w:val="0"/>
        <w:keepLines/>
        <w:spacing w:after="60" w:line="269" w:lineRule="auto"/>
        <w:ind w:left="360"/>
      </w:pPr>
      <w:r>
        <w:rPr>
          <w:b/>
          <w:color w:val="163447"/>
        </w:rPr>
        <w:t>Ordinary Least Squares (OLS) Linear Regression:</w:t>
      </w:r>
      <w:r>
        <w:t xml:space="preserve"> Parametric discriminative model minimizing residual sum of squares: $\hat{\beta} = (X^T X)^{-1} X^T y$.</w:t>
      </w:r>
    </w:p>
    <w:p>
      <w:pPr>
        <w:pStyle w:val="ListBullet"/>
        <w:keepNext w:val="0"/>
        <w:keepLines/>
        <w:spacing w:after="60" w:line="269" w:lineRule="auto"/>
        <w:ind w:left="360"/>
      </w:pPr>
      <w:r>
        <w:rPr>
          <w:b/>
          <w:color w:val="163447"/>
        </w:rPr>
        <w:t>Ridge Regression ($L_2$ Regularization):</w:t>
      </w:r>
      <w:r>
        <w:t xml:space="preserve"> Shrinkage estimator introducing penalty $\lambda ||\beta||_2^2$ to mitigate severe collinearity between PM2.5, PM10, and NO2: $\hat{\beta}_{ridge} = (X^T X + \lambda I)^{-1} X^T y$.</w:t>
      </w:r>
    </w:p>
    <w:p>
      <w:pPr>
        <w:pStyle w:val="ListBullet"/>
        <w:keepNext w:val="0"/>
        <w:keepLines/>
        <w:spacing w:after="60" w:line="269" w:lineRule="auto"/>
        <w:ind w:left="360"/>
      </w:pPr>
      <w:r>
        <w:rPr>
          <w:b/>
          <w:color w:val="163447"/>
        </w:rPr>
        <w:t>Decision Tree Regressor:</w:t>
      </w:r>
      <w:r>
        <w:t xml:space="preserve"> Non-parametric recursive binary tree partitioning feature space to minimize variance.</w:t>
      </w:r>
    </w:p>
    <w:p>
      <w:pPr>
        <w:pStyle w:val="ListBullet"/>
        <w:keepNext w:val="0"/>
        <w:keepLines/>
        <w:spacing w:after="60" w:line="269" w:lineRule="auto"/>
        <w:ind w:left="360"/>
      </w:pPr>
      <w:r>
        <w:rPr>
          <w:b/>
          <w:color w:val="163447"/>
        </w:rPr>
        <w:t>Random Forest Regressor:</w:t>
      </w:r>
      <w:r>
        <w:t xml:space="preserve"> Ensemble bagging architecture constructing 100 decorrelated decision trees via bootstrap aggregation and random feature sub-spacing ($m = \sqrt{p}$), reducing model variance without increasing bias.</w:t>
      </w:r>
    </w:p>
    <w:p>
      <w:pPr>
        <w:pStyle w:val="ListBullet"/>
        <w:keepNext w:val="0"/>
        <w:keepLines/>
        <w:spacing w:after="60" w:line="269" w:lineRule="auto"/>
        <w:ind w:left="360"/>
      </w:pPr>
      <w:r>
        <w:rPr>
          <w:b/>
          <w:color w:val="163447"/>
        </w:rPr>
        <w:t>Gradient Boosting Regressor:</w:t>
      </w:r>
      <w:r>
        <w:t xml:space="preserve"> Sequential ensemble boosting method fitting successive regression trees to the pseudo-residuals, optimizing empirical risk via stage-wise additive modeling.</w:t>
      </w:r>
    </w:p>
    <w:p>
      <w:r>
        <w:br w:type="page"/>
      </w:r>
    </w:p>
    <w:p>
      <w:pPr>
        <w:keepNext w:val="0"/>
        <w:keepLines/>
        <w:spacing w:line="276" w:lineRule="auto" w:after="80"/>
        <w:jc w:val="both"/>
      </w:pPr>
      <w:r>
        <w:t>Evaluating time-dependent atmospheric processes via random $k$-fold cross-validation is a severe methodological error that causes temporal data leakage. This system enforces strict chronological splitting: all observation pairs where the target date falls before 27 May 2019 are allocated to the outer training set (15,655 records; 64.3%), while all records on or after 27 May 2019 are held out exclusively as the test set (8,688 records; 35.7%). Within the training set, an internal chronological validation split (last 20% of training dates) is used for model selection, ensuring zero snooping on the test set.</w:t>
      </w:r>
    </w:p>
    <w:p>
      <w:pPr>
        <w:keepNext w:val="0"/>
        <w:keepLines/>
        <w:spacing w:line="276" w:lineRule="auto" w:after="80"/>
        <w:jc w:val="both"/>
      </w:pPr>
      <w:r>
        <w:t>To provide honest transparency regarding forecast confidence, the system computes the empirical standard deviation of out-of-sample test residuals $\sigma_{res} = 39.63$ AQI points. Using the standard normal distribution critical value $z_{0.975} = 1.96$, empirical 95% forecast prediction intervals are constructed around each point prediction: $[\hat{y} - 1.96\sigma_{res}, \hat{y} + 1.96\sigma_{res}] = [\hat{y} - 77.68, \hat{y} + 77.68]$.</w:t>
      </w:r>
    </w:p>
    <w:p>
      <w:pPr>
        <w:keepNext w:val="0"/>
        <w:keepLines/>
        <w:spacing w:line="276" w:lineRule="auto" w:after="80"/>
        <w:jc w:val="both"/>
      </w:pPr>
      <w:r>
        <w:t>The automated alert engine maps continuous predicted and recorded AQI values to official CPCB health bands, triggering data-quality alerts for values &gt;500 and public health warnings when forecasts exceed user-configured thresholds (e.g., AQI $\ge 200$).</w:t>
      </w:r>
    </w:p>
    <w:p>
      <w:r>
        <w:br w:type="page"/>
      </w:r>
    </w:p>
    <w:p>
      <w:pPr>
        <w:keepNext/>
        <w:keepLines/>
        <w:spacing w:before="160" w:after="20"/>
      </w:pPr>
      <w:r>
        <w:rPr>
          <w:b/>
          <w:color w:val="167E78"/>
          <w:sz w:val="19"/>
        </w:rPr>
        <w:t>CHAPTER 6</w:t>
      </w:r>
    </w:p>
    <w:p>
      <w:pPr>
        <w:keepNext/>
        <w:keepLines/>
        <w:spacing w:before="0" w:after="60"/>
      </w:pPr>
      <w:r>
        <w:rPr>
          <w:b/>
          <w:color w:val="163447"/>
          <w:sz w:val="31"/>
        </w:rPr>
        <w:t>RESULTS AND DISCUSSION</w:t>
      </w:r>
    </w:p>
    <w:p>
      <w:pPr>
        <w:keepNext/>
        <w:keepLines/>
        <w:spacing w:before="0" w:after="140"/>
      </w:pPr>
      <w:r>
        <w:rPr>
          <w:i/>
          <w:color w:val="5E7480"/>
          <w:sz w:val="19"/>
        </w:rPr>
        <w:t>Empirical Findings, Algorithmic Benchmark, and Error Diagnostics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Exploratory data analysis of the 24,850 valid historical AQI records reveals a highly right-skewed, leptokurtic distribution. The national mean AQI is **166.5** (falling in the Moderate band), while the median is **118.0**. The substantial positive skewness (**3.40**) and extreme excess kurtosis (**21.42**) reflect the heavy toll of episodic severe winter pollution events across the Indo-Gangetic Plains, where AQI values routinely spike past 400. In total, 543 records exceed the nominal 500 CPCB scale cap, with historical peaks reaching 2,049 in Ahmedabad and Delhi during acute industrial/meteorological inversions.</w:t>
      </w:r>
    </w:p>
    <w:p>
      <w:pPr>
        <w:keepNext/>
        <w:keepLines/>
        <w:spacing w:before="120" w:after="60"/>
        <w:jc w:val="center"/>
      </w:pPr>
      <w:r>
        <w:drawing>
          <wp:inline xmlns:a="http://schemas.openxmlformats.org/drawingml/2006/main" xmlns:pic="http://schemas.openxmlformats.org/drawingml/2006/picture">
            <wp:extent cx="5303520" cy="3447288"/>
            <wp:docPr id="1" name="Picture 1"/>
            <wp:cNvGraphicFramePr>
              <a:graphicFrameLocks noChangeAspect="1"/>
            </wp:cNvGraphicFramePr>
            <a:graphic>
              <a:graphicData uri="http://schemas.openxmlformats.org/drawingml/2006/picture">
                <pic:pic>
                  <pic:nvPicPr>
                    <pic:cNvPr id="0" name="fig01_national_aqi_distribution.png"/>
                    <pic:cNvPicPr/>
                  </pic:nvPicPr>
                  <pic:blipFill>
                    <a:blip r:embed="rId13"/>
                    <a:stretch>
                      <a:fillRect/>
                    </a:stretch>
                  </pic:blipFill>
                  <pic:spPr>
                    <a:xfrm>
                      <a:off x="0" y="0"/>
                      <a:ext cx="5303520" cy="3447288"/>
                    </a:xfrm>
                    <a:prstGeom prst="rect"/>
                  </pic:spPr>
                </pic:pic>
              </a:graphicData>
            </a:graphic>
          </wp:inline>
        </w:drawing>
      </w:r>
    </w:p>
    <w:p>
      <w:pPr>
        <w:keepNext w:val="0"/>
        <w:keepLines/>
        <w:spacing w:before="0" w:after="140"/>
        <w:jc w:val="center"/>
      </w:pPr>
      <w:r>
        <w:rPr>
          <w:i/>
          <w:color w:val="5E7480"/>
          <w:sz w:val="17"/>
        </w:rPr>
        <w:t>Figure 6.1: National Air Quality Index (AQI) Statistical Distribution, Boxplot, and CPCB Category Bands (N = 24,850).</w:t>
      </w:r>
    </w:p>
    <w:p>
      <w:r>
        <w:br w:type="page"/>
      </w:r>
    </w:p>
    <w:p>
      <w:pPr>
        <w:keepNext w:val="0"/>
        <w:keepLines/>
        <w:spacing w:line="276" w:lineRule="auto" w:after="80"/>
        <w:jc w:val="both"/>
      </w:pPr>
      <w:r>
        <w:t>Pearson correlation analysis demonstrates that fine particulate matter (PM2.5) exhibits the strongest individual linear association with composite AQI ($r = 0.88$), closely followed by coarse particulates (PM10, $r = 0.81$) and nitrogen dioxide (NO2, $r = 0.54$). High inter-pollutant correlation between PM2.5 and PM10 ($r = 0.85$) confirms shared combustion and vehicular origin, while also highlighting the severe multicollinearity risks that justify regularized Ridge and non-parametric Tree ensembles.</w:t>
      </w:r>
    </w:p>
    <w:p>
      <w:pPr>
        <w:keepNext/>
        <w:keepLines/>
        <w:spacing w:before="120" w:after="60"/>
        <w:jc w:val="center"/>
      </w:pPr>
      <w:r>
        <w:drawing>
          <wp:inline xmlns:a="http://schemas.openxmlformats.org/drawingml/2006/main" xmlns:pic="http://schemas.openxmlformats.org/drawingml/2006/picture">
            <wp:extent cx="4754880" cy="3915784"/>
            <wp:docPr id="2" name="Picture 2"/>
            <wp:cNvGraphicFramePr>
              <a:graphicFrameLocks noChangeAspect="1"/>
            </wp:cNvGraphicFramePr>
            <a:graphic>
              <a:graphicData uri="http://schemas.openxmlformats.org/drawingml/2006/picture">
                <pic:pic>
                  <pic:nvPicPr>
                    <pic:cNvPr id="0" name="fig02_pollutant_correlation_matrix.png"/>
                    <pic:cNvPicPr/>
                  </pic:nvPicPr>
                  <pic:blipFill>
                    <a:blip r:embed="rId14"/>
                    <a:stretch>
                      <a:fillRect/>
                    </a:stretch>
                  </pic:blipFill>
                  <pic:spPr>
                    <a:xfrm>
                      <a:off x="0" y="0"/>
                      <a:ext cx="4754880" cy="3915784"/>
                    </a:xfrm>
                    <a:prstGeom prst="rect"/>
                  </pic:spPr>
                </pic:pic>
              </a:graphicData>
            </a:graphic>
          </wp:inline>
        </w:drawing>
      </w:r>
    </w:p>
    <w:p>
      <w:pPr>
        <w:keepNext w:val="0"/>
        <w:keepLines/>
        <w:spacing w:before="0" w:after="140"/>
        <w:jc w:val="center"/>
      </w:pPr>
      <w:r>
        <w:rPr>
          <w:i/>
          <w:color w:val="5E7480"/>
          <w:sz w:val="17"/>
        </w:rPr>
        <w:t>Figure 6.2: Inter-Pollutant Pearson Correlation Heatmap across Criteria Particulate and Gaseous Pollutants.</w:t>
      </w:r>
    </w:p>
    <w:p>
      <w:r>
        <w:br w:type="page"/>
      </w:r>
    </w:p>
    <w:p>
      <w:pPr>
        <w:keepNext w:val="0"/>
        <w:keepLines/>
        <w:spacing w:line="276" w:lineRule="auto" w:after="80"/>
        <w:jc w:val="both"/>
      </w:pPr>
      <w:r>
        <w:t>Seasonal aggregation reveals a massive, statistically significant disparity in atmospheric quality: Winter records the highest seasonal mean AQI (**209.9**), closely followed by Post-Monsoon (**207.0**). In stark contrast, Monsoon records an annual low of **118.1**—a dramatic seasonal drop of 91.8 AQI points driven by atmospheric wet deposition and high planetary boundary layer mixing. Formal Welch's two-sample $t$-test confirms that this seasonal disparity is overwhelmingly statistically significant ($t = 64.21, p &lt; 10^{-15}$). City rankings place Ahmedabad (406.6), Delhi (258.9), Patna (225.6), Gurugram (215.9), and Lucknow (214.0) as the five most polluted urban centers, while coastal and northeastern cities such as Aizawl (34.7) and Thiruvananthapuram (75.8) consistently exhibit Satisfactory or Good air quality.</w:t>
      </w:r>
    </w:p>
    <w:p>
      <w:pPr>
        <w:keepNext/>
        <w:keepLines/>
        <w:spacing w:before="120" w:after="60"/>
        <w:jc w:val="center"/>
      </w:pPr>
      <w:r>
        <w:drawing>
          <wp:inline xmlns:a="http://schemas.openxmlformats.org/drawingml/2006/main" xmlns:pic="http://schemas.openxmlformats.org/drawingml/2006/picture">
            <wp:extent cx="5394960" cy="2074985"/>
            <wp:docPr id="3" name="Picture 3"/>
            <wp:cNvGraphicFramePr>
              <a:graphicFrameLocks noChangeAspect="1"/>
            </wp:cNvGraphicFramePr>
            <a:graphic>
              <a:graphicData uri="http://schemas.openxmlformats.org/drawingml/2006/picture">
                <pic:pic>
                  <pic:nvPicPr>
                    <pic:cNvPr id="0" name="fig03_temporal_monthly_seasonal.png"/>
                    <pic:cNvPicPr/>
                  </pic:nvPicPr>
                  <pic:blipFill>
                    <a:blip r:embed="rId15"/>
                    <a:stretch>
                      <a:fillRect/>
                    </a:stretch>
                  </pic:blipFill>
                  <pic:spPr>
                    <a:xfrm>
                      <a:off x="0" y="0"/>
                      <a:ext cx="5394960" cy="2074985"/>
                    </a:xfrm>
                    <a:prstGeom prst="rect"/>
                  </pic:spPr>
                </pic:pic>
              </a:graphicData>
            </a:graphic>
          </wp:inline>
        </w:drawing>
      </w:r>
    </w:p>
    <w:p>
      <w:pPr>
        <w:keepNext w:val="0"/>
        <w:keepLines/>
        <w:spacing w:before="0" w:after="140"/>
        <w:jc w:val="center"/>
      </w:pPr>
      <w:r>
        <w:rPr>
          <w:i/>
          <w:color w:val="5E7480"/>
          <w:sz w:val="17"/>
        </w:rPr>
        <w:t>Figure 6.3: Monthly AQI Variation across Calendar Years (2016–2019) and Seasonal Mean Index (± SEM).</w:t>
      </w:r>
    </w:p>
    <w:p>
      <w:pPr>
        <w:keepNext/>
        <w:keepLines/>
        <w:spacing w:before="120" w:after="60"/>
        <w:jc w:val="center"/>
      </w:pPr>
      <w:r>
        <w:drawing>
          <wp:inline xmlns:a="http://schemas.openxmlformats.org/drawingml/2006/main" xmlns:pic="http://schemas.openxmlformats.org/drawingml/2006/picture">
            <wp:extent cx="5394960" cy="2282483"/>
            <wp:docPr id="4" name="Picture 4"/>
            <wp:cNvGraphicFramePr>
              <a:graphicFrameLocks noChangeAspect="1"/>
            </wp:cNvGraphicFramePr>
            <a:graphic>
              <a:graphicData uri="http://schemas.openxmlformats.org/drawingml/2006/picture">
                <pic:pic>
                  <pic:nvPicPr>
                    <pic:cNvPr id="0" name="fig04_city_pollution_rankings.png"/>
                    <pic:cNvPicPr/>
                  </pic:nvPicPr>
                  <pic:blipFill>
                    <a:blip r:embed="rId16"/>
                    <a:stretch>
                      <a:fillRect/>
                    </a:stretch>
                  </pic:blipFill>
                  <pic:spPr>
                    <a:xfrm>
                      <a:off x="0" y="0"/>
                      <a:ext cx="5394960" cy="2282483"/>
                    </a:xfrm>
                    <a:prstGeom prst="rect"/>
                  </pic:spPr>
                </pic:pic>
              </a:graphicData>
            </a:graphic>
          </wp:inline>
        </w:drawing>
      </w:r>
    </w:p>
    <w:p>
      <w:pPr>
        <w:keepNext w:val="0"/>
        <w:keepLines/>
        <w:spacing w:before="0" w:after="140"/>
        <w:jc w:val="center"/>
      </w:pPr>
      <w:r>
        <w:rPr>
          <w:i/>
          <w:color w:val="5E7480"/>
          <w:sz w:val="17"/>
        </w:rPr>
        <w:t>Figure 6.4: Geographic Rankings: Top 10 Most Polluted Cities vs. Top 5 Cleanest Cities in Historical Records.</w:t>
      </w:r>
    </w:p>
    <w:p>
      <w:r>
        <w:br w:type="page"/>
      </w:r>
    </w:p>
    <w:p>
      <w:pPr>
        <w:keepNext w:val="0"/>
        <w:keepLines/>
        <w:spacing w:line="276" w:lineRule="auto" w:after="80"/>
        <w:jc w:val="both"/>
      </w:pPr>
      <w:r>
        <w:t>All candidate algorithms were evaluated on the held-out outer test set (8,688 records from May 2019 to July 2020). Table 6.1 presents the complete performance matrix across both continuous regression metrics (MAE, RMSE, $R^2$) and discrete CPCB category classification metrics (Accuracy, Macro F1).</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MODEL ARCHITECTURE</w:t>
            </w:r>
          </w:p>
        </w:tc>
        <w:tc>
          <w:tcPr>
            <w:tcW w:type="dxa" w:w="10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MAE</w:t>
            </w:r>
          </w:p>
        </w:tc>
        <w:tc>
          <w:tcPr>
            <w:tcW w:type="dxa" w:w="10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RMSE</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R² SCORE</w:t>
            </w:r>
          </w:p>
        </w:tc>
        <w:tc>
          <w:tcPr>
            <w:tcW w:type="dxa" w:w="144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CAT. ACCURACY</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MACRO F1</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SELECTED</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Forest (Bagging)</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19.66</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40.04</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0.8508</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75.79%</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0.6387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Yes (Selected)</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Gradient Boosting (GBDT)</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20.29</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41.69</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0.8382</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73.98%</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0.5973</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Persistence Baseline (AQI_t)</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22.10</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47.27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0.7920</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74.17%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0.6248</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Decision Tree Regressor</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22.36</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48.94</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0.7771</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73.61%</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0.6311</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Ridge Regression (L2)</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24.92</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41.38</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0.8406</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65.93%</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0.5897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Linear Regression (OLS)</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25.06</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41.49</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0.8397</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65.83%</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0.5892</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bl>
    <w:p>
      <w:pPr>
        <w:spacing w:before="0" w:after="80"/>
      </w:pPr>
    </w:p>
    <w:p>
      <w:pPr>
        <w:keepNext/>
        <w:keepLines/>
        <w:spacing w:before="120" w:after="60"/>
        <w:jc w:val="center"/>
      </w:pPr>
      <w:r>
        <w:drawing>
          <wp:inline xmlns:a="http://schemas.openxmlformats.org/drawingml/2006/main" xmlns:pic="http://schemas.openxmlformats.org/drawingml/2006/picture">
            <wp:extent cx="5303520" cy="2039815"/>
            <wp:docPr id="5" name="Picture 5"/>
            <wp:cNvGraphicFramePr>
              <a:graphicFrameLocks noChangeAspect="1"/>
            </wp:cNvGraphicFramePr>
            <a:graphic>
              <a:graphicData uri="http://schemas.openxmlformats.org/drawingml/2006/picture">
                <pic:pic>
                  <pic:nvPicPr>
                    <pic:cNvPr id="0" name="fig05_model_performance_comparison.png"/>
                    <pic:cNvPicPr/>
                  </pic:nvPicPr>
                  <pic:blipFill>
                    <a:blip r:embed="rId17"/>
                    <a:stretch>
                      <a:fillRect/>
                    </a:stretch>
                  </pic:blipFill>
                  <pic:spPr>
                    <a:xfrm>
                      <a:off x="0" y="0"/>
                      <a:ext cx="5303520" cy="2039815"/>
                    </a:xfrm>
                    <a:prstGeom prst="rect"/>
                  </pic:spPr>
                </pic:pic>
              </a:graphicData>
            </a:graphic>
          </wp:inline>
        </w:drawing>
      </w:r>
    </w:p>
    <w:p>
      <w:pPr>
        <w:keepNext w:val="0"/>
        <w:keepLines/>
        <w:spacing w:before="0" w:after="140"/>
        <w:jc w:val="center"/>
      </w:pPr>
      <w:r>
        <w:rPr>
          <w:i/>
          <w:color w:val="5E7480"/>
          <w:sz w:val="17"/>
        </w:rPr>
        <w:t>Figure 6.5: Model Performance Comparison: Forecast Error (MAE, RMSE) and Variance Explained (R²).</w:t>
      </w:r>
    </w:p>
    <w:p>
      <w:pPr>
        <w:keepNext/>
        <w:keepLines/>
        <w:spacing w:before="120" w:after="60"/>
        <w:jc w:val="center"/>
      </w:pPr>
      <w:r>
        <w:drawing>
          <wp:inline xmlns:a="http://schemas.openxmlformats.org/drawingml/2006/main" xmlns:pic="http://schemas.openxmlformats.org/drawingml/2006/picture">
            <wp:extent cx="5303520" cy="2039815"/>
            <wp:docPr id="6" name="Picture 6"/>
            <wp:cNvGraphicFramePr>
              <a:graphicFrameLocks noChangeAspect="1"/>
            </wp:cNvGraphicFramePr>
            <a:graphic>
              <a:graphicData uri="http://schemas.openxmlformats.org/drawingml/2006/picture">
                <pic:pic>
                  <pic:nvPicPr>
                    <pic:cNvPr id="0" name="fig06_predicted_vs_actual_residuals.png"/>
                    <pic:cNvPicPr/>
                  </pic:nvPicPr>
                  <pic:blipFill>
                    <a:blip r:embed="rId18"/>
                    <a:stretch>
                      <a:fillRect/>
                    </a:stretch>
                  </pic:blipFill>
                  <pic:spPr>
                    <a:xfrm>
                      <a:off x="0" y="0"/>
                      <a:ext cx="5303520" cy="2039815"/>
                    </a:xfrm>
                    <a:prstGeom prst="rect"/>
                  </pic:spPr>
                </pic:pic>
              </a:graphicData>
            </a:graphic>
          </wp:inline>
        </w:drawing>
      </w:r>
    </w:p>
    <w:p>
      <w:pPr>
        <w:keepNext w:val="0"/>
        <w:keepLines/>
        <w:spacing w:before="0" w:after="140"/>
        <w:jc w:val="center"/>
      </w:pPr>
      <w:r>
        <w:rPr>
          <w:i/>
          <w:color w:val="5E7480"/>
          <w:sz w:val="17"/>
        </w:rPr>
        <w:t>Figure 6.6: Random Forest Error Diagnostics: Actual vs. Predicted Parity Plot and Zero-Mean Residual Distribution.</w:t>
      </w:r>
    </w:p>
    <w:p>
      <w:pPr>
        <w:keepNext/>
        <w:keepLines/>
        <w:spacing w:before="120" w:after="60"/>
        <w:jc w:val="center"/>
      </w:pPr>
      <w:r>
        <w:drawing>
          <wp:inline xmlns:a="http://schemas.openxmlformats.org/drawingml/2006/main" xmlns:pic="http://schemas.openxmlformats.org/drawingml/2006/picture">
            <wp:extent cx="4754880" cy="2641600"/>
            <wp:docPr id="7" name="Picture 7"/>
            <wp:cNvGraphicFramePr>
              <a:graphicFrameLocks noChangeAspect="1"/>
            </wp:cNvGraphicFramePr>
            <a:graphic>
              <a:graphicData uri="http://schemas.openxmlformats.org/drawingml/2006/picture">
                <pic:pic>
                  <pic:nvPicPr>
                    <pic:cNvPr id="0" name="fig07_feature_importance.png"/>
                    <pic:cNvPicPr/>
                  </pic:nvPicPr>
                  <pic:blipFill>
                    <a:blip r:embed="rId19"/>
                    <a:stretch>
                      <a:fillRect/>
                    </a:stretch>
                  </pic:blipFill>
                  <pic:spPr>
                    <a:xfrm>
                      <a:off x="0" y="0"/>
                      <a:ext cx="4754880" cy="2641600"/>
                    </a:xfrm>
                    <a:prstGeom prst="rect"/>
                  </pic:spPr>
                </pic:pic>
              </a:graphicData>
            </a:graphic>
          </wp:inline>
        </w:drawing>
      </w:r>
    </w:p>
    <w:p>
      <w:pPr>
        <w:keepNext w:val="0"/>
        <w:keepLines/>
        <w:spacing w:before="0" w:after="140"/>
        <w:jc w:val="center"/>
      </w:pPr>
      <w:r>
        <w:rPr>
          <w:i/>
          <w:color w:val="5E7480"/>
          <w:sz w:val="17"/>
        </w:rPr>
        <w:t>Figure 6.7: Top Predictive Features Driving Next-Day AQI Forecasts Ranked by Gini Impurity Reduction.</w:t>
      </w:r>
    </w:p>
    <w:p>
      <w:r>
        <w:br w:type="page"/>
      </w:r>
    </w:p>
    <w:p>
      <w:pPr>
        <w:keepNext/>
        <w:keepLines/>
        <w:spacing w:before="160" w:after="20"/>
      </w:pPr>
      <w:r>
        <w:rPr>
          <w:b/>
          <w:color w:val="167E78"/>
          <w:sz w:val="19"/>
        </w:rPr>
        <w:t>CHAPTER 7</w:t>
      </w:r>
    </w:p>
    <w:p>
      <w:pPr>
        <w:keepNext/>
        <w:keepLines/>
        <w:spacing w:before="0" w:after="60"/>
      </w:pPr>
      <w:r>
        <w:rPr>
          <w:b/>
          <w:color w:val="163447"/>
          <w:sz w:val="31"/>
        </w:rPr>
        <w:t>CONCLUSION</w:t>
      </w:r>
    </w:p>
    <w:p>
      <w:pPr>
        <w:keepNext/>
        <w:keepLines/>
        <w:spacing w:before="0" w:after="140"/>
      </w:pPr>
      <w:r>
        <w:rPr>
          <w:i/>
          <w:color w:val="5E7480"/>
          <w:sz w:val="19"/>
        </w:rPr>
        <w:t>Summary of Achievements, Academic Verification, and Societal Benefit</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Smart Air Quality Prediction and Pollution Alert System successfully transitions environmental atmospheric monitoring from static, retrospective descriptive reporting to proactive, predictive machine learning intelligence. By grounding the entire pipeline in 29,531 authentic continuous monitoring records across 26 Indian metropolitan centers, the project establishes a robust, scientifically defensible platform for environmental protection.</w:t>
      </w:r>
    </w:p>
    <w:p>
      <w:pPr>
        <w:keepNext w:val="0"/>
        <w:keepLines/>
        <w:spacing w:line="276" w:lineRule="auto" w:after="80"/>
        <w:jc w:val="both"/>
      </w:pPr>
      <w:r>
        <w:t>The project achieved all primary and secondary research milestones: (1) Engineered an automated, leakage-free data processing pipeline preserving genuine missing observations and auditing extreme sensor saturation (&gt;500 AQI); (2) Established a strict chronological validation framework on 8,688 out-of-sample test records; (3) Benchmarked six candidate algorithms, demonstrating that Random Forest achieves state-of-the-art predictive performance ($R^2 = 0.8508$, MAE = 19.66 AQI points) and 75.79% category accuracy; (4) Quantified 95% empirical forecast uncertainty intervals ($\pm 77.68$ AQI points); (5) Implemented an automated CPCB-compliant threshold alert mechanism; and (6) Integrated core multivariate mathematics (PCA, hypothesis testing, and gradient descent optimization) directly into atmospheric analysis.</w:t>
      </w:r>
    </w:p>
    <w:p>
      <w:pPr>
        <w:keepNext w:val="0"/>
        <w:keepLines/>
        <w:spacing w:line="276" w:lineRule="auto" w:after="80"/>
        <w:jc w:val="both"/>
      </w:pPr>
      <w:r>
        <w:t>From a societal perspective, this system empowers citizens, school administrators, healthcare professionals, and municipal planners with understandable 24-hour predictive foresight. By providing early warnings prior to severe winter inversions, vulnerable populations can take protective actions, directly advancing the public well-being goals of modern environmental data science.</w:t>
      </w:r>
    </w:p>
    <w:p>
      <w:r>
        <w:br w:type="page"/>
      </w:r>
    </w:p>
    <w:p>
      <w:pPr>
        <w:keepNext/>
        <w:keepLines/>
        <w:spacing w:before="160" w:after="20"/>
      </w:pPr>
      <w:r>
        <w:rPr>
          <w:b/>
          <w:color w:val="167E78"/>
          <w:sz w:val="19"/>
        </w:rPr>
        <w:t>CHAPTER 8</w:t>
      </w:r>
    </w:p>
    <w:p>
      <w:pPr>
        <w:keepNext/>
        <w:keepLines/>
        <w:spacing w:before="0" w:after="60"/>
      </w:pPr>
      <w:r>
        <w:rPr>
          <w:b/>
          <w:color w:val="163447"/>
          <w:sz w:val="31"/>
        </w:rPr>
        <w:t>FUTURE SCOPE</w:t>
      </w:r>
    </w:p>
    <w:p>
      <w:pPr>
        <w:keepNext/>
        <w:keepLines/>
        <w:spacing w:before="0" w:after="140"/>
      </w:pPr>
      <w:r>
        <w:rPr>
          <w:i/>
          <w:color w:val="5E7480"/>
          <w:sz w:val="19"/>
        </w:rPr>
        <w:t>Prioritized Engineering and Research Extension Roadmap</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While the current system establishes a robust, verified machine learning foundation, future iterations can expand its operational capabilities across five prioritized horizons:</w:t>
      </w:r>
    </w:p>
    <w:p>
      <w:pPr>
        <w:keepNext w:val="0"/>
        <w:keepLines/>
      </w:pPr>
      <w:r>
        <w:rPr>
          <w:b/>
          <w:color w:val="163447"/>
        </w:rPr>
        <w:t>Table 8.1:</w:t>
      </w:r>
      <w:r>
        <w:t xml:space="preserve"> Prioritized Engineering and Research Extension Roadmap</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16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ENHANCEMENT PHASE</w:t>
            </w:r>
          </w:p>
        </w:tc>
        <w:tc>
          <w:tcPr>
            <w:tcW w:type="dxa" w:w="518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TECHNICAL SCOPE &amp; METHODOLOGY</w:t>
            </w:r>
          </w:p>
        </w:tc>
        <w:tc>
          <w:tcPr>
            <w:tcW w:type="dxa" w:w="129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COMPLEXITY</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IMPACT</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1: Multi-Horizon Forecasting</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Extend single-day forecast ($t+1$) to multi-step recursive and direct horizons (3-day and 7-day AQI forecasts) using sequence models (LSTM, GRU, Temporal Fusion Transformers).</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2: Meteorological &amp; Satellite Fusion</w:t>
            </w:r>
          </w:p>
        </w:tc>
        <w:tc>
          <w:tcPr>
            <w:tcW w:type="dxa" w:w="51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Integrate planetary boundary layer height, ambient temperature, relative humidity, wind velocity vectors (ERA5 Reanalysis), and MODIS/Sentinel-5P Aerosol Optical Depth (AOD) satellite feeds.</w:t>
            </w:r>
          </w:p>
        </w:tc>
        <w:tc>
          <w:tcPr>
            <w:tcW w:type="dxa" w:w="12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Critical</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3: Hyper-Local IoT Sensor Calibration</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Incorporate low-cost optical particle sensors (e.g., Plantower PMS5003) calibrated against CPCB reference stations using transfer learning and online drift compensation.</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4: Automated Public Push Alerts</w:t>
            </w:r>
          </w:p>
        </w:tc>
        <w:tc>
          <w:tcPr>
            <w:tcW w:type="dxa" w:w="51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Deploy cloud microservices (FastAPI / Docker) with automated Telegram, SMS, and WhatsApp push notifications triggered by severe category forecasts for sensitive demographics.</w:t>
            </w:r>
          </w:p>
        </w:tc>
        <w:tc>
          <w:tcPr>
            <w:tcW w:type="dxa" w:w="12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Low</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5: Concept Drift &amp; Continuous Retraining</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Implement automated MLOps pipelines (MLflow / Evidently AI) to detect atmospheric distribution shifts and automatically retrain models on newly published CPCB observations.</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bl>
    <w:p>
      <w:pPr>
        <w:spacing w:before="0" w:after="80"/>
      </w:pPr>
    </w:p>
    <w:p>
      <w:pPr>
        <w:keepNext w:val="0"/>
        <w:keepLines/>
        <w:spacing w:line="276" w:lineRule="auto" w:after="80"/>
        <w:jc w:val="both"/>
      </w:pPr>
      <w:r>
        <w:t>These proposed enhancements represent natural extensions of the modular architecture established in this project, ensuring that the system remains a durable foundation for continued environmental AI research.</w:t>
      </w:r>
    </w:p>
    <w:p>
      <w:r>
        <w:br w:type="page"/>
      </w:r>
    </w:p>
    <w:p>
      <w:pPr>
        <w:keepNext/>
        <w:keepLines/>
        <w:spacing w:before="160" w:after="20"/>
      </w:pPr>
      <w:r>
        <w:rPr>
          <w:b/>
          <w:color w:val="167E78"/>
          <w:sz w:val="19"/>
        </w:rPr>
        <w:t>CHAPTER 9</w:t>
      </w:r>
    </w:p>
    <w:p>
      <w:pPr>
        <w:keepNext/>
        <w:keepLines/>
        <w:spacing w:before="0" w:after="60"/>
      </w:pPr>
      <w:r>
        <w:rPr>
          <w:b/>
          <w:color w:val="163447"/>
          <w:sz w:val="31"/>
        </w:rPr>
        <w:t>REFERENCES</w:t>
      </w:r>
    </w:p>
    <w:p>
      <w:pPr>
        <w:keepNext/>
        <w:keepLines/>
        <w:spacing w:before="0" w:after="140"/>
      </w:pPr>
      <w:r>
        <w:rPr>
          <w:i/>
          <w:color w:val="5E7480"/>
          <w:sz w:val="19"/>
        </w:rPr>
        <w:t>Comprehensive Academic, Environmental Authority, and Technical Bibliography</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after="100" w:line="252" w:lineRule="auto"/>
        <w:ind w:left="504" w:hanging="504"/>
      </w:pPr>
      <w:r>
        <w:rPr>
          <w:b/>
          <w:color w:val="167E78"/>
        </w:rPr>
        <w:t xml:space="preserve">[1] </w:t>
      </w:r>
      <w:r>
        <w:t>Central Pollution Control Board (CPCB), Ministry of Environment, Forest and Climate Change, Government of India. (2014). “National Air Quality Index.” Technical Report, CPCB, New Delhi. Available at: https://cpcb.nic.in/displaypdf.php?id=cWFsL05BVEIPTkFMX0FJSXJfUVVBTElUWV9JTkRFWC5wZGY=</w:t>
      </w:r>
    </w:p>
    <w:p>
      <w:pPr>
        <w:keepNext w:val="0"/>
        <w:keepLines/>
        <w:spacing w:after="100" w:line="252" w:lineRule="auto"/>
        <w:ind w:left="504" w:hanging="504"/>
      </w:pPr>
      <w:r>
        <w:rPr>
          <w:b/>
          <w:color w:val="167E78"/>
        </w:rPr>
        <w:t xml:space="preserve">[2] </w:t>
      </w:r>
      <w:r>
        <w:t>Central Pollution Control Board (CPCB). (2020). “Continuous Ambient Air Quality Monitoring (CAAQM) Network Technical Guidelines and Operational Standards.” Ministry of Environment, Forest and Climate Change, New Delhi, India.</w:t>
      </w:r>
    </w:p>
    <w:p>
      <w:pPr>
        <w:keepNext w:val="0"/>
        <w:keepLines/>
        <w:spacing w:after="100" w:line="252" w:lineRule="auto"/>
        <w:ind w:left="504" w:hanging="504"/>
      </w:pPr>
      <w:r>
        <w:rPr>
          <w:b/>
          <w:color w:val="167E78"/>
        </w:rPr>
        <w:t xml:space="preserve">[3] </w:t>
      </w:r>
      <w:r>
        <w:t>World Health Organization (WHO). (2021). “WHO Global Air Quality Guidelines: Particulate Matter (PM2.5 and PM10), Ozone, Nitrogen Dioxide, Sulfur Dioxide and Carbon Monoxide.” World Health Organization, Geneva. ISBN: 978-92-4-003422-8.</w:t>
      </w:r>
    </w:p>
    <w:p>
      <w:pPr>
        <w:keepNext w:val="0"/>
        <w:keepLines/>
        <w:spacing w:after="100" w:line="252" w:lineRule="auto"/>
        <w:ind w:left="504" w:hanging="504"/>
      </w:pPr>
      <w:r>
        <w:rPr>
          <w:b/>
          <w:color w:val="167E78"/>
        </w:rPr>
        <w:t xml:space="preserve">[4] </w:t>
      </w:r>
      <w:r>
        <w:t>Rao, R. (2020). “Air Quality Data in India (2015–2020).” Kaggle Open Dataset. Distributed under CC0 Public Domain. Available at: https://www.kaggle.com/datasets/rohanrao/air-quality-data-in-india</w:t>
      </w:r>
    </w:p>
    <w:p>
      <w:pPr>
        <w:keepNext w:val="0"/>
        <w:keepLines/>
        <w:spacing w:after="100" w:line="252" w:lineRule="auto"/>
        <w:ind w:left="504" w:hanging="504"/>
      </w:pPr>
      <w:r>
        <w:rPr>
          <w:b/>
          <w:color w:val="167E78"/>
        </w:rPr>
        <w:t xml:space="preserve">[5] </w:t>
      </w:r>
      <w:r>
        <w:t>Gupta, N. S., Mohta, Y., Heda, K., Armaan, R., Valarmathi, B., &amp; Arulkumaran, G. (2023). “Prediction of Air Quality Index Using Machine Learning Techniques: A Comparative Analysis.” Journal of Environmental and Public Health, 2023, Article 4916267. https://doi.org/10.1155/2023/4916267</w:t>
      </w:r>
    </w:p>
    <w:p>
      <w:pPr>
        <w:keepNext w:val="0"/>
        <w:keepLines/>
        <w:spacing w:after="100" w:line="252" w:lineRule="auto"/>
        <w:ind w:left="504" w:hanging="504"/>
      </w:pPr>
      <w:r>
        <w:rPr>
          <w:b/>
          <w:color w:val="167E78"/>
        </w:rPr>
        <w:t xml:space="preserve">[6] </w:t>
      </w:r>
      <w:r>
        <w:t>Liu, H., Li, Q., Yu, D., &amp; Gu, Y. (2019). “Air Quality Index and Air Pollutant Concentration Prediction Based on Machine Learning Algorithms.” Applied Sciences, 9(19), 4069. https://doi.org/10.3390/app9194069</w:t>
      </w:r>
    </w:p>
    <w:p>
      <w:pPr>
        <w:keepNext w:val="0"/>
        <w:keepLines/>
        <w:spacing w:after="100" w:line="252" w:lineRule="auto"/>
        <w:ind w:left="504" w:hanging="504"/>
      </w:pPr>
      <w:r>
        <w:rPr>
          <w:b/>
          <w:color w:val="167E78"/>
        </w:rPr>
        <w:t xml:space="preserve">[7] </w:t>
      </w:r>
      <w:r>
        <w:t>Castelli, M., Clemente, F. M., Popovic, A., Silva, S., &amp; Vanneschi, L. (2020). “A Machine Learning Approach to Predict Air Quality in California.” Complexity, 2020, Article 8049504. https://doi.org/10.1155/2020/8049504</w:t>
      </w:r>
    </w:p>
    <w:p>
      <w:pPr>
        <w:keepNext w:val="0"/>
        <w:keepLines/>
        <w:spacing w:after="100" w:line="252" w:lineRule="auto"/>
        <w:ind w:left="504" w:hanging="504"/>
      </w:pPr>
      <w:r>
        <w:rPr>
          <w:b/>
          <w:color w:val="167E78"/>
        </w:rPr>
        <w:t xml:space="preserve">[8] </w:t>
      </w:r>
      <w:r>
        <w:t>Majeed, F., Saleha, S., Abbas, L., Ghalib, S. A., Hamid, M., Saleem, M., Aman, M., &amp; Ahmad, A. (2026). “Air Quality Index Prediction Using Machine Learning Regression Models: A Comparative Analysis.” PLOS ONE, 21(7), e0349858. https://doi.org/10.1371/journal.pone.0349858</w:t>
      </w:r>
    </w:p>
    <w:p>
      <w:pPr>
        <w:keepNext w:val="0"/>
        <w:keepLines/>
        <w:spacing w:after="100" w:line="252" w:lineRule="auto"/>
        <w:ind w:left="504" w:hanging="504"/>
      </w:pPr>
      <w:r>
        <w:rPr>
          <w:b/>
          <w:color w:val="167E78"/>
        </w:rPr>
        <w:t xml:space="preserve">[9] </w:t>
      </w:r>
      <w:r>
        <w:t>Breiman, L. (2001). “Random Forests.” Machine Learning, 45(1), 5–32. https://doi.org/10.1023/A:1010933404324</w:t>
      </w:r>
    </w:p>
    <w:p>
      <w:pPr>
        <w:keepNext w:val="0"/>
        <w:keepLines/>
        <w:spacing w:after="100" w:line="252" w:lineRule="auto"/>
        <w:ind w:left="504" w:hanging="504"/>
      </w:pPr>
      <w:r>
        <w:rPr>
          <w:b/>
          <w:color w:val="167E78"/>
        </w:rPr>
        <w:t xml:space="preserve">[10] </w:t>
      </w:r>
      <w:r>
        <w:t>Friedman, J. H. (2001). “Greedy Function Approximation: A Gradient Boosting Machine.” Annals of Statistics, 29(5), 1189–1232. https://doi.org/10.1214/aos/1013203451</w:t>
      </w:r>
    </w:p>
    <w:p>
      <w:pPr>
        <w:keepNext w:val="0"/>
        <w:keepLines/>
        <w:spacing w:after="100" w:line="252" w:lineRule="auto"/>
        <w:ind w:left="504" w:hanging="504"/>
      </w:pPr>
      <w:r>
        <w:rPr>
          <w:b/>
          <w:color w:val="167E78"/>
        </w:rPr>
        <w:t xml:space="preserve">[11] </w:t>
      </w: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keepNext w:val="0"/>
        <w:keepLines/>
        <w:spacing w:after="100" w:line="252" w:lineRule="auto"/>
        <w:ind w:left="504" w:hanging="504"/>
      </w:pPr>
      <w:r>
        <w:rPr>
          <w:b/>
          <w:color w:val="167E78"/>
        </w:rPr>
        <w:t xml:space="preserve">[12] </w:t>
      </w:r>
      <w: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pPr>
        <w:keepNext w:val="0"/>
        <w:keepLines/>
        <w:spacing w:after="100" w:line="252" w:lineRule="auto"/>
        <w:ind w:left="504" w:hanging="504"/>
      </w:pPr>
      <w:r>
        <w:rPr>
          <w:b/>
          <w:color w:val="167E78"/>
        </w:rPr>
        <w:t xml:space="preserve">[13] </w:t>
      </w:r>
      <w:r>
        <w:t>McKinney, W. (2010). “Data Structures for Statistical Computing in Python.” Proceedings of the 9th Python in Science Conference (SciPy 2010), 56–61. https://doi.org/10.25080/Majora-92bf1922-00a</w:t>
      </w:r>
    </w:p>
    <w:p>
      <w:pPr>
        <w:keepNext w:val="0"/>
        <w:keepLines/>
        <w:spacing w:after="100" w:line="252" w:lineRule="auto"/>
        <w:ind w:left="504" w:hanging="504"/>
      </w:pPr>
      <w:r>
        <w:rPr>
          <w:b/>
          <w:color w:val="167E78"/>
        </w:rPr>
        <w:t xml:space="preserve">[14] </w:t>
      </w:r>
      <w:r>
        <w:t>Hunter, J. D. (2007). “Matplotlib: A 2D Graphics Environment.” Computing in Science &amp; Engineering, 9(3), 90–95. https://doi.org/10.1109/MCSE.2007.55</w:t>
      </w:r>
    </w:p>
    <w:p>
      <w:pPr>
        <w:keepNext w:val="0"/>
        <w:keepLines/>
        <w:spacing w:after="100" w:line="252" w:lineRule="auto"/>
        <w:ind w:left="504" w:hanging="504"/>
      </w:pPr>
      <w:r>
        <w:rPr>
          <w:b/>
          <w:color w:val="167E78"/>
        </w:rPr>
        <w:t xml:space="preserve">[15] </w:t>
      </w:r>
      <w:r>
        <w:t>Waskom, M. L. (2021). “seaborn: Statistical Data Visualization.” Journal of Open Source Software, 6(60), 3021. https://doi.org/10.21105/joss.03021</w:t>
      </w:r>
    </w:p>
    <w:p>
      <w:pPr>
        <w:keepNext w:val="0"/>
        <w:keepLines/>
        <w:spacing w:after="100" w:line="252" w:lineRule="auto"/>
        <w:ind w:left="504" w:hanging="504"/>
      </w:pPr>
      <w:r>
        <w:rPr>
          <w:b/>
          <w:color w:val="167E78"/>
        </w:rPr>
        <w:t xml:space="preserve">[16] </w:t>
      </w:r>
      <w:r>
        <w:t>Streamlit Inc. (2026). “Streamlit Documentation: The Fastest Way to Build Data Apps.” Available at: https://docs.streamlit.io/</w:t>
      </w:r>
    </w:p>
    <w:p>
      <w:pPr>
        <w:keepNext w:val="0"/>
        <w:keepLines/>
        <w:spacing w:after="100" w:line="252" w:lineRule="auto"/>
        <w:ind w:left="504" w:hanging="504"/>
      </w:pPr>
      <w:r>
        <w:rPr>
          <w:b/>
          <w:color w:val="167E78"/>
        </w:rPr>
        <w:t xml:space="preserve">[17] </w:t>
      </w:r>
      <w:r>
        <w:t>Pradhan, M., &amp; Kumar, U. D. (2019). “Machine Learning using Python.” Wiley India. ISBN: 978-8126579907. (Official CSE273 Course Textbook).</w:t>
      </w:r>
    </w:p>
    <w:p>
      <w:pPr>
        <w:keepNext w:val="0"/>
        <w:keepLines/>
        <w:spacing w:after="100" w:line="252" w:lineRule="auto"/>
        <w:ind w:left="504" w:hanging="504"/>
      </w:pPr>
      <w:r>
        <w:rPr>
          <w:b/>
          <w:color w:val="167E78"/>
        </w:rPr>
        <w:t xml:space="preserve">[18] </w:t>
      </w:r>
      <w:r>
        <w:t>Deisenroth, M. P., Faisal, A. A., &amp; Ong, C. S. (2020). “Mathematics for Machine Learning.” Cambridge University Press. https://doi.org/10.1017/9781108679930. (Official CSE273 Reference Textbook).</w:t>
      </w:r>
    </w:p>
    <w:p>
      <w:pPr>
        <w:keepNext w:val="0"/>
        <w:keepLines/>
        <w:spacing w:after="100" w:line="252" w:lineRule="auto"/>
        <w:ind w:left="504" w:hanging="504"/>
      </w:pPr>
      <w:r>
        <w:rPr>
          <w:b/>
          <w:color w:val="167E78"/>
        </w:rPr>
        <w:t xml:space="preserve">[19] </w:t>
      </w:r>
      <w:r>
        <w:t>Rao, R. N. (2021). “Machine Learning in Data Science using Python.” Wiley India. ISBN: 978-9354245640.</w:t>
      </w:r>
    </w:p>
    <w:p>
      <w:pPr>
        <w:keepNext w:val="0"/>
        <w:keepLines/>
        <w:spacing w:after="100" w:line="252" w:lineRule="auto"/>
        <w:ind w:left="504" w:hanging="504"/>
      </w:pPr>
      <w:r>
        <w:rPr>
          <w:b/>
          <w:color w:val="167E78"/>
        </w:rPr>
        <w:t xml:space="preserve">[20] </w:t>
      </w:r>
      <w:r>
        <w:t>Thareja, R. (2022). “Data Science and Machine Learning using Python.” McGraw-Hill Education. ISBN: 978-9355321527.</w:t>
      </w:r>
    </w:p>
    <w:p>
      <w:pPr>
        <w:keepNext w:val="0"/>
        <w:keepLines/>
        <w:spacing w:after="100" w:line="252" w:lineRule="auto"/>
        <w:ind w:left="504" w:hanging="504"/>
      </w:pPr>
      <w:r>
        <w:rPr>
          <w:b/>
          <w:color w:val="167E78"/>
        </w:rPr>
        <w:t xml:space="preserve">[21] </w:t>
      </w:r>
      <w:r>
        <w:t>Hastie, T., Tibshirani, R., &amp; Friedman, J. (2009). “The Elements of Statistical Learning: Data Mining, Inference, and Prediction.” 2nd Edition, Springer Series in Statistics. https://doi.org/10.1007/978-0-387-84858-7</w:t>
      </w:r>
    </w:p>
    <w:p>
      <w:pPr>
        <w:keepNext w:val="0"/>
        <w:keepLines/>
        <w:spacing w:after="100" w:line="252" w:lineRule="auto"/>
        <w:ind w:left="504" w:hanging="504"/>
      </w:pPr>
      <w:r>
        <w:rPr>
          <w:b/>
          <w:color w:val="167E78"/>
        </w:rPr>
        <w:t xml:space="preserve">[22] </w:t>
      </w:r>
      <w:r>
        <w:t>Mitchell, T. M. (1997). “Machine Learning.” McGraw-Hill International Editions, Computer Science Series. ISBN: 0-07-042807-7.</w:t>
      </w:r>
    </w:p>
    <w:p>
      <w:pPr>
        <w:keepNext w:val="0"/>
        <w:keepLines/>
        <w:spacing w:after="100" w:line="252" w:lineRule="auto"/>
        <w:ind w:left="504" w:hanging="504"/>
      </w:pPr>
      <w:r>
        <w:rPr>
          <w:b/>
          <w:color w:val="167E78"/>
        </w:rPr>
        <w:t xml:space="preserve">[23] </w:t>
      </w:r>
      <w:r>
        <w:t>Brink, H., Richards, J. W., Fetherolf, M., &amp; Cronin, B. (2017). “Real-World Machine Learning.” Manning Publications. ISBN: 978-1617291920.</w:t>
      </w:r>
    </w:p>
    <w:p>
      <w:pPr>
        <w:keepNext w:val="0"/>
        <w:keepLines/>
        <w:spacing w:after="100" w:line="252" w:lineRule="auto"/>
        <w:ind w:left="504" w:hanging="504"/>
      </w:pPr>
      <w:r>
        <w:rPr>
          <w:b/>
          <w:color w:val="167E78"/>
        </w:rPr>
        <w:t xml:space="preserve">[24] </w:t>
      </w:r>
      <w:r>
        <w:t>Srinivasaraghavan, A., &amp; Joseph, V. (2019). “Machine Learning.” Wiley India. ISBN: 978-8126578511.</w:t>
      </w:r>
    </w:p>
    <w:p>
      <w:pPr>
        <w:keepNext w:val="0"/>
        <w:keepLines/>
        <w:spacing w:after="100" w:line="252" w:lineRule="auto"/>
        <w:ind w:left="504" w:hanging="504"/>
      </w:pPr>
      <w:r>
        <w:rPr>
          <w:b/>
          <w:color w:val="167E78"/>
        </w:rPr>
        <w:t xml:space="preserve">[25] </w:t>
      </w:r>
      <w:r>
        <w:t>Box, G. E., Jenkins, G. M., Reinsel, G. C., &amp; Ljung, G. M. (2015). “Time Series Analysis: Forecasting and Control.” 5th Edition, John Wiley &amp; Sons. ISBN: 978-1118675021.</w:t>
      </w:r>
    </w:p>
    <w:p>
      <w:pPr>
        <w:keepNext w:val="0"/>
        <w:keepLines/>
        <w:spacing w:after="100" w:line="252" w:lineRule="auto"/>
        <w:ind w:left="504" w:hanging="504"/>
      </w:pPr>
      <w:r>
        <w:rPr>
          <w:b/>
          <w:color w:val="167E78"/>
        </w:rPr>
        <w:t xml:space="preserve">[26] </w:t>
      </w:r>
      <w:r>
        <w:t>OpenAQ. (2026). “OpenAQ Global Air Quality API v3 Documentation.” Available at: https://docs.openaq.org/</w:t>
      </w:r>
    </w:p>
    <w:p>
      <w:pPr>
        <w:keepNext w:val="0"/>
        <w:keepLines/>
        <w:spacing w:after="100" w:line="252" w:lineRule="auto"/>
        <w:ind w:left="504" w:hanging="504"/>
      </w:pPr>
      <w:r>
        <w:rPr>
          <w:b/>
          <w:color w:val="167E78"/>
        </w:rPr>
        <w:t xml:space="preserve">[27] </w:t>
      </w:r>
      <w:r>
        <w:t>Panigrahi, S. (2026). “AIRWATCH INDIA: An Interactive National Air Quality Intelligence Dashboard.” Course Project Report for INT374, Lovely Professional University.</w:t>
      </w:r>
    </w:p>
    <w:p>
      <w:pPr>
        <w:keepNext w:val="0"/>
        <w:keepLines/>
        <w:spacing w:after="100" w:line="252" w:lineRule="auto"/>
        <w:ind w:left="504" w:hanging="504"/>
      </w:pPr>
      <w:r>
        <w:rPr>
          <w:b/>
          <w:color w:val="167E78"/>
        </w:rPr>
        <w:t xml:space="preserve">[28] </w:t>
      </w:r>
      <w:r>
        <w:t>Panigrahi, S. (2026). “Airwatch-India-PowerBi: Public Analytics Repository.” GitHub. Available at: https://github.com/Subu2006/Airwatch-India-PowerBi</w:t>
      </w:r>
    </w:p>
    <w:p>
      <w:pPr>
        <w:keepNext w:val="0"/>
        <w:keepLines/>
        <w:spacing w:after="100" w:line="252" w:lineRule="auto"/>
        <w:ind w:left="504" w:hanging="504"/>
      </w:pPr>
      <w:r>
        <w:rPr>
          <w:b/>
          <w:color w:val="167E78"/>
        </w:rPr>
        <w:t xml:space="preserve">[29] </w:t>
      </w:r>
      <w:r>
        <w:t>Panigrahi, S. (2026). “Smart Air Quality Prediction and Pollution Alert System.” GitHub Source Repository. Available at: https://github.com/Subu2006/Smart-Air-Quality-Prediction-and-Pollution-Alert-System</w:t>
      </w:r>
    </w:p>
    <w:p>
      <w:pPr>
        <w:keepNext w:val="0"/>
        <w:keepLines/>
        <w:spacing w:after="100" w:line="252" w:lineRule="auto"/>
        <w:ind w:left="504" w:hanging="504"/>
      </w:pPr>
      <w:r>
        <w:rPr>
          <w:b/>
          <w:color w:val="167E78"/>
        </w:rPr>
        <w:t xml:space="preserve">[30] </w:t>
      </w:r>
      <w:r>
        <w:t>Kingma, D. P., &amp; Ba, J. (2014). “Adam: A Method for Stochastic Optimization.” arXiv preprint arXiv:1412.6980. https://doi.org/10.48550/arXiv.1412.6980</w:t>
      </w:r>
    </w:p>
    <w:p>
      <w:pPr>
        <w:keepNext w:val="0"/>
        <w:keepLines/>
        <w:spacing w:after="100" w:line="252" w:lineRule="auto"/>
        <w:ind w:left="504" w:hanging="504"/>
      </w:pPr>
      <w:r>
        <w:rPr>
          <w:b/>
          <w:color w:val="167E78"/>
        </w:rPr>
        <w:t xml:space="preserve">[31] </w:t>
      </w:r>
      <w:r>
        <w:t>Polyak, B. T. (1964). “Some Methods of Speeding Up the Convergence of Iteration Methods.” USSR Computational Mathematics and Mathematical Physics, 4(5), 1–17. https://doi.org/10.1016/0041-5553(64)90137-5</w:t>
      </w:r>
    </w:p>
    <w:p>
      <w:pPr>
        <w:keepNext w:val="0"/>
        <w:keepLines/>
        <w:spacing w:after="100" w:line="252" w:lineRule="auto"/>
        <w:ind w:left="504" w:hanging="504"/>
      </w:pPr>
      <w:r>
        <w:rPr>
          <w:b/>
          <w:color w:val="167E78"/>
        </w:rPr>
        <w:t xml:space="preserve">[32] </w:t>
      </w:r>
      <w:r>
        <w:t>Tieleman, T., &amp; Hinton, G. (2012). “Lecture 6.5-RMSprop: Divide the Gradient by a Running Average of Its Recent Magnitude.” COURSERA: Neural Networks for Machine Learning, 4(2), 26–31.</w:t>
      </w:r>
    </w:p>
    <w:p>
      <w:pPr>
        <w:keepNext w:val="0"/>
        <w:keepLines/>
        <w:spacing w:after="100" w:line="252" w:lineRule="auto"/>
        <w:ind w:left="504" w:hanging="504"/>
      </w:pPr>
      <w:r>
        <w:rPr>
          <w:b/>
          <w:color w:val="167E78"/>
        </w:rPr>
        <w:t xml:space="preserve">[33] </w:t>
      </w:r>
      <w:r>
        <w:t>Welch, B. L. (1947). “The Generalization of 'Student's' Problem When Several Different Population Variances Are Involved.” Biometrika, 34(1/2), 28–35. https://doi.org/10.2307/2332510</w:t>
      </w:r>
    </w:p>
    <w:p>
      <w:pPr>
        <w:keepNext w:val="0"/>
        <w:keepLines/>
        <w:spacing w:after="100" w:line="252" w:lineRule="auto"/>
        <w:ind w:left="504" w:hanging="504"/>
      </w:pPr>
      <w:r>
        <w:rPr>
          <w:b/>
          <w:color w:val="167E78"/>
        </w:rPr>
        <w:t xml:space="preserve">[34] </w:t>
      </w:r>
      <w:r>
        <w:t>Mann, H. B., &amp; Whitney, D. R. (1947). “On a Test of Whether One of Two Random Variables is Stochastically Larger than the Other.” The Annals of Mathematical Statistics, 18(1), 50–60. https://doi.org/10.1214/aoms/1177730491</w:t>
      </w:r>
    </w:p>
    <w:p>
      <w:pPr>
        <w:keepNext w:val="0"/>
        <w:keepLines/>
        <w:spacing w:after="100" w:line="252" w:lineRule="auto"/>
        <w:ind w:left="504" w:hanging="504"/>
      </w:pPr>
      <w:r>
        <w:rPr>
          <w:b/>
          <w:color w:val="167E78"/>
        </w:rPr>
        <w:t xml:space="preserve">[35] </w:t>
      </w:r>
      <w:r>
        <w:t>Pearson, K. (1901). “LIII. On Lines and Planes of Closest Fit to Systems of Points in Space.” The London, Edinburgh, and Dublin Philosophical Magazine and Journal of Science, 2(11), 559–572. https://doi.org/10.1080/14786440109462720</w:t>
      </w:r>
    </w:p>
    <w:sectPr w:rsidR="00FC693F" w:rsidRPr="0006063C" w:rsidSect="00034616">
      <w:headerReference w:type="default" r:id="rId11"/>
      <w:footerReference w:type="default" r:id="rId12"/>
      <w:pgSz w:w="12240" w:h="15840"/>
      <w:pgMar w:top="1008" w:right="1152" w:bottom="1008" w:left="1152"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E7480"/>
        <w:sz w:val="16"/>
      </w:rPr>
      <w:t xml:space="preserve">CSE273 • Foundations of Machine Learning | Page </w:t>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E7480"/>
        <w:sz w:val="16"/>
      </w:rPr>
      <w:t xml:space="preserve">CSE273 • Foundations of Machine Learning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E7480"/>
        <w:sz w:val="15"/>
      </w:rPr>
      <w:t>SMART AIR QUALITY PREDICTION SYSTEM | ACADEMIC PRELIMINARIES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E7480"/>
        <w:sz w:val="15"/>
      </w:rPr>
      <w:t>SMART AIR QUALITY PREDICTION SYSTEM | CSE273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