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з теми </w:t>
      </w:r>
      <w:r w:rsidDel="00000000" w:rsidR="00000000" w:rsidRPr="00000000">
        <w:rPr>
          <w:sz w:val="32"/>
          <w:szCs w:val="32"/>
          <w:rtl w:val="0"/>
        </w:rPr>
        <w:t xml:space="preserve">“Імпорт тривімирних моделей у середовище програмування java3D, обробка та маніапуляція цих зображен</w:t>
      </w:r>
      <w:r w:rsidDel="00000000" w:rsidR="00000000" w:rsidRPr="00000000">
        <w:rPr>
          <w:sz w:val="35"/>
          <w:szCs w:val="35"/>
          <w:rtl w:val="0"/>
        </w:rPr>
        <w:t xml:space="preserve">ь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0" w:firstLine="0"/>
        <w:jc w:val="left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Імпортувати моделі тривимірних об’єктів форматів, що визначені варіантом. Створити реалістичну анімацію об’єкту. Додати до сцени фон, інші об’єкти для надання сцені реалістичного вигляду. Для цьоговикористати текстури, матеріали, імпортувати додаткові об’єкти з відкритих бібліотек, за бажанням створити прості об’єкти у графічному редакторі.Студенти, якімаютьнепарний номер варіантуусписку групиімпортують моделі формату .obj, парний варіант – .lwo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4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440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4330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