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บทที่ 2 วรรณกรรมและทฤษฎีที่เกี่ยวข้อง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บทท-2"/>
    <w:p>
      <w:pPr>
        <w:pStyle w:val="Heading1"/>
      </w:pPr>
      <w:r>
        <w:t xml:space="preserve">บทที่ 2</w:t>
      </w:r>
    </w:p>
    <w:bookmarkEnd w:id="9"/>
    <w:bookmarkStart w:id="39" w:name="วรรณกรรมและทฤษฎทเกยวของ"/>
    <w:p>
      <w:pPr>
        <w:pStyle w:val="Heading1"/>
      </w:pPr>
      <w:r>
        <w:t xml:space="preserve">วรรณกรรมและทฤษฎีที่เกี่ยวข้อง</w:t>
      </w:r>
    </w:p>
    <w:p>
      <w:pPr>
        <w:pStyle w:val="FirstParagraph"/>
      </w:pPr>
      <w:r>
        <w:t xml:space="preserve">การพัฒนาเว็บแอปพลิเคชันช่วยเรียนคณิตศาสตร์สำหรับแคลคูลัสเบื้องต้น ผู้จัดทำได้ทำการศึกษา รวบรวมหลักการทางคณิตศาสตร์ เทคโนโลยีซอฟต์แวร์ กรอบแนวคิดการออกแบบการสอน และงานวิจัยที่เกี่ยวข้อง เพื่อใช้เป็นกรอบทฤษฎีและแนวทางในการพัฒนาระบบ โดยแบ่งเนื้อหาออกเป็น 5 หัวข้อหลัก ดังนี้</w:t>
      </w:r>
    </w:p>
    <w:p>
      <w:pPr>
        <w:pStyle w:val="BodyText"/>
      </w:pPr>
      <w:r>
        <w:t xml:space="preserve">2.1 ทฤษฎีคณิตศาสตร์สำหรับแคลคูลัสเบื้องต้น</w:t>
      </w:r>
      <w:r>
        <w:t xml:space="preserve"> </w:t>
      </w:r>
      <w:r>
        <w:t xml:space="preserve">2.2 เทคโนโลยีและเครื่องมือที่ใช้ในการพัฒนา</w:t>
      </w:r>
      <w:r>
        <w:t xml:space="preserve"> </w:t>
      </w:r>
      <w:r>
        <w:t xml:space="preserve">2.3 กรอบแนวคิดการจัดนั่งร้านทางปัญญาและการออกแบบแบบทดสอบ</w:t>
      </w:r>
      <w:r>
        <w:t xml:space="preserve"> </w:t>
      </w:r>
      <w:r>
        <w:t xml:space="preserve">2.4 การประเมินความสะดวกในการใช้งาน</w:t>
      </w:r>
      <w:r>
        <w:t xml:space="preserve"> </w:t>
      </w:r>
      <w:r>
        <w:t xml:space="preserve">2.5 งานวิจัยที่เกี่ยวข้อง</w:t>
      </w:r>
    </w:p>
    <w:bookmarkStart w:id="29" w:name="ทฤษฎคณตศาสตรสำหรบแคลคลสเบองตน"/>
    <w:p>
      <w:pPr>
        <w:pStyle w:val="Heading2"/>
      </w:pPr>
      <w:r>
        <w:t xml:space="preserve">2.1 ทฤษฎีคณิตศาสตร์สำหรับแคลคูลัสเบื้องต้น</w:t>
      </w:r>
    </w:p>
    <w:p>
      <w:pPr>
        <w:pStyle w:val="FirstParagraph"/>
      </w:pPr>
      <w:r>
        <w:t xml:space="preserve">เนื้อหาคณิตศาสตร์ในโครงงานนี้มุ่งเน้นการเสริมสร้างความเข้าใจทางเรขาคณิตควบคู่กับความถูกต้องแม่นยำในการคำนวณ ครอบคลุม 7 หัวข้อสำคัญ ได้แก่</w:t>
      </w:r>
    </w:p>
    <w:bookmarkStart w:id="10" w:name="X675108009e893d3d78c00db78ed3d7905bab7d8"/>
    <w:p>
      <w:pPr>
        <w:pStyle w:val="Heading3"/>
      </w:pPr>
      <w:r>
        <w:t xml:space="preserve">2.1.1 ลิมิตเข้าใกล้จุดและความต่อเนื่อง (Limits and Continuity)</w:t>
      </w:r>
    </w:p>
    <w:p>
      <w:pPr>
        <w:pStyle w:val="FirstParagraph"/>
      </w:pPr>
      <w:r>
        <w:t xml:space="preserve">ลิมิตของฟังก์ชันเป็นแนวคิดพื้นฐานที่อธิบายพฤติกรรมของค่าฟังก์ชัน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เมื่อตัวแปร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มีค่าเข้าใกล้จุด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ใด ๆ</w:t>
      </w:r>
    </w:p>
    <w:p>
      <w:pPr>
        <w:pStyle w:val="BodyText"/>
      </w:pPr>
      <w:r>
        <w:rPr>
          <w:b/>
          <w:bCs/>
        </w:rPr>
        <w:t xml:space="preserve">นิยามและความหมายทางเรขาคณิตของลิมิต:</w:t>
      </w:r>
      <w:r>
        <w:t xml:space="preserve"> </w:t>
      </w:r>
      <w:r>
        <w:t xml:space="preserve">เรากล่าวว่าลิมิตของ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เข้าใกล้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มีค่าเท่ากับ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เขียนแทนด้วยสัญลักษณ์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t xml:space="preserve">ก็ต่อเมื่อ ลิมิตด้านซ้ายและลิมิตด้านขวามีค่าเท่ากัน นั่นคือ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ในเชิงเรขาคณิต หมายถึงเมื่อจุดบนเส้นโค้งเคลื่อนที่เข้าใกล้พิกัด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จากทั้งสองทิศทาง ค่าบนแกน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จะลู่เข้าสู่ระดับความสูง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เดียวกัน หากลิมิตซ้ายและขวาไม่เท่ากัน จะถือว่าลิมิตหาค่าไม่ได้</w:t>
      </w:r>
    </w:p>
    <w:p>
      <w:pPr>
        <w:pStyle w:val="BodyText"/>
      </w:pPr>
      <w:r>
        <w:rPr>
          <w:b/>
          <w:bCs/>
        </w:rPr>
        <w:t xml:space="preserve">นิยามความต่อเนื่องของฟังก์ชัน (Continuity):</w:t>
      </w:r>
      <w:r>
        <w:t xml:space="preserve"> </w:t>
      </w:r>
      <w:r>
        <w:t xml:space="preserve">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จะมีความต่อเนื่อง ณ 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ก็ต่อเมื่อสอดคล้องกับเงื่อนไขทางคณิตศาสตร์ครบทั้ง 3 ข้อ ดังนี้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นิยามและหาค่าได้จริงในโดเมนของฟังก์ชัน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มีค่าเป็นจำนวนจริง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FirstParagraph"/>
      </w:pPr>
      <w:r>
        <w:t xml:space="preserve">หากฟังก์ชันขาดเงื่อนไขข้อใดข้อหนึ่ง จะส่งผลให้ฟังก์ชันเกิดภาวะไม่ต่อเนื่อง (Discontinuity) ซึ่งในระบบช่วยเรียนรู้ได้จำแนกจุดไม่ต่อเนื่องออกเป็น 3 ลักษณะสำคัญ ดังแสดงในตารางที่ 2.1</w:t>
      </w:r>
    </w:p>
    <w:p>
      <w:pPr>
        <w:pStyle w:val="BodyText"/>
      </w:pPr>
      <w:r>
        <w:t xml:space="preserve">ตารางที่ 2.1 การจำแนกประเภทของจุดไม่ต่อเนื่องและลักษณะทางเรขาคณิต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ประเภทจุดไม่ต่อเนื่อง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เงื่อนไขทางคณิตศาสตร์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ลักษณะกราฟทางเรขาคณิต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ตัวอย่างฟังก์ชัน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จุดไม่ต่อเนื่องแบบขจัดได้</w:t>
            </w:r>
            <w:r>
              <w:t xml:space="preserve">(Removable Discontinuity)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หาค่าได้ แต่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ไม่นิยาม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กราฟเป็นเส้นเรียบต่อเนื่อง แต่มีจุดโปร่งหรือรูโหว่เพียงจุดเดียว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จุดไม่ต่อเนื่องแบบกระโดด</w:t>
            </w:r>
            <w:r>
              <w:t xml:space="preserve">(Jump Discontinuity)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และ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หาค่าได้ แต่มีค่าไม่เท่ากัน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กราฟขาดตอนและกระโดดเปลี่ยนระดับความสูงอย่างกะทันหัน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จุดไม่ต่อเนื่องแบบอนันต์</w:t>
            </w:r>
            <w:r>
              <w:t xml:space="preserve">(Infinite Discontinuity)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ลิมิตข้างใดข้างหนึ่งมีค่าพุ่งเข้าสู่อนันต์ (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กราฟพุ่งชันเข้าสู่เส้นกำกับแนวดิ่ง (Vertical Asymptote)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</w:tbl>
    <w:p>
      <w:pPr>
        <w:pStyle w:val="BodyText"/>
      </w:pPr>
      <w:r>
        <w:t xml:space="preserve">ในกรณีที่การแทนค่าโดยตรง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นำไปสู่รูปแบบยังไม่กำหนด (Indeterminate Forms) เช่น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จำเป็นต้องจัดรูปทางพีชคณิตด้วยการแยกตัวประกอบหรือการคูณด้วยสังยุคก่อนคำนวณค่าลิมิต</w:t>
      </w:r>
    </w:p>
    <w:p>
      <w:pPr>
        <w:pStyle w:val="BodyText"/>
      </w:pPr>
      <w:r>
        <w:rPr>
          <w:b/>
          <w:bCs/>
        </w:rPr>
        <w:t xml:space="preserve">ตัวอย่างที่ 2.1 (การแทนค่าโดยตรง):</w:t>
      </w:r>
      <w:r>
        <w:t xml:space="preserve"> </w:t>
      </w:r>
      <w:r>
        <w:t xml:space="preserve">จงหาค่าของ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เนื่องจากฟังก์ชันพหุนามมีความต่อเนื่องที่ทุกจุดตามเงื่อนไขความต่อเนื่อง สามารถแทนค่า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ได้โดยตรง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2</m:t>
              </m:r>
            </m:lim>
          </m:limLow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มีค่าเข้าใกล้ 2 เส้นกราฟพาราโบลาจะลู่เข้าสู่พิกัด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บนระนาบ</w:t>
      </w:r>
    </w:p>
    <w:p>
      <w:pPr>
        <w:pStyle w:val="BodyText"/>
      </w:pPr>
      <w:r>
        <w:rPr>
          <w:b/>
          <w:bCs/>
        </w:rPr>
        <w:t xml:space="preserve">ตัวอย่างที่ 2.2 (รูปแบบยังไม่กำหนด 0/0):</w:t>
      </w:r>
      <w:r>
        <w:t xml:space="preserve"> </w:t>
      </w:r>
      <w:r>
        <w:t xml:space="preserve">จงหาค่าของ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เมื่อแทนค่า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จะได้เศษส่วนอยู่ในรูปแบบ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ซึ่งยังสรุปค่าไม่ได้ จึงทำการแยกตัวประกอบตัวเศษ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3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3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  <w:r>
        <w:t xml:space="preserve"> </w:t>
      </w:r>
      <w:r>
        <w:t xml:space="preserve">สามารถทอนพจน์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ได้ จะได้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3</m:t>
              </m:r>
            </m:lim>
          </m:limLow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กราฟของฟังก์ชันนี้เป็นเส้นตรง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ที่มีจุดโปร่งที่พิกัด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 </w:t>
      </w:r>
      <w:r>
        <w:t xml:space="preserve">ค่าลิมิตบอกระดับความสูงของจุดโปร่งนี้ จัดเป็นจุดไม่ต่อเนื่องแบบขจัดได้</w:t>
      </w:r>
    </w:p>
    <w:bookmarkEnd w:id="10"/>
    <w:bookmarkStart w:id="14" w:name="X3204fd069808fed6c292d98a2e90d43672c040f"/>
    <w:p>
      <w:pPr>
        <w:pStyle w:val="Heading3"/>
      </w:pPr>
      <w:r>
        <w:t xml:space="preserve">2.1.2 เส้นสัมผัสและอนุพันธ์ (Tangent Lines and Derivatives)</w:t>
      </w:r>
    </w:p>
    <w:p>
      <w:pPr>
        <w:pStyle w:val="FirstParagraph"/>
      </w:pPr>
      <w:r>
        <w:t xml:space="preserve">อนุพันธ์ของฟังก์ชันอธิบายอัตราการเปลี่ยนแปลงขณะใดขณะหนึ่ง และในเชิงเรขาคณิตหมายถึงความชันของเส้นสัมผัสเส้นโค้ง ณ จุดใด ๆ</w:t>
      </w:r>
    </w:p>
    <w:p>
      <w:pPr>
        <w:pStyle w:val="BodyText"/>
      </w:pPr>
      <w:r>
        <w:rPr>
          <w:b/>
          <w:bCs/>
        </w:rPr>
        <w:t xml:space="preserve">นิยามและความหมายทางเรขาคณิต:</w:t>
      </w:r>
      <w:r>
        <w:t xml:space="preserve"> </w:t>
      </w:r>
      <w:r>
        <w:t xml:space="preserve">อนุพันธ์ของฟังก์ชัน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ณ 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กำหนดโดยลิมิตของความชันของเส้นตัดคอร์ด (Secant Line) เมื่อระยะห่าง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ลู่เข้าสู่ศูนย์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สมการเส้นสัมผัสกราฟ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ณ จุด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คำนวณได้จากสมการจุดและความชัน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CaptionedFigure"/>
      </w:pPr>
      <w:r>
        <w:drawing>
          <wp:inline>
            <wp:extent cx="3500120" cy="2418264"/>
            <wp:effectExtent b="0" l="0" r="0" t="0"/>
            <wp:docPr descr="ภาพที่ 2.1 เส้นตัดคอร์ดที่ลู่เข้าสู่เส้นสัมผัสเส้นโค้ง ณ จุดสัมผัส" title="" id="12" name="Picture"/>
            <a:graphic>
              <a:graphicData uri="http://schemas.openxmlformats.org/drawingml/2006/picture">
                <pic:pic>
                  <pic:nvPicPr>
                    <pic:cNvPr descr="figures/fig-2-1-tangen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20" cy="241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2.1 เส้นตัดคอร์ดที่ลู่เข้าสู่เส้นสัมผัสเส้นโค้ง ณ จุดสัมผัส</w:t>
      </w:r>
    </w:p>
    <w:p>
      <w:pPr>
        <w:pStyle w:val="BodyText"/>
      </w:pPr>
      <w:r>
        <w:rPr>
          <w:b/>
          <w:bCs/>
        </w:rPr>
        <w:t xml:space="preserve">ตัวอย่างที่ 2.3 (การหาความชันและสมการเส้นสัมผัส):</w:t>
      </w:r>
      <w:r>
        <w:t xml:space="preserve"> </w:t>
      </w:r>
      <w:r>
        <w:t xml:space="preserve">กำหนดให้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จงหาสมการเส้นสัมผัสกราฟ ณ จุดที่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หาค่าความสูงที่จุดสัมผัส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หาฟังก์ชันอนุพันธ์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ดังนั้นความชันของเส้นสัมผัส 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คือ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สร้างสมการเส้นสัมผัสจากจุด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และความชัน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เส้นตรง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สัมผัสเส้นโค้งพาราโบลา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พอดีที่จุด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ดังแสดงในภาพที่ 2.1</w:t>
      </w:r>
    </w:p>
    <w:p>
      <w:pPr>
        <w:pStyle w:val="BodyText"/>
      </w:pPr>
      <w:r>
        <w:rPr>
          <w:b/>
          <w:bCs/>
        </w:rPr>
        <w:t xml:space="preserve">ตัวอย่างที่ 2.4 (การวิเคราะห์ความชันและค่าสุดขีดสัมพัทธ์):</w:t>
      </w:r>
      <w:r>
        <w:t xml:space="preserve"> </w:t>
      </w:r>
      <w:r>
        <w:t xml:space="preserve">กำหนดให้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จงหาจุดบนกราฟที่มีเส้นสัมผัสขนานกับแกน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พร้อมจำแนกลักษณะของจุดดังกล่าว</w:t>
      </w:r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เส้นสัมผัสขนานกับแกน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หมายถึงความชันเป็นศูนย์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คำนวณอนุพันธ์อันดับหนึ่ง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กำหนดให้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3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ได้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พิกัดคือ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ได้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พิกัดคือ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ตรวจสอบลักษณะจุดด้วยการทดสอบอนุพันธ์อันดับสอง (Second Derivative Test):</w:t>
      </w:r>
      <w:r>
        <w:t xml:space="preserve"> </w:t>
      </w:r>
      <w:r>
        <w:t xml:space="preserve">คำนวณ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t>x</m:t>
        </m:r>
      </m:oMath>
    </w:p>
    <w:p>
      <w:pPr>
        <w:pStyle w:val="Compact"/>
        <w:numPr>
          <w:ilvl w:val="0"/>
          <w:numId w:val="1002"/>
        </w:numPr>
      </w:pPr>
      <w:r>
        <w:t xml:space="preserve">ที่จุด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กราฟมีลักษณะหงาย จึงเป็นจุดต่ำสุดสัมพัทธ์</w:t>
      </w:r>
    </w:p>
    <w:p>
      <w:pPr>
        <w:pStyle w:val="Compact"/>
        <w:numPr>
          <w:ilvl w:val="0"/>
          <w:numId w:val="1002"/>
        </w:numPr>
      </w:pPr>
      <w:r>
        <w:t xml:space="preserve">ที่จุด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กราฟมีลักษณะคว่ำ จึงเป็นจุดสูงสุดสัมพัทธ์</w:t>
      </w:r>
      <w:r>
        <w:t xml:space="preserve"> </w:t>
      </w: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กราฟมีจุดราบสองจุด คือ จุดต่ำสุดสัมพัทธ์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และจุดสูงสุดสัมพัทธ์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ซึ่งเส้นสัมผัสมีลักษณะเป็นแนวนอน</w:t>
      </w:r>
    </w:p>
    <w:bookmarkEnd w:id="14"/>
    <w:bookmarkStart w:id="18" w:name="X81b9465113cad68d464526219625f181015ffc6"/>
    <w:p>
      <w:pPr>
        <w:pStyle w:val="Heading3"/>
      </w:pPr>
      <w:r>
        <w:t xml:space="preserve">2.1.3 ผลรวมรีมันน์และการอินทิเกรตตรงแบบ (Riemann Sums and Definite Integrals)</w:t>
      </w:r>
    </w:p>
    <w:p>
      <w:pPr>
        <w:pStyle w:val="FirstParagraph"/>
      </w:pPr>
      <w:r>
        <w:t xml:space="preserve">ผลรวมรีมันน์เป็นเครื่องมือในการประมาณพื้นที่ปิดล้อมใต้เส้นโค้งด้วยผลรวมของพื้นที่แท่งสี่เหลี่ยมผืนผ้า ก่อนจะนำไปสู่นิยามของปริพันธ์จำกัดเขตและทฤษฎีบทหลักมูลของแคลคูลัส</w:t>
      </w:r>
    </w:p>
    <w:p>
      <w:pPr>
        <w:pStyle w:val="BodyText"/>
      </w:pPr>
      <w:r>
        <w:rPr>
          <w:b/>
          <w:bCs/>
        </w:rPr>
        <w:t xml:space="preserve">นิยามและความหมายทางเรขาคณิต:</w:t>
      </w:r>
      <w:r>
        <w:t xml:space="preserve"> </w:t>
      </w:r>
      <w:r>
        <w:t xml:space="preserve">พิจารณาฟังก์ชัน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บนช่วงปิด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แบ่งช่วงออกเป็น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ช่วงย่อยเท่า ๆ กัน แต่ละช่วงมีความกว้าง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ผลรวมรีมันน์กำหนดโดย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คือจุดตัวแทนในแต่ละช่วงย่อย ซึ่งมีสูตรการคำนวณพิกัด 3 รูปแบบมาตรฐาน ดังนี้</w:t>
      </w:r>
    </w:p>
    <w:p>
      <w:pPr>
        <w:pStyle w:val="Compact"/>
        <w:numPr>
          <w:ilvl w:val="0"/>
          <w:numId w:val="1003"/>
        </w:numPr>
      </w:pPr>
      <w:r>
        <w:t xml:space="preserve">ผลรวมรีมันน์ทางซ้าย (Left Riemann Sum):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</w:p>
    <w:p>
      <w:pPr>
        <w:pStyle w:val="Compact"/>
        <w:numPr>
          <w:ilvl w:val="0"/>
          <w:numId w:val="1003"/>
        </w:numPr>
      </w:pPr>
      <w:r>
        <w:t xml:space="preserve">ผลรวมรีมันน์ทางขวา (Right Riemann Sum):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Δ</m:t>
        </m:r>
        <m:r>
          <m:t>x</m:t>
        </m:r>
      </m:oMath>
    </w:p>
    <w:p>
      <w:pPr>
        <w:pStyle w:val="Compact"/>
        <w:numPr>
          <w:ilvl w:val="0"/>
          <w:numId w:val="1003"/>
        </w:numPr>
      </w:pPr>
      <w:r>
        <w:t xml:space="preserve">ผลรวมรีมันน์จุดกึ่งกลาง (Midpoint Riemann Sum):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Δ</m:t>
        </m:r>
        <m:r>
          <m:t>x</m:t>
        </m:r>
      </m:oMath>
    </w:p>
    <w:p>
      <w:pPr>
        <w:pStyle w:val="FirstParagraph"/>
      </w:pPr>
      <w:r>
        <w:t xml:space="preserve">เมื่อเพิ่มจำนวนแท่งสี่เหลี่ยมให้เข้าสู่อนันต์ (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ค่าผลรวมจะลู่เข้าสู่ค่าปริพันธ์จำกัดเขต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ทฤษฎีบทหลักมูลของแคลคูลัส (Fundamental Theorem of Calculus: FTC):</w:t>
      </w:r>
      <w:r>
        <w:t xml:space="preserve"> </w:t>
      </w:r>
      <w:r>
        <w:t xml:space="preserve">ความเชื่อมโยงระหว่างการหาอนุพันธ์กับการคำนวณปริพันธ์สรุปผ่านทฤษฎีบท 2 ส่วน: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ส่วนที่ 1:</w:t>
      </w:r>
      <w:r>
        <w:t xml:space="preserve"> </w:t>
      </w:r>
      <w:r>
        <w:t xml:space="preserve">หาก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มีความต่อเนื่องบนช่วง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และกำหนดฟังก์ชัน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แล้ว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ส่วนที่ 2:</w:t>
      </w:r>
      <w:r>
        <w:t xml:space="preserve"> </w:t>
      </w:r>
      <w:r>
        <w:t xml:space="preserve">หาก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เป็นปฏิยานุพันธ์ของ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(นั่นคือ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 แล้ว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CaptionedFigure"/>
      </w:pPr>
      <w:r>
        <w:drawing>
          <wp:inline>
            <wp:extent cx="4577080" cy="2224969"/>
            <wp:effectExtent b="0" l="0" r="0" t="0"/>
            <wp:docPr descr="ภาพที่ 2.2 การประมาณพื้นที่ใต้เส้นโค้งด้วยผลรวมรีมันน์ทางซ้ายและทางขวา" title="" id="16" name="Picture"/>
            <a:graphic>
              <a:graphicData uri="http://schemas.openxmlformats.org/drawingml/2006/picture">
                <pic:pic>
                  <pic:nvPicPr>
                    <pic:cNvPr descr="figures/fig-2-2-rieman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22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2.2 การประมาณพื้นที่ใต้เส้นโค้งด้วยผลรวมรีมันน์ทางซ้ายและทางขวา</w:t>
      </w:r>
    </w:p>
    <w:p>
      <w:pPr>
        <w:pStyle w:val="BodyText"/>
      </w:pPr>
      <w:r>
        <w:rPr>
          <w:b/>
          <w:bCs/>
        </w:rPr>
        <w:t xml:space="preserve">ตัวอย่างที่ 2.5 (การประมาณค่าด้วยผลรวมรีมันน์ทางซ้ายและขวา):</w:t>
      </w:r>
      <w:r>
        <w:t xml:space="preserve"> </w:t>
      </w:r>
      <w:r>
        <w:t xml:space="preserve">จงประมาณค่าของ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โดยใช้ผลรวมรีมันน์ที่มีจำนวนช่วงย่อย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ความกว้างแต่ละช่วงย่อย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จุดแบ่งช่วงย่อยคือ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2.0</m:t>
        </m:r>
      </m:oMath>
    </w:p>
    <w:p>
      <w:pPr>
        <w:numPr>
          <w:ilvl w:val="0"/>
          <w:numId w:val="1005"/>
        </w:numPr>
      </w:pPr>
      <w:r>
        <w:t xml:space="preserve">ผลรวมรีมันน์ทางซ้าย (ใช้จุด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1.5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1.5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+</m:t>
          </m:r>
          <m:r>
            <m:t>1.0</m:t>
          </m:r>
          <m:r>
            <m:rPr>
              <m:sty m:val="p"/>
            </m:rPr>
            <m:t>+</m:t>
          </m:r>
          <m:r>
            <m:t>2.25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1.75</m:t>
          </m:r>
        </m:oMath>
      </m:oMathPara>
    </w:p>
    <w:p>
      <w:pPr>
        <w:numPr>
          <w:ilvl w:val="0"/>
          <w:numId w:val="1005"/>
        </w:numPr>
      </w:pPr>
      <w:r>
        <w:t xml:space="preserve">ผลรวมรีมันน์ทางขวา (ใช้จุด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2.0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1.5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+</m:t>
          </m:r>
          <m:r>
            <m:t>1.0</m:t>
          </m:r>
          <m:r>
            <m:rPr>
              <m:sty m:val="p"/>
            </m:rPr>
            <m:t>+</m:t>
          </m:r>
          <m:r>
            <m:t>2.25</m:t>
          </m:r>
          <m:r>
            <m:rPr>
              <m:sty m:val="p"/>
            </m:rPr>
            <m:t>+</m:t>
          </m:r>
          <m:r>
            <m:t>4.0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7.5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3.75</m:t>
          </m:r>
        </m:oMath>
      </m:oMathPara>
    </w:p>
    <w:p>
      <w:pPr>
        <w:numPr>
          <w:ilvl w:val="0"/>
          <w:numId w:val="1000"/>
        </w:numPr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เนื่องจาก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เป็นฟังก์ชันเพิ่มบน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แท่งสี่เหลี่ยมทางซ้ายจะอยู่ใต้เส้นโค้ง (</w:t>
      </w:r>
      <m:oMath>
        <m:sSub>
          <m:e>
            <m:r>
              <m:t>L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ให้ค่าประมาณต่ำกว่าจริง) และแท่งทางขวาจะล้นเส้นโค้ง (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ให้ค่าประมาณสูงกว่าจริง) ดังแสดงในภาพที่ 2.2 โดยค่าจริงคำนวณผ่านทฤษฎีบทหลักมูลของแคลคูลัสได้เท่ากับ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2.6667</m:t>
        </m:r>
      </m:oMath>
    </w:p>
    <w:p>
      <w:pPr>
        <w:pStyle w:val="FirstParagraph"/>
      </w:pPr>
      <w:r>
        <w:rPr>
          <w:b/>
          <w:bCs/>
        </w:rPr>
        <w:t xml:space="preserve">ตัวอย่างที่ 2.6 (ผลรวมรีมันน์จุดกึ่งกลาง):</w:t>
      </w:r>
      <w:r>
        <w:t xml:space="preserve"> </w:t>
      </w:r>
      <w:r>
        <w:t xml:space="preserve">จงประมาณค่าของ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โดยใช้จุดกึ่งกลางที่มี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ความกว้างช่วงย่อย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จุดกึ่งกลางคำนวณจากสูตร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ได้แก่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1.25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1.75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2.25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2.75</m:t>
        </m:r>
      </m:oMath>
      <w:r>
        <w:t xml:space="preserve"> </w:t>
      </w:r>
      <w:r>
        <w:t xml:space="preserve">คำนวณค่าฟังก์ชัน: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1.25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1.75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2.25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2.25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5.5</m:t>
        </m:r>
      </m:oMath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2.75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2.75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6.5</m:t>
        </m:r>
      </m:oMath>
      <w:r>
        <w:t xml:space="preserve"> </w:t>
      </w:r>
      <w:r>
        <w:t xml:space="preserve">คำนวณผลรวมจุดกึ่งกลาง: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3.5</m:t>
          </m:r>
          <m:r>
            <m:rPr>
              <m:sty m:val="p"/>
            </m:rPr>
            <m:t>+</m:t>
          </m:r>
          <m:r>
            <m:t>4.5</m:t>
          </m:r>
          <m:r>
            <m:rPr>
              <m:sty m:val="p"/>
            </m:rPr>
            <m:t>+</m:t>
          </m:r>
          <m:r>
            <m:t>5.5</m:t>
          </m:r>
          <m:r>
            <m:rPr>
              <m:sty m:val="p"/>
            </m:rPr>
            <m:t>+</m:t>
          </m:r>
          <m:r>
            <m:t>6.5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20.0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10.0</m:t>
          </m:r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ค่าที่ได้เท่ากับค่าปริพันธ์จริงพอดี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เนื่องจากฟังก์ชันเส้นตรงทำให้พื้นที่สามเหลี่ยมส่วนที่เกินและขาดหักล้างกันพอดี</w:t>
      </w:r>
    </w:p>
    <w:bookmarkEnd w:id="18"/>
    <w:bookmarkStart w:id="19" w:name="เทคนคการอนทเกรต-integration-techniques"/>
    <w:p>
      <w:pPr>
        <w:pStyle w:val="Heading3"/>
      </w:pPr>
      <w:r>
        <w:t xml:space="preserve">2.1.4 เทคนิคการอินทิเกรต (Integration Techniques)</w:t>
      </w:r>
    </w:p>
    <w:p>
      <w:pPr>
        <w:pStyle w:val="FirstParagraph"/>
      </w:pPr>
      <w:r>
        <w:t xml:space="preserve">การคำนวณปริพันธ์ของฟังก์ชันที่ซับซ้อนต้องอาศัยเทคนิคการแปลงรูปเพื่อให้เข้าสู่สูตรมาตรฐาน</w:t>
      </w:r>
    </w:p>
    <w:p>
      <w:pPr>
        <w:pStyle w:val="BodyText"/>
      </w:pPr>
      <w:r>
        <w:rPr>
          <w:b/>
          <w:bCs/>
        </w:rPr>
        <w:t xml:space="preserve">นิยามและสูตรหลัก: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การอินทิเกรตโดยการแทนค่าตัวแปร (Integration by Substitution):</w:t>
      </w:r>
      <w:r>
        <w:t xml:space="preserve"> </w:t>
      </w:r>
      <w:r>
        <w:t xml:space="preserve">อาศัยกฎลูกโซ่แบบย้อนกลับ เมื่อตัวถูกอินทิเกรตอยู่ในรูป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ให้กำหนดตัวแปรใหม่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จะได้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t xml:space="preserve">ส่งผลให้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การอินทิเกรตทีละส่วน (Integration by Parts):</w:t>
      </w:r>
      <w:r>
        <w:t xml:space="preserve"> </w:t>
      </w:r>
      <w:r>
        <w:t xml:space="preserve">อาศัยอนุพันธ์ของผลคูณสองฟังก์ชัน มีสูตรคำนวณคือ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numPr>
          <w:ilvl w:val="0"/>
          <w:numId w:val="1000"/>
        </w:numPr>
      </w:pPr>
      <w:r>
        <w:t xml:space="preserve">การเลือกฟังก์ชัน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ยึดตามลำดับความสำคัญของกฎ</w:t>
      </w:r>
      <w:r>
        <w:t xml:space="preserve"> </w:t>
      </w:r>
      <w:r>
        <w:rPr>
          <w:b/>
          <w:bCs/>
        </w:rPr>
        <w:t xml:space="preserve">LIATE</w:t>
      </w:r>
      <w:r>
        <w:t xml:space="preserve"> </w:t>
      </w:r>
      <w:r>
        <w:t xml:space="preserve">เพื่อให้ได้ฟังก์ชันที่หาอนุพันธ์แล้วลดรูปได้ง่ายที่สุด ดังนี้: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L:</w:t>
      </w:r>
      <w:r>
        <w:t xml:space="preserve"> </w:t>
      </w:r>
      <w:r>
        <w:t xml:space="preserve">ฟังก์ชันลอการิทึม (Logarithmic Functions เช่น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I:</w:t>
      </w:r>
      <w:r>
        <w:t xml:space="preserve"> </w:t>
      </w:r>
      <w:r>
        <w:t xml:space="preserve">ฟังก์ชันตรีโกณมิติผกผัน (Inverse Trigonometric Functions เช่น</w:t>
      </w:r>
      <w:r>
        <w:t xml:space="preserve"> </w:t>
      </w:r>
      <m:oMath>
        <m:r>
          <m:rPr>
            <m:sty m:val="p"/>
          </m:rPr>
          <m:t>arctan</m:t>
        </m:r>
        <m:r>
          <m:t>x</m:t>
        </m:r>
      </m:oMath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ฟังก์ชันพีชคณิตและพหุนาม (Algebraic Functions เช่น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3</m:t>
        </m:r>
        <m:r>
          <m:t>x</m:t>
        </m:r>
      </m:oMath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T:</w:t>
      </w:r>
      <w:r>
        <w:t xml:space="preserve"> </w:t>
      </w:r>
      <w:r>
        <w:t xml:space="preserve">ฟังก์ชันตรีโกณมิติ (Trigonometric Functions เช่น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ฟังก์ชันเลขชี้กำลัง (Exponential Functions เช่น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ตัวอย่างที่ 2.7 (การแทนค่าตัวแปร u):</w:t>
      </w:r>
      <w:r>
        <w:t xml:space="preserve"> </w:t>
      </w:r>
      <w:r>
        <w:t xml:space="preserve">จงหาค่าของ</w:t>
      </w:r>
      <w:r>
        <w:t xml:space="preserve"> </w:t>
      </w:r>
      <m:oMath>
        <m:r>
          <m:rPr>
            <m:sty m:val="p"/>
          </m:rPr>
          <m:t>∫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กำหนดให้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จะได้อนุพันธ์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⟹</m:t>
        </m:r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แทนค่าลงในปริพันธ์เดิม: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ตัวอย่างที่ 2.8 (การอินทิเกรตทีละส่วนตามกฎ LIATE):</w:t>
      </w:r>
      <w:r>
        <w:t xml:space="preserve"> </w:t>
      </w:r>
      <w:r>
        <w:t xml:space="preserve">จงหาค่าของ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พิจารณาตามกฎ LIATE ระหว่างฟังก์ชันพีชคณิต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(A) กับฟังก์ชันเลขชี้กำลัง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(E) จึงเลือกฟังก์ชันพีชคณิตเป็น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กำหนดให้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⟹</m:t>
        </m:r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 </w:t>
      </w:r>
      <w:r>
        <w:t xml:space="preserve">กำหนดให้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⟹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แทนค่าลงในสูตร</w:t>
      </w:r>
      <w:r>
        <w:t xml:space="preserve"> 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bookmarkEnd w:id="19"/>
    <w:bookmarkStart w:id="23" w:name="พนทระหวางเสนโคง-area-between-curves"/>
    <w:p>
      <w:pPr>
        <w:pStyle w:val="Heading3"/>
      </w:pPr>
      <w:r>
        <w:t xml:space="preserve">2.1.5 พื้นที่ระหว่างเส้นโค้ง (Area Between Curves)</w:t>
      </w:r>
    </w:p>
    <w:p>
      <w:pPr>
        <w:pStyle w:val="FirstParagraph"/>
      </w:pPr>
      <w:r>
        <w:rPr>
          <w:b/>
          <w:bCs/>
        </w:rPr>
        <w:t xml:space="preserve">นิยามและความหมายทางเรขาคณิต:</w:t>
      </w:r>
      <w:r>
        <w:t xml:space="preserve"> </w:t>
      </w:r>
      <w:r>
        <w:t xml:space="preserve">กำหนดให้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เป็นฟังก์ชันต่อเนื่องบนช่วง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โดยที่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ตลอดช่วง พื้นที่ปิดล้อมระหว่างเส้นโค้งทั้งสองตั้งแต่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กำหนดโดย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ในเชิงเรขาคณิต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แทนความสูงของแถบพื้นที่ย่อยในแนวดิ่ง หากเส้นกราฟตัดกันภายในช่วง ต้องหาจุดตัดทั้งหมดเพื่อแบ่งช่วงอินทิเกรตให้ฟังก์ชันตัวบนลบฟังก์ชันตัวล่างเสมอ</w:t>
      </w:r>
    </w:p>
    <w:p>
      <w:pPr>
        <w:pStyle w:val="CaptionedFigure"/>
      </w:pPr>
      <w:r>
        <w:drawing>
          <wp:inline>
            <wp:extent cx="3500120" cy="2418264"/>
            <wp:effectExtent b="0" l="0" r="0" t="0"/>
            <wp:docPr descr="ภาพที่ 2.3 บริเวณพื้นที่ปิดล้อมระหว่างสองเส้นโค้ง" title="" id="21" name="Picture"/>
            <a:graphic>
              <a:graphicData uri="http://schemas.openxmlformats.org/drawingml/2006/picture">
                <pic:pic>
                  <pic:nvPicPr>
                    <pic:cNvPr descr="figures/fig-2-3-are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20" cy="241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2.3 บริเวณพื้นที่ปิดล้อมระหว่างสองเส้นโค้ง</w:t>
      </w:r>
    </w:p>
    <w:p>
      <w:pPr>
        <w:pStyle w:val="BodyText"/>
      </w:pPr>
      <w:r>
        <w:rPr>
          <w:b/>
          <w:bCs/>
        </w:rPr>
        <w:t xml:space="preserve">ตัวอย่างที่ 2.9 (พื้นที่ปิดล้อมระหว่างพาราโบลากับแกน x):</w:t>
      </w:r>
      <w:r>
        <w:t xml:space="preserve"> </w:t>
      </w:r>
      <w:r>
        <w:t xml:space="preserve">จงหาพื้นที่ของบริเวณที่ปิดล้อมด้วยเส้นโค้ง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และแกน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หาจุดตัดของกราฟโดยกำหนดให้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พบว่าพาราโบลาอยู่เหนือแกน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m:oMath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) เสมอ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พื้นที่ปิดล้อมใต้โดมพาราโบลามีขนาดเท่ากับ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ตารางหน่วย</w:t>
      </w:r>
    </w:p>
    <w:p>
      <w:pPr>
        <w:pStyle w:val="BodyText"/>
      </w:pPr>
      <w:r>
        <w:rPr>
          <w:b/>
          <w:bCs/>
        </w:rPr>
        <w:t xml:space="preserve">ตัวอย่างที่ 2.10 (พื้นที่ระหว่างสองเส้นโค้งที่มีจุดตัด):</w:t>
      </w:r>
      <w:r>
        <w:t xml:space="preserve"> </w:t>
      </w:r>
      <w:r>
        <w:t xml:space="preserve">จงหาพื้นที่ปิดล้อมระหว่างเส้นตรง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และพาราโบลา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หาจุดตัดโดยแก้สมการ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เส้นตรงอยู่เหนือเส้นโค้งพาราโบลา (</w:t>
      </w:r>
      <m:oMath>
        <m:r>
          <m:t>2</m:t>
        </m:r>
        <m:r>
          <m:t>x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แถบแรเงาระหว่างเส้นตรง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กับพาราโบลา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แสดงพื้นที่ขนาด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ตารางหน่วย ดังแสดงในภาพที่ 2.3</w:t>
      </w:r>
    </w:p>
    <w:bookmarkEnd w:id="23"/>
    <w:bookmarkStart w:id="24" w:name="X265ebdfde0cb4d4f8dbf8a79e508fa3d928157c"/>
    <w:p>
      <w:pPr>
        <w:pStyle w:val="Heading3"/>
      </w:pPr>
      <w:r>
        <w:t xml:space="preserve">2.1.6 ปริมาตรทรงตันที่เกิดจากการหมุน (Volumes of Solids of Revolution)</w:t>
      </w:r>
    </w:p>
    <w:p>
      <w:pPr>
        <w:pStyle w:val="FirstParagraph"/>
      </w:pPr>
      <w:r>
        <w:t xml:space="preserve">การหมุนบริเวณพื้นที่บนระนาบ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รอบแกนหมุนจะทำให้เกิดรูปทรงตันสามมิติ ซึ่งสามารถคำนวณปริมาตรได้ด้วยการรวมพื้นที่หน้าตัดย่อย</w:t>
      </w:r>
    </w:p>
    <w:p>
      <w:pPr>
        <w:pStyle w:val="BodyText"/>
      </w:pPr>
      <w:r>
        <w:rPr>
          <w:b/>
          <w:bCs/>
        </w:rPr>
        <w:t xml:space="preserve">นิยามและสูตรหลัก: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วิธีจาน (Disk Method):</w:t>
      </w:r>
      <w:r>
        <w:t xml:space="preserve"> </w:t>
      </w:r>
      <w:r>
        <w:t xml:space="preserve">ใช้เมื่อบริเวณพื้นที่แนบสนิทกับแกนหมุน โดยมีสูตรการหมุนรอบแกน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คือ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วิธีวงแหวน (Washer Method):</w:t>
      </w:r>
      <w:r>
        <w:t xml:space="preserve"> </w:t>
      </w:r>
      <w:r>
        <w:t xml:space="preserve">ใช้เมื่อมีช่องว่างระหว่างพื้นที่กับแกนหมุน โดยมีรัศมีภายนอก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และรัศมีภายใน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[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ตัวอย่างที่ 2.11 (วิธีจาน):</w:t>
      </w:r>
      <w:r>
        <w:t xml:space="preserve"> </w:t>
      </w:r>
      <w:r>
        <w:t xml:space="preserve">จงหาปริมาตรของทรงตันที่เกิดจากการหมุนบริเวณใต้กราฟ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จาก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ใช้สูตรวิธีจานโดยมีรัศมี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ad>
            <m:radPr>
              <m:degHide m:val="on"/>
            </m:radPr>
            <m:deg/>
            <m:e>
              <m:r>
                <m:t>x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</m:t>
          </m:r>
          <m:r>
            <m:t>π</m:t>
          </m:r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ทรงตันที่ได้มีลักษณะเป็นรูปพาราโบลาคว่ำสามมิติ (Paraboloid) ที่มีปริมาตร</w:t>
      </w:r>
      <w:r>
        <w:t xml:space="preserve"> </w:t>
      </w:r>
      <m:oMath>
        <m:r>
          <m:t>8</m:t>
        </m:r>
        <m:r>
          <m:t>π</m:t>
        </m:r>
      </m:oMath>
      <w:r>
        <w:t xml:space="preserve"> </w:t>
      </w:r>
      <w:r>
        <w:t xml:space="preserve">ลูกบาศก์หน่วย</w:t>
      </w:r>
    </w:p>
    <w:p>
      <w:pPr>
        <w:pStyle w:val="BodyText"/>
      </w:pPr>
      <w:r>
        <w:rPr>
          <w:b/>
          <w:bCs/>
        </w:rPr>
        <w:t xml:space="preserve">ตัวอย่างที่ 2.12 (วิธีวงแหวน):</w:t>
      </w:r>
      <w:r>
        <w:t xml:space="preserve"> </w:t>
      </w:r>
      <w:r>
        <w:t xml:space="preserve">จงหาปริมาตรที่เกิดจากการหมุนบริเวณปิดล้อมด้วย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จุดตัดของทั้งสองกราฟคือ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รัศมีภายนอกคือเส้นตรง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และรัศมีภายในคือพาราโบลา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15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ทรงตันที่ได้มีลักษณะกลวงตรงกลางคล้ายกรวยที่มีผิวโค้งด้านใน</w:t>
      </w:r>
    </w:p>
    <w:bookmarkEnd w:id="24"/>
    <w:bookmarkStart w:id="28" w:name="ปรพนธไมตรงแบบ-improper-integrals"/>
    <w:p>
      <w:pPr>
        <w:pStyle w:val="Heading3"/>
      </w:pPr>
      <w:r>
        <w:t xml:space="preserve">2.1.7 ปริพันธ์ไม่ตรงแบบ (Improper Integrals)</w:t>
      </w:r>
    </w:p>
    <w:p>
      <w:pPr>
        <w:pStyle w:val="FirstParagraph"/>
      </w:pPr>
      <w:r>
        <w:t xml:space="preserve">ปริพันธ์ไม่ตรงแบบคือปริพันธ์ที่ช่วงของการอินทิเกรตหรือฟังก์ชันตัวถูกอินทิเกรตมีภาวะอนันต์ ซึ่งแบ่งออกเป็น 2 ชนิดหลัก: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ปริพันธ์ไม่ตรงแบบชนิดที่ 1 (ช่วงอนันต์):</w:t>
      </w:r>
      <w:r>
        <w:t xml:space="preserve"> </w:t>
      </w:r>
      <w:r>
        <w:t xml:space="preserve">มีขอบเขตการอินทิเกรตเป็นอนันต์ เช่น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09"/>
        </w:numPr>
      </w:pPr>
      <w:r>
        <w:rPr>
          <w:b/>
          <w:bCs/>
        </w:rPr>
        <w:t xml:space="preserve">ปริพันธ์ไม่ตรงแบบชนิดที่ 2 (จุดไม่ต่อเนื่องแบบอนันต์):</w:t>
      </w:r>
      <w:r>
        <w:t xml:space="preserve"> </w:t>
      </w:r>
      <w:r>
        <w:t xml:space="preserve">ฟังก์ชันมีจุดเอกฐาน (Singularity) ภายในช่วง เช่น หาก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มีค่าพุ่งสู่อนันต์ที่จุดปลาย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จะนิยามผ่านลิมิตข้างเดียว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หากค่าลิมิตหาได้เป็นจำนวนจริง จะกล่าวว่าปริพันธ์นั้น</w:t>
      </w:r>
      <w:r>
        <w:t xml:space="preserve"> </w:t>
      </w:r>
      <w:r>
        <w:rPr>
          <w:b/>
          <w:bCs/>
        </w:rPr>
        <w:t xml:space="preserve">ลู่เข้า (Converges)</w:t>
      </w:r>
      <w:r>
        <w:t xml:space="preserve"> </w:t>
      </w:r>
      <w:r>
        <w:t xml:space="preserve">แต่หากลิมิตหาค่าไม่ได้หรือเป็นอนันต์ จะกล่าวว่าปริพันธ์นั้น</w:t>
      </w:r>
      <w:r>
        <w:t xml:space="preserve"> </w:t>
      </w:r>
      <w:r>
        <w:rPr>
          <w:b/>
          <w:bCs/>
        </w:rPr>
        <w:t xml:space="preserve">ลู่ออก (Diverges)</w:t>
      </w:r>
    </w:p>
    <w:p>
      <w:pPr>
        <w:pStyle w:val="CaptionedFigure"/>
      </w:pPr>
      <w:r>
        <w:drawing>
          <wp:inline>
            <wp:extent cx="3500120" cy="2227349"/>
            <wp:effectExtent b="0" l="0" r="0" t="0"/>
            <wp:docPr descr="ภาพที่ 2.4 พื้นที่ใต้เส้นโค้งของปริพันธ์ไม่ตรงแบบบนช่วงอนันต์" title="" id="26" name="Picture"/>
            <a:graphic>
              <a:graphicData uri="http://schemas.openxmlformats.org/drawingml/2006/picture">
                <pic:pic>
                  <pic:nvPicPr>
                    <pic:cNvPr descr="figures/fig-2-4-improp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20" cy="222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2.4 พื้นที่ใต้เส้นโค้งของปริพันธ์ไม่ตรงแบบบนช่วงอนันต์</w:t>
      </w:r>
    </w:p>
    <w:p>
      <w:pPr>
        <w:pStyle w:val="BodyText"/>
      </w:pPr>
      <w:r>
        <w:rPr>
          <w:b/>
          <w:bCs/>
        </w:rPr>
        <w:t xml:space="preserve">ตัวอย่างที่ 2.13 (ปริพันธ์ไม่ตรงแบบชนิดที่ 1 ที่ลู่เข้า):</w:t>
      </w:r>
      <w:r>
        <w:t xml:space="preserve"> </w:t>
      </w:r>
      <w:r>
        <w:t xml:space="preserve">จงตรวจสอบการลู่เข้าของ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เขียนรูปปริพันธ์ในรูปลิมิต</w:t>
      </w:r>
    </w:p>
    <w:p>
      <w:pPr>
        <w:pStyle w:val="BodyText"/>
      </w:pPr>
      <w:r>
        <w:t xml:space="preserve">$$\int_1^{\infty} \frac{1}{x^2}\,dx = \lim_{t \to \infty} \int_1^t x^{-2}\\,dx = \lim_{t \to \infty} \left[ -\frac{1}{x} \right]_1^t = \lim_{t \to \infty} \left( -\frac{1}{t} - (-1) \right) = 0 + 1 = 1$$</w:t>
      </w:r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แม้ว่าหางของเส้นกราฟ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จะทอดยาวไปจนถึงอนันต์ทางขวา แต่พื้นที่ปิดล้อมใต้เส้นโค้งมีขนาดจำกัดและลู่เข้าสู่ 1 ตารางหน่วย ดังแสดงในภาพที่ 2.4</w:t>
      </w:r>
    </w:p>
    <w:p>
      <w:pPr>
        <w:pStyle w:val="BodyText"/>
      </w:pPr>
      <w:r>
        <w:rPr>
          <w:b/>
          <w:bCs/>
        </w:rPr>
        <w:t xml:space="preserve">ตัวอย่างที่ 2.14 (ปริพันธ์ไม่ตรงแบบชนิดที่ 2 ที่มีจุดเอกฐาน):</w:t>
      </w:r>
      <w:r>
        <w:t xml:space="preserve"> </w:t>
      </w:r>
      <w:r>
        <w:t xml:space="preserve">จงตรวจสอบการลู่เข้าของ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i/>
          <w:iCs/>
        </w:rPr>
        <w:t xml:space="preserve">วิธีทำ:</w:t>
      </w:r>
      <w:r>
        <w:t xml:space="preserve"> </w:t>
      </w:r>
      <w:r>
        <w:t xml:space="preserve">ฟังก์ชันมีจุดเอกฐานแนวดิ่งที่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(ไม่นิยาม) จึงเป็นปริพันธ์ไม่ตรงแบบชนิดที่ 2 เขียนในรูปลิมิตข้างเดียว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[</m:t>
          </m:r>
          <m:r>
            <m:t>2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sSubSup>
            <m:e>
              <m:r>
                <m:rPr>
                  <m:sty m:val="p"/>
                </m:rPr>
                <m:t>]</m:t>
              </m:r>
            </m:e>
            <m:sub>
              <m:r>
                <m:t>t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ความหมายทางเรขาคณิต:</w:t>
      </w:r>
      <w:r>
        <w:t xml:space="preserve"> </w:t>
      </w:r>
      <w:r>
        <w:t xml:space="preserve">แม้กราฟจะพุ่งขึ้นสู่แกน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อย่างไม่มีที่สิ้นสุด แต่พื้นที่ปิดล้อมระหว่างกราฟกับแกน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ลู่เข้าสู่ค่า 2 ตารางหน่วย</w:t>
      </w:r>
    </w:p>
    <w:bookmarkEnd w:id="28"/>
    <w:bookmarkEnd w:id="29"/>
    <w:bookmarkStart w:id="33" w:name="เทคโนโลยและเครองมอทใชในการพฒนา"/>
    <w:p>
      <w:pPr>
        <w:pStyle w:val="Heading2"/>
      </w:pPr>
      <w:r>
        <w:t xml:space="preserve">2.2 เทคโนโลยีและเครื่องมือที่ใช้ในการพัฒนา</w:t>
      </w:r>
    </w:p>
    <w:p>
      <w:pPr>
        <w:pStyle w:val="FirstParagraph"/>
      </w:pPr>
      <w:r>
        <w:t xml:space="preserve">การพัฒนาเว็บแอปพลิเคชันเลือกใช้เครื่องมือที่มุ่งเน้นการเป็นกลไกขับเคลื่อนการคำนวณทางคณิตศาสตร์อย่างแม่นยำและแสดงผลได้อย่างรวดเร็ว</w:t>
      </w:r>
    </w:p>
    <w:bookmarkStart w:id="30" w:name="Xac263aaf1d8d2329665b88e01a6859c34870d4b"/>
    <w:p>
      <w:pPr>
        <w:pStyle w:val="Heading3"/>
      </w:pPr>
      <w:r>
        <w:t xml:space="preserve">2.2.1 ภาษาไพธอนและไลบรารีสตรีมลิต (Python and Streamlit)</w:t>
      </w:r>
    </w:p>
    <w:p>
      <w:pPr>
        <w:pStyle w:val="FirstParagraph"/>
      </w:pPr>
      <w:r>
        <w:t xml:space="preserve">ภาษาไพธอน (Python) เป็นภาษาโปรแกรมระดับสูงที่มีจุดเด่นด้านไวยากรณ์ที่กระชับและมีระบบนิเวศของไลบรารีทางวิทยาศาสตร์ที่สมบูรณ์ โครงงานนี้เลือกใช้ไลบรารีสตรีมลิต (Streamlit) ทำหน้าที่เป็นแกนควบคุมการทำงานหลักของเว็บแอปพลิเคชัน โดยสตรีมลิตช่วยให้สามารถสร้างส่วนประสานงานผู้ใช้ที่ตอบสนองแบบเรียลไทม์ (Reactive UI) จัดการระบบนำทางหลายหน้า (Multi-page Navigation) และควบคุมสถานะของตัวแปร (Session State) ในการจำลองกราฟและบันทึกคะแนนสอบได้โดยไม่ต้องอาศัยสถาปัตยกรรมเว็บเซิร์ฟเวอร์ที่ซับซ้อน</w:t>
      </w:r>
    </w:p>
    <w:bookmarkEnd w:id="30"/>
    <w:bookmarkStart w:id="31" w:name="Xbe3e283b1b157199d1d5333c194b717760886a1"/>
    <w:p>
      <w:pPr>
        <w:pStyle w:val="Heading3"/>
      </w:pPr>
      <w:r>
        <w:t xml:space="preserve">2.2.2 ไลบรารีซิมไพ (SymPy) ในฐานะระบบพีชคณิตคอมพิวเตอร์</w:t>
      </w:r>
    </w:p>
    <w:p>
      <w:pPr>
        <w:pStyle w:val="FirstParagraph"/>
      </w:pPr>
      <w:r>
        <w:t xml:space="preserve">ไลบรารีซิมไพ (SymPy) ทำหน้าที่เป็นกลไกประมวลผลพีชคณิตคอมพิวเตอร์ (CAS) ประจำระบบ ซึ่งแตกต่างจากไลบรารีคำนวณเชิงตัวเลขทั่วไปตรงที่ซิมไพจัดการตัวแปรในรูปสัญลักษณ์ที่คงค่าความแม่นยำทางคณิตศาสตร์ 100% เช่น การคงรูปเศษส่วน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หรือค่าคงตัว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โดยไม่มีปัญหาความคลาดเคลื่อนจากการปัดเศษทศนิยม (Floating-point error) ซิมไพถูกนำมาใช้ในการคำนวณอนุพันธ์ ปริพันธ์ การแยกตัวประกอบ และการตรวจสอบเงื่อนไขความถูกต้องของสมการ</w:t>
      </w:r>
    </w:p>
    <w:bookmarkEnd w:id="31"/>
    <w:bookmarkStart w:id="32" w:name="Xbb75cde5dd7acfc838abf11b012ad36fb0c2580"/>
    <w:p>
      <w:pPr>
        <w:pStyle w:val="Heading3"/>
      </w:pPr>
      <w:r>
        <w:t xml:space="preserve">2.2.3 ไลบรารีแมตพลอตลิบ (Matplotlib) และระบบเคเท็ก (KaTeX)</w:t>
      </w:r>
    </w:p>
    <w:p>
      <w:pPr>
        <w:pStyle w:val="FirstParagraph"/>
      </w:pPr>
      <w:r>
        <w:t xml:space="preserve">ไลบรารีแมตพลอตลิบ (Matplotlib) ทำหน้าที่สร้างกราฟสองมิติ กราฟเส้นสัมผัส แท่งสี่เหลี่ยมผลรวมรีมันน์ และการแรเงาพื้นที่ปิดล้อม โดยทำงานร่วมกับระบบเคเท็ก (KaTeX) ซึ่งเป็นระบบเรนเดอร์สมการคณิตศาสตร์ประสิทธิภาพสูงบนเว็บเบราว์เซอร์ ช่วยให้สูตร นิยาม และขั้นตอนวิธีทำแสดงผลในรูปแบบสัญลักษณ์มาตรฐานทางวิชาการที่คมชัดและถูกต้อง</w:t>
      </w:r>
    </w:p>
    <w:bookmarkEnd w:id="32"/>
    <w:bookmarkEnd w:id="33"/>
    <w:bookmarkStart w:id="36" w:name="Xb5a9c14d8ff147716f5f93f66c98c95b694526e"/>
    <w:p>
      <w:pPr>
        <w:pStyle w:val="Heading2"/>
      </w:pPr>
      <w:r>
        <w:t xml:space="preserve">2.3 กรอบแนวคิดการจัดนั่งร้านทางปัญญาและการออกแบบแบบทดสอบ</w:t>
      </w:r>
    </w:p>
    <w:bookmarkStart w:id="34" w:name="Xa4b762f8eb21a044b2c1faf1e92d3835a623701"/>
    <w:p>
      <w:pPr>
        <w:pStyle w:val="Heading3"/>
      </w:pPr>
      <w:r>
        <w:t xml:space="preserve">2.3.1 การจัดนั่งร้านทางปัญญา (Instructional Scaffolding)</w:t>
      </w:r>
    </w:p>
    <w:p>
      <w:pPr>
        <w:pStyle w:val="FirstParagraph"/>
      </w:pPr>
      <w:r>
        <w:t xml:space="preserve">การจัดนั่งร้านทางปัญญาเป็นทฤษฎีการออกแบบการสอนที่มุ่งเน้นการให้ความช่วยเหลือแก่ผู้เรียนในระดับที่เหมาะสมกับความสามารถ แล้วค่อย ๆ ลดระดับการช่วยเหลือลงเมื่อผู้เรียนเริ่มเกิดความชำนาญ โครงงานนี้นำหลักการดังกล่าวมาปรับใช้ในการออกแบบบทเรียน 4 ขั้นตอน:</w:t>
      </w:r>
    </w:p>
    <w:p>
      <w:pPr>
        <w:pStyle w:val="Compact"/>
        <w:numPr>
          <w:ilvl w:val="0"/>
          <w:numId w:val="1010"/>
        </w:numPr>
      </w:pPr>
      <w:r>
        <w:t xml:space="preserve">การนำเสนอแนวคิดและกราฟจำลองเพื่อให้เห็นภาพรวม</w:t>
      </w:r>
    </w:p>
    <w:p>
      <w:pPr>
        <w:pStyle w:val="Compact"/>
        <w:numPr>
          <w:ilvl w:val="0"/>
          <w:numId w:val="1010"/>
        </w:numPr>
      </w:pPr>
      <w:r>
        <w:t xml:space="preserve">การให้ผู้เรียนทดลองปรับตัวแปรบนกราฟเพื่อสังเกตความสัมพันธ์</w:t>
      </w:r>
    </w:p>
    <w:p>
      <w:pPr>
        <w:pStyle w:val="Compact"/>
        <w:numPr>
          <w:ilvl w:val="0"/>
          <w:numId w:val="1010"/>
        </w:numPr>
      </w:pPr>
      <w:r>
        <w:t xml:space="preserve">การแสดงวิธีทำอย่างเป็นลำดับขั้นพร้อมอธิบายเหตุผลและข้อควรระวัง</w:t>
      </w:r>
    </w:p>
    <w:p>
      <w:pPr>
        <w:pStyle w:val="Compact"/>
        <w:numPr>
          <w:ilvl w:val="0"/>
          <w:numId w:val="1010"/>
        </w:numPr>
      </w:pPr>
      <w:r>
        <w:t xml:space="preserve">การให้แบบฝึกหัดที่มาพร้อมระบบคำใบ้ชี้แนะแนวทางแทนการเฉลยทันที</w:t>
      </w:r>
    </w:p>
    <w:bookmarkEnd w:id="34"/>
    <w:bookmarkStart w:id="35" w:name="การจำแนกระดบของแบบทดสอบ"/>
    <w:p>
      <w:pPr>
        <w:pStyle w:val="Heading3"/>
      </w:pPr>
      <w:r>
        <w:t xml:space="preserve">2.3.2 การจำแนกระดับของแบบทดสอบ</w:t>
      </w:r>
    </w:p>
    <w:p>
      <w:pPr>
        <w:pStyle w:val="FirstParagraph"/>
      </w:pPr>
      <w:r>
        <w:t xml:space="preserve">เพื่อวัดความเข้าใจของผู้เรียนอย่างเป็นระบบ คลังแบบทดสอบจำนวน 80 ข้อถูกจำแนกออกเป็น 3 ระดับตามระดับความลึกในการคิด: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ระดับมโนทัศน์และสูตรพื้นฐาน:</w:t>
      </w:r>
      <w:r>
        <w:t xml:space="preserve"> </w:t>
      </w:r>
      <w:r>
        <w:t xml:space="preserve">ทดสอบความจำและความเข้าใจนิยาม เช่น การอ่านค่าจุดตัด หรือการระบุสูตรอนุพันธ์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ระดับการฝึกคำนวณ:</w:t>
      </w:r>
      <w:r>
        <w:t xml:space="preserve"> </w:t>
      </w:r>
      <w:r>
        <w:t xml:space="preserve">ทดสอบทักษะการแก้โจทย์ตามขั้นตอน เช่น การคำนวณพื้นที่ปิดล้อม หรือการอินทิเกรตโดยการแทนค่า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ระดับการวิเคราะห์และตรวจสอบจุดผิด:</w:t>
      </w:r>
      <w:r>
        <w:t xml:space="preserve"> </w:t>
      </w:r>
      <w:r>
        <w:t xml:space="preserve">ทดสอบความเข้าใจในเงื่อนไขพิเศษ เช่น การตรวจสอบลิมิตที่ไม่ต่อเนื่อง หรือการจัดการรูปแบบยังไม่กำหนด</w:t>
      </w:r>
    </w:p>
    <w:bookmarkEnd w:id="35"/>
    <w:bookmarkEnd w:id="36"/>
    <w:bookmarkStart w:id="37" w:name="X84d3ca69cdb4f87595bd7f51437eacb0479577f"/>
    <w:p>
      <w:pPr>
        <w:pStyle w:val="Heading2"/>
      </w:pPr>
      <w:r>
        <w:t xml:space="preserve">2.4 การประเมินความสะดวกในการใช้งาน (System Usability Scale: SUS)</w:t>
      </w:r>
    </w:p>
    <w:p>
      <w:pPr>
        <w:pStyle w:val="FirstParagraph"/>
      </w:pPr>
      <w:r>
        <w:t xml:space="preserve">การประเมินความสะดวกในการใช้งานใช้แบบประเมินมาตรฐานสากล (System Usability Scale: SUS) ของ John Brooke ซึ่งประกอบด้วยข้อคำถาม 10 ข้อ มีมาตรวัดประมาณค่า 5 ระดับ (ตั้งแต่ 1 = ไม่เห็นด้วยอย่างยิ่ง ถึง 5 = เห็นด้วยอย่างยิ่ง) ดังแสดงในตารางที่ 2.2</w:t>
      </w:r>
    </w:p>
    <w:p>
      <w:pPr>
        <w:pStyle w:val="BodyText"/>
      </w:pPr>
      <w:r>
        <w:t xml:space="preserve">ตารางที่ 2.2 ข้อคำถามมาตรฐานในแบบประเมินความสะดวกในการใช้งาน (SUS)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ลำดับที่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ข้อความคำถามประเมิน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ฉันคิดว่าฉันอยากใช้เว็บแอปพลิเคชันนี้บ่อย 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ฉันพบว่าเว็บแอปพลิเคชันนี้มีความซับซ้อนโดยไม่จำเป็น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ฉันคิดว่าเว็บแอปพลิเคชันนี้ใช้งานได้ง่าย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ฉันคิดว่าฉันต้องได้รับความช่วยเหลือจากผู้เชี่ยวชาญจึงจะสามารถใช้งานเว็บแอปพลิเคชันนี้ได้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ฉันพบว่าระบบต่าง ๆ ในเว็บแอปพลิเคชันนี้ทำงานประสานกันได้อย่างลงตัว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ฉันคิดว่าเว็บแอปพลิเคชันนี้มีความไม่สอดคล้องกันในการทำงานมากเกินไป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ฉันคิดว่าคนส่วนใหญ่จะสามารถเรียนรู้การใช้งานเว็บแอปพลิเคชันนี้ได้อย่างรวดเร็ว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ฉันพบว่าเว็บแอปพลิเคชันนี้มีความยุ่งยากในการใช้งาน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ฉันรู้สึกมั่นใจมากในการใช้งานเว็บแอปพลิเคชันนี้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ฉันจำเป็นต้องเรียนรู้หลายสิ่งก่อนที่จะสามารถเริ่มต้นใช้งานเว็บแอปพลิเคชันนี้ได้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เกณฑ์การคำนวณและแปลผลคะแนน:</w:t>
      </w:r>
    </w:p>
    <w:p>
      <w:pPr>
        <w:pStyle w:val="Compact"/>
        <w:numPr>
          <w:ilvl w:val="0"/>
          <w:numId w:val="1012"/>
        </w:numPr>
      </w:pPr>
      <w:r>
        <w:t xml:space="preserve">ข้อคี่ (1, 3, 5, 7, 9): คะแนนข้อ = คะแนนที่ผู้เรียนตอบ - 1</w:t>
      </w:r>
    </w:p>
    <w:p>
      <w:pPr>
        <w:pStyle w:val="Compact"/>
        <w:numPr>
          <w:ilvl w:val="0"/>
          <w:numId w:val="1012"/>
        </w:numPr>
      </w:pPr>
      <w:r>
        <w:t xml:space="preserve">ข้อคู่ (2, 4, 6, 8, 10): คะแนนข้อ = 5 - คะแนนที่ผู้เรียนตอบ</w:t>
      </w:r>
    </w:p>
    <w:p>
      <w:pPr>
        <w:pStyle w:val="Compact"/>
        <w:numPr>
          <w:ilvl w:val="0"/>
          <w:numId w:val="1012"/>
        </w:numPr>
      </w:pPr>
      <w:r>
        <w:t xml:space="preserve">รวมคะแนนทั้ง 10 ข้อ แล้วคูณด้วย 2.5 จะได้คะแนนรวมในช่วง 0 ถึง 100 คะแนน</w:t>
      </w:r>
      <w:r>
        <w:t xml:space="preserve"> </w:t>
      </w:r>
      <w:r>
        <w:t xml:space="preserve">เกณฑ์มาตรฐานกำหนดว่า ระบบที่มีคะแนน SUS ตั้งแต่ 68 คะแนนขึ้นไป ถือว่าผ่านเกณฑ์มาตรฐานการใช้งานในระดับดี (Above Average / Acceptable)</w:t>
      </w:r>
    </w:p>
    <w:bookmarkEnd w:id="37"/>
    <w:bookmarkStart w:id="38" w:name="งานวจยทเกยวของ"/>
    <w:p>
      <w:pPr>
        <w:pStyle w:val="Heading2"/>
      </w:pPr>
      <w:r>
        <w:t xml:space="preserve">2.5 งานวิจัยที่เกี่ยวข้อง</w:t>
      </w:r>
    </w:p>
    <w:p>
      <w:pPr>
        <w:pStyle w:val="FirstParagraph"/>
      </w:pPr>
      <w:r>
        <w:t xml:space="preserve">การศึกษาค้นคว้างานวิจัยและทฤษฎีการศึกษาคณิตศาสตร์ที่เกี่ยวข้อง พบประเด็นสำคัญที่สนับสนุนแนวทางการพัฒนาโครงงาน ดังนี้</w:t>
      </w:r>
    </w:p>
    <w:p>
      <w:pPr>
        <w:pStyle w:val="BodyText"/>
      </w:pPr>
      <w:r>
        <w:t xml:space="preserve">Tall และ Vinner (1981) ได้เสนอกรอบแนวคิดเรื่อง</w:t>
      </w:r>
      <w:r>
        <w:t xml:space="preserve"> </w:t>
      </w:r>
      <w:r>
        <w:t xml:space="preserve">“ภาพตัวแทนมโนทัศน์และนิยามมโนทัศน์”</w:t>
      </w:r>
      <w:r>
        <w:t xml:space="preserve"> </w:t>
      </w:r>
      <w:r>
        <w:t xml:space="preserve">(Concept Image and Concept Definition) โดยชี้ว่าผู้เรียนมักสร้างความเข้าใจทางคณิตศาสตร์จากโครงสร้างทางจิตและภาพเรขาคณิตที่สะสมในสมอง (Concept Image) มากกว่าการท่องจำนิยามตัวอักษรที่เป็นทางการ (Concept Definition) การใช้สื่อที่แสดงภาพกราฟแบบเคลื่อนไหวปรับค่าได้ จึงเป็นสะพานเชื่อมสำคัญที่ช่วยให้ผู้เรียนเข้าใจนิยามของลิมิตและอนุพันธ์ได้อย่างลึกซึ้ง</w:t>
      </w:r>
    </w:p>
    <w:p>
      <w:pPr>
        <w:pStyle w:val="BodyText"/>
      </w:pPr>
      <w:r>
        <w:t xml:space="preserve">Dubinsky (1991) ได้พัฒนาทฤษฎี APOS (Action, Process, Object, Schema) ซึ่งอธิบายการเรียนรู้คณิตศาสตร์ระดับอุดมศึกษาว่า ผู้เรียนต้องเริ่มต้นจากการลงมือกระทำ (Action) เช่น การทดลองคำนวณหรือปรับค่า จากนั้นพัฒนาเป็นกระบวนการคิดในสมอง (Process) ก่อนจะตกผลึกเป็นวัตถุทางคณิตศาสตร์ที่จับต้องได้ (Object) การออกแบบเว็บแอปพลิเคชันให้ผู้เรียนได้เลื่อนปรับค่าพารามิเตอร์และสังเกตผลแบบเรียลไทม์จึงสอดรับกับขั้น Action และ Process โดยตรง</w:t>
      </w:r>
    </w:p>
    <w:p>
      <w:pPr>
        <w:pStyle w:val="BodyText"/>
      </w:pPr>
      <w:r>
        <w:t xml:space="preserve">สุริยัน ขัดขันจง (2567) ได้ศึกษาผลสัมฤทธิ์ทางการเรียนในกระบวนวิชาแคลคูลัสสำหรับนักศึกษาระดับปริญญาตรี เรื่อง ลิมิตและความต่อเนื่อง โดยใช้การสอนที่เน้นการสร้างมโนทัศน์ร่วมกับโปรแกรมพลวัตทางคณิตศาสตร์ พบว่าคะแนนผลสัมฤทธิ์ทางการเรียนของนักศึกษาหลังเรียนสูงกว่าก่อนเรียนอย่างมีนัยสำคัญทางสถิติที่ระดับ .05 โดยการจำลองกราฟแบบโต้ตอบช่วยให้นักศึกษาสามารถมองเห็นพฤติกรรมการลู่เข้าของลิมิตและจำแนกจุดไม่ต่อเนื่องได้อย่างเป็นรูปธรรม</w:t>
      </w:r>
    </w:p>
    <w:p>
      <w:pPr>
        <w:pStyle w:val="BodyText"/>
      </w:pPr>
      <w:r>
        <w:t xml:space="preserve">สุภัทรา เกิดมงคล และ กัญญาภัค ภัยแคล้ว (2562) ได้ศึกษาผลการใช้โปรแกรมคณิตศาสตร์เชิงโต้ตอบร่วมกับการสืบเสาะหาความรู้ในรายวิชาแคลคูลัส 1 ระดับปริญญาตรี เรื่อง การประยุกต์อินทิกรัลจำกัดเขต พบว่านักศึกษามีผลสัมฤทธิ์ทางการเรียนหลังเรียนสูงกว่าก่อนเรียนอย่างมีนัยสำคัญทางสถิติที่ระดับ .05 และมีความพึงพอใจต่อการใช้โปรแกรมในการจำลองพื้นที่และปริมาตรในระดับมากที่สุด เนื่องจากช่วยลดความซับซ้อนในการนึกภาพสามมิติ</w:t>
      </w:r>
    </w:p>
    <w:p>
      <w:pPr>
        <w:pStyle w:val="BodyText"/>
      </w:pPr>
      <w:r>
        <w:t xml:space="preserve">Meagher (2005) ได้ศึกษาความเข้าใจเรื่องอนุพันธ์ของผู้เรียนในสภาพแวดล้อมที่ใช้ระบบพีชคณิตคอมพิวเตอร์ (CAS) พบว่าการใช้ CAS ช่วยให้ผู้เรียนก้าวข้ามอุปสรรคของการคิดคำนวณพีชคณิตที่ผิดพลาด และมุ่งเน้นไปที่การทำความเข้าใจความหมายของอัตราการเปลี่ยนแปลงและความชันของเส้นสัมผัสกราฟได้อย่างลึกซึ้งยิ่งขึ้น</w:t>
      </w:r>
    </w:p>
    <w:bookmarkEnd w:id="38"/>
    <w:bookmarkEnd w:id="39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2 วรรณกรรมและทฤษฎีที่เกี่ยวข้อง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2026-10-20T06:59:09Z</dcterms:created>
  <dcterms:modified xsi:type="dcterms:W3CDTF">2026-10-20T06:59:09Z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