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บรรณานุกรม</w:t>
      </w:r>
    </w:p>
    <w:p>
      <w:pPr>
        <w:pStyle w:val="Author"/>
      </w:pPr>
      <w:r>
        <w:t xml:space="preserve">โครงการพัฒนาเว็บแอปพลิเคชันช่วยเรียนคณิตศาสตร์สำหรับแคลคูลัสเบื้องต้น</w:t>
      </w:r>
    </w:p>
    <w:bookmarkStart w:id="11" w:name="บรรณานกรม"/>
    <w:p>
      <w:pPr>
        <w:pStyle w:val="Heading1"/>
      </w:pPr>
      <w:r>
        <w:t xml:space="preserve">บรรณานุกรม</w:t>
      </w:r>
    </w:p>
    <w:bookmarkStart w:id="9" w:name="ภาษาไทย"/>
    <w:p>
      <w:pPr>
        <w:pStyle w:val="Heading3"/>
      </w:pPr>
      <w:r>
        <w:t xml:space="preserve">ภาษาไทย</w:t>
      </w:r>
    </w:p>
    <w:p>
      <w:pPr>
        <w:pStyle w:val="FirstParagraph"/>
      </w:pPr>
      <w:r>
        <w:t xml:space="preserve">สุภัทรา เกิดมงคล, และ กัญญาภัค ภัยแคล้ว. (2562). ผลที่เกิดจากการใช้โปรแกรม The Geometer’s Sketchpad (GSP) ประกอบการจัดกิจกรรมการเรียนรู้แบบสืบเสาะหาความรู้ 5 ขั้นตอน เรื่อง การประยุกต์อินทิกรัลจำกัดเขต สำหรับนักศึกษาระดับปริญญาตรี.</w:t>
      </w:r>
      <w:r>
        <w:t xml:space="preserve"> </w:t>
      </w:r>
      <w:r>
        <w:rPr>
          <w:i/>
          <w:iCs/>
        </w:rPr>
        <w:t xml:space="preserve">วารสารวิจัย มหาวิทยาลัยเทคโนโลยีราชมงคลศรีวิชัย</w:t>
      </w:r>
      <w:r>
        <w:t xml:space="preserve">, 11(2), 338–348.</w:t>
      </w:r>
    </w:p>
    <w:p>
      <w:pPr>
        <w:pStyle w:val="BodyText"/>
      </w:pPr>
      <w:r>
        <w:t xml:space="preserve">สุริยัน ขัดขันจง. (2567). ผลสัมฤทธิ์ทางการเรียนกระบวนวิชาเรขาคณิตวิเคราะห์และแคลคูลัสสำหรับครู เรื่อง ลิมิตและความต่อเนื่อง โดยใช้การสอนที่เน้นการสร้างมโนทัศน์ร่วมกับโปรแกรม GeoGebra สำหรับนักศึกษาระดับปริญญาตรี.</w:t>
      </w:r>
      <w:r>
        <w:t xml:space="preserve"> </w:t>
      </w:r>
      <w:r>
        <w:rPr>
          <w:i/>
          <w:iCs/>
        </w:rPr>
        <w:t xml:space="preserve">วารสารครุศาสตร์ จุฬาลงกรณ์มหาวิทยาลัย</w:t>
      </w:r>
      <w:r>
        <w:t xml:space="preserve">, 52(2), 1–15. https://doi.org/10.14456/educu.2024.25</w:t>
      </w:r>
    </w:p>
    <w:p>
      <w:pPr>
        <w:pStyle w:val="BodyText"/>
      </w:pPr>
      <w:r>
        <w:t xml:space="preserve">สมคิด สกุลเจริญ, และ นวพร ชลารักษ์. (2563). การพัฒนาบทเรียนคอมพิวเตอร์ช่วยสอนบนเครือข่ายอินเทอร์เน็ตเพื่อส่งเสริมทักษะการแก้ปัญหาทางคณิตศาสตร์ เรื่อง ลิมิตและความต่อเนื่อง.</w:t>
      </w:r>
      <w:r>
        <w:t xml:space="preserve"> </w:t>
      </w:r>
      <w:r>
        <w:rPr>
          <w:i/>
          <w:iCs/>
        </w:rPr>
        <w:t xml:space="preserve">วารสารศึกษาศาสตร์ มหาวิทยาลัยนเรศวร</w:t>
      </w:r>
      <w:r>
        <w:t xml:space="preserve">, 22(4), 112–124.</w:t>
      </w:r>
    </w:p>
    <w:bookmarkEnd w:id="9"/>
    <w:bookmarkStart w:id="10" w:name="ภาษาองกฤษ"/>
    <w:p>
      <w:pPr>
        <w:pStyle w:val="Heading3"/>
      </w:pPr>
      <w:r>
        <w:t xml:space="preserve">ภาษาอังกฤษ</w:t>
      </w:r>
    </w:p>
    <w:p>
      <w:pPr>
        <w:pStyle w:val="FirstParagraph"/>
      </w:pPr>
      <w:r>
        <w:t xml:space="preserve">Bressoud, D., Mesa, V., &amp; Rasmussen, C. (2015).</w:t>
      </w:r>
      <w:r>
        <w:t xml:space="preserve"> </w:t>
      </w:r>
      <w:r>
        <w:rPr>
          <w:i/>
          <w:iCs/>
        </w:rPr>
        <w:t xml:space="preserve">Insights and Innovations in College Mathematics: The National Study of College Calculus</w:t>
      </w:r>
      <w:r>
        <w:t xml:space="preserve">. Mathematical Association of America (MAA Press).</w:t>
      </w:r>
    </w:p>
    <w:p>
      <w:pPr>
        <w:pStyle w:val="BodyText"/>
      </w:pPr>
      <w:r>
        <w:t xml:space="preserve">Brooke, J. (1996). SUS: A</w:t>
      </w:r>
      <w:r>
        <w:t xml:space="preserve"> </w:t>
      </w:r>
      <w:r>
        <w:t xml:space="preserve">‘quick and dirty’</w:t>
      </w:r>
      <w:r>
        <w:t xml:space="preserve"> </w:t>
      </w:r>
      <w:r>
        <w:t xml:space="preserve">usability scale. In P. W. Jordan, B. Thomas, I. L. McClelland, &amp; B. Weerdmeester (Eds.),</w:t>
      </w:r>
      <w:r>
        <w:t xml:space="preserve"> </w:t>
      </w:r>
      <w:r>
        <w:rPr>
          <w:i/>
          <w:iCs/>
        </w:rPr>
        <w:t xml:space="preserve">Usability Evaluation in Industry</w:t>
      </w:r>
      <w:r>
        <w:t xml:space="preserve"> </w:t>
      </w:r>
      <w:r>
        <w:t xml:space="preserve">(pp. 189–194). Taylor &amp; Francis.</w:t>
      </w:r>
    </w:p>
    <w:p>
      <w:pPr>
        <w:pStyle w:val="BodyText"/>
      </w:pPr>
      <w:r>
        <w:t xml:space="preserve">Dubinsky, E. (1991). Reflective abstraction in advanced mathematical thinking. In D. Tall (Ed.),</w:t>
      </w:r>
      <w:r>
        <w:t xml:space="preserve"> </w:t>
      </w:r>
      <w:r>
        <w:rPr>
          <w:i/>
          <w:iCs/>
        </w:rPr>
        <w:t xml:space="preserve">Advanced Mathematical Thinking</w:t>
      </w:r>
      <w:r>
        <w:t xml:space="preserve"> </w:t>
      </w:r>
      <w:r>
        <w:t xml:space="preserve">(pp. 95–123). Kluwer Academic Publishers.</w:t>
      </w:r>
    </w:p>
    <w:p>
      <w:pPr>
        <w:pStyle w:val="BodyText"/>
      </w:pPr>
      <w:r>
        <w:t xml:space="preserve">Meagher, M. (2005). Students’ understanding of derivative in a computer algebra system (CAS) environment.</w:t>
      </w:r>
      <w:r>
        <w:t xml:space="preserve"> </w:t>
      </w:r>
      <w:r>
        <w:rPr>
          <w:i/>
          <w:iCs/>
        </w:rPr>
        <w:t xml:space="preserve">The Journal of Mathematical Behavior</w:t>
      </w:r>
      <w:r>
        <w:t xml:space="preserve">, 24(2), 159–176. https://doi.org/10.1016/j.jmathb.2005.03.004</w:t>
      </w:r>
    </w:p>
    <w:p>
      <w:pPr>
        <w:pStyle w:val="BodyText"/>
      </w:pPr>
      <w:r>
        <w:t xml:space="preserve">Stewart, J., Clegg, D., &amp; Watson, S. (2020).</w:t>
      </w:r>
      <w:r>
        <w:t xml:space="preserve"> </w:t>
      </w:r>
      <w:r>
        <w:rPr>
          <w:i/>
          <w:iCs/>
        </w:rPr>
        <w:t xml:space="preserve">Calculus: Early Transcendentals</w:t>
      </w:r>
      <w:r>
        <w:t xml:space="preserve"> </w:t>
      </w:r>
      <w:r>
        <w:t xml:space="preserve">(9th ed.). Cengage Learning.</w:t>
      </w:r>
    </w:p>
    <w:p>
      <w:pPr>
        <w:pStyle w:val="BodyText"/>
      </w:pPr>
      <w:r>
        <w:t xml:space="preserve">Tall, D. (2020).</w:t>
      </w:r>
      <w:r>
        <w:t xml:space="preserve"> </w:t>
      </w:r>
      <w:r>
        <w:rPr>
          <w:i/>
          <w:iCs/>
        </w:rPr>
        <w:t xml:space="preserve">How Humans Learn to Think Mathematically: Exploring the Story of Mathematics</w:t>
      </w:r>
      <w:r>
        <w:t xml:space="preserve">. Cambridge University Press.</w:t>
      </w:r>
    </w:p>
    <w:p>
      <w:pPr>
        <w:pStyle w:val="BodyText"/>
      </w:pPr>
      <w:r>
        <w:t xml:space="preserve">Tall, D., &amp; Vinner, S. (1981). Concept image and concept definition in mathematics with particular reference to limits and continuity.</w:t>
      </w:r>
      <w:r>
        <w:t xml:space="preserve"> </w:t>
      </w:r>
      <w:r>
        <w:rPr>
          <w:i/>
          <w:iCs/>
        </w:rPr>
        <w:t xml:space="preserve">Educational Studies in Mathematics</w:t>
      </w:r>
      <w:r>
        <w:t xml:space="preserve">, 12(2), 151–169. https://doi.org/10.1007/BF00305619</w:t>
      </w:r>
    </w:p>
    <w:bookmarkEnd w:id="10"/>
    <w:bookmarkEnd w:id="11"/>
    <w:sectPr>
      <w:footnotePr>
        <w:numRestart w:val="eachSect"/>
      </w:footnotePr>
      <w:pgSz w:h="16838" w:w="11906"/>
      <w:pgMar w:bottom="1440" w:footer="709" w:header="709" w:left="1985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H SarabunPSK" w:cs="TH SarabunPSK" w:eastAsia="TH SarabunPSK" w:hAnsi="TH SarabunPSK"/>
      <w:sz w:val="32"/>
      <w:szCs w:val="3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H SarabunPSK" w:cs="TH SarabunPSK" w:eastAsia="TH SarabunPSK" w:hAnsi="TH SarabunPSK"/>
      <w:sz/>
      <w:szCs/>
    </w:rPr>
  </w:style>
  <w:style w:customStyle="1" w:styleId="FirstParagraph" w:type="paragraph">
    <w:name w:val="First Paragraph"/>
    <w:basedOn w:val="BodyText"/>
    <w:next w:val="BodyText"/>
    <w:qFormat/>
    <w:rPr>
      <w:rFonts w:ascii="TH SarabunPSK" w:cs="TH SarabunPSK" w:eastAsia="TH SarabunPSK" w:hAnsi="TH SarabunPSK"/>
      <w:sz/>
      <w:szCs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H SarabunPSK" w:cs="TH SarabunPSK" w:eastAsia="TH SarabunPSK" w:hAnsi="TH SarabunPSK"/>
      <w:sz/>
      <w:szCs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H SarabunPSK" w:asciiTheme="majorHAnsi" w:cs="TH SarabunPSK" w:cstheme="majorBidi" w:eastAsia="TH SarabunPSK" w:eastAsiaTheme="majorEastAsia" w:hAnsi="TH SarabunPSK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H SarabunPSK" w:asciiTheme="majorHAnsi" w:cs="TH SarabunPSK" w:cstheme="majorBidi" w:eastAsia="TH SarabunPSK" w:eastAsiaTheme="majorEastAsia" w:hAnsi="TH SarabunPSK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H SarabunPSK" w:cs="TH SarabunPSK" w:cstheme="majorBidi" w:eastAsia="TH SarabunPSK" w:eastAsiaTheme="majorEastAsia" w:hAnsi="TH SarabunPSK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H SarabunPSK" w:cs="TH SarabunPSK" w:cstheme="majorBidi" w:eastAsia="TH SarabunPSK" w:eastAsiaTheme="majorEastAsia" w:hAnsi="TH SarabunPSK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  <w:rFonts w:ascii="TH SarabunPSK" w:cs="TH SarabunPSK" w:eastAsia="TH SarabunPSK" w:hAnsi="TH SarabunPSK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  <w:rFonts w:ascii="TH SarabunPSK" w:cs="TH SarabunPSK" w:eastAsia="TH SarabunPSK" w:hAnsi="TH SarabunPSK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rFonts w:ascii="TH SarabunPSK" w:cs="TH SarabunPSK" w:eastAsia="TH SarabunPSK" w:hAnsi="TH SarabunPSK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TH SarabunPSK" w:cs="TH SarabunPSK" w:eastAsia="TH SarabunPSK" w:hAnsi="TH SarabunPSK"/>
    </w:rPr>
  </w:style>
  <w:style w:styleId="Bibliography" w:type="paragraph">
    <w:name w:val="Bibliography"/>
    <w:basedOn w:val="Normal"/>
    <w:next w:val="Bibliography"/>
    <w:qFormat/>
    <w:pPr/>
    <w:rPr>
      <w:rFonts w:ascii="TH SarabunPSK" w:cs="TH SarabunPSK" w:eastAsia="TH SarabunPSK" w:hAnsi="TH SarabunPSK"/>
      <w:sz/>
      <w:szCs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H SarabunPSK" w:cs="TH SarabunPSK" w:cstheme="majorBidi" w:eastAsia="TH SarabunPSK" w:eastAsiaTheme="majorEastAsia" w:hAnsi="TH SarabunPSK"/>
      <w:color w:themeColor="accent1" w:themeShade="BF" w:val="0F4761"/>
      <w:sz w:val="32"/>
      <w:szCs w:val="3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H SarabunPSK" w:cs="TH SarabunPSK" w:cstheme="majorBidi" w:eastAsia="TH SarabunPSK" w:eastAsiaTheme="majorEastAsia" w:hAnsi="TH SarabunPSK"/>
      <w:i/>
      <w:iCs/>
      <w:color w:themeColor="accent1" w:themeShade="BF" w:val="0F4761"/>
      <w:sz/>
      <w:sz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H SarabunPSK" w:cs="TH SarabunPSK" w:cstheme="majorBidi" w:eastAsia="TH SarabunPSK" w:eastAsiaTheme="majorEastAsia" w:hAnsi="TH SarabunPSK"/>
      <w:color w:themeColor="accent1" w:themeShade="BF" w:val="0F4761"/>
      <w:sz/>
      <w:szCs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H SarabunPSK" w:cs="TH SarabunPSK" w:cstheme="majorBidi" w:eastAsia="TH SarabunPSK" w:eastAsiaTheme="majorEastAsia" w:hAnsi="TH SarabunPSK"/>
      <w:i/>
      <w:iCs/>
      <w:color w:themeColor="text1" w:themeTint="A6" w:val="595959"/>
      <w:sz/>
      <w:sz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H SarabunPSK" w:cs="TH SarabunPSK" w:cstheme="majorBidi" w:eastAsia="TH SarabunPSK" w:eastAsiaTheme="majorEastAsia" w:hAnsi="TH SarabunPSK"/>
      <w:color w:themeColor="text1" w:themeTint="A6" w:val="595959"/>
      <w:sz/>
      <w:szCs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H SarabunPSK" w:cs="TH SarabunPSK" w:cstheme="majorBidi" w:eastAsia="TH SarabunPSK" w:eastAsiaTheme="majorEastAsia" w:hAnsi="TH SarabunPSK"/>
      <w:i/>
      <w:iCs/>
      <w:color w:themeColor="text1" w:themeTint="D8" w:val="272727"/>
      <w:sz/>
      <w:sz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H SarabunPSK" w:cs="TH SarabunPSK" w:cstheme="majorBidi" w:eastAsia="TH SarabunPSK" w:eastAsiaTheme="majorEastAsia" w:hAnsi="TH SarabunPSK"/>
      <w:color w:themeColor="text1" w:themeTint="D8" w:val="272727"/>
      <w:sz/>
      <w:szCs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H SarabunPSK" w:cs="TH SarabunPSK" w:cstheme="majorBidi" w:eastAsia="TH SarabunPSK" w:eastAsiaTheme="majorEastAsia" w:hAnsi="TH SarabunPSK"/>
      <w:i/>
      <w:iCs/>
      <w:color w:themeColor="accent1" w:themeShade="BF" w:val="0F4761"/>
      <w:sz/>
      <w:sz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accent1" w:themeShade="BF" w:val="0F4761"/>
      <w:sz/>
      <w:szCs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H SarabunPSK" w:cs="TH SarabunPSK" w:cstheme="majorBidi" w:eastAsia="TH SarabunPSK" w:eastAsiaTheme="majorEastAsia" w:hAnsi="TH SarabunPSK"/>
      <w:i/>
      <w:iCs/>
      <w:color w:themeColor="text1" w:themeTint="A6" w:val="595959"/>
      <w:sz/>
      <w:sz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text1" w:themeTint="A6" w:val="595959"/>
      <w:sz/>
      <w:szCs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H SarabunPSK" w:cs="TH SarabunPSK" w:cstheme="majorBidi" w:eastAsia="TH SarabunPSK" w:eastAsiaTheme="majorEastAsia" w:hAnsi="TH SarabunPSK"/>
      <w:i/>
      <w:iCs/>
      <w:color w:themeColor="text1" w:themeTint="D8" w:val="272727"/>
      <w:sz/>
      <w:szCs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text1" w:themeTint="D8" w:val="272727"/>
      <w:sz/>
      <w:szCs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H SarabunPSK" w:cs="TH SarabunPSK" w:eastAsia="TH SarabunPSK" w:hAnsi="TH SarabunPSK"/>
      <w:sz/>
      <w:szCs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H SarabunPSK" w:cs="TH SarabunPSK" w:eastAsia="TH SarabunPSK" w:hAnsi="TH SarabunPSK"/>
      <w:sz/>
      <w:szCs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H SarabunPSK" w:cs="TH SarabunPSK" w:eastAsia="TH SarabunPSK" w:hAnsi="TH SarabunPSK"/>
      <w:sz/>
      <w:szCs/>
    </w:rPr>
  </w:style>
  <w:style w:default="1" w:styleId="DefaultParagraphFont" w:type="character">
    <w:name w:val="Default Paragraph Font"/>
    <w:semiHidden/>
    <w:unhideWhenUsed/>
    <w:rPr>
      <w:rFonts w:ascii="TH SarabunPSK" w:cs="TH SarabunPSK" w:eastAsia="TH SarabunPSK" w:hAnsi="TH SarabunPSK"/>
      <w:sz/>
      <w:szCs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H SarabunPSK" w:cs="TH SarabunPSK" w:eastAsia="TH SarabunPSK" w:hAnsi="TH SarabunPSK"/>
      <w:sz/>
      <w:szCs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TH SarabunPSK" w:cs="TH SarabunPSK" w:eastAsia="TH SarabunPSK" w:hAnsi="TH SarabunPSK"/>
      <w:sz/>
      <w:szCs/>
    </w:rPr>
  </w:style>
  <w:style w:customStyle="1" w:styleId="Definition" w:type="paragraph">
    <w:name w:val="Definition"/>
    <w:basedOn w:val="Normal"/>
    <w:rPr>
      <w:rFonts w:ascii="TH SarabunPSK" w:cs="TH SarabunPSK" w:eastAsia="TH SarabunPSK" w:hAnsi="TH SarabunPSK"/>
      <w:sz/>
      <w:szCs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TH SarabunPSK" w:cs="TH SarabunPSK" w:eastAsia="TH SarabunPSK" w:hAnsi="TH SarabunPSK"/>
      <w:sz/>
      <w:szCs/>
    </w:rPr>
  </w:style>
  <w:style w:customStyle="1" w:styleId="TableCaption" w:type="paragraph">
    <w:name w:val="Table Caption"/>
    <w:basedOn w:val="Caption"/>
    <w:pPr>
      <w:keepNext/>
    </w:pPr>
    <w:rPr>
      <w:rFonts w:ascii="TH SarabunPSK" w:cs="TH SarabunPSK" w:eastAsia="TH SarabunPSK" w:hAnsi="TH SarabunPSK"/>
      <w:sz/>
      <w:szCs/>
    </w:rPr>
  </w:style>
  <w:style w:customStyle="1" w:styleId="ImageCaption" w:type="paragraph">
    <w:name w:val="Image Caption"/>
    <w:basedOn w:val="Caption"/>
    <w:rPr>
      <w:rFonts w:ascii="TH SarabunPSK" w:cs="TH SarabunPSK" w:eastAsia="TH SarabunPSK" w:hAnsi="TH SarabunPSK"/>
      <w:sz/>
      <w:szCs/>
    </w:rPr>
  </w:style>
  <w:style w:customStyle="1" w:styleId="Figure" w:type="paragraph">
    <w:name w:val="Figure"/>
    <w:basedOn w:val="Normal"/>
    <w:rPr>
      <w:rFonts w:ascii="TH SarabunPSK" w:cs="TH SarabunPSK" w:eastAsia="TH SarabunPSK" w:hAnsi="TH SarabunPSK"/>
      <w:sz/>
      <w:szCs/>
    </w:rPr>
  </w:style>
  <w:style w:customStyle="1" w:styleId="CaptionedFigure" w:type="paragraph">
    <w:name w:val="Captioned Figure"/>
    <w:basedOn w:val="Figure"/>
    <w:pPr>
      <w:keepNext/>
    </w:pPr>
    <w:rPr>
      <w:rFonts w:ascii="TH SarabunPSK" w:cs="TH SarabunPSK" w:eastAsia="TH SarabunPSK" w:hAnsi="TH SarabunPSK"/>
      <w:sz/>
      <w:szCs/>
    </w:rPr>
  </w:style>
  <w:style w:customStyle="1" w:styleId="BodyTextChar" w:type="character">
    <w:name w:val="Body Text Char"/>
    <w:basedOn w:val="DefaultParagraphFont"/>
    <w:link w:val="BodyText"/>
    <w:rPr>
      <w:rFonts w:ascii="TH SarabunPSK" w:cs="TH SarabunPSK" w:eastAsia="TH SarabunPSK" w:hAnsi="TH SarabunPSK"/>
      <w:sz/>
      <w:szCs/>
    </w:rPr>
  </w:style>
  <w:style w:customStyle="1" w:styleId="VerbatimChar" w:type="character">
    <w:name w:val="Verbatim Char"/>
    <w:basedOn w:val="BodyTextChar"/>
    <w:rPr>
      <w:rFonts w:ascii="TH SarabunPSK" w:cs="TH SarabunPSK" w:eastAsia="TH SarabunPSK" w:hAnsi="TH SarabunPSK"/>
      <w:sz w:val="22"/>
      <w:szCs/>
    </w:rPr>
  </w:style>
  <w:style w:customStyle="1" w:styleId="SectionNumber" w:type="character">
    <w:name w:val="Section Number"/>
    <w:basedOn w:val="BodyTextChar"/>
    <w:rPr>
      <w:rFonts w:ascii="TH SarabunPSK" w:cs="TH SarabunPSK" w:eastAsia="TH SarabunPSK" w:hAnsi="TH SarabunPSK"/>
      <w:sz/>
      <w:szCs/>
    </w:rPr>
  </w:style>
  <w:style w:styleId="FootnoteReference" w:type="character">
    <w:name w:val="Footnote Reference"/>
    <w:basedOn w:val="BodyTextChar"/>
    <w:rPr>
      <w:vertAlign w:val="superscript"/>
      <w:rFonts w:ascii="TH SarabunPSK" w:cs="TH SarabunPSK" w:eastAsia="TH SarabunPSK" w:hAnsi="TH SarabunPSK"/>
      <w:sz/>
      <w:szCs/>
    </w:rPr>
  </w:style>
  <w:style w:styleId="Hyperlink" w:type="character">
    <w:name w:val="Hyperlink"/>
    <w:basedOn w:val="BodyTextChar"/>
    <w:rPr>
      <w:color w:themeColor="accent1" w:val="4F81BD"/>
      <w:rFonts w:ascii="TH SarabunPSK" w:cs="TH SarabunPSK" w:eastAsia="TH SarabunPSK" w:hAnsi="TH SarabunPSK"/>
      <w:sz/>
      <w:szCs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PSK" w:asciiTheme="majorHAnsi" w:cs="TH SarabunPSK" w:cstheme="majorBidi" w:eastAsia="TH SarabunPSK" w:eastAsiaTheme="majorEastAsia" w:hAnsi="TH SarabunPSK" w:hAnsiTheme="majorHAnsi"/>
      <w:b w:val="0"/>
      <w:bCs w:val="0"/>
      <w:color w:themeColor="accent1" w:themeShade="BF" w:val="365F91"/>
      <w:sz/>
      <w:szCs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บรรณานุกรม</dc:title>
  <dc:creator>โครงการพัฒนาเว็บแอปพลิเคชันช่วยเรียนคณิตศาสตร์สำหรับแคลคูลัสเบื้องต้น</dc:creator>
  <cp:keywords/>
  <dcterms:created xsi:type="dcterms:W3CDTF">2026-10-20T06:59:13Z</dcterms:created>
  <dcterms:modified xsi:type="dcterms:W3CDTF">2026-10-20T06:59:13Z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