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5F"/>
          <w:sz w:val="28"/>
          <w:szCs w:val="28"/>
        </w:rPr>
        <w:t xml:space="preserve">Suryanagar Refinery, Gujarat</w:t>
      </w:r>
    </w:p>
    <w:p>
      <w:pPr>
        <w:pBdr>
          <w:bottom w:val="single" w:color="1F4E5F" w:sz="6"/>
        </w:pBdr>
        <w:spacing w:after="200"/>
        <w:jc w:val="center"/>
      </w:pPr>
      <w:r>
        <w:rPr>
          <w:i/>
          <w:iCs/>
          <w:sz w:val="22"/>
          <w:szCs w:val="22"/>
        </w:rPr>
        <w:t xml:space="preserve">Quarterly Compliance Checklist</w:t>
      </w:r>
    </w:p>
    <w:p>
      <w:pPr>
        <w:pStyle w:val="Heading1"/>
        <w:spacing w:after="200"/>
      </w:pPr>
      <w:r>
        <w:rPr>
          <w:b/>
          <w:bCs/>
          <w:color w:val="1F4E5F"/>
        </w:rPr>
        <w:t xml:space="preserve">Factory Act Compliance Checklist - Q2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FEFEF" w:val="clear"/>
          </w:tcPr>
          <w:p>
            <w:r>
              <w:rPr>
                <w:b/>
                <w:bCs/>
                <w:sz w:val="20"/>
                <w:szCs w:val="20"/>
              </w:rPr>
              <w:t xml:space="preserve">Document Number</w:t>
            </w:r>
          </w:p>
        </w:tc>
        <w:tc>
          <w:tcPr>
            <w:tcW w:type="dxa" w:w="6200"/>
          </w:tcPr>
          <w:p>
            <w:r>
              <w:rPr>
                <w:sz w:val="20"/>
                <w:szCs w:val="20"/>
              </w:rPr>
              <w:t xml:space="preserve">CHK-2026-Q2</w:t>
            </w:r>
          </w:p>
        </w:tc>
      </w:tr>
      <w:tr>
        <w:tc>
          <w:tcPr>
            <w:tcW w:type="dxa" w:w="2800"/>
            <w:shd w:fill="EFEFEF" w:val="clear"/>
          </w:tcPr>
          <w:p>
            <w:r>
              <w:rPr>
                <w:b/>
                <w:bCs/>
                <w:sz w:val="20"/>
                <w:szCs w:val="20"/>
              </w:rPr>
              <w:t xml:space="preserve">Scope</w:t>
            </w:r>
          </w:p>
        </w:tc>
        <w:tc>
          <w:tcPr>
            <w:tcW w:type="dxa" w:w="6200"/>
          </w:tcPr>
          <w:p>
            <w:r>
              <w:rPr>
                <w:sz w:val="20"/>
                <w:szCs w:val="20"/>
              </w:rPr>
              <w:t xml:space="preserve">Quarterly internal checklist mapping general factory safety requirements (paraphrased internal summary referencing Factory Act obligations) against current SOPs, training records, and permit practices across the plant.</w:t>
            </w:r>
          </w:p>
        </w:tc>
      </w:tr>
      <w:tr>
        <w:tc>
          <w:tcPr>
            <w:tcW w:type="dxa" w:w="2800"/>
            <w:shd w:fill="EFEFEF" w:val="clear"/>
          </w:tcPr>
          <w:p>
            <w:r>
              <w:rPr>
                <w:b/>
                <w:bCs/>
                <w:sz w:val="20"/>
                <w:szCs w:val="20"/>
              </w:rPr>
              <w:t xml:space="preserve">Review Date</w:t>
            </w:r>
          </w:p>
        </w:tc>
        <w:tc>
          <w:tcPr>
            <w:tcW w:type="dxa" w:w="6200"/>
          </w:tcPr>
          <w:p>
            <w:r>
              <w:rPr>
                <w:sz w:val="20"/>
                <w:szCs w:val="20"/>
              </w:rPr>
              <w:t xml:space="preserve">2026-06-01</w:t>
            </w:r>
          </w:p>
        </w:tc>
      </w:tr>
      <w:tr>
        <w:tc>
          <w:tcPr>
            <w:tcW w:type="dxa" w:w="2800"/>
            <w:shd w:fill="EFEFEF" w:val="clear"/>
          </w:tcPr>
          <w:p>
            <w:r>
              <w:rPr>
                <w:b/>
                <w:bCs/>
                <w:sz w:val="20"/>
                <w:szCs w:val="20"/>
              </w:rPr>
              <w:t xml:space="preserve">Reviewed By</w:t>
            </w:r>
          </w:p>
        </w:tc>
        <w:tc>
          <w:tcPr>
            <w:tcW w:type="dxa" w:w="6200"/>
          </w:tcPr>
          <w:p>
            <w:r>
              <w:rPr>
                <w:sz w:val="20"/>
                <w:szCs w:val="20"/>
              </w:rPr>
              <w:t xml:space="preserve">D. Rao (QA / Compliance Officer)</w:t>
            </w:r>
          </w:p>
        </w:tc>
      </w:tr>
      <w:tr>
        <w:tc>
          <w:tcPr>
            <w:tcW w:type="dxa" w:w="2800"/>
            <w:shd w:fill="EFEFEF" w:val="clear"/>
          </w:tcPr>
          <w:p>
            <w:r>
              <w:rPr>
                <w:b/>
                <w:bCs/>
                <w:sz w:val="20"/>
                <w:szCs w:val="20"/>
              </w:rPr>
              <w:t xml:space="preserve">Approved By</w:t>
            </w:r>
          </w:p>
        </w:tc>
        <w:tc>
          <w:tcPr>
            <w:tcW w:type="dxa" w:w="6200"/>
          </w:tcPr>
          <w:p>
            <w:r>
              <w:rPr>
                <w:sz w:val="20"/>
                <w:szCs w:val="20"/>
              </w:rPr>
              <w:t xml:space="preserve">Plant Safety Committee</w:t>
            </w:r>
          </w:p>
        </w:tc>
      </w:tr>
      <w:tr>
        <w:tc>
          <w:tcPr>
            <w:tcW w:type="dxa" w:w="2800"/>
            <w:shd w:fill="EFEFEF" w:val="clear"/>
          </w:tcPr>
          <w:p>
            <w:r>
              <w:rPr>
                <w:b/>
                <w:bCs/>
                <w:sz w:val="20"/>
                <w:szCs w:val="20"/>
              </w:rPr>
              <w:t xml:space="preserve">Linked Documents</w:t>
            </w:r>
          </w:p>
        </w:tc>
        <w:tc>
          <w:tcPr>
            <w:tcW w:type="dxa" w:w="6200"/>
          </w:tcPr>
          <w:p>
            <w:r>
              <w:rPr>
                <w:sz w:val="20"/>
                <w:szCs w:val="20"/>
              </w:rPr>
              <w:t xml:space="preserve">PPE SOP SOP-SAFETY-005; Confined Space Entry SOP SOP-SAFETY-002</w:t>
            </w:r>
          </w:p>
        </w:tc>
      </w:tr>
    </w:tbl>
    <w:p>
      <w:pPr>
        <w:pStyle w:val="Heading2"/>
        <w:spacing w:after="150" w:before="300"/>
      </w:pPr>
      <w:r>
        <w:rPr>
          <w:b/>
          <w:bCs/>
          <w:color w:val="1F4E5F"/>
        </w:rPr>
        <w:t xml:space="preserve">1. Background</w:t>
      </w:r>
    </w:p>
    <w:p>
      <w:pPr>
        <w:spacing w:after="150"/>
      </w:pPr>
      <w:r>
        <w:rPr>
          <w:sz w:val="21"/>
          <w:szCs w:val="21"/>
        </w:rPr>
        <w:t xml:space="preserve">Standard quarterly self-assessment checklist used to confirm ongoing compliance with general factory safety obligations covering PPE provision, safe working procedures, and incident reporting practices.</w:t>
      </w:r>
    </w:p>
    <w:p>
      <w:pPr>
        <w:pStyle w:val="Heading2"/>
        <w:spacing w:after="150" w:before="300"/>
      </w:pPr>
      <w:r>
        <w:rPr>
          <w:b/>
          <w:bCs/>
          <w:color w:val="1F4E5F"/>
        </w:rPr>
        <w:t xml:space="preserve">2.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200"/>
        <w:gridCol w:w="2900"/>
      </w:tblGrid>
      <w:tr>
        <w:tc>
          <w:tcPr>
            <w:shd w:fill="1F4E5F" w:val="clear"/>
          </w:tcPr>
          <w:p>
            <w:r>
              <w:rPr>
                <w:b/>
                <w:bCs/>
                <w:color w:val="FFFFFF"/>
                <w:sz w:val="20"/>
                <w:szCs w:val="20"/>
              </w:rPr>
              <w:t xml:space="preserve">#</w:t>
            </w:r>
          </w:p>
        </w:tc>
        <w:tc>
          <w:tcPr>
            <w:shd w:fill="1F4E5F" w:val="clear"/>
          </w:tcPr>
          <w:p>
            <w:r>
              <w:rPr>
                <w:b/>
                <w:bCs/>
                <w:color w:val="FFFFFF"/>
                <w:sz w:val="20"/>
                <w:szCs w:val="20"/>
              </w:rPr>
              <w:t xml:space="preserve">Checklist Item</w:t>
            </w:r>
          </w:p>
        </w:tc>
        <w:tc>
          <w:tcPr>
            <w:shd w:fill="1F4E5F" w:val="clear"/>
          </w:tcPr>
          <w:p>
            <w:r>
              <w:rPr>
                <w:b/>
                <w:bCs/>
                <w:color w:val="FFFFFF"/>
                <w:sz w:val="20"/>
                <w:szCs w:val="20"/>
              </w:rPr>
              <w:t xml:space="preserve">Status</w:t>
            </w:r>
          </w:p>
        </w:tc>
        <w:tc>
          <w:tcPr>
            <w:shd w:fill="1F4E5F" w:val="clear"/>
          </w:tcPr>
          <w:p>
            <w:r>
              <w:rPr>
                <w:b/>
                <w:bCs/>
                <w:color w:val="FFFFFF"/>
                <w:sz w:val="20"/>
                <w:szCs w:val="20"/>
              </w:rPr>
              <w:t xml:space="preserve">Notes</w:t>
            </w:r>
          </w:p>
        </w:tc>
      </w:tr>
      <w:tr>
        <w:tc>
          <w:p>
            <w:r>
              <w:rPr>
                <w:sz w:val="20"/>
                <w:szCs w:val="20"/>
              </w:rPr>
              <w:t xml:space="preserve">1</w:t>
            </w:r>
          </w:p>
        </w:tc>
        <w:tc>
          <w:p>
            <w:r>
              <w:rPr>
                <w:sz w:val="20"/>
                <w:szCs w:val="20"/>
              </w:rPr>
              <w:t xml:space="preserve">PPE SOP current and acknowledged by all active personnel</w:t>
            </w:r>
          </w:p>
        </w:tc>
        <w:tc>
          <w:p>
            <w:r>
              <w:rPr>
                <w:sz w:val="20"/>
                <w:szCs w:val="20"/>
              </w:rPr>
              <w:t xml:space="preserve">Compliant</w:t>
            </w:r>
          </w:p>
        </w:tc>
        <w:tc>
          <w:p>
            <w:r>
              <w:rPr>
                <w:sz w:val="20"/>
                <w:szCs w:val="20"/>
              </w:rPr>
              <w:t xml:space="preserve">SOP-SAFETY-005, Rev 7, in effect</w:t>
            </w:r>
          </w:p>
        </w:tc>
      </w:tr>
      <w:tr>
        <w:tc>
          <w:p>
            <w:r>
              <w:rPr>
                <w:sz w:val="20"/>
                <w:szCs w:val="20"/>
              </w:rPr>
              <w:t xml:space="preserve">2</w:t>
            </w:r>
          </w:p>
        </w:tc>
        <w:tc>
          <w:p>
            <w:r>
              <w:rPr>
                <w:sz w:val="20"/>
                <w:szCs w:val="20"/>
              </w:rPr>
              <w:t xml:space="preserve">Confined space entry procedure current and staff trained</w:t>
            </w:r>
          </w:p>
        </w:tc>
        <w:tc>
          <w:p>
            <w:r>
              <w:rPr>
                <w:sz w:val="20"/>
                <w:szCs w:val="20"/>
              </w:rPr>
              <w:t xml:space="preserve">Compliant</w:t>
            </w:r>
          </w:p>
        </w:tc>
        <w:tc>
          <w:p>
            <w:r>
              <w:rPr>
                <w:sz w:val="20"/>
                <w:szCs w:val="20"/>
              </w:rPr>
              <w:t xml:space="preserve">SOP-SAFETY-002, Rev 5, in effect</w:t>
            </w:r>
          </w:p>
        </w:tc>
      </w:tr>
      <w:tr>
        <w:tc>
          <w:p>
            <w:r>
              <w:rPr>
                <w:sz w:val="20"/>
                <w:szCs w:val="20"/>
              </w:rPr>
              <w:t xml:space="preserve">3</w:t>
            </w:r>
          </w:p>
        </w:tc>
        <w:tc>
          <w:p>
            <w:r>
              <w:rPr>
                <w:sz w:val="20"/>
                <w:szCs w:val="20"/>
              </w:rPr>
              <w:t xml:space="preserve">All Q2 incidents/near-misses logged with corrective actions closed or tracked</w:t>
            </w:r>
          </w:p>
        </w:tc>
        <w:tc>
          <w:p>
            <w:r>
              <w:rPr>
                <w:sz w:val="20"/>
                <w:szCs w:val="20"/>
              </w:rPr>
              <w:t xml:space="preserve">Partially Compliant</w:t>
            </w:r>
          </w:p>
        </w:tc>
        <w:tc>
          <w:p>
            <w:r>
              <w:rPr>
                <w:sz w:val="20"/>
                <w:szCs w:val="20"/>
              </w:rPr>
              <w:t xml:space="preserve">INC-2026-0032 corrective action (scaffold checklist update) pending closure verification</w:t>
            </w:r>
          </w:p>
        </w:tc>
      </w:tr>
      <w:tr>
        <w:tc>
          <w:p>
            <w:r>
              <w:rPr>
                <w:sz w:val="20"/>
                <w:szCs w:val="20"/>
              </w:rPr>
              <w:t xml:space="preserve">4</w:t>
            </w:r>
          </w:p>
        </w:tc>
        <w:tc>
          <w:p>
            <w:r>
              <w:rPr>
                <w:sz w:val="20"/>
                <w:szCs w:val="20"/>
              </w:rPr>
              <w:t xml:space="preserve">Permit-to-work register cross-referenced to relevant work orders</w:t>
            </w:r>
          </w:p>
        </w:tc>
        <w:tc>
          <w:p>
            <w:r>
              <w:rPr>
                <w:sz w:val="20"/>
                <w:szCs w:val="20"/>
              </w:rPr>
              <w:t xml:space="preserve">Partially Compliant</w:t>
            </w:r>
          </w:p>
        </w:tc>
        <w:tc>
          <w:p>
            <w:r>
              <w:rPr>
                <w:sz w:val="20"/>
                <w:szCs w:val="20"/>
              </w:rPr>
              <w:t xml:space="preserve">See related finding in AUD-2026-0009 (V-204 documentation timing gap)</w:t>
            </w:r>
          </w:p>
        </w:tc>
      </w:tr>
    </w:tbl>
    <w:p>
      <w:pPr>
        <w:pStyle w:val="Heading2"/>
        <w:spacing w:after="150" w:before="300"/>
      </w:pPr>
      <w:r>
        <w:rPr>
          <w:b/>
          <w:bCs/>
          <w:color w:val="1F4E5F"/>
        </w:rPr>
        <w:t xml:space="preserve">3. Conclusion</w:t>
      </w:r>
    </w:p>
    <w:p>
      <w:pPr>
        <w:spacing w:after="150"/>
      </w:pPr>
      <w:r>
        <w:rPr>
          <w:sz w:val="21"/>
          <w:szCs w:val="21"/>
        </w:rPr>
        <w:t xml:space="preserve">The plant remains largely compliant with general factory safety obligations for Q2 2026. Two items are marked partially compliant pending confirmation that recent corrective actions have been fully closed out and reflected in the central documentation register.</w:t>
      </w:r>
    </w:p>
    <w:p>
      <w:pPr>
        <w:pStyle w:val="Heading2"/>
        <w:spacing w:after="150" w:before="300"/>
      </w:pPr>
      <w:r>
        <w:rPr>
          <w:b/>
          <w:bCs/>
          <w:color w:val="1F4E5F"/>
        </w:rPr>
        <w:t xml:space="preserve">4. Action Items</w:t>
      </w:r>
    </w:p>
    <w:p>
      <w:pPr>
        <w:pStyle w:val="ListParagraph"/>
        <w:numPr>
          <w:ilvl w:val="0"/>
          <w:numId w:val="1"/>
        </w:numPr>
        <w:spacing w:after="80"/>
      </w:pPr>
      <w:r>
        <w:rPr>
          <w:sz w:val="21"/>
          <w:szCs w:val="21"/>
        </w:rPr>
        <w:t xml:space="preserve">Confirm closure status of the scaffold inspection checklist update from INC-2026-0032.</w:t>
      </w:r>
    </w:p>
    <w:p>
      <w:pPr>
        <w:pStyle w:val="ListParagraph"/>
        <w:numPr>
          <w:ilvl w:val="0"/>
          <w:numId w:val="1"/>
        </w:numPr>
        <w:spacing w:after="80"/>
      </w:pPr>
      <w:r>
        <w:rPr>
          <w:sz w:val="21"/>
          <w:szCs w:val="21"/>
        </w:rPr>
        <w:t xml:space="preserve">Follow up on the documentation timing gap noted in AUD-2026-0009 to confirm it has been addressed.</w:t>
      </w:r>
    </w:p>
    <w:p>
      <w:pPr>
        <w:pStyle w:val="ListParagraph"/>
        <w:numPr>
          <w:ilvl w:val="0"/>
          <w:numId w:val="1"/>
        </w:numPr>
        <w:spacing w:after="80"/>
      </w:pPr>
      <w:r>
        <w:rPr>
          <w:sz w:val="21"/>
          <w:szCs w:val="21"/>
        </w:rPr>
        <w:t xml:space="preserve">Re-assess both items in the Q3 2026 checklist cycle.</w:t>
      </w:r>
    </w:p>
    <w:p>
      <w:pPr>
        <w:spacing w:before="400"/>
      </w:pPr>
      <w:r>
        <w:t xml:space="preserve"/>
      </w:r>
    </w:p>
    <w:p>
      <w:r>
        <w:rPr>
          <w:sz w:val="20"/>
          <w:szCs w:val="20"/>
        </w:rPr>
        <w:t xml:space="preserve">QA / Compliance Officer Sign-off: ____________________   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2026-07-17T18:23:40.531Z</dcterms:created>
  <dcterms:modified xsi:type="dcterms:W3CDTF">2026-07-17T18:23:40.531Z</dcterms:modified>
</cp:coreProperties>
</file>

<file path=docProps/custom.xml><?xml version="1.0" encoding="utf-8"?>
<Properties xmlns="http://schemas.openxmlformats.org/officeDocument/2006/custom-properties" xmlns:vt="http://schemas.openxmlformats.org/officeDocument/2006/docPropsVTypes"/>
</file>