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28"/>
          <w:szCs w:val="28"/>
        </w:rPr>
        <w:t xml:space="preserve">Suryanagar Refinery, Gujarat</w:t>
      </w:r>
    </w:p>
    <w:p>
      <w:pPr>
        <w:pBdr>
          <w:bottom w:val="single" w:color="1F4E5F" w:sz="6"/>
        </w:pBdr>
        <w:spacing w:after="200"/>
        <w:jc w:val="center"/>
      </w:pPr>
      <w:r>
        <w:rPr>
          <w:i/>
          <w:iCs/>
          <w:sz w:val="22"/>
          <w:szCs w:val="22"/>
        </w:rPr>
        <w:t xml:space="preserve">Licensing Compliance Summary</w:t>
      </w:r>
    </w:p>
    <w:p>
      <w:pPr>
        <w:pStyle w:val="Heading1"/>
        <w:spacing w:after="200"/>
      </w:pPr>
      <w:r>
        <w:rPr>
          <w:b/>
          <w:bCs/>
          <w:color w:val="1F4E5F"/>
        </w:rPr>
        <w:t xml:space="preserve">PESO Explosives and Flammable Storage Licensing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FEFEF" w:val="clear"/>
          </w:tcPr>
          <w:p>
            <w:r>
              <w:rPr>
                <w:b/>
                <w:bCs/>
                <w:sz w:val="20"/>
                <w:szCs w:val="20"/>
              </w:rPr>
              <w:t xml:space="preserve">Document Number</w:t>
            </w:r>
          </w:p>
        </w:tc>
        <w:tc>
          <w:tcPr>
            <w:tcW w:type="dxa" w:w="6200"/>
          </w:tcPr>
          <w:p>
            <w:r>
              <w:rPr>
                <w:sz w:val="20"/>
                <w:szCs w:val="20"/>
              </w:rPr>
              <w:t xml:space="preserve">LIC-2026-0003</w:t>
            </w:r>
          </w:p>
        </w:tc>
      </w:tr>
      <w:tr>
        <w:tc>
          <w:tcPr>
            <w:tcW w:type="dxa" w:w="2800"/>
            <w:shd w:fill="EFEFEF" w:val="clear"/>
          </w:tcPr>
          <w:p>
            <w:r>
              <w:rPr>
                <w:b/>
                <w:bCs/>
                <w:sz w:val="20"/>
                <w:szCs w:val="20"/>
              </w:rPr>
              <w:t xml:space="preserve">Scope</w:t>
            </w:r>
          </w:p>
        </w:tc>
        <w:tc>
          <w:tcPr>
            <w:tcW w:type="dxa" w:w="6200"/>
          </w:tcPr>
          <w:p>
            <w:r>
              <w:rPr>
                <w:sz w:val="20"/>
                <w:szCs w:val="20"/>
              </w:rPr>
              <w:t xml:space="preserve">Internal summary mapping current plant storage licenses for flammable and explosive materials against applicable PESO licensing categories (paraphrased internal reference, not the original regulation text).</w:t>
            </w:r>
          </w:p>
        </w:tc>
      </w:tr>
      <w:tr>
        <w:tc>
          <w:tcPr>
            <w:tcW w:type="dxa" w:w="2800"/>
            <w:shd w:fill="EFEFEF" w:val="clear"/>
          </w:tcPr>
          <w:p>
            <w:r>
              <w:rPr>
                <w:b/>
                <w:bCs/>
                <w:sz w:val="20"/>
                <w:szCs w:val="20"/>
              </w:rPr>
              <w:t xml:space="preserve">Review Date</w:t>
            </w:r>
          </w:p>
        </w:tc>
        <w:tc>
          <w:tcPr>
            <w:tcW w:type="dxa" w:w="6200"/>
          </w:tcPr>
          <w:p>
            <w:r>
              <w:rPr>
                <w:sz w:val="20"/>
                <w:szCs w:val="20"/>
              </w:rPr>
              <w:t xml:space="preserve">2026-02-01</w:t>
            </w:r>
          </w:p>
        </w:tc>
      </w:tr>
      <w:tr>
        <w:tc>
          <w:tcPr>
            <w:tcW w:type="dxa" w:w="2800"/>
            <w:shd w:fill="EFEFEF" w:val="clear"/>
          </w:tcPr>
          <w:p>
            <w:r>
              <w:rPr>
                <w:b/>
                <w:bCs/>
                <w:sz w:val="20"/>
                <w:szCs w:val="20"/>
              </w:rPr>
              <w:t xml:space="preserve">Reviewed By</w:t>
            </w:r>
          </w:p>
        </w:tc>
        <w:tc>
          <w:tcPr>
            <w:tcW w:type="dxa" w:w="6200"/>
          </w:tcPr>
          <w:p>
            <w:r>
              <w:rPr>
                <w:sz w:val="20"/>
                <w:szCs w:val="20"/>
              </w:rPr>
              <w:t xml:space="preserve">D. Rao (QA / Compliance Officer)</w:t>
            </w:r>
          </w:p>
        </w:tc>
      </w:tr>
      <w:tr>
        <w:tc>
          <w:tcPr>
            <w:tcW w:type="dxa" w:w="2800"/>
            <w:shd w:fill="EFEFEF" w:val="clear"/>
          </w:tcPr>
          <w:p>
            <w:r>
              <w:rPr>
                <w:b/>
                <w:bCs/>
                <w:sz w:val="20"/>
                <w:szCs w:val="20"/>
              </w:rPr>
              <w:t xml:space="preserve">Approved By</w:t>
            </w:r>
          </w:p>
        </w:tc>
        <w:tc>
          <w:tcPr>
            <w:tcW w:type="dxa" w:w="6200"/>
          </w:tcPr>
          <w:p>
            <w:r>
              <w:rPr>
                <w:sz w:val="20"/>
                <w:szCs w:val="20"/>
              </w:rPr>
              <w:t xml:space="preserve">Plant Safety Committee</w:t>
            </w:r>
          </w:p>
        </w:tc>
      </w:tr>
      <w:tr>
        <w:tc>
          <w:tcPr>
            <w:tcW w:type="dxa" w:w="2800"/>
            <w:shd w:fill="EFEFEF" w:val="clear"/>
          </w:tcPr>
          <w:p>
            <w:r>
              <w:rPr>
                <w:b/>
                <w:bCs/>
                <w:sz w:val="20"/>
                <w:szCs w:val="20"/>
              </w:rPr>
              <w:t xml:space="preserve">Linked Documents</w:t>
            </w:r>
          </w:p>
        </w:tc>
        <w:tc>
          <w:tcPr>
            <w:tcW w:type="dxa" w:w="6200"/>
          </w:tcPr>
          <w:p>
            <w:r>
              <w:rPr>
                <w:sz w:val="20"/>
                <w:szCs w:val="20"/>
              </w:rPr>
              <w:t xml:space="preserve">General plant storage license register (external system, not attached)</w:t>
            </w:r>
          </w:p>
        </w:tc>
      </w:tr>
    </w:tbl>
    <w:p>
      <w:pPr>
        <w:pStyle w:val="Heading2"/>
        <w:spacing w:after="150" w:before="300"/>
      </w:pPr>
      <w:r>
        <w:rPr>
          <w:b/>
          <w:bCs/>
          <w:color w:val="1F4E5F"/>
        </w:rPr>
        <w:t xml:space="preserve">1. Background</w:t>
      </w:r>
    </w:p>
    <w:p>
      <w:pPr>
        <w:spacing w:after="150"/>
      </w:pPr>
      <w:r>
        <w:rPr>
          <w:sz w:val="21"/>
          <w:szCs w:val="21"/>
        </w:rPr>
        <w:t xml:space="preserve">Annual internal review of the plant's flammable and petroleum product storage licenses to confirm license validity, capacity coverage, and renewal timelines ahead of the licensing authority's audit cycle.</w:t>
      </w:r>
    </w:p>
    <w:p>
      <w:pPr>
        <w:pStyle w:val="Heading2"/>
        <w:spacing w:after="150" w:before="300"/>
      </w:pPr>
      <w:r>
        <w:rPr>
          <w:b/>
          <w:bCs/>
          <w:color w:val="1F4E5F"/>
        </w:rPr>
        <w:t xml:space="preserve">2.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900"/>
        <w:gridCol w:w="2200"/>
      </w:tblGrid>
      <w:tr>
        <w:tc>
          <w:tcPr>
            <w:shd w:fill="1F4E5F" w:val="clear"/>
          </w:tcPr>
          <w:p>
            <w:r>
              <w:rPr>
                <w:b/>
                <w:bCs/>
                <w:color w:val="FFFFFF"/>
                <w:sz w:val="20"/>
                <w:szCs w:val="20"/>
              </w:rPr>
              <w:t xml:space="preserve">#</w:t>
            </w:r>
          </w:p>
        </w:tc>
        <w:tc>
          <w:tcPr>
            <w:shd w:fill="1F4E5F" w:val="clear"/>
          </w:tcPr>
          <w:p>
            <w:r>
              <w:rPr>
                <w:b/>
                <w:bCs/>
                <w:color w:val="FFFFFF"/>
                <w:sz w:val="20"/>
                <w:szCs w:val="20"/>
              </w:rPr>
              <w:t xml:space="preserve">Storage Category</w:t>
            </w:r>
          </w:p>
        </w:tc>
        <w:tc>
          <w:tcPr>
            <w:shd w:fill="1F4E5F" w:val="clear"/>
          </w:tcPr>
          <w:p>
            <w:r>
              <w:rPr>
                <w:b/>
                <w:bCs/>
                <w:color w:val="FFFFFF"/>
                <w:sz w:val="20"/>
                <w:szCs w:val="20"/>
              </w:rPr>
              <w:t xml:space="preserve">Coverage Status</w:t>
            </w:r>
          </w:p>
        </w:tc>
        <w:tc>
          <w:tcPr>
            <w:shd w:fill="1F4E5F" w:val="clear"/>
          </w:tcPr>
          <w:p>
            <w:r>
              <w:rPr>
                <w:b/>
                <w:bCs/>
                <w:color w:val="FFFFFF"/>
                <w:sz w:val="20"/>
                <w:szCs w:val="20"/>
              </w:rPr>
              <w:t xml:space="preserve">Renewal Due</w:t>
            </w:r>
          </w:p>
        </w:tc>
      </w:tr>
      <w:tr>
        <w:tc>
          <w:p>
            <w:r>
              <w:rPr>
                <w:sz w:val="20"/>
                <w:szCs w:val="20"/>
              </w:rPr>
              <w:t xml:space="preserve">1</w:t>
            </w:r>
          </w:p>
        </w:tc>
        <w:tc>
          <w:p>
            <w:r>
              <w:rPr>
                <w:sz w:val="20"/>
                <w:szCs w:val="20"/>
              </w:rPr>
              <w:t xml:space="preserve">Naphtha storage (includes V-204 and adjacent tanks)</w:t>
            </w:r>
          </w:p>
        </w:tc>
        <w:tc>
          <w:p>
            <w:r>
              <w:rPr>
                <w:sz w:val="20"/>
                <w:szCs w:val="20"/>
              </w:rPr>
              <w:t xml:space="preserve">Valid, capacity within licensed limit</w:t>
            </w:r>
          </w:p>
        </w:tc>
        <w:tc>
          <w:p>
            <w:r>
              <w:rPr>
                <w:sz w:val="20"/>
                <w:szCs w:val="20"/>
              </w:rPr>
              <w:t xml:space="preserve">2027-01</w:t>
            </w:r>
          </w:p>
        </w:tc>
      </w:tr>
      <w:tr>
        <w:tc>
          <w:p>
            <w:r>
              <w:rPr>
                <w:sz w:val="20"/>
                <w:szCs w:val="20"/>
              </w:rPr>
              <w:t xml:space="preserve">2</w:t>
            </w:r>
          </w:p>
        </w:tc>
        <w:tc>
          <w:p>
            <w:r>
              <w:rPr>
                <w:sz w:val="20"/>
                <w:szCs w:val="20"/>
              </w:rPr>
              <w:t xml:space="preserve">Fuel gas storage (compressor feed, includes C-110 system)</w:t>
            </w:r>
          </w:p>
        </w:tc>
        <w:tc>
          <w:p>
            <w:r>
              <w:rPr>
                <w:sz w:val="20"/>
                <w:szCs w:val="20"/>
              </w:rPr>
              <w:t xml:space="preserve">Valid</w:t>
            </w:r>
          </w:p>
        </w:tc>
        <w:tc>
          <w:p>
            <w:r>
              <w:rPr>
                <w:sz w:val="20"/>
                <w:szCs w:val="20"/>
              </w:rPr>
              <w:t xml:space="preserve">2026-11</w:t>
            </w:r>
          </w:p>
        </w:tc>
      </w:tr>
      <w:tr>
        <w:tc>
          <w:p>
            <w:r>
              <w:rPr>
                <w:sz w:val="20"/>
                <w:szCs w:val="20"/>
              </w:rPr>
              <w:t xml:space="preserve">3</w:t>
            </w:r>
          </w:p>
        </w:tc>
        <w:tc>
          <w:p>
            <w:r>
              <w:rPr>
                <w:sz w:val="20"/>
                <w:szCs w:val="20"/>
              </w:rPr>
              <w:t xml:space="preserve">General flammable liquids store (drums, small containers)</w:t>
            </w:r>
          </w:p>
        </w:tc>
        <w:tc>
          <w:p>
            <w:r>
              <w:rPr>
                <w:sz w:val="20"/>
                <w:szCs w:val="20"/>
              </w:rPr>
              <w:t xml:space="preserve">Valid, minor capacity margin remaining</w:t>
            </w:r>
          </w:p>
        </w:tc>
        <w:tc>
          <w:p>
            <w:r>
              <w:rPr>
                <w:sz w:val="20"/>
                <w:szCs w:val="20"/>
              </w:rPr>
              <w:t xml:space="preserve">2026-09</w:t>
            </w:r>
          </w:p>
        </w:tc>
      </w:tr>
    </w:tbl>
    <w:p>
      <w:pPr>
        <w:pStyle w:val="Heading2"/>
        <w:spacing w:after="150" w:before="300"/>
      </w:pPr>
      <w:r>
        <w:rPr>
          <w:b/>
          <w:bCs/>
          <w:color w:val="1F4E5F"/>
        </w:rPr>
        <w:t xml:space="preserve">3. Conclusion</w:t>
      </w:r>
    </w:p>
    <w:p>
      <w:pPr>
        <w:spacing w:after="150"/>
      </w:pPr>
      <w:r>
        <w:rPr>
          <w:sz w:val="21"/>
          <w:szCs w:val="21"/>
        </w:rPr>
        <w:t xml:space="preserve">All reviewed storage categories currently hold valid licenses within their approved capacity limits. The general flammable liquids store has limited remaining capacity margin and should be monitored ahead of any planned storage expansion.</w:t>
      </w:r>
    </w:p>
    <w:p>
      <w:pPr>
        <w:pStyle w:val="Heading2"/>
        <w:spacing w:after="150" w:before="300"/>
      </w:pPr>
      <w:r>
        <w:rPr>
          <w:b/>
          <w:bCs/>
          <w:color w:val="1F4E5F"/>
        </w:rPr>
        <w:t xml:space="preserve">4. Action Items</w:t>
      </w:r>
    </w:p>
    <w:p>
      <w:pPr>
        <w:pStyle w:val="ListParagraph"/>
        <w:numPr>
          <w:ilvl w:val="0"/>
          <w:numId w:val="1"/>
        </w:numPr>
        <w:spacing w:after="80"/>
      </w:pPr>
      <w:r>
        <w:rPr>
          <w:sz w:val="21"/>
          <w:szCs w:val="21"/>
        </w:rPr>
        <w:t xml:space="preserve">Begin renewal paperwork for fuel gas storage license at least 60 days ahead of the November 2026 due date.</w:t>
      </w:r>
    </w:p>
    <w:p>
      <w:pPr>
        <w:pStyle w:val="ListParagraph"/>
        <w:numPr>
          <w:ilvl w:val="0"/>
          <w:numId w:val="1"/>
        </w:numPr>
        <w:spacing w:after="80"/>
      </w:pPr>
      <w:r>
        <w:rPr>
          <w:sz w:val="21"/>
          <w:szCs w:val="21"/>
        </w:rPr>
        <w:t xml:space="preserve">Monitor flammable liquids store capacity utilisation monthly given limited remaining margin.</w:t>
      </w:r>
    </w:p>
    <w:p>
      <w:pPr>
        <w:pStyle w:val="ListParagraph"/>
        <w:numPr>
          <w:ilvl w:val="0"/>
          <w:numId w:val="1"/>
        </w:numPr>
        <w:spacing w:after="80"/>
      </w:pPr>
      <w:r>
        <w:rPr>
          <w:sz w:val="21"/>
          <w:szCs w:val="21"/>
        </w:rPr>
        <w:t xml:space="preserve">No action required for naphtha storage category at this time.</w:t>
      </w:r>
    </w:p>
    <w:p>
      <w:pPr>
        <w:spacing w:before="400"/>
      </w:pPr>
      <w:r>
        <w:t xml:space="preserve"/>
      </w:r>
    </w:p>
    <w:p>
      <w:r>
        <w:rPr>
          <w:sz w:val="20"/>
          <w:szCs w:val="20"/>
        </w:rPr>
        <w:t xml:space="preserve">QA / Compliance Officer Sign-off: ____________________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2026-07-17T18:23:40.512Z</dcterms:created>
  <dcterms:modified xsi:type="dcterms:W3CDTF">2026-07-17T18:23:40.512Z</dcterms:modified>
</cp:coreProperties>
</file>

<file path=docProps/custom.xml><?xml version="1.0" encoding="utf-8"?>
<Properties xmlns="http://schemas.openxmlformats.org/officeDocument/2006/custom-properties" xmlns:vt="http://schemas.openxmlformats.org/officeDocument/2006/docPropsVTypes"/>
</file>