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B2A4A" w:val="clear"/>
            <w:tcMar>
              <w:top w:type="dxa" w:w="260"/>
              <w:left w:type="dxa" w:w="300"/>
              <w:bottom w:type="dxa" w:w="260"/>
              <w:right w:type="dxa" w:w="300"/>
            </w:tcMar>
          </w:tcPr>
          <w:p>
            <w:pPr>
              <w:jc w:val="center"/>
            </w:pPr>
            <w:r>
              <w:rPr>
                <w:color w:val="BFE3D3"/>
                <w:sz w:val="20"/>
                <w:szCs w:val="20"/>
              </w:rPr>
              <w:t xml:space="preserve">Project Abstract</w:t>
            </w:r>
          </w:p>
          <w:p>
            <w:pPr>
              <w:jc w:val="center"/>
            </w:pPr>
            <w:r>
              <w:rPr>
                <w:b/>
                <w:bCs/>
                <w:color w:val="FFFFFF"/>
                <w:sz w:val="30"/>
                <w:szCs w:val="30"/>
              </w:rPr>
              <w:t xml:space="preserve">AI-Powered Salary Intelligence &amp; Resume Matching Platform</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AF6F1" w:val="clear"/>
            <w:tcMar>
              <w:top w:type="dxa" w:w="100"/>
              <w:left w:type="dxa" w:w="160"/>
              <w:bottom w:type="dxa" w:w="100"/>
              <w:right w:type="dxa" w:w="100"/>
            </w:tcMar>
          </w:tcPr>
          <w:p>
            <w:r>
              <w:rPr>
                <w:b/>
                <w:bCs/>
                <w:color w:val="1B2A4A"/>
                <w:sz w:val="20"/>
                <w:szCs w:val="20"/>
              </w:rPr>
              <w:t xml:space="preserve">Institution</w:t>
            </w:r>
          </w:p>
        </w:tc>
        <w:tc>
          <w:tcPr>
            <w:tcW w:type="dxa" w:w="6960"/>
            <w:shd w:fill="EAF6F1" w:val="clear"/>
            <w:tcMar>
              <w:top w:type="dxa" w:w="100"/>
              <w:left w:type="dxa" w:w="160"/>
              <w:bottom w:type="dxa" w:w="100"/>
              <w:right w:type="dxa" w:w="100"/>
            </w:tcMar>
          </w:tcPr>
          <w:p>
            <w:r>
              <w:rPr>
                <w:color w:val="222222"/>
                <w:sz w:val="20"/>
                <w:szCs w:val="20"/>
              </w:rPr>
              <w:t xml:space="preserve">C-DAC (Centre for Development of Advanced Computing), KnowIT Pune</w:t>
            </w:r>
          </w:p>
        </w:tc>
      </w:tr>
      <w:tr>
        <w:tc>
          <w:tcPr>
            <w:tcW w:type="dxa" w:w="2400"/>
            <w:shd w:fill="FFFFFF" w:val="clear"/>
            <w:tcMar>
              <w:top w:type="dxa" w:w="100"/>
              <w:left w:type="dxa" w:w="160"/>
              <w:bottom w:type="dxa" w:w="100"/>
              <w:right w:type="dxa" w:w="100"/>
            </w:tcMar>
          </w:tcPr>
          <w:p>
            <w:r>
              <w:rPr>
                <w:b/>
                <w:bCs/>
                <w:color w:val="1B2A4A"/>
                <w:sz w:val="20"/>
                <w:szCs w:val="20"/>
              </w:rPr>
              <w:t xml:space="preserve">Programme</w:t>
            </w:r>
          </w:p>
        </w:tc>
        <w:tc>
          <w:tcPr>
            <w:tcW w:type="dxa" w:w="6960"/>
            <w:shd w:fill="FFFFFF" w:val="clear"/>
            <w:tcMar>
              <w:top w:type="dxa" w:w="100"/>
              <w:left w:type="dxa" w:w="160"/>
              <w:bottom w:type="dxa" w:w="100"/>
              <w:right w:type="dxa" w:w="100"/>
            </w:tcMar>
          </w:tcPr>
          <w:p>
            <w:r>
              <w:rPr>
                <w:color w:val="222222"/>
                <w:sz w:val="20"/>
                <w:szCs w:val="20"/>
              </w:rPr>
              <w:t xml:space="preserve">PGCP-BDA (DBDA) — February 2026 Batch</w:t>
            </w:r>
          </w:p>
        </w:tc>
      </w:tr>
      <w:tr>
        <w:tc>
          <w:tcPr>
            <w:tcW w:type="dxa" w:w="2400"/>
            <w:shd w:fill="EAF6F1" w:val="clear"/>
            <w:tcMar>
              <w:top w:type="dxa" w:w="100"/>
              <w:left w:type="dxa" w:w="160"/>
              <w:bottom w:type="dxa" w:w="100"/>
              <w:right w:type="dxa" w:w="100"/>
            </w:tcMar>
          </w:tcPr>
          <w:p>
            <w:r>
              <w:rPr>
                <w:b/>
                <w:bCs/>
                <w:color w:val="1B2A4A"/>
                <w:sz w:val="20"/>
                <w:szCs w:val="20"/>
              </w:rPr>
              <w:t xml:space="preserve">Module</w:t>
            </w:r>
          </w:p>
        </w:tc>
        <w:tc>
          <w:tcPr>
            <w:tcW w:type="dxa" w:w="6960"/>
            <w:shd w:fill="EAF6F1" w:val="clear"/>
            <w:tcMar>
              <w:top w:type="dxa" w:w="100"/>
              <w:left w:type="dxa" w:w="160"/>
              <w:bottom w:type="dxa" w:w="100"/>
              <w:right w:type="dxa" w:w="100"/>
            </w:tcMar>
          </w:tcPr>
          <w:p>
            <w:r>
              <w:rPr>
                <w:color w:val="222222"/>
                <w:sz w:val="20"/>
                <w:szCs w:val="20"/>
              </w:rPr>
              <w:t xml:space="preserve">Practical Machine Learning (PML)</w:t>
            </w:r>
          </w:p>
        </w:tc>
      </w:tr>
      <w:tr>
        <w:tc>
          <w:tcPr>
            <w:tcW w:type="dxa" w:w="2400"/>
            <w:shd w:fill="FFFFFF" w:val="clear"/>
            <w:tcMar>
              <w:top w:type="dxa" w:w="100"/>
              <w:left w:type="dxa" w:w="160"/>
              <w:bottom w:type="dxa" w:w="100"/>
              <w:right w:type="dxa" w:w="100"/>
            </w:tcMar>
          </w:tcPr>
          <w:p>
            <w:r>
              <w:rPr>
                <w:b/>
                <w:bCs/>
                <w:color w:val="1B2A4A"/>
                <w:sz w:val="20"/>
                <w:szCs w:val="20"/>
              </w:rPr>
              <w:t xml:space="preserve">Group Size</w:t>
            </w:r>
          </w:p>
        </w:tc>
        <w:tc>
          <w:tcPr>
            <w:tcW w:type="dxa" w:w="6960"/>
            <w:shd w:fill="FFFFFF" w:val="clear"/>
            <w:tcMar>
              <w:top w:type="dxa" w:w="100"/>
              <w:left w:type="dxa" w:w="160"/>
              <w:bottom w:type="dxa" w:w="100"/>
              <w:right w:type="dxa" w:w="100"/>
            </w:tcMar>
          </w:tcPr>
          <w:p>
            <w:r>
              <w:rPr>
                <w:color w:val="222222"/>
                <w:sz w:val="20"/>
                <w:szCs w:val="20"/>
              </w:rPr>
              <w:t xml:space="preserve">4 Members</w:t>
            </w:r>
          </w:p>
        </w:tc>
      </w:tr>
    </w:tbl>
    <w:p>
      <w:pPr>
        <w:spacing w:before="200"/>
      </w:pPr>
    </w:p>
    <w:p>
      <w:pPr>
        <w:pBdr>
          <w:bottom w:val="single" w:color="1D9E75" w:sz="6"/>
        </w:pBdr>
        <w:spacing w:after="100" w:before="240"/>
      </w:pPr>
      <w:r>
        <w:rPr>
          <w:b/>
          <w:bCs/>
          <w:color w:val="1B2A4A"/>
          <w:sz w:val="24"/>
          <w:szCs w:val="24"/>
        </w:rPr>
        <w:t xml:space="preserve">Abstract</w:t>
      </w:r>
    </w:p>
    <w:p>
      <w:pPr>
        <w:spacing w:after="120" w:before="60" w:line="300"/>
        <w:jc w:val="both"/>
      </w:pPr>
      <w:r>
        <w:rPr>
          <w:color w:val="222222"/>
          <w:sz w:val="22"/>
          <w:szCs w:val="22"/>
        </w:rPr>
        <w:t xml:space="preserve">Hiring decisions depend heavily on setting and evaluating a fair, competitive salary, yet this remains difficult for both sides of the process. Recruiters and HR teams often lack a data-backed benchmark when creating a new job posting, risking either overpaying and wasting budget or underpaying and losing strong candidates to competitors. At the same time, job seekers struggle to judge whether a given role's compensation genuinely matches their experience and skill set. This project addresses both sides of this problem through a single, shared machine learning engine.</w:t>
      </w:r>
    </w:p>
    <w:p>
      <w:pPr>
        <w:spacing w:after="120" w:before="60" w:line="300"/>
        <w:jc w:val="both"/>
      </w:pPr>
      <w:r>
        <w:rPr>
          <w:color w:val="222222"/>
          <w:sz w:val="22"/>
          <w:szCs w:val="22"/>
        </w:rPr>
        <w:t xml:space="preserve">Using the LinkedIn Job Postings (2023–2024) dataset, eleven relational CSV files were merged into one master table of 123,849 job postings across 37 attributes, spanning job descriptions, required skills, experience level, location, and company profile information. A regression model is trained to predict normalized_salary — an annualised, currency-normalised compensation figure — from these job and company characteristics, using the 36,073 postings that disclose salary. Feature importance analysis further identifies which specific factors, such as required skills, seniority level, location, and company scale, most strongly influence compensation.</w:t>
      </w:r>
    </w:p>
    <w:p>
      <w:pPr>
        <w:spacing w:after="120" w:before="60" w:line="300"/>
        <w:jc w:val="both"/>
      </w:pPr>
      <w:r>
        <w:rPr>
          <w:color w:val="222222"/>
          <w:sz w:val="22"/>
          <w:szCs w:val="22"/>
        </w:rPr>
        <w:t xml:space="preserve">The trained model powers two complementary interfaces. On the employer side, a recruiter enters a new job's title, description, and requirements and receives a predicted competitive salary range alongside a Generative-AI-authored justification report explaining the recommendation. On the candidate side, a job seeker uploads their resume; the system extracts their skills and experience, compares them against a selected job posting, and reports an experience-fit assessment, a skill-gap analysis, and the expected salary for that role. Both interfaces are additionally supported by a Retrieval-Augmented Generation (RAG) chatbot: job postings are embedded and indexed in a FAISS vector store, so that natural-language questions from either audience — such as ‘what is a competitive salary for a Senior Data Scientist role in Bangalore requiring Python and AWS’ — are answered using retrieved, real comparable postings rather than the language model's own unverified knowledge.</w:t>
      </w:r>
    </w:p>
    <w:p>
      <w:pPr>
        <w:spacing w:after="120" w:before="60" w:line="300"/>
        <w:jc w:val="both"/>
      </w:pPr>
      <w:r>
        <w:rPr>
          <w:color w:val="222222"/>
          <w:sz w:val="22"/>
          <w:szCs w:val="22"/>
        </w:rPr>
        <w:t xml:space="preserve">Beyond the primary regression task, the project incorporates unsupervised clustering to discover natural job families from title, skill, and location similarity, and a supporting classification module to predict experience level for postings where employers left this field unspecified. Together, these components demonstrate a complete pipeline spanning data engineering, classical machine learning, deep learning, and Generative AI — unified around a single, practically motivated business problem: helping both employers and candidates arrive at a fair, defensible salary conversation.</w:t>
      </w:r>
    </w:p>
    <w:p>
      <w:pPr>
        <w:pBdr>
          <w:bottom w:val="single" w:color="1D9E75" w:sz="6"/>
        </w:pBdr>
        <w:spacing w:after="100" w:before="240"/>
      </w:pPr>
      <w:r>
        <w:rPr>
          <w:b/>
          <w:bCs/>
          <w:color w:val="1B2A4A"/>
          <w:sz w:val="24"/>
          <w:szCs w:val="24"/>
        </w:rPr>
        <w:t xml:space="preserve">Keywords</w:t>
      </w:r>
    </w:p>
    <w:p>
      <w:pPr>
        <w:pStyle w:val="ListParagraph"/>
        <w:numPr>
          <w:ilvl w:val="0"/>
          <w:numId w:val="1"/>
        </w:numPr>
        <w:spacing w:after="40" w:before="40"/>
        <w:ind w:left="380" w:hanging="260"/>
      </w:pPr>
      <w:r>
        <w:rPr>
          <w:color w:val="222222"/>
          <w:sz w:val="21"/>
          <w:szCs w:val="21"/>
        </w:rPr>
        <w:t xml:space="preserve">Salary Prediction · Regression · Resume-Job Matching · Retrieval-Augmented Generation (RAG) · FAISS · Feature Importance · LinkedIn Job Postings Dataset · Generative AI · Job Clustering</w:t>
      </w:r>
    </w:p>
    <w:p>
      <w:pPr>
        <w:pBdr>
          <w:bottom w:val="single" w:color="1D9E75" w:sz="6"/>
        </w:pBdr>
        <w:spacing w:after="100" w:before="240"/>
      </w:pPr>
      <w:r>
        <w:rPr>
          <w:b/>
          <w:bCs/>
          <w:color w:val="1B2A4A"/>
          <w:sz w:val="24"/>
          <w:szCs w:val="24"/>
        </w:rPr>
        <w:t xml:space="preserve">Key Contributions</w:t>
      </w:r>
    </w:p>
    <w:p>
      <w:pPr>
        <w:pStyle w:val="ListParagraph"/>
        <w:numPr>
          <w:ilvl w:val="0"/>
          <w:numId w:val="1"/>
        </w:numPr>
        <w:spacing w:after="40" w:before="40"/>
        <w:ind w:left="380" w:hanging="260"/>
      </w:pPr>
      <w:r>
        <w:rPr>
          <w:color w:val="222222"/>
          <w:sz w:val="21"/>
          <w:szCs w:val="21"/>
        </w:rPr>
        <w:t xml:space="preserve">A merged, 37-column dataset of 123,849 job postings built from eleven relational LinkedIn CSV files.</w:t>
      </w:r>
    </w:p>
    <w:p>
      <w:pPr>
        <w:pStyle w:val="ListParagraph"/>
        <w:numPr>
          <w:ilvl w:val="0"/>
          <w:numId w:val="1"/>
        </w:numPr>
        <w:spacing w:after="40" w:before="40"/>
        <w:ind w:left="380" w:hanging="260"/>
      </w:pPr>
      <w:r>
        <w:rPr>
          <w:color w:val="222222"/>
          <w:sz w:val="21"/>
          <w:szCs w:val="21"/>
        </w:rPr>
        <w:t xml:space="preserve">A regression model predicting normalized_salary, with interpretable feature-importance analysis of what drives compensation.</w:t>
      </w:r>
    </w:p>
    <w:p>
      <w:pPr>
        <w:pStyle w:val="ListParagraph"/>
        <w:numPr>
          <w:ilvl w:val="0"/>
          <w:numId w:val="1"/>
        </w:numPr>
        <w:spacing w:after="40" w:before="40"/>
        <w:ind w:left="380" w:hanging="260"/>
      </w:pPr>
      <w:r>
        <w:rPr>
          <w:color w:val="222222"/>
          <w:sz w:val="21"/>
          <w:szCs w:val="21"/>
        </w:rPr>
        <w:t xml:space="preserve">Two audience-specific interfaces — employer salary benchmarking and candidate fit assessment — built on one shared model.</w:t>
      </w:r>
    </w:p>
    <w:p>
      <w:pPr>
        <w:pStyle w:val="ListParagraph"/>
        <w:numPr>
          <w:ilvl w:val="0"/>
          <w:numId w:val="1"/>
        </w:numPr>
        <w:spacing w:after="40" w:before="40"/>
        <w:ind w:left="380" w:hanging="260"/>
      </w:pPr>
      <w:r>
        <w:rPr>
          <w:color w:val="222222"/>
          <w:sz w:val="21"/>
          <w:szCs w:val="21"/>
        </w:rPr>
        <w:t xml:space="preserve">A RAG-based conversational assistant grounded in real job posting data via a FAISS vector store.</w:t>
      </w:r>
    </w:p>
    <w:p>
      <w:pPr>
        <w:pStyle w:val="ListParagraph"/>
        <w:numPr>
          <w:ilvl w:val="0"/>
          <w:numId w:val="1"/>
        </w:numPr>
        <w:spacing w:after="40" w:before="40"/>
        <w:ind w:left="380" w:hanging="260"/>
      </w:pPr>
      <w:r>
        <w:rPr>
          <w:color w:val="222222"/>
          <w:sz w:val="21"/>
          <w:szCs w:val="21"/>
        </w:rPr>
        <w:t xml:space="preserve">Supporting unsupervised clustering and experience-level classification modules extending the core system.</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2026-07-22T07:42:42.460Z</dcterms:created>
  <dcterms:modified xsi:type="dcterms:W3CDTF">2026-07-22T07:42:42.473Z</dcterms:modified>
</cp:coreProperties>
</file>

<file path=docProps/custom.xml><?xml version="1.0" encoding="utf-8"?>
<Properties xmlns="http://schemas.openxmlformats.org/officeDocument/2006/custom-properties" xmlns:vt="http://schemas.openxmlformats.org/officeDocument/2006/docPropsVTypes"/>
</file>