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7"/>
        <w:pBdr/>
        <w:spacing/>
        <w:ind/>
        <w:rPr/>
      </w:pPr>
      <w:r>
        <w:t xml:space="preserve">Session-Persistent Test-Time Training for Language Models: Methodology and Empirical Analysis</w:t>
      </w:r>
      <w:r/>
    </w:p>
    <w:p>
      <w:pPr>
        <w:pStyle w:val="879"/>
        <w:pBdr/>
        <w:spacing/>
        <w:ind/>
        <w:rPr/>
      </w:pPr>
      <w:r>
        <w:t xml:space="preserve">Undergraduate Research Proposal</w:t>
      </w:r>
      <w:r/>
    </w:p>
    <w:p>
      <w:pPr>
        <w:pStyle w:val="881"/>
        <w:pBdr/>
        <w:spacing/>
        <w:ind/>
        <w:rPr/>
      </w:pPr>
      <w:r>
        <w:t xml:space="preserve">[Your Name]</w:t>
      </w:r>
      <w:r/>
    </w:p>
    <w:p>
      <w:pPr>
        <w:pStyle w:val="882"/>
        <w:pBdr/>
        <w:spacing/>
        <w:ind/>
        <w:rPr/>
      </w:pPr>
      <w:r>
        <w:t xml:space="preserve">[DD Month 2026]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921"/>
            <w:pBdr/>
            <w:spacing/>
            <w:ind/>
            <w:rPr/>
          </w:pPr>
          <w:r>
            <w:t xml:space="preserve">Table of Contents</w:t>
          </w:r>
          <w:r/>
        </w:p>
        <w:p>
          <w:pPr>
            <w:pBdr/>
            <w:spacing/>
            <w:ind/>
            <w:rPr/>
          </w:pPr>
          <w:r>
            <w:fldChar w:fldCharType="begin"/>
            <w:instrText xml:space="preserve">TOC \o "1-2" \h \z \u</w:instrText>
            <w:fldChar w:fldCharType="separate"/>
            <w:fldChar w:fldCharType="end"/>
          </w:r>
          <w:r/>
        </w:p>
      </w:sdtContent>
    </w:sdt>
    <w:p>
      <w:pPr>
        <w:pStyle w:val="886"/>
        <w:pBdr/>
        <w:spacing/>
        <w:ind/>
        <w:rPr/>
      </w:pPr>
      <w:r/>
      <w:bookmarkStart w:id="20" w:name="cover-sheet"/>
      <w:r>
        <w:t xml:space="preserve">Cover Sheet</w:t>
      </w:r>
      <w:r/>
    </w:p>
    <w:p>
      <w:pPr>
        <w:pStyle w:val="875"/>
        <w:pBdr/>
        <w:spacing/>
        <w:ind/>
        <w:rPr/>
      </w:pPr>
      <w:r>
        <w:rPr>
          <w:b/>
          <w:bCs/>
        </w:rPr>
        <w:t xml:space="preserve">Undergraduate Research Proposal</w:t>
      </w:r>
      <w:r/>
    </w:p>
    <w:p>
      <w:pPr>
        <w:pStyle w:val="874"/>
        <w:pBdr/>
        <w:spacing/>
        <w:ind/>
        <w:rPr/>
      </w:pPr>
      <w:r>
        <w:rPr>
          <w:i/>
          <w:iCs/>
        </w:rPr>
        <w:t xml:space="preserve">[KIC + NIBM Logos]</w:t>
      </w:r>
      <w:r/>
    </w:p>
    <w:p>
      <w:pPr>
        <w:pStyle w:val="874"/>
        <w:pBdr/>
        <w:spacing/>
        <w:ind/>
        <w:rPr/>
      </w:pPr>
      <w:r>
        <w:rPr>
          <w:b/>
          <w:bCs/>
        </w:rPr>
        <w:t xml:space="preserve">Proposed Study Title</w:t>
      </w:r>
      <w:r/>
    </w:p>
    <w:p>
      <w:pPr>
        <w:pStyle w:val="874"/>
        <w:pBdr/>
        <w:spacing/>
        <w:ind/>
        <w:rPr/>
      </w:pPr>
      <w:r>
        <w:t xml:space="preserve">Session-Persistent Test-Time Training for Language Models: Methodology and Empirical Analysis</w:t>
      </w:r>
      <w:r/>
    </w:p>
    <w:p>
      <w:pPr>
        <w:pStyle w:val="874"/>
        <w:pBdr/>
        <w:spacing/>
        <w:ind/>
        <w:rPr/>
      </w:pPr>
      <w:r>
        <w:rPr>
          <w:b/>
          <w:bCs/>
        </w:rPr>
        <w:t xml:space="preserve">Name of the Researcher</w:t>
      </w:r>
      <w:r/>
    </w:p>
    <w:p>
      <w:pPr>
        <w:pStyle w:val="874"/>
        <w:pBdr/>
        <w:spacing/>
        <w:ind/>
        <w:rPr/>
      </w:pPr>
      <w:r>
        <w:t xml:space="preserve">[Your Name]</w:t>
      </w:r>
      <w:r/>
    </w:p>
    <w:p>
      <w:pPr>
        <w:pStyle w:val="874"/>
        <w:pBdr/>
        <w:spacing/>
        <w:ind/>
        <w:rPr/>
      </w:pPr>
      <w:r>
        <w:t xml:space="preserve">Kandy Innovation Centre,</w:t>
      </w:r>
      <w:r>
        <w:t xml:space="preserve"> </w:t>
      </w:r>
      <w:r>
        <w:t xml:space="preserve">National Institute of Business Management,</w:t>
      </w:r>
      <w:r>
        <w:t xml:space="preserve"> </w:t>
      </w:r>
      <w:r>
        <w:t xml:space="preserve">1095, Kandy – Colombo Rd, Getambe.</w:t>
      </w:r>
      <w:r/>
    </w:p>
    <w:p>
      <w:pPr>
        <w:pStyle w:val="874"/>
        <w:pBdr/>
        <w:spacing/>
        <w:ind/>
        <w:rPr/>
      </w:pPr>
      <w:r>
        <w:rPr>
          <w:b/>
          <w:bCs/>
        </w:rPr>
        <w:t xml:space="preserve">Date of Submission:</w:t>
      </w:r>
      <w:r>
        <w:t xml:space="preserve"> </w:t>
      </w:r>
      <w:r>
        <w:t xml:space="preserve">[DD Month 2026]</w:t>
      </w:r>
      <w:bookmarkEnd w:id="20"/>
      <w:r/>
      <w:r/>
    </w:p>
    <w:p>
      <w:pPr>
        <w:pStyle w:val="886"/>
        <w:pBdr/>
        <w:spacing/>
        <w:ind/>
        <w:rPr/>
      </w:pPr>
      <w:r/>
      <w:bookmarkStart w:id="21" w:name="table-of-contents"/>
      <w:r>
        <w:t xml:space="preserve">Table of Contents</w:t>
      </w:r>
      <w:r/>
    </w:p>
    <w:p>
      <w:pPr>
        <w:pStyle w:val="875"/>
        <w:pBdr/>
        <w:spacing/>
        <w:ind/>
        <w:rPr/>
      </w:pPr>
      <w:r>
        <w:rPr>
          <w:i/>
          <w:iCs/>
        </w:rPr>
        <w:t xml:space="preserve">[Auto-generate in MS Word: References → Table of Contents → Automatic Table 1.]</w:t>
      </w:r>
      <w:bookmarkEnd w:id="21"/>
      <w:r/>
      <w:r/>
    </w:p>
    <w:p>
      <w:pPr>
        <w:pStyle w:val="886"/>
        <w:pBdr/>
        <w:spacing/>
        <w:ind/>
        <w:rPr/>
      </w:pPr>
      <w:r/>
      <w:bookmarkStart w:id="26" w:name="X91fe5f11272f6350a53e8d6032878c1f403e467"/>
      <w:r>
        <w:t xml:space="preserve">1. Details of the Individual Research Project</w:t>
      </w:r>
      <w:r/>
    </w:p>
    <w:p>
      <w:pPr>
        <w:pStyle w:val="887"/>
        <w:pBdr/>
        <w:spacing/>
        <w:ind/>
        <w:rPr/>
      </w:pPr>
      <w:r/>
      <w:bookmarkStart w:id="22" w:name="proposed-study-title"/>
      <w:r>
        <w:t xml:space="preserve">Proposed Study Title</w:t>
      </w:r>
      <w:r/>
    </w:p>
    <w:p>
      <w:pPr>
        <w:pStyle w:val="875"/>
        <w:pBdr/>
        <w:spacing/>
        <w:ind/>
        <w:rPr/>
      </w:pPr>
      <w:r>
        <w:t xml:space="preserve">Session-Persistent Test-Time Training for Language Models: Methodology and Empirical Analysis</w:t>
      </w:r>
      <w:bookmarkEnd w:id="22"/>
      <w:r/>
      <w:r/>
    </w:p>
    <w:p>
      <w:pPr>
        <w:pStyle w:val="887"/>
        <w:pBdr/>
        <w:spacing/>
        <w:ind/>
        <w:rPr/>
      </w:pPr>
      <w:r/>
      <w:bookmarkStart w:id="23" w:name="details-of-the-researcher"/>
      <w:r>
        <w:t xml:space="preserve">Details of the Researcher</w:t>
      </w:r>
      <w:r/>
    </w:p>
    <w:p>
      <w:pPr>
        <w:pStyle w:val="876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 xml:space="preserve">[Your Name]</w:t>
      </w:r>
      <w:r/>
    </w:p>
    <w:p>
      <w:pPr>
        <w:pStyle w:val="876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Institutional Affiliation:</w:t>
      </w:r>
      <w:r>
        <w:t xml:space="preserve"> </w:t>
      </w:r>
      <w:r>
        <w:t xml:space="preserve">Kandy Innovation Centre, National Institute of Business Management, 1095, Kandy – Colombo Rd, Getambe.</w:t>
      </w:r>
      <w:r/>
    </w:p>
    <w:p>
      <w:pPr>
        <w:pStyle w:val="876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Student Registration Number:</w:t>
      </w:r>
      <w:r>
        <w:t xml:space="preserve"> </w:t>
      </w:r>
      <w:r>
        <w:t xml:space="preserve">[Reg. No.]</w:t>
      </w:r>
      <w:r/>
    </w:p>
    <w:p>
      <w:pPr>
        <w:pStyle w:val="876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Telephone No:</w:t>
      </w:r>
      <w:r>
        <w:t xml:space="preserve"> </w:t>
      </w:r>
      <w:r>
        <w:t xml:space="preserve">[Mobile]</w:t>
      </w:r>
      <w:r/>
    </w:p>
    <w:p>
      <w:pPr>
        <w:pStyle w:val="876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E-mail:</w:t>
      </w:r>
      <w:r>
        <w:t xml:space="preserve"> </w:t>
      </w:r>
      <w:r>
        <w:t xml:space="preserve">chat.wilerathna@gmail.com</w:t>
      </w:r>
      <w:bookmarkEnd w:id="23"/>
      <w:r/>
      <w:r/>
    </w:p>
    <w:p>
      <w:pPr>
        <w:pStyle w:val="887"/>
        <w:pBdr/>
        <w:spacing/>
        <w:ind/>
        <w:rPr/>
      </w:pPr>
      <w:r/>
      <w:bookmarkStart w:id="24" w:name="details-of-internal-supervisors"/>
      <w:r>
        <w:t xml:space="preserve">Details of Internal Supervisor(s)</w:t>
      </w:r>
      <w:r/>
    </w:p>
    <w:p>
      <w:pPr>
        <w:pStyle w:val="876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 xml:space="preserve">[Supervisor Name]</w:t>
      </w:r>
      <w:r/>
    </w:p>
    <w:p>
      <w:pPr>
        <w:pStyle w:val="876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Institutional Affiliation:</w:t>
      </w:r>
      <w:r>
        <w:t xml:space="preserve"> </w:t>
      </w:r>
      <w:r>
        <w:t xml:space="preserve">Kandy Innovation Centre, National Institute of Business Management, 1095, Kandy – Colombo Rd, Getambe.</w:t>
      </w:r>
      <w:r/>
    </w:p>
    <w:p>
      <w:pPr>
        <w:pStyle w:val="876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Telephone No (s):</w:t>
      </w:r>
      <w:r>
        <w:t xml:space="preserve"> </w:t>
      </w:r>
      <w:r>
        <w:t xml:space="preserve">Mobile: [ ] / Official: [ ]</w:t>
      </w:r>
      <w:r/>
    </w:p>
    <w:p>
      <w:pPr>
        <w:pStyle w:val="876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E-mail (s):</w:t>
      </w:r>
      <w:r>
        <w:t xml:space="preserve"> </w:t>
      </w:r>
      <w:r>
        <w:t xml:space="preserve">[ ]</w:t>
      </w:r>
      <w:bookmarkEnd w:id="24"/>
      <w:r/>
      <w:r/>
    </w:p>
    <w:p>
      <w:pPr>
        <w:pStyle w:val="887"/>
        <w:pBdr/>
        <w:spacing/>
        <w:ind/>
        <w:rPr/>
      </w:pPr>
      <w:r/>
      <w:bookmarkStart w:id="25" w:name="name-of-external-supervisors"/>
      <w:r>
        <w:t xml:space="preserve">Name of External Supervisor(s)</w:t>
      </w:r>
      <w:r/>
    </w:p>
    <w:p>
      <w:pPr>
        <w:pStyle w:val="876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 xml:space="preserve">[If any, otherwise</w:t>
      </w:r>
      <w:r>
        <w:t xml:space="preserve"> </w:t>
      </w:r>
      <w:r>
        <w:t xml:space="preserve">“Not Applicable”</w:t>
      </w:r>
      <w:r>
        <w:t xml:space="preserve">]</w:t>
      </w:r>
      <w:r/>
    </w:p>
    <w:p>
      <w:pPr>
        <w:pStyle w:val="876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Institutional Affiliation:</w:t>
      </w:r>
      <w:r>
        <w:t xml:space="preserve"> </w:t>
      </w:r>
      <w:r>
        <w:t xml:space="preserve">[ ]</w:t>
      </w:r>
      <w:r/>
    </w:p>
    <w:p>
      <w:pPr>
        <w:pStyle w:val="876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Telephone No (s):</w:t>
      </w:r>
      <w:r>
        <w:t xml:space="preserve"> </w:t>
      </w:r>
      <w:r>
        <w:t xml:space="preserve">Mobile: [ ] / Official: [ ]</w:t>
      </w:r>
      <w:r/>
    </w:p>
    <w:p>
      <w:pPr>
        <w:pStyle w:val="876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E-mail (s):</w:t>
      </w:r>
      <w:r>
        <w:t xml:space="preserve"> </w:t>
      </w:r>
      <w:r>
        <w:t xml:space="preserve">[ ]</w:t>
      </w:r>
      <w:bookmarkEnd w:id="25"/>
      <w:r/>
      <w:bookmarkEnd w:id="26"/>
      <w:r/>
      <w:r/>
    </w:p>
    <w:p>
      <w:pPr>
        <w:pStyle w:val="886"/>
        <w:pBdr/>
        <w:spacing/>
        <w:ind/>
        <w:rPr/>
      </w:pPr>
      <w:r/>
      <w:bookmarkStart w:id="30" w:name="introduction"/>
      <w:r>
        <w:t xml:space="preserve">2. Introduction</w:t>
      </w:r>
      <w:r/>
    </w:p>
    <w:p>
      <w:pPr>
        <w:pStyle w:val="887"/>
        <w:pBdr/>
        <w:spacing/>
        <w:ind/>
        <w:rPr/>
      </w:pPr>
      <w:r/>
      <w:bookmarkStart w:id="27" w:name="background-information"/>
      <w:r>
        <w:t xml:space="preserve">Background Information</w:t>
      </w:r>
      <w:r/>
    </w:p>
    <w:p>
      <w:pPr>
        <w:pStyle w:val="875"/>
        <w:pBdr/>
        <w:spacing/>
        <w:ind/>
        <w:rPr/>
      </w:pPr>
      <w:r>
        <w:t xml:space="preserve">Modern large language models (LLMs) generate predictions with weights that are fixed at inference. Once training completes, every response the model produces comes from the same static parameters,</w:t>
      </w:r>
      <w:r>
        <w:t xml:space="preserve"> regardless of what domain the input belongs to or what the user has recently been writing. This static-weight assumption underpins today’s serving infrastructure but limits how well a model can specialise to the specific context in which it is being used.</w:t>
      </w:r>
      <w:r/>
    </w:p>
    <w:p>
      <w:pPr>
        <w:pStyle w:val="874"/>
        <w:pBdr/>
        <w:spacing/>
        <w:ind/>
        <w:rPr/>
      </w:pPr>
      <w:r>
        <w:t xml:space="preserve">Test-time training (TTT) </w:t>
      </w:r>
      <w:r>
        <w:t xml:space="preserve">relaxes this assumption. First proposed for image classification under distribution shift (Sun et al., 2020), TTT updates a subset of a model’s parameters at inference using a self-supervised loss on the incoming input. In sequence modelling, Sun et al. (2</w:t>
      </w:r>
      <w:r>
        <w:t xml:space="preserve">024) introduced TTT-Linear and TTT-MLP, a family of sequence layers whose hidden state is itself a small learner updated as new tokens arrive. Behrouz et al. (2025) generalised these ideas in Titans, a family of neural long-term memory modules that memoris</w:t>
      </w:r>
      <w:r>
        <w:t xml:space="preserve">e at inference. Fast-weight programmers (Schlag et al., 2021) and meta-learning frameworks such as Model-Agnostic Meta-Learning (Finn et al., 2017) provide theoretical grounding for both the update rules and the outer-loop training signal that shapes them.</w:t>
      </w:r>
      <w:r>
        <w:rPr>
          <w:lang w:val="en-US"/>
        </w:rPr>
      </w:r>
      <w:r/>
    </w:p>
    <w:p>
      <w:pPr>
        <w:pStyle w:val="874"/>
        <w:pBdr/>
        <w:spacing/>
        <w:ind/>
        <w:rPr/>
      </w:pPr>
      <w:r>
        <w:t xml:space="preserve">Most of the above formulate TTT as a new sequence-layer architecture competing with attention. A more recent line — In-Place TTT (Feng et al., 2026) — instead retrofits pretrained transformer models by updating existing MLP down-projections with chunk-par</w:t>
      </w:r>
      <w:r>
        <w:t xml:space="preserve">allel rank-one writes during the forward pass. This makes TTT applicable to any pretrained transformer without redesigning the model from scratch, and reports substantial gains at long context (e.g., RULER-16k accuracy improving from 6.58 to 19.99). Howeve</w:t>
      </w:r>
      <w:r>
        <w:t xml:space="preserve">r, In-Place TTT’s fast weight is reset per document: adaptation obtained on one input does not persist to the next. The natural next question — whether the adapted state can be usefully carried across items within a user’s session — is left as future work.</w:t>
      </w:r>
      <w:bookmarkEnd w:id="27"/>
      <w:r/>
      <w:r/>
    </w:p>
    <w:p>
      <w:pPr>
        <w:pStyle w:val="887"/>
        <w:pBdr/>
        <w:spacing/>
        <w:ind/>
        <w:rPr/>
      </w:pPr>
      <w:r/>
      <w:bookmarkStart w:id="28" w:name="research-problem"/>
      <w:r>
        <w:t xml:space="preserve">Research Problem</w:t>
      </w:r>
      <w:r/>
    </w:p>
    <w:p>
      <w:pPr>
        <w:pStyle w:val="875"/>
        <w:pBdr/>
        <w:spacing/>
        <w:ind/>
        <w:rPr/>
      </w:pPr>
      <w:r>
        <w:t xml:space="preserve">Existing plug-in test-time training methods operate at </w:t>
      </w:r>
      <w:r>
        <w:t xml:space="preserve">the granularity of a single document. Their adapted state is discarded at each document boundary, and no published method for pretrained language models both persists the fast weight across items in a session and initialises that persistent state from a me</w:t>
      </w:r>
      <w:r>
        <w:t xml:space="preserve">ta-learned per-source starting point. As a result, the potential benefits of such session-persistent adaptation, the conditions under which it helps, and its interactions with source domain, session length, and configuration choices remain uncharacterised.</w:t>
      </w:r>
      <w:bookmarkEnd w:id="28"/>
      <w:r/>
      <w:r/>
    </w:p>
    <w:p>
      <w:pPr>
        <w:pStyle w:val="887"/>
        <w:pBdr/>
        <w:spacing/>
        <w:ind/>
        <w:rPr/>
      </w:pPr>
      <w:r/>
      <w:bookmarkStart w:id="29" w:name="rationale"/>
      <w:r>
        <w:t xml:space="preserve">Rationale</w:t>
      </w:r>
      <w:r/>
    </w:p>
    <w:p>
      <w:pPr>
        <w:pStyle w:val="875"/>
        <w:pBdr/>
        <w:spacing/>
        <w:ind/>
        <w:rPr/>
      </w:pPr>
      <w:r>
        <w:t xml:space="preserve">Understanding session-persistent test-time training matters</w:t>
      </w:r>
      <w:r>
        <w:t xml:space="preserve"> for three reasons. First, from a scientific standpoint, characterising how test-time adaptation compounds across items reveals which parts of language-model quality come from static pretrained knowledge versus dynamically accumulated adaptation. Second, f</w:t>
      </w:r>
      <w:r>
        <w:t xml:space="preserve">rom a methodological standpoint, integrating session-persistent state and meta-learned initialisation into a plug-in retrofit framework broadens the design space of test-time training beyond single-document adaptation. Third, from a practical standpoint, a</w:t>
      </w:r>
      <w:r>
        <w:t xml:space="preserve"> well-analysed method — one that documents when it helps, when it does not, and why — is more useful to future researchers and practitioners than a black-box mechanism claiming aggregate improvements. This project provides both the method and the analysis.</w:t>
      </w:r>
      <w:bookmarkEnd w:id="29"/>
      <w:r/>
      <w:bookmarkEnd w:id="30"/>
      <w:r/>
      <w:r/>
    </w:p>
    <w:p>
      <w:pPr>
        <w:pStyle w:val="886"/>
        <w:pBdr/>
        <w:spacing/>
        <w:ind/>
        <w:rPr/>
      </w:pPr>
      <w:r/>
      <w:bookmarkStart w:id="33" w:name="objectives"/>
      <w:r>
        <w:t xml:space="preserve">3. Objectives</w:t>
      </w:r>
      <w:r/>
    </w:p>
    <w:p>
      <w:pPr>
        <w:pStyle w:val="887"/>
        <w:pBdr/>
        <w:spacing/>
        <w:ind/>
        <w:rPr/>
      </w:pPr>
      <w:r/>
      <w:bookmarkStart w:id="31" w:name="primary-overall-objective"/>
      <w:r>
        <w:t xml:space="preserve">Primary / Overall Objective</w:t>
      </w:r>
      <w:r/>
    </w:p>
    <w:p>
      <w:pPr>
        <w:pStyle w:val="875"/>
        <w:pBdr/>
        <w:spacing/>
        <w:ind/>
        <w:rPr/>
      </w:pPr>
      <w:r>
        <w:t xml:space="preserve">To develop and empirically analyse a session-persistent test-time training method for pretrained language models, characterising its behaviour across source domains, session lengths, and configuration axes.</w:t>
      </w:r>
      <w:bookmarkEnd w:id="31"/>
      <w:r/>
      <w:r/>
    </w:p>
    <w:p>
      <w:pPr>
        <w:pStyle w:val="887"/>
        <w:pBdr/>
        <w:spacing/>
        <w:ind/>
        <w:rPr/>
      </w:pPr>
      <w:r/>
      <w:bookmarkStart w:id="32" w:name="specific-research-objectives"/>
      <w:r>
        <w:t xml:space="preserve">Specific Research Objectives</w:t>
      </w:r>
      <w:r/>
    </w:p>
    <w:p>
      <w:pPr>
        <w:pStyle w:val="875"/>
        <w:pBdr/>
        <w:spacing/>
        <w:ind/>
        <w:rPr/>
      </w:pPr>
      <w:r>
        <w:rPr>
          <w:b/>
          <w:bCs/>
        </w:rPr>
        <w:t xml:space="preserve">SO1.</w:t>
      </w:r>
      <w:r>
        <w:t xml:space="preserve"> </w:t>
      </w:r>
      <w:r>
        <w:t xml:space="preserve">Design a session-persistent test-time training method that extends the plug-in test-time training paradigm (In-Place TTT) with (a) cross-document persistence of the fast weight, and (b) a meta-learned per-source initialisation for that persistent state.</w:t>
      </w:r>
      <w:r/>
    </w:p>
    <w:p>
      <w:pPr>
        <w:pStyle w:val="874"/>
        <w:pBdr/>
        <w:spacing/>
        <w:ind/>
        <w:rPr/>
      </w:pPr>
      <w:r>
        <w:rPr>
          <w:b/>
          <w:bCs/>
        </w:rPr>
        <w:t xml:space="preserve">SO2.</w:t>
      </w:r>
      <w:r>
        <w:t xml:space="preserve"> </w:t>
      </w:r>
      <w:r>
        <w:t xml:space="preserve">Implement the method as a retrofit on a pretrained transformer language model and establish an evaluation harness that isolates each component’s contribution.</w:t>
      </w:r>
      <w:r/>
    </w:p>
    <w:p>
      <w:pPr>
        <w:pStyle w:val="874"/>
        <w:pBdr/>
        <w:spacing/>
        <w:ind/>
        <w:rPr/>
      </w:pPr>
      <w:r>
        <w:rPr>
          <w:b/>
          <w:bCs/>
        </w:rPr>
        <w:t xml:space="preserve">SO3.</w:t>
      </w:r>
      <w:r>
        <w:t xml:space="preserve"> </w:t>
      </w:r>
      <w:r>
        <w:t xml:space="preserve">Conduct an empirical analysis characterising the method’s behaviour across source domains, session lengths, and key configuration choices, using rigorous per-source token-weighted metrics with bootstrap confidence intervals.</w:t>
      </w:r>
      <w:r/>
    </w:p>
    <w:p>
      <w:pPr>
        <w:pStyle w:val="874"/>
        <w:pBdr/>
        <w:spacing/>
        <w:ind/>
        <w:rPr/>
      </w:pPr>
      <w:r>
        <w:rPr>
          <w:b/>
          <w:bCs/>
        </w:rPr>
        <w:t xml:space="preserve">SO4.</w:t>
      </w:r>
      <w:r>
        <w:t xml:space="preserve"> </w:t>
      </w:r>
      <w:r>
        <w:t xml:space="preserve">Synthesise the analysis into a discussion of when the method helps, when it does not, and how offline meta-learned initialisation interacts with online cross-item adaptation.</w:t>
      </w:r>
      <w:bookmarkEnd w:id="32"/>
      <w:r/>
      <w:bookmarkEnd w:id="33"/>
      <w:r/>
      <w:r/>
    </w:p>
    <w:p>
      <w:pPr>
        <w:pStyle w:val="886"/>
        <w:pBdr/>
        <w:spacing/>
        <w:ind/>
        <w:rPr/>
      </w:pPr>
      <w:r/>
      <w:bookmarkStart w:id="42" w:name="proposed-research-methods"/>
      <w:r>
        <w:t xml:space="preserve">4. Proposed Research Methods</w:t>
      </w:r>
      <w:r/>
    </w:p>
    <w:p>
      <w:pPr>
        <w:pStyle w:val="887"/>
        <w:pBdr/>
        <w:spacing/>
        <w:ind/>
        <w:rPr/>
      </w:pPr>
      <w:r/>
      <w:bookmarkStart w:id="34" w:name="general-description-of-the-study-field"/>
      <w:r>
        <w:t xml:space="preserve">General Description of the Study Field</w:t>
      </w:r>
      <w:r/>
    </w:p>
    <w:p>
      <w:pPr>
        <w:pStyle w:val="875"/>
        <w:pBdr/>
        <w:spacing/>
        <w:ind/>
        <w:rPr/>
      </w:pPr>
      <w:r>
        <w:t xml:space="preserve">The study lies at the intersection of test-time adap</w:t>
      </w:r>
      <w:r>
        <w:t xml:space="preserve">tation, meta-learning, and language modelling. Experiments will be conducted on decoder-only transformer language models in the 0.6B–1.7B parameter range — small enough to run multiple training and evaluation configurations within a modest cloud-compute bu</w:t>
      </w:r>
      <w:r>
        <w:t xml:space="preserve">dget, and large enough to exhibit the phenomena reported in the recent test-time-training literature. Evaluation will follow the token-weighted perplexity (PPL) and negative-log-likelihood (NLL) conventions used by Sun et al. (2024) and Feng et al. (2026).</w:t>
      </w:r>
      <w:bookmarkEnd w:id="34"/>
      <w:r/>
      <w:r/>
    </w:p>
    <w:p>
      <w:pPr>
        <w:pStyle w:val="887"/>
        <w:pBdr/>
        <w:spacing/>
        <w:ind/>
        <w:rPr/>
      </w:pPr>
      <w:r/>
      <w:bookmarkStart w:id="35" w:name="research-questions"/>
      <w:r>
        <w:t xml:space="preserve">Research Questions</w:t>
      </w:r>
      <w:r/>
    </w:p>
    <w:p>
      <w:pPr>
        <w:pStyle w:val="875"/>
        <w:pBdr/>
        <w:spacing/>
        <w:ind/>
        <w:rPr/>
      </w:pPr>
      <w:r>
        <w:t xml:space="preserve">The analysis is organised around four research questions:</w:t>
      </w:r>
      <w:r/>
    </w:p>
    <w:p>
      <w:pPr>
        <w:pStyle w:val="876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RQ1.</w:t>
      </w:r>
      <w:r>
        <w:t xml:space="preserve"> </w:t>
      </w:r>
      <w:r>
        <w:t xml:space="preserve">How much does session-persistent state (fast-weight persistence across documents) contribute to language-modelling quality beyond within-document test-time adaptation?</w:t>
      </w:r>
      <w:r/>
    </w:p>
    <w:p>
      <w:pPr>
        <w:pStyle w:val="876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RQ2.</w:t>
      </w:r>
      <w:r>
        <w:t xml:space="preserve"> </w:t>
      </w:r>
      <w:r>
        <w:t xml:space="preserve">Does a meta-learned per-source initialisation add benefit over a zero-initialised persistent carry, and how does that benefit change as session length grows?</w:t>
      </w:r>
      <w:r/>
    </w:p>
    <w:p>
      <w:pPr>
        <w:pStyle w:val="876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RQ3.</w:t>
      </w:r>
      <w:r>
        <w:t xml:space="preserve"> </w:t>
      </w:r>
      <w:r>
        <w:t xml:space="preserve">Does the method’s per-token benefit vary systematically across source domains (e.g., prose-heavy vs. code corpora)?</w:t>
      </w:r>
      <w:r/>
    </w:p>
    <w:p>
      <w:pPr>
        <w:pStyle w:val="876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RQ4.</w:t>
      </w:r>
      <w:r>
        <w:t xml:space="preserve"> </w:t>
      </w:r>
      <w:r>
        <w:t xml:space="preserve">How sensitive is the method to core configuration choices — chunk size, decay of the persistent carry, and choice of seed source?</w:t>
      </w:r>
      <w:r/>
    </w:p>
    <w:p>
      <w:pPr>
        <w:pStyle w:val="875"/>
        <w:pBdr/>
        <w:spacing/>
        <w:ind/>
        <w:rPr/>
      </w:pPr>
      <w:r>
        <w:t xml:space="preserve">Because the specific architectural instantiation is expected to evolve during the project, the research questions are framed at the level of the method’s behaviour rather than any particular implementation detail.</w:t>
      </w:r>
      <w:bookmarkEnd w:id="35"/>
      <w:r/>
      <w:r/>
    </w:p>
    <w:p>
      <w:pPr>
        <w:pStyle w:val="887"/>
        <w:pBdr/>
        <w:spacing/>
        <w:ind/>
        <w:rPr/>
      </w:pPr>
      <w:r/>
      <w:bookmarkStart w:id="36" w:name="Xab950b235dd1524a50c10a43b67367d7cee8c31"/>
      <w:r>
        <w:t xml:space="preserve">Methods for Data Collection</w:t>
      </w:r>
      <w:r>
        <w:t xml:space="preserve"> </w:t>
      </w:r>
      <w:r>
        <w:rPr>
          <w:i/>
          <w:iCs/>
        </w:rPr>
        <w:t xml:space="preserve">(links to SO2, SO3)</w:t>
      </w:r>
      <w:r/>
    </w:p>
    <w:p>
      <w:pPr>
        <w:pStyle w:val="875"/>
        <w:pBdr/>
        <w:spacing/>
        <w:ind/>
        <w:rPr/>
      </w:pPr>
      <w:r>
        <w:t xml:space="preserve">Training and evaluation data will be drawn from SlimPajama (Together AI / DKYoon subsample), a publicly available multi-source </w:t>
      </w:r>
      <w:r>
        <w:t xml:space="preserve">language-modelling corpus that includes ArXiv, Books, C4, GitHub, StackExchange, and Wikipedia. The multi-source composition is essential to RQ3, which asks how the method’s benefit varies across source domains. A deterministic held-out split (last-N-docum</w:t>
      </w:r>
      <w:r>
        <w:t xml:space="preserve">ents policy) will be used to construct evaluation sets. Held-out documents will be tokenised on-the-fly and sampled per-source with sufficient documents (a minimum target of 30 per source) to permit bootstrap confidence intervals on token-weighted metrics.</w:t>
      </w:r>
      <w:r/>
    </w:p>
    <w:p>
      <w:pPr>
        <w:pStyle w:val="874"/>
        <w:pBdr/>
        <w:spacing/>
        <w:ind/>
        <w:rPr/>
      </w:pPr>
      <w:r>
        <w:t xml:space="preserve">Additionally, a small set of synthetic multi-document sessions will be constructed by concatenating held-out documents from a single source, in randomised orders drawn from multiple seeds. These sessions are the primary experimental unit for RQ1 and RQ2.</w:t>
      </w:r>
      <w:r/>
    </w:p>
    <w:p>
      <w:pPr>
        <w:pStyle w:val="874"/>
        <w:pBdr/>
        <w:spacing/>
        <w:ind/>
        <w:rPr/>
      </w:pPr>
      <w:r>
        <w:t xml:space="preserve">No human-subjects data or personally identifiable information will be collected. All datasets are publicly available under permissive research licences; ethical clearance is not required.</w:t>
      </w:r>
      <w:bookmarkEnd w:id="36"/>
      <w:r/>
      <w:r/>
    </w:p>
    <w:p>
      <w:pPr>
        <w:pStyle w:val="887"/>
        <w:pBdr/>
        <w:spacing/>
        <w:ind/>
        <w:rPr/>
      </w:pPr>
      <w:r/>
      <w:bookmarkStart w:id="37" w:name="Xb4c564783456ca62b057bd7dfcb47ac3812a135"/>
      <w:r>
        <w:t xml:space="preserve">Methods for Analyses of Data</w:t>
      </w:r>
      <w:r>
        <w:t xml:space="preserve"> </w:t>
      </w:r>
      <w:r>
        <w:rPr>
          <w:i/>
          <w:iCs/>
        </w:rPr>
        <w:t xml:space="preserve">(links to SO3, SO4)</w:t>
      </w:r>
      <w:r/>
    </w:p>
    <w:p>
      <w:pPr>
        <w:pStyle w:val="875"/>
        <w:pBdr/>
        <w:spacing/>
        <w:ind/>
        <w:rPr/>
      </w:pPr>
      <w:r>
        <w:t xml:space="preserve">The analysis will report token-weighted NLL and PPL per document, per source, and per configuration, together with bootstrap 95% confidence intervals over doc-order seeds.</w:t>
      </w:r>
      <w:r/>
    </w:p>
    <w:p>
      <w:pPr>
        <w:pStyle w:val="874"/>
        <w:pBdr/>
        <w:spacing/>
        <w:ind/>
        <w:rPr/>
      </w:pPr>
      <w:r>
        <w:t xml:space="preserve">The empirical characterisation will be organised into four analyses, each mapped to a research question:</w:t>
      </w:r>
      <w:r/>
    </w:p>
    <w:p>
      <w:pPr>
        <w:pStyle w:val="876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A1 (RQ1).</w:t>
      </w:r>
      <w:r>
        <w:t xml:space="preserve"> </w:t>
      </w:r>
      <w:r>
        <w:rPr>
          <w:i/>
          <w:iCs/>
        </w:rPr>
        <w:t xml:space="preserve">Ablation of cross-document persistence.</w:t>
      </w:r>
      <w:r>
        <w:t xml:space="preserve"> </w:t>
      </w:r>
      <w:r>
        <w:t xml:space="preserve">Compa</w:t>
      </w:r>
      <w:r>
        <w:t xml:space="preserve">re NLL under three regimes: fresh (no test-time adaptation), within-document only (adaptation resets per document), and session-persistent (adaptation carries across documents). The gap between the second and third isolates the cross-document contribution.</w:t>
      </w:r>
      <w:r/>
    </w:p>
    <w:p>
      <w:pPr>
        <w:pStyle w:val="876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A2 (RQ2).</w:t>
      </w:r>
      <w:r>
        <w:t xml:space="preserve"> </w:t>
      </w:r>
      <w:r>
        <w:rPr>
          <w:i/>
          <w:iCs/>
        </w:rPr>
        <w:t xml:space="preserve">Session-length dynamics with and without the seed.</w:t>
      </w:r>
      <w:r>
        <w:t xml:space="preserve"> </w:t>
      </w:r>
      <w:r>
        <w:t xml:space="preserve">Report per-document NLL as a function of position within a synthetic session, contrasting zero-initialised persistence and meta-learned seeded persistence. Characterise how the seed’s contribution changes as the session grows.</w:t>
      </w:r>
      <w:r/>
    </w:p>
    <w:p>
      <w:pPr>
        <w:pStyle w:val="876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A3 (RQ3).</w:t>
      </w:r>
      <w:r>
        <w:t xml:space="preserve"> </w:t>
      </w:r>
      <w:r>
        <w:rPr>
          <w:i/>
          <w:iCs/>
        </w:rPr>
        <w:t xml:space="preserve">Per-source behaviour.</w:t>
      </w:r>
      <w:r>
        <w:t xml:space="preserve"> </w:t>
      </w:r>
      <w:r>
        <w:t xml:space="preserve">Report the analysis of A1 and A2 broken down by source, testing whether the method’s benefits are domain-specific.</w:t>
      </w:r>
      <w:r/>
    </w:p>
    <w:p>
      <w:pPr>
        <w:pStyle w:val="876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A4 (RQ4).</w:t>
      </w:r>
      <w:r>
        <w:t xml:space="preserve"> </w:t>
      </w:r>
      <w:r>
        <w:rPr>
          <w:i/>
          <w:iCs/>
        </w:rPr>
        <w:t xml:space="preserve">Configuration sensitivity.</w:t>
      </w:r>
      <w:r>
        <w:t xml:space="preserve"> </w:t>
      </w:r>
      <w:r>
        <w:t xml:space="preserve">Sweep the two most important configuration parameters (chunk size and the decay coefficient of the persistent carry) to characterise how they modulate the observed behaviour.</w:t>
      </w:r>
      <w:bookmarkEnd w:id="37"/>
      <w:r/>
      <w:r/>
    </w:p>
    <w:p>
      <w:pPr>
        <w:pStyle w:val="887"/>
        <w:pBdr/>
        <w:spacing/>
        <w:ind/>
        <w:rPr/>
      </w:pPr>
      <w:r/>
      <w:bookmarkStart w:id="38" w:name="X144001c8e9713d90d52a37e232edb3aab012b8f"/>
      <w:r>
        <w:t xml:space="preserve">Methods for Implementation of the Solution</w:t>
      </w:r>
      <w:r>
        <w:t xml:space="preserve"> </w:t>
      </w:r>
      <w:r>
        <w:rPr>
          <w:i/>
          <w:iCs/>
        </w:rPr>
        <w:t xml:space="preserve">(links to SO1, SO2)</w:t>
      </w:r>
      <w:r/>
    </w:p>
    <w:p>
      <w:pPr>
        <w:pStyle w:val="875"/>
        <w:pBdr/>
        <w:spacing/>
        <w:ind/>
        <w:rPr/>
      </w:pPr>
      <w:r>
        <w:t xml:space="preserve">The method will be implemented on top of an existing in-place test-time t</w:t>
      </w:r>
      <w:r>
        <w:t xml:space="preserve">raining layer that performs chunk-parallel rank-one updates to the MLP down-projection of selected transformer layers. Three logically independent components will be exposed as configuration switches so that ablations can turn each on and off in isolation:</w:t>
      </w:r>
      <w:r/>
    </w:p>
    <w:p>
      <w:pPr>
        <w:pStyle w:val="876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Within-document adaptation</w:t>
      </w:r>
      <w:r>
        <w:t xml:space="preserve"> </w:t>
      </w:r>
      <w:r>
        <w:t xml:space="preserve">— the standard within-forward chunk-scan update. This inherits from the In-Place TTT baseline.</w:t>
      </w:r>
      <w:r/>
    </w:p>
    <w:p>
      <w:pPr>
        <w:pStyle w:val="876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Cross-document persistence</w:t>
      </w:r>
      <w:r>
        <w:t xml:space="preserve"> </w:t>
      </w:r>
      <w:r>
        <w:t xml:space="preserve">— a mechanism that carries the fast weight across documents within a session rather than resetting it per document.</w:t>
      </w:r>
      <w:r/>
    </w:p>
    <w:p>
      <w:pPr>
        <w:pStyle w:val="876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Meta-learned per-source initialisation</w:t>
      </w:r>
      <w:r>
        <w:t xml:space="preserve"> </w:t>
      </w:r>
      <w:r>
        <w:t xml:space="preserve">— an outer-loop training procedure that maintains a per-source persistent carrier during training and uses it as the initialisation of the persistent state at evaluation.</w:t>
      </w:r>
      <w:r/>
    </w:p>
    <w:p>
      <w:pPr>
        <w:pStyle w:val="875"/>
        <w:pBdr/>
        <w:spacing/>
        <w:ind/>
        <w:rPr/>
      </w:pPr>
      <w:r>
        <w:t xml:space="preserve">The training loop and evaluation harness will support toggling each component independently, which</w:t>
      </w:r>
      <w:r>
        <w:t xml:space="preserve"> is necessary for the ablation analyses (A1–A2). The specific architectural details of the fast-weight update rule may evolve during the project as pilot results inform design choices; the analysis framework is designed to remain valid across such changes.</w:t>
      </w:r>
      <w:bookmarkEnd w:id="38"/>
      <w:r/>
      <w:r/>
    </w:p>
    <w:p>
      <w:pPr>
        <w:pStyle w:val="887"/>
        <w:pBdr/>
        <w:spacing/>
        <w:ind/>
        <w:rPr/>
      </w:pPr>
      <w:r/>
      <w:bookmarkStart w:id="39" w:name="expected-results-and-applications"/>
      <w:r>
        <w:t xml:space="preserve">Expected Results and Applications</w:t>
      </w:r>
      <w:r/>
    </w:p>
    <w:p>
      <w:pPr>
        <w:pStyle w:val="876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Under SO1–SO2:</w:t>
      </w:r>
      <w:r>
        <w:t xml:space="preserve"> </w:t>
      </w:r>
      <w:r>
        <w:t xml:space="preserve">a working implementation of the method at 0.6B (and, resources permitting, 1.7B) parameter scale, integrated with the training pipeline and the evaluation harness. The implementation will be released as open source.</w:t>
      </w:r>
      <w:r/>
    </w:p>
    <w:p>
      <w:pPr>
        <w:pStyle w:val="876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Under SO3:</w:t>
      </w:r>
      <w:r>
        <w:t xml:space="preserve"> </w:t>
      </w:r>
      <w:r>
        <w:t xml:space="preserve">a per-source, per-session-length, per-configuration characterisation surface reported with confidence intervals — i.e., a set of empirical plots and tables answering RQ1–RQ4.</w:t>
      </w:r>
      <w:r/>
    </w:p>
    <w:p>
      <w:pPr>
        <w:pStyle w:val="876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Under SO4:</w:t>
      </w:r>
      <w:r>
        <w:t xml:space="preserve"> </w:t>
      </w:r>
      <w:r>
        <w:t xml:space="preserve">a discussion synthesising the analyses into practical guidance for when session-persistent test-time training helps and when it does not, and a characterisation of how offline meta-learned initialisation interacts with online cross-document adaptation.</w:t>
      </w:r>
      <w:bookmarkEnd w:id="39"/>
      <w:r/>
      <w:r/>
    </w:p>
    <w:p>
      <w:pPr>
        <w:pStyle w:val="887"/>
        <w:pBdr/>
        <w:spacing/>
        <w:ind/>
        <w:rPr/>
      </w:pPr>
      <w:r/>
      <w:bookmarkStart w:id="40" w:name="methods-of-comparing-models-and-results"/>
      <w:r>
        <w:t xml:space="preserve">Methods of Comparing Models and Results</w:t>
      </w:r>
      <w:r/>
    </w:p>
    <w:p>
      <w:pPr>
        <w:pStyle w:val="875"/>
        <w:pBdr/>
        <w:spacing/>
        <w:ind/>
        <w:rPr/>
      </w:pPr>
      <w:r>
        <w:t xml:space="preserve">Comparisons are internal to the analysis: within a configuration, the three ab</w:t>
      </w:r>
      <w:r>
        <w:t xml:space="preserve">lation regimes (fresh / within-only / session-persistent) are compared against each other; across configurations, the per-source characterisation is compared across sources, session lengths, chunk sizes, and decay values. Where applicable, a baseline drawn</w:t>
      </w:r>
      <w:r>
        <w:t xml:space="preserve"> from prior test-time training work (e.g., In-Place TTT run on the same base model and data) will be included as a reference. The project does not aim to top a leaderboard benchmark; the axis of comparison is the mechanism’s behaviour, not aggregate score.</w:t>
      </w:r>
      <w:bookmarkEnd w:id="40"/>
      <w:r/>
      <w:r/>
    </w:p>
    <w:p>
      <w:pPr>
        <w:pStyle w:val="887"/>
        <w:pBdr/>
        <w:spacing/>
        <w:ind/>
        <w:rPr/>
      </w:pPr>
      <w:r/>
      <w:bookmarkStart w:id="41" w:name="resources"/>
      <w:r>
        <w:t xml:space="preserve">Resources</w:t>
      </w:r>
      <w:r/>
    </w:p>
    <w:p>
      <w:pPr>
        <w:pStyle w:val="876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Compute:</w:t>
      </w:r>
      <w:r>
        <w:t xml:space="preserve"> </w:t>
      </w:r>
      <w:r>
        <w:t xml:space="preserve">Modal cloud GPU credits, estimated at ~USD 40–60 for the full set of runs (multiple sources × configurations × doc-order seeds × two model sizes at 300–500 training steps each), available through the researcher’s existing account.</w:t>
      </w:r>
      <w:r/>
    </w:p>
    <w:p>
      <w:pPr>
        <w:pStyle w:val="876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Models:</w:t>
      </w:r>
      <w:r>
        <w:t xml:space="preserve"> </w:t>
      </w:r>
      <w:r>
        <w:t xml:space="preserve">Publicly available pretrained Qwen 3 checkpoints (0.6B and 1.7B) accessed via Hugging Face.</w:t>
      </w:r>
      <w:r/>
    </w:p>
    <w:p>
      <w:pPr>
        <w:pStyle w:val="876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Datasets:</w:t>
      </w:r>
      <w:r>
        <w:t xml:space="preserve"> </w:t>
      </w:r>
      <w:r>
        <w:t xml:space="preserve">SlimPajama-6B (public); no purchase required.</w:t>
      </w:r>
      <w:r/>
    </w:p>
    <w:p>
      <w:pPr>
        <w:pStyle w:val="876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Software:</w:t>
      </w:r>
      <w:r>
        <w:t xml:space="preserve"> </w:t>
      </w:r>
      <w:r>
        <w:t xml:space="preserve">PyTorch, Hugging Face</w:t>
      </w:r>
      <w:r>
        <w:t xml:space="preserve"> </w:t>
      </w:r>
      <w:r>
        <w:rPr>
          <w:rStyle w:val="917"/>
        </w:rPr>
        <w:t xml:space="preserve">transformers</w:t>
      </w:r>
      <w:r>
        <w:t xml:space="preserve">, the researcher’s existing test-time training training/evaluation codebase.</w:t>
      </w:r>
      <w:r/>
    </w:p>
    <w:p>
      <w:pPr>
        <w:pStyle w:val="876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Storage:</w:t>
      </w:r>
      <w:r>
        <w:t xml:space="preserve"> </w:t>
      </w:r>
      <w:r>
        <w:t xml:space="preserve">Modal volumes, within existing account limits.</w:t>
      </w:r>
      <w:r/>
    </w:p>
    <w:p>
      <w:pPr>
        <w:pStyle w:val="876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Personnel:</w:t>
      </w:r>
      <w:r>
        <w:t xml:space="preserve"> </w:t>
      </w:r>
      <w:r>
        <w:t xml:space="preserve">The researcher, with internal supervisor guidance.</w:t>
      </w:r>
      <w:r/>
    </w:p>
    <w:p>
      <w:pPr>
        <w:pStyle w:val="876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Ethics approval:</w:t>
      </w:r>
      <w:r>
        <w:t xml:space="preserve"> </w:t>
      </w:r>
      <w:r>
        <w:t xml:space="preserve">Not required. The study uses publicly available textual corpora only. No human, animal, or personally identifiable data is involved.</w:t>
      </w:r>
      <w:bookmarkEnd w:id="41"/>
      <w:r/>
      <w:bookmarkEnd w:id="42"/>
      <w:r/>
      <w:r/>
    </w:p>
    <w:p>
      <w:pPr>
        <w:pStyle w:val="886"/>
        <w:pBdr/>
        <w:spacing/>
        <w:ind/>
        <w:rPr/>
      </w:pPr>
      <w:r/>
      <w:bookmarkStart w:id="43" w:name="timeline"/>
      <w:r>
        <w:t xml:space="preserve">5. Timeline</w:t>
      </w:r>
      <w:r/>
    </w:p>
    <w:p>
      <w:pPr>
        <w:pStyle w:val="875"/>
        <w:pBdr/>
        <w:spacing/>
        <w:ind/>
        <w:rPr/>
      </w:pPr>
      <w:r>
        <w:t xml:space="preserve">Nine-week schedule; a Windows Visio Gantt chart will be included in the submitted document.</w:t>
      </w:r>
      <w:r/>
    </w:p>
    <w:tbl>
      <w:tblPr>
        <w:tblStyle w:val="90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14"/>
        <w:gridCol w:w="5717"/>
        <w:gridCol w:w="1888"/>
      </w:tblGrid>
      <w:tr>
        <w:trPr>
          <w:tblHeader/>
        </w:trPr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Week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Task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rPr>
                <w:lang w:val="en-US"/>
              </w:rPr>
              <w:t xml:space="preserve">=Int
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1</w:t>
            </w:r>
            <w:r>
              <w:rPr>
                <w:lang w:val="en-US"/>
              </w:rPr>
              <w:t xml:space="preserve">,2,3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rPr>
                <w:lang w:val="en-US"/>
              </w:rPr>
              <w:t xml:space="preserve">Literiture review 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rPr>
                <w:lang w:val="en-US"/>
              </w:rPr>
              <w:t xml:space="preserve">=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Preliminary training runs at 0.6B; verify all three components toggle cleanly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Baseline reference results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Analysis A1 — cross-document persistence ablation, all sources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Persistence-contribution plots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Analysis A2 — session-length dynamics with and without meta-learned seed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Per-position NLL curves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Analysis A3 — per-source characterisation (extending A1 and A2)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Per-source tables and plots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Analysis A4 — configuration sensitivity (chunk size, decay)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Sensitivity plots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Synthesis; supervisor review; targeted follow-up runs to close gaps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Draft §Results, §Discussion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Draft §Introduction, §Related Work, §Method; supervisor review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Revised full draft</w:t>
            </w:r>
            <w:r/>
          </w:p>
        </w:tc>
      </w:tr>
      <w:tr>
        <w:trPr/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Final formatting; submission</w:t>
            </w:r>
            <w:r/>
          </w:p>
        </w:tc>
        <w:tc>
          <w:tcPr>
            <w:tcBorders/>
          </w:tcPr>
          <w:p>
            <w:pPr>
              <w:pStyle w:val="876"/>
              <w:pBdr/>
              <w:spacing/>
              <w:ind/>
              <w:rPr/>
            </w:pPr>
            <w:r>
              <w:t xml:space="preserve">Final document</w:t>
            </w:r>
            <w:bookmarkEnd w:id="43"/>
            <w:r/>
            <w:r/>
          </w:p>
        </w:tc>
      </w:tr>
    </w:tbl>
    <w:p>
      <w:pPr>
        <w:pStyle w:val="886"/>
        <w:pBdr/>
        <w:spacing/>
        <w:ind/>
        <w:rPr/>
      </w:pPr>
      <w:r/>
      <w:bookmarkStart w:id="44" w:name="status-of-permits-and-clearance"/>
      <w:r>
        <w:t xml:space="preserve">6. Status of Permits and Clearance</w:t>
      </w:r>
      <w:r/>
    </w:p>
    <w:p>
      <w:pPr>
        <w:pStyle w:val="875"/>
        <w:pBdr/>
        <w:spacing/>
        <w:ind/>
        <w:rPr/>
      </w:pPr>
      <w:r>
        <w:t xml:space="preserve">Not applicable. The study uses only publicly available textual corpora and pretrained model checkpoints. No permits or ethical clearance are required.</w:t>
      </w:r>
      <w:bookmarkEnd w:id="44"/>
      <w:r/>
      <w:r/>
    </w:p>
    <w:p>
      <w:pPr>
        <w:pStyle w:val="886"/>
        <w:pBdr/>
        <w:spacing/>
        <w:ind/>
        <w:rPr/>
      </w:pPr>
      <w:r/>
      <w:bookmarkStart w:id="45" w:name="references"/>
      <w:r>
        <w:t xml:space="preserve">7. References</w:t>
      </w:r>
      <w:r/>
    </w:p>
    <w:p>
      <w:pPr>
        <w:pStyle w:val="875"/>
        <w:pBdr/>
        <w:spacing/>
        <w:ind/>
        <w:rPr/>
      </w:pPr>
      <w:r>
        <w:t xml:space="preserve">Behrouz, A., Zhong, P., &amp; Mirrokni, V. (2025). Titans: Learning to memorize at test time.</w:t>
      </w:r>
      <w:r>
        <w:t xml:space="preserve"> </w:t>
      </w:r>
      <w:r>
        <w:rPr>
          <w:i/>
          <w:iCs/>
        </w:rPr>
        <w:t xml:space="preserve">arXiv preprint arXiv:2501.00663</w:t>
      </w:r>
      <w:r>
        <w:t xml:space="preserve">.</w:t>
      </w:r>
      <w:r/>
    </w:p>
    <w:p>
      <w:pPr>
        <w:pStyle w:val="874"/>
        <w:pBdr/>
        <w:spacing/>
        <w:ind/>
        <w:rPr/>
      </w:pPr>
      <w:r>
        <w:t xml:space="preserve">Feng, S., et al. (2026). In-Place Test-Time Training.</w:t>
      </w:r>
      <w:r>
        <w:t xml:space="preserve"> </w:t>
      </w:r>
      <w:r>
        <w:rPr>
          <w:i/>
          <w:iCs/>
        </w:rPr>
        <w:t xml:space="preserve">arXiv preprint arXiv:2604.06169</w:t>
      </w:r>
      <w:r>
        <w:t xml:space="preserve">.</w:t>
      </w:r>
      <w:r/>
    </w:p>
    <w:p>
      <w:pPr>
        <w:pStyle w:val="874"/>
        <w:pBdr/>
        <w:spacing/>
        <w:ind/>
        <w:rPr/>
      </w:pPr>
      <w:r>
        <w:t xml:space="preserve">Finn, C., Abbeel, P., &amp; Levine, S. (2017). Model-agnostic meta-learning for fast adaptation of deep networks. In</w:t>
      </w:r>
      <w:r>
        <w:t xml:space="preserve"> </w:t>
      </w:r>
      <w:r>
        <w:rPr>
          <w:i/>
          <w:iCs/>
        </w:rPr>
        <w:t xml:space="preserve">Proceedings of the 34th International Conference on Machine Learning</w:t>
      </w:r>
      <w:r>
        <w:t xml:space="preserve"> </w:t>
      </w:r>
      <w:r>
        <w:t xml:space="preserve">(pp. 1126–1135).</w:t>
      </w:r>
      <w:r/>
    </w:p>
    <w:p>
      <w:pPr>
        <w:pStyle w:val="874"/>
        <w:pBdr/>
        <w:spacing/>
        <w:ind/>
        <w:rPr/>
      </w:pPr>
      <w:r>
        <w:t xml:space="preserve">Schlag, I., Irie, K., &amp; Schmidhuber, J. (2021). Linear transformers are secretly fast weight programmers. In</w:t>
      </w:r>
      <w:r>
        <w:t xml:space="preserve"> </w:t>
      </w:r>
      <w:r>
        <w:rPr>
          <w:i/>
          <w:iCs/>
        </w:rPr>
        <w:t xml:space="preserve">Proceedings of the 38th International Conference on Machine Learning</w:t>
      </w:r>
      <w:r>
        <w:t xml:space="preserve"> </w:t>
      </w:r>
      <w:r>
        <w:t xml:space="preserve">(pp. 9355–9366).</w:t>
      </w:r>
      <w:r/>
    </w:p>
    <w:p>
      <w:pPr>
        <w:pStyle w:val="874"/>
        <w:pBdr/>
        <w:spacing/>
        <w:ind/>
        <w:rPr/>
      </w:pPr>
      <w:r>
        <w:t xml:space="preserve">Sun, Y., Wang, X., Liu, Z., Miller, J., Efros, A., &amp; Hardt, M. (2020). Test-time training with self-supervision for generalization under distribution shifts. In</w:t>
      </w:r>
      <w:r>
        <w:t xml:space="preserve"> </w:t>
      </w:r>
      <w:r>
        <w:rPr>
          <w:i/>
          <w:iCs/>
        </w:rPr>
        <w:t xml:space="preserve">Proceedings of the 37th International Conference on Machine Learning</w:t>
      </w:r>
      <w:r>
        <w:t xml:space="preserve"> </w:t>
      </w:r>
      <w:r>
        <w:t xml:space="preserve">(pp. 9229–9248).</w:t>
      </w:r>
      <w:r/>
    </w:p>
    <w:p>
      <w:pPr>
        <w:pStyle w:val="874"/>
        <w:pBdr/>
        <w:spacing/>
        <w:ind/>
        <w:rPr/>
      </w:pPr>
      <w:r>
        <w:t xml:space="preserve">Sun, Y., Li, X., Dalal, K., Xu, J., Vikram, A., Zhang, G., Dubois, Y., Chen, X., Wang, X., Koyejo, S., Hashimoto, T., &amp; Guestrin, C. (2024). Learning to (learn at test time): RNNs with expressive hidden states.</w:t>
      </w:r>
      <w:r>
        <w:t xml:space="preserve"> </w:t>
      </w:r>
      <w:r>
        <w:rPr>
          <w:i/>
          <w:iCs/>
        </w:rPr>
        <w:t xml:space="preserve">arXiv preprint arXiv:2407.04620</w:t>
      </w:r>
      <w:r>
        <w:t xml:space="preserve">.</w:t>
      </w:r>
      <w:r/>
    </w:p>
    <w:p>
      <w:pPr>
        <w:pStyle w:val="874"/>
        <w:pBdr/>
        <w:spacing/>
        <w:ind/>
        <w:rPr/>
      </w:pPr>
      <w:r>
        <w:t xml:space="preserve">Together AI. (2023). RedPajama &amp; SlimPajama: Open reproductions of the LLaMA pretraining corpus. Retrieved from https://github.com/togethercomputer/RedPajama-Data.</w:t>
      </w:r>
      <w:bookmarkEnd w:id="45"/>
      <w:r/>
      <w:r/>
    </w:p>
    <w:p>
      <w:pPr>
        <w:pStyle w:val="886"/>
        <w:pBdr/>
        <w:spacing/>
        <w:ind/>
        <w:rPr/>
      </w:pPr>
      <w:r/>
      <w:bookmarkStart w:id="46" w:name="annexure"/>
      <w:r>
        <w:t xml:space="preserve">8. Annexure</w:t>
      </w:r>
      <w:r/>
    </w:p>
    <w:p>
      <w:pPr>
        <w:pStyle w:val="875"/>
        <w:pBdr/>
        <w:spacing/>
        <w:ind/>
        <w:rPr/>
      </w:pPr>
      <w:r>
        <w:rPr>
          <w:b/>
          <w:bCs/>
        </w:rPr>
        <w:t xml:space="preserve">Ethical Clearance Application:</w:t>
      </w:r>
      <w:r>
        <w:t xml:space="preserve"> </w:t>
      </w:r>
      <w:r>
        <w:t xml:space="preserve">Not applicable to this project. The study uses only publicly av</w:t>
      </w:r>
      <w:r>
        <w:t xml:space="preserve">ailable textual corpora and pretrained model checkpoints; no human subjects, personal data, or animal subjects are involved. A one-paragraph declaration to this effect can be attached in place of a formal application if the institution requires it on file.</w:t>
      </w:r>
      <w:bookmarkEnd w:id="46"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"/>
    <w:basedOn w:val="7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7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paragraph" w:styleId="840">
    <w:name w:val="Quote"/>
    <w:basedOn w:val="873"/>
    <w:next w:val="873"/>
    <w:link w:val="8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1">
    <w:name w:val="Quote Char"/>
    <w:basedOn w:val="907"/>
    <w:link w:val="8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2">
    <w:name w:val="List Paragraph"/>
    <w:basedOn w:val="873"/>
    <w:uiPriority w:val="34"/>
    <w:qFormat/>
    <w:pPr>
      <w:pBdr/>
      <w:spacing/>
      <w:ind w:left="720"/>
      <w:contextualSpacing w:val="true"/>
    </w:pPr>
  </w:style>
  <w:style w:type="character" w:styleId="843">
    <w:name w:val="Intense Emphasis"/>
    <w:basedOn w:val="9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4">
    <w:name w:val="Intense Quote"/>
    <w:basedOn w:val="873"/>
    <w:next w:val="873"/>
    <w:link w:val="8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5">
    <w:name w:val="Intense Quote Char"/>
    <w:basedOn w:val="907"/>
    <w:link w:val="8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6">
    <w:name w:val="Intense Reference"/>
    <w:basedOn w:val="9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7">
    <w:name w:val="No Spacing"/>
    <w:basedOn w:val="873"/>
    <w:uiPriority w:val="1"/>
    <w:qFormat/>
    <w:pPr>
      <w:pBdr/>
      <w:spacing w:after="0" w:line="240" w:lineRule="auto"/>
      <w:ind/>
    </w:pPr>
  </w:style>
  <w:style w:type="character" w:styleId="848">
    <w:name w:val="Subtle Emphasis"/>
    <w:basedOn w:val="9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9">
    <w:name w:val="Emphasis"/>
    <w:basedOn w:val="907"/>
    <w:uiPriority w:val="20"/>
    <w:qFormat/>
    <w:pPr>
      <w:pBdr/>
      <w:spacing/>
      <w:ind/>
    </w:pPr>
    <w:rPr>
      <w:i/>
      <w:iCs/>
    </w:rPr>
  </w:style>
  <w:style w:type="character" w:styleId="850">
    <w:name w:val="Strong"/>
    <w:basedOn w:val="907"/>
    <w:uiPriority w:val="22"/>
    <w:qFormat/>
    <w:pPr>
      <w:pBdr/>
      <w:spacing/>
      <w:ind/>
    </w:pPr>
    <w:rPr>
      <w:b/>
      <w:bCs/>
    </w:rPr>
  </w:style>
  <w:style w:type="character" w:styleId="851">
    <w:name w:val="Subtle Reference"/>
    <w:basedOn w:val="9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2">
    <w:name w:val="Book Title"/>
    <w:basedOn w:val="90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3">
    <w:name w:val="Header"/>
    <w:basedOn w:val="873"/>
    <w:link w:val="8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4">
    <w:name w:val="Header Char"/>
    <w:basedOn w:val="907"/>
    <w:link w:val="853"/>
    <w:uiPriority w:val="99"/>
    <w:pPr>
      <w:pBdr/>
      <w:spacing/>
      <w:ind/>
    </w:pPr>
  </w:style>
  <w:style w:type="paragraph" w:styleId="855">
    <w:name w:val="Footer"/>
    <w:basedOn w:val="873"/>
    <w:link w:val="8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6">
    <w:name w:val="Footer Char"/>
    <w:basedOn w:val="907"/>
    <w:link w:val="855"/>
    <w:uiPriority w:val="99"/>
    <w:pPr>
      <w:pBdr/>
      <w:spacing/>
      <w:ind/>
    </w:pPr>
  </w:style>
  <w:style w:type="character" w:styleId="857">
    <w:name w:val="Footnote Text Char"/>
    <w:basedOn w:val="907"/>
    <w:link w:val="905"/>
    <w:uiPriority w:val="99"/>
    <w:semiHidden/>
    <w:pPr>
      <w:pBdr/>
      <w:spacing/>
      <w:ind/>
    </w:pPr>
    <w:rPr>
      <w:sz w:val="20"/>
      <w:szCs w:val="20"/>
    </w:rPr>
  </w:style>
  <w:style w:type="paragraph" w:styleId="858">
    <w:name w:val="endnote text"/>
    <w:basedOn w:val="873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Endnote Text Char"/>
    <w:basedOn w:val="907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end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character" w:styleId="861">
    <w:name w:val="FollowedHyperlink"/>
    <w:basedOn w:val="9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2">
    <w:name w:val="toc 1"/>
    <w:basedOn w:val="873"/>
    <w:next w:val="873"/>
    <w:uiPriority w:val="39"/>
    <w:unhideWhenUsed/>
    <w:pPr>
      <w:pBdr/>
      <w:spacing w:after="100"/>
      <w:ind/>
    </w:pPr>
  </w:style>
  <w:style w:type="paragraph" w:styleId="863">
    <w:name w:val="toc 2"/>
    <w:basedOn w:val="873"/>
    <w:next w:val="873"/>
    <w:uiPriority w:val="39"/>
    <w:unhideWhenUsed/>
    <w:pPr>
      <w:pBdr/>
      <w:spacing w:after="100"/>
      <w:ind w:left="220"/>
    </w:pPr>
  </w:style>
  <w:style w:type="paragraph" w:styleId="864">
    <w:name w:val="toc 3"/>
    <w:basedOn w:val="873"/>
    <w:next w:val="873"/>
    <w:uiPriority w:val="39"/>
    <w:unhideWhenUsed/>
    <w:pPr>
      <w:pBdr/>
      <w:spacing w:after="100"/>
      <w:ind w:left="440"/>
    </w:pPr>
  </w:style>
  <w:style w:type="paragraph" w:styleId="865">
    <w:name w:val="toc 4"/>
    <w:basedOn w:val="873"/>
    <w:next w:val="873"/>
    <w:uiPriority w:val="39"/>
    <w:unhideWhenUsed/>
    <w:pPr>
      <w:pBdr/>
      <w:spacing w:after="100"/>
      <w:ind w:left="660"/>
    </w:pPr>
  </w:style>
  <w:style w:type="paragraph" w:styleId="866">
    <w:name w:val="toc 5"/>
    <w:basedOn w:val="873"/>
    <w:next w:val="873"/>
    <w:uiPriority w:val="39"/>
    <w:unhideWhenUsed/>
    <w:pPr>
      <w:pBdr/>
      <w:spacing w:after="100"/>
      <w:ind w:left="880"/>
    </w:pPr>
  </w:style>
  <w:style w:type="paragraph" w:styleId="867">
    <w:name w:val="toc 6"/>
    <w:basedOn w:val="873"/>
    <w:next w:val="873"/>
    <w:uiPriority w:val="39"/>
    <w:unhideWhenUsed/>
    <w:pPr>
      <w:pBdr/>
      <w:spacing w:after="100"/>
      <w:ind w:left="1100"/>
    </w:pPr>
  </w:style>
  <w:style w:type="paragraph" w:styleId="868">
    <w:name w:val="toc 7"/>
    <w:basedOn w:val="873"/>
    <w:next w:val="873"/>
    <w:uiPriority w:val="39"/>
    <w:unhideWhenUsed/>
    <w:pPr>
      <w:pBdr/>
      <w:spacing w:after="100"/>
      <w:ind w:left="1320"/>
    </w:pPr>
  </w:style>
  <w:style w:type="paragraph" w:styleId="869">
    <w:name w:val="toc 8"/>
    <w:basedOn w:val="873"/>
    <w:next w:val="873"/>
    <w:uiPriority w:val="39"/>
    <w:unhideWhenUsed/>
    <w:pPr>
      <w:pBdr/>
      <w:spacing w:after="100"/>
      <w:ind w:left="1540"/>
    </w:pPr>
  </w:style>
  <w:style w:type="paragraph" w:styleId="870">
    <w:name w:val="toc 9"/>
    <w:basedOn w:val="873"/>
    <w:next w:val="873"/>
    <w:uiPriority w:val="39"/>
    <w:unhideWhenUsed/>
    <w:pPr>
      <w:pBdr/>
      <w:spacing w:after="100"/>
      <w:ind w:left="1760"/>
    </w:pPr>
  </w:style>
  <w:style w:type="character" w:styleId="871">
    <w:name w:val="Placeholder Text"/>
    <w:basedOn w:val="907"/>
    <w:uiPriority w:val="99"/>
    <w:semiHidden/>
    <w:pPr>
      <w:pBdr/>
      <w:spacing/>
      <w:ind/>
    </w:pPr>
    <w:rPr>
      <w:color w:val="666666"/>
    </w:rPr>
  </w:style>
  <w:style w:type="paragraph" w:styleId="872">
    <w:name w:val="table of figures"/>
    <w:basedOn w:val="873"/>
    <w:next w:val="873"/>
    <w:uiPriority w:val="99"/>
    <w:unhideWhenUsed/>
    <w:pPr>
      <w:pBdr/>
      <w:spacing w:after="0" w:afterAutospacing="0"/>
      <w:ind/>
    </w:pPr>
  </w:style>
  <w:style w:type="paragraph" w:styleId="873" w:default="1">
    <w:name w:val="Normal"/>
    <w:qFormat/>
    <w:pPr>
      <w:pBdr/>
      <w:spacing/>
      <w:ind/>
    </w:pPr>
  </w:style>
  <w:style w:type="paragraph" w:styleId="874">
    <w:name w:val="Body Text"/>
    <w:basedOn w:val="873"/>
    <w:link w:val="916"/>
    <w:qFormat/>
    <w:pPr>
      <w:pBdr/>
      <w:spacing w:after="180" w:before="180"/>
      <w:ind/>
    </w:pPr>
  </w:style>
  <w:style w:type="paragraph" w:styleId="875" w:customStyle="1">
    <w:name w:val="First Paragraph"/>
    <w:basedOn w:val="874"/>
    <w:next w:val="874"/>
    <w:qFormat/>
    <w:pPr>
      <w:pBdr/>
      <w:spacing/>
      <w:ind/>
    </w:pPr>
  </w:style>
  <w:style w:type="paragraph" w:styleId="876" w:customStyle="1">
    <w:name w:val="Compact"/>
    <w:basedOn w:val="874"/>
    <w:qFormat/>
    <w:pPr>
      <w:pBdr/>
      <w:spacing w:after="36" w:before="36"/>
      <w:ind/>
    </w:pPr>
  </w:style>
  <w:style w:type="paragraph" w:styleId="877">
    <w:name w:val="Title"/>
    <w:basedOn w:val="873"/>
    <w:next w:val="874"/>
    <w:link w:val="878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78" w:customStyle="1">
    <w:name w:val="Title Char"/>
    <w:basedOn w:val="907"/>
    <w:link w:val="87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79">
    <w:name w:val="Subtitle"/>
    <w:basedOn w:val="877"/>
    <w:next w:val="874"/>
    <w:link w:val="88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80" w:customStyle="1">
    <w:name w:val="Subtitle Char"/>
    <w:basedOn w:val="907"/>
    <w:link w:val="87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1" w:customStyle="1">
    <w:name w:val="Author"/>
    <w:next w:val="874"/>
    <w:qFormat/>
    <w:pPr>
      <w:keepNext w:val="true"/>
      <w:keepLines w:val="true"/>
      <w:pBdr/>
      <w:spacing/>
      <w:ind/>
      <w:jc w:val="center"/>
    </w:pPr>
  </w:style>
  <w:style w:type="paragraph" w:styleId="882">
    <w:name w:val="Date"/>
    <w:next w:val="874"/>
    <w:qFormat/>
    <w:pPr>
      <w:keepNext w:val="true"/>
      <w:keepLines w:val="true"/>
      <w:pBdr/>
      <w:spacing/>
      <w:ind/>
      <w:jc w:val="center"/>
    </w:pPr>
  </w:style>
  <w:style w:type="paragraph" w:styleId="883" w:customStyle="1">
    <w:name w:val="Abstract Title"/>
    <w:basedOn w:val="873"/>
    <w:next w:val="884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84" w:customStyle="1">
    <w:name w:val="Abstract"/>
    <w:basedOn w:val="873"/>
    <w:next w:val="87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85">
    <w:name w:val="Bibliography"/>
    <w:basedOn w:val="873"/>
    <w:next w:val="885"/>
    <w:qFormat/>
    <w:pPr>
      <w:pBdr/>
      <w:spacing/>
      <w:ind/>
    </w:pPr>
  </w:style>
  <w:style w:type="paragraph" w:styleId="886">
    <w:name w:val="Heading 1"/>
    <w:basedOn w:val="873"/>
    <w:next w:val="874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7">
    <w:name w:val="Heading 2"/>
    <w:basedOn w:val="873"/>
    <w:next w:val="874"/>
    <w:link w:val="89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8">
    <w:name w:val="Heading 3"/>
    <w:basedOn w:val="873"/>
    <w:next w:val="874"/>
    <w:link w:val="89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9">
    <w:name w:val="Heading 4"/>
    <w:basedOn w:val="873"/>
    <w:next w:val="874"/>
    <w:link w:val="89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0">
    <w:name w:val="Heading 5"/>
    <w:basedOn w:val="873"/>
    <w:next w:val="874"/>
    <w:link w:val="89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1">
    <w:name w:val="Heading 6"/>
    <w:basedOn w:val="873"/>
    <w:next w:val="874"/>
    <w:link w:val="90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2">
    <w:name w:val="Heading 7"/>
    <w:basedOn w:val="873"/>
    <w:next w:val="874"/>
    <w:link w:val="90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3">
    <w:name w:val="Heading 8"/>
    <w:basedOn w:val="873"/>
    <w:next w:val="874"/>
    <w:link w:val="90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4">
    <w:name w:val="Heading 9"/>
    <w:basedOn w:val="873"/>
    <w:next w:val="874"/>
    <w:link w:val="90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5" w:customStyle="1">
    <w:name w:val="Heading 1 Char"/>
    <w:basedOn w:val="907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6" w:customStyle="1">
    <w:name w:val="Heading 2 Char"/>
    <w:basedOn w:val="907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7" w:customStyle="1">
    <w:name w:val="Heading 3 Char"/>
    <w:basedOn w:val="907"/>
    <w:link w:val="8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8" w:customStyle="1">
    <w:name w:val="Heading 4 Char"/>
    <w:basedOn w:val="907"/>
    <w:link w:val="88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9" w:customStyle="1">
    <w:name w:val="Heading 5 Char"/>
    <w:basedOn w:val="907"/>
    <w:link w:val="89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0" w:customStyle="1">
    <w:name w:val="Heading 6 Char"/>
    <w:basedOn w:val="907"/>
    <w:link w:val="89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1" w:customStyle="1">
    <w:name w:val="Heading 7 Char"/>
    <w:basedOn w:val="907"/>
    <w:link w:val="89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2" w:customStyle="1">
    <w:name w:val="Heading 8 Char"/>
    <w:basedOn w:val="907"/>
    <w:link w:val="89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3" w:customStyle="1">
    <w:name w:val="Heading 9 Char"/>
    <w:basedOn w:val="907"/>
    <w:link w:val="89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4">
    <w:name w:val="Block Text"/>
    <w:basedOn w:val="874"/>
    <w:next w:val="874"/>
    <w:uiPriority w:val="9"/>
    <w:unhideWhenUsed/>
    <w:qFormat/>
    <w:pPr>
      <w:pBdr/>
      <w:spacing w:after="100" w:before="100"/>
      <w:ind w:right="480" w:firstLine="0" w:left="480"/>
    </w:pPr>
  </w:style>
  <w:style w:type="paragraph" w:styleId="905">
    <w:name w:val="footnote text"/>
    <w:basedOn w:val="873"/>
    <w:next w:val="905"/>
    <w:uiPriority w:val="9"/>
    <w:unhideWhenUsed/>
    <w:qFormat/>
    <w:pPr>
      <w:pBdr/>
      <w:spacing/>
      <w:ind/>
    </w:pPr>
  </w:style>
  <w:style w:type="paragraph" w:styleId="906">
    <w:name w:val="Footnote Block Text"/>
    <w:basedOn w:val="905"/>
    <w:next w:val="905"/>
    <w:uiPriority w:val="9"/>
    <w:unhideWhenUsed/>
    <w:qFormat/>
    <w:pPr>
      <w:pBdr/>
      <w:spacing w:after="100" w:before="100"/>
      <w:ind w:right="480" w:firstLine="0" w:left="480"/>
    </w:pPr>
  </w:style>
  <w:style w:type="character" w:styleId="907" w:default="1">
    <w:name w:val="Default Paragraph Font"/>
    <w:semiHidden/>
    <w:unhideWhenUsed/>
    <w:pPr>
      <w:pBdr/>
      <w:spacing/>
      <w:ind/>
    </w:pPr>
  </w:style>
  <w:style w:type="table" w:styleId="90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 w:customStyle="1">
    <w:name w:val="Definition Term"/>
    <w:basedOn w:val="873"/>
    <w:next w:val="910"/>
    <w:pPr>
      <w:keepNext w:val="true"/>
      <w:keepLines w:val="true"/>
      <w:pBdr/>
      <w:spacing w:after="0"/>
      <w:ind/>
    </w:pPr>
    <w:rPr>
      <w:b/>
    </w:rPr>
  </w:style>
  <w:style w:type="paragraph" w:styleId="910" w:customStyle="1">
    <w:name w:val="Definition"/>
    <w:basedOn w:val="873"/>
    <w:pPr>
      <w:pBdr/>
      <w:spacing/>
      <w:ind/>
    </w:pPr>
  </w:style>
  <w:style w:type="paragraph" w:styleId="911">
    <w:name w:val="Caption"/>
    <w:basedOn w:val="873"/>
    <w:link w:val="916"/>
    <w:pPr>
      <w:pBdr/>
      <w:spacing w:after="120" w:before="0"/>
      <w:ind/>
    </w:pPr>
    <w:rPr>
      <w:i/>
    </w:rPr>
  </w:style>
  <w:style w:type="paragraph" w:styleId="912" w:customStyle="1">
    <w:name w:val="Table Caption"/>
    <w:basedOn w:val="911"/>
    <w:pPr>
      <w:keepNext w:val="true"/>
      <w:pBdr/>
      <w:spacing/>
      <w:ind/>
    </w:pPr>
  </w:style>
  <w:style w:type="paragraph" w:styleId="913" w:customStyle="1">
    <w:name w:val="Image Caption"/>
    <w:basedOn w:val="911"/>
    <w:pPr>
      <w:pBdr/>
      <w:spacing/>
      <w:ind/>
    </w:pPr>
  </w:style>
  <w:style w:type="paragraph" w:styleId="914" w:customStyle="1">
    <w:name w:val="Figure"/>
    <w:basedOn w:val="873"/>
    <w:pPr>
      <w:pBdr/>
      <w:spacing/>
      <w:ind/>
    </w:pPr>
  </w:style>
  <w:style w:type="paragraph" w:styleId="915" w:customStyle="1">
    <w:name w:val="Captioned Figure"/>
    <w:basedOn w:val="914"/>
    <w:pPr>
      <w:keepNext w:val="true"/>
      <w:pBdr/>
      <w:spacing/>
      <w:ind/>
    </w:pPr>
  </w:style>
  <w:style w:type="character" w:styleId="916" w:customStyle="1">
    <w:name w:val="Body Text Char"/>
    <w:basedOn w:val="907"/>
    <w:link w:val="874"/>
    <w:pPr>
      <w:pBdr/>
      <w:spacing/>
      <w:ind/>
    </w:pPr>
  </w:style>
  <w:style w:type="character" w:styleId="917" w:customStyle="1">
    <w:name w:val="Verbatim Char"/>
    <w:basedOn w:val="916"/>
    <w:pPr>
      <w:pBdr/>
      <w:spacing/>
      <w:ind/>
    </w:pPr>
    <w:rPr>
      <w:rFonts w:ascii="Consolas" w:hAnsi="Consolas"/>
      <w:sz w:val="22"/>
    </w:rPr>
  </w:style>
  <w:style w:type="character" w:styleId="918" w:customStyle="1">
    <w:name w:val="Section Number"/>
    <w:basedOn w:val="916"/>
    <w:pPr>
      <w:pBdr/>
      <w:spacing/>
      <w:ind/>
    </w:pPr>
  </w:style>
  <w:style w:type="character" w:styleId="919">
    <w:name w:val="footnote reference"/>
    <w:basedOn w:val="916"/>
    <w:pPr>
      <w:pBdr/>
      <w:spacing/>
      <w:ind/>
    </w:pPr>
    <w:rPr>
      <w:vertAlign w:val="superscript"/>
    </w:rPr>
  </w:style>
  <w:style w:type="character" w:styleId="920">
    <w:name w:val="Hyperlink"/>
    <w:basedOn w:val="916"/>
    <w:pPr>
      <w:pBdr/>
      <w:spacing/>
      <w:ind/>
    </w:pPr>
    <w:rPr>
      <w:color w:val="4f81bd" w:themeColor="accent1"/>
    </w:rPr>
  </w:style>
  <w:style w:type="paragraph" w:styleId="921">
    <w:name w:val="TOC Heading"/>
    <w:basedOn w:val="886"/>
    <w:next w:val="874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22" w:customStyle="1">
    <w:name w:val="Source Code"/>
    <w:basedOn w:val="873"/>
    <w:link w:val="917"/>
    <w:pPr>
      <w:pBdr/>
      <w:spacing/>
      <w:ind/>
    </w:pPr>
  </w:style>
  <w:style w:type="character" w:styleId="923" w:customStyle="1">
    <w:name w:val="KeywordTok"/>
    <w:basedOn w:val="917"/>
    <w:pPr>
      <w:pBdr/>
      <w:spacing/>
      <w:ind/>
    </w:pPr>
    <w:rPr>
      <w:b/>
      <w:color w:val="007020"/>
    </w:rPr>
  </w:style>
  <w:style w:type="character" w:styleId="924" w:customStyle="1">
    <w:name w:val="DataTypeTok"/>
    <w:basedOn w:val="917"/>
    <w:pPr>
      <w:pBdr/>
      <w:spacing/>
      <w:ind/>
    </w:pPr>
    <w:rPr>
      <w:color w:val="902000"/>
    </w:rPr>
  </w:style>
  <w:style w:type="character" w:styleId="925" w:customStyle="1">
    <w:name w:val="DecValTok"/>
    <w:basedOn w:val="917"/>
    <w:pPr>
      <w:pBdr/>
      <w:spacing/>
      <w:ind/>
    </w:pPr>
    <w:rPr>
      <w:color w:val="40a070"/>
    </w:rPr>
  </w:style>
  <w:style w:type="character" w:styleId="926" w:customStyle="1">
    <w:name w:val="BaseNTok"/>
    <w:basedOn w:val="917"/>
    <w:pPr>
      <w:pBdr/>
      <w:spacing/>
      <w:ind/>
    </w:pPr>
    <w:rPr>
      <w:color w:val="40a070"/>
    </w:rPr>
  </w:style>
  <w:style w:type="character" w:styleId="927" w:customStyle="1">
    <w:name w:val="FloatTok"/>
    <w:basedOn w:val="917"/>
    <w:pPr>
      <w:pBdr/>
      <w:spacing/>
      <w:ind/>
    </w:pPr>
    <w:rPr>
      <w:color w:val="40a070"/>
    </w:rPr>
  </w:style>
  <w:style w:type="character" w:styleId="928" w:customStyle="1">
    <w:name w:val="ConstantTok"/>
    <w:basedOn w:val="917"/>
    <w:pPr>
      <w:pBdr/>
      <w:spacing/>
      <w:ind/>
    </w:pPr>
    <w:rPr>
      <w:color w:val="880000"/>
    </w:rPr>
  </w:style>
  <w:style w:type="character" w:styleId="929" w:customStyle="1">
    <w:name w:val="CharTok"/>
    <w:basedOn w:val="917"/>
    <w:pPr>
      <w:pBdr/>
      <w:spacing/>
      <w:ind/>
    </w:pPr>
    <w:rPr>
      <w:color w:val="4070a0"/>
    </w:rPr>
  </w:style>
  <w:style w:type="character" w:styleId="930" w:customStyle="1">
    <w:name w:val="SpecialCharTok"/>
    <w:basedOn w:val="917"/>
    <w:pPr>
      <w:pBdr/>
      <w:spacing/>
      <w:ind/>
    </w:pPr>
    <w:rPr>
      <w:color w:val="4070a0"/>
    </w:rPr>
  </w:style>
  <w:style w:type="character" w:styleId="931" w:customStyle="1">
    <w:name w:val="StringTok"/>
    <w:basedOn w:val="917"/>
    <w:pPr>
      <w:pBdr/>
      <w:spacing/>
      <w:ind/>
    </w:pPr>
    <w:rPr>
      <w:color w:val="4070a0"/>
    </w:rPr>
  </w:style>
  <w:style w:type="character" w:styleId="932" w:customStyle="1">
    <w:name w:val="VerbatimStringTok"/>
    <w:basedOn w:val="917"/>
    <w:pPr>
      <w:pBdr/>
      <w:spacing/>
      <w:ind/>
    </w:pPr>
    <w:rPr>
      <w:color w:val="4070a0"/>
    </w:rPr>
  </w:style>
  <w:style w:type="character" w:styleId="933" w:customStyle="1">
    <w:name w:val="SpecialStringTok"/>
    <w:basedOn w:val="917"/>
    <w:pPr>
      <w:pBdr/>
      <w:spacing/>
      <w:ind/>
    </w:pPr>
    <w:rPr>
      <w:color w:val="bb6688"/>
    </w:rPr>
  </w:style>
  <w:style w:type="character" w:styleId="934" w:customStyle="1">
    <w:name w:val="ImportTok"/>
    <w:basedOn w:val="917"/>
    <w:pPr>
      <w:pBdr/>
      <w:spacing/>
      <w:ind/>
    </w:pPr>
    <w:rPr>
      <w:b/>
      <w:color w:val="008000"/>
    </w:rPr>
  </w:style>
  <w:style w:type="character" w:styleId="935" w:customStyle="1">
    <w:name w:val="CommentTok"/>
    <w:basedOn w:val="917"/>
    <w:pPr>
      <w:pBdr/>
      <w:spacing/>
      <w:ind/>
    </w:pPr>
    <w:rPr>
      <w:i/>
      <w:color w:val="60a0b0"/>
    </w:rPr>
  </w:style>
  <w:style w:type="character" w:styleId="936" w:customStyle="1">
    <w:name w:val="DocumentationTok"/>
    <w:basedOn w:val="917"/>
    <w:pPr>
      <w:pBdr/>
      <w:spacing/>
      <w:ind/>
    </w:pPr>
    <w:rPr>
      <w:i/>
      <w:color w:val="ba2121"/>
    </w:rPr>
  </w:style>
  <w:style w:type="character" w:styleId="937" w:customStyle="1">
    <w:name w:val="AnnotationTok"/>
    <w:basedOn w:val="917"/>
    <w:pPr>
      <w:pBdr/>
      <w:spacing/>
      <w:ind/>
    </w:pPr>
    <w:rPr>
      <w:b/>
      <w:i/>
      <w:color w:val="60a0b0"/>
    </w:rPr>
  </w:style>
  <w:style w:type="character" w:styleId="938" w:customStyle="1">
    <w:name w:val="CommentVarTok"/>
    <w:basedOn w:val="917"/>
    <w:pPr>
      <w:pBdr/>
      <w:spacing/>
      <w:ind/>
    </w:pPr>
    <w:rPr>
      <w:b/>
      <w:i/>
      <w:color w:val="60a0b0"/>
    </w:rPr>
  </w:style>
  <w:style w:type="character" w:styleId="939" w:customStyle="1">
    <w:name w:val="OtherTok"/>
    <w:basedOn w:val="917"/>
    <w:pPr>
      <w:pBdr/>
      <w:spacing/>
      <w:ind/>
    </w:pPr>
    <w:rPr>
      <w:color w:val="007020"/>
    </w:rPr>
  </w:style>
  <w:style w:type="character" w:styleId="940" w:customStyle="1">
    <w:name w:val="FunctionTok"/>
    <w:basedOn w:val="917"/>
    <w:pPr>
      <w:pBdr/>
      <w:spacing/>
      <w:ind/>
    </w:pPr>
    <w:rPr>
      <w:color w:val="06287e"/>
    </w:rPr>
  </w:style>
  <w:style w:type="character" w:styleId="941" w:customStyle="1">
    <w:name w:val="VariableTok"/>
    <w:basedOn w:val="917"/>
    <w:pPr>
      <w:pBdr/>
      <w:spacing/>
      <w:ind/>
    </w:pPr>
    <w:rPr>
      <w:color w:val="19177c"/>
    </w:rPr>
  </w:style>
  <w:style w:type="character" w:styleId="942" w:customStyle="1">
    <w:name w:val="ControlFlowTok"/>
    <w:basedOn w:val="917"/>
    <w:pPr>
      <w:pBdr/>
      <w:spacing/>
      <w:ind/>
    </w:pPr>
    <w:rPr>
      <w:b/>
      <w:color w:val="007020"/>
    </w:rPr>
  </w:style>
  <w:style w:type="character" w:styleId="943" w:customStyle="1">
    <w:name w:val="OperatorTok"/>
    <w:basedOn w:val="917"/>
    <w:pPr>
      <w:pBdr/>
      <w:spacing/>
      <w:ind/>
    </w:pPr>
    <w:rPr>
      <w:color w:val="666666"/>
    </w:rPr>
  </w:style>
  <w:style w:type="character" w:styleId="944" w:customStyle="1">
    <w:name w:val="BuiltInTok"/>
    <w:basedOn w:val="917"/>
    <w:pPr>
      <w:pBdr/>
      <w:spacing/>
      <w:ind/>
    </w:pPr>
    <w:rPr>
      <w:color w:val="008000"/>
    </w:rPr>
  </w:style>
  <w:style w:type="character" w:styleId="945" w:customStyle="1">
    <w:name w:val="ExtensionTok"/>
    <w:basedOn w:val="917"/>
    <w:pPr>
      <w:pBdr/>
      <w:spacing/>
      <w:ind/>
    </w:pPr>
  </w:style>
  <w:style w:type="character" w:styleId="946" w:customStyle="1">
    <w:name w:val="PreprocessorTok"/>
    <w:basedOn w:val="917"/>
    <w:pPr>
      <w:pBdr/>
      <w:spacing/>
      <w:ind/>
    </w:pPr>
    <w:rPr>
      <w:color w:val="bc7a00"/>
    </w:rPr>
  </w:style>
  <w:style w:type="character" w:styleId="947" w:customStyle="1">
    <w:name w:val="AttributeTok"/>
    <w:basedOn w:val="917"/>
    <w:pPr>
      <w:pBdr/>
      <w:spacing/>
      <w:ind/>
    </w:pPr>
    <w:rPr>
      <w:color w:val="7d9029"/>
    </w:rPr>
  </w:style>
  <w:style w:type="character" w:styleId="948" w:customStyle="1">
    <w:name w:val="RegionMarkerTok"/>
    <w:basedOn w:val="917"/>
    <w:pPr>
      <w:pBdr/>
      <w:spacing/>
      <w:ind/>
    </w:pPr>
  </w:style>
  <w:style w:type="character" w:styleId="949" w:customStyle="1">
    <w:name w:val="InformationTok"/>
    <w:basedOn w:val="917"/>
    <w:pPr>
      <w:pBdr/>
      <w:spacing/>
      <w:ind/>
    </w:pPr>
    <w:rPr>
      <w:b/>
      <w:i/>
      <w:color w:val="60a0b0"/>
    </w:rPr>
  </w:style>
  <w:style w:type="character" w:styleId="950" w:customStyle="1">
    <w:name w:val="WarningTok"/>
    <w:basedOn w:val="917"/>
    <w:pPr>
      <w:pBdr/>
      <w:spacing/>
      <w:ind/>
    </w:pPr>
    <w:rPr>
      <w:b/>
      <w:i/>
      <w:color w:val="60a0b0"/>
    </w:rPr>
  </w:style>
  <w:style w:type="character" w:styleId="951" w:customStyle="1">
    <w:name w:val="AlertTok"/>
    <w:basedOn w:val="917"/>
    <w:pPr>
      <w:pBdr/>
      <w:spacing/>
      <w:ind/>
    </w:pPr>
    <w:rPr>
      <w:b/>
      <w:color w:val="ff0000"/>
    </w:rPr>
  </w:style>
  <w:style w:type="character" w:styleId="952" w:customStyle="1">
    <w:name w:val="ErrorTok"/>
    <w:basedOn w:val="917"/>
    <w:pPr>
      <w:pBdr/>
      <w:spacing/>
      <w:ind/>
    </w:pPr>
    <w:rPr>
      <w:b/>
      <w:color w:val="ff0000"/>
    </w:rPr>
  </w:style>
  <w:style w:type="character" w:styleId="953" w:customStyle="1">
    <w:name w:val="NormalTok"/>
    <w:basedOn w:val="91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Session-Persistent Test-Time Training for Language Models: Methodology and Empirical Analysis</dc:title>
  <dc:creator>[Your Name]</dc:creator>
  <cp:keywords/>
  <dc:language>en</dc:language>
  <cp:revision>2</cp:revision>
  <dcterms:created xsi:type="dcterms:W3CDTF">2026-07-08T03:25:50Z</dcterms:created>
  <dcterms:modified xsi:type="dcterms:W3CDTF">2026-07-09T08:33:59Z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[DD Month 2026]</vt:lpwstr>
  </property>
  <property fmtid="{D5CDD505-2E9C-101B-9397-08002B2CF9AE}" pid="3" name="fontsize">
    <vt:lpwstr>12pt</vt:lpwstr>
  </property>
  <property fmtid="{D5CDD505-2E9C-101B-9397-08002B2CF9AE}" pid="4" name="geometry">
    <vt:lpwstr>margin=2.5cm</vt:lpwstr>
  </property>
  <property fmtid="{D5CDD505-2E9C-101B-9397-08002B2CF9AE}" pid="5" name="linestretch">
    <vt:lpwstr>1.5</vt:lpwstr>
  </property>
  <property fmtid="{D5CDD505-2E9C-101B-9397-08002B2CF9AE}" pid="6" name="subtitle">
    <vt:lpwstr>Undergraduate Research Proposal</vt:lpwstr>
  </property>
</Properties>
</file>