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DINOv3 SDT 架构细节表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模块</w:t>
            </w:r>
          </w:p>
        </w:tc>
        <w:tc>
          <w:tcPr>
            <w:tcW w:type="dxa" w:w="19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子层</w:t>
            </w:r>
          </w:p>
        </w:tc>
        <w:tc>
          <w:tcPr>
            <w:tcW w:type="dxa" w:w="19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参数</w:t>
            </w:r>
          </w:p>
        </w:tc>
        <w:tc>
          <w:tcPr>
            <w:tcW w:type="dxa" w:w="19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输入形状</w:t>
            </w:r>
          </w:p>
        </w:tc>
        <w:tc>
          <w:tcPr>
            <w:tcW w:type="dxa" w:w="19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输出形状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输入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3, 256, 256)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CenterPadding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multiple=16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3, H, W)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3, H_pad, W_pad)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Patch Embedding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Conv2d 3→384, k=16 s=16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3, 256, 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261, 384)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DINOv3 ViT-S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×12 Transformer Blocks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d=384, h=6, FFN=1536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261, 384)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261, 384)×13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Token 拆分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提取 [2,5,8,11], 丢弃 Register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261, 384)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4×{(B,384,16,16),(B,384)}</w:t>
            </w:r>
          </w:p>
        </w:tc>
      </w:tr>
      <w:tr>
        <w:tc>
          <w:tcPr>
            <w:tcW w:type="dxa" w:w="1994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sz w:val="16"/>
              </w:rPr>
              <w:t>WeightedFusion</w:t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CLS Readout: Lin 768→384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×4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768)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384)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Projection: Lin 384→256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×4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384)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Softmax 加权融合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4 权重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4×(B,256,256)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256)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Reshape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permute + reshape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16, 16)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SpatialDetail</w:t>
              <w:br/>
              <w:t>Enhancer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DWConv 3×3, groups=256, 残差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16, 16)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16, 16)</w:t>
            </w:r>
          </w:p>
        </w:tc>
      </w:tr>
      <w:tr>
        <w:tc>
          <w:tcPr>
            <w:tcW w:type="dxa" w:w="1994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sz w:val="16"/>
              </w:rPr>
              <w:t>ColorQuery</w:t>
              <w:br/>
              <w:t>Bottleneck</w:t>
              <w:br/>
              <w:t>(可选)</w:t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100 个 Color Queries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Q=100, d=256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 B, 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Cross-Attn (Q→空间) ×3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h=8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(100,B,256)+(256,B,256)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 B, 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Self-Attn (Q→Q) ×3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h=8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 B, 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 B, 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FFN 256→1024→256 ×3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 B, 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(100, B, 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Mean Pool → 全局颜色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100, 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1, 1)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Concat+Conv1×1(512→256)+残差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512, 16, 16)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 256, 16, 16)</w:t>
            </w:r>
          </w:p>
        </w:tc>
      </w:tr>
      <w:tr>
        <w:tc>
          <w:tcPr>
            <w:tcW w:type="dxa" w:w="1994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sz w:val="16"/>
              </w:rPr>
              <w:t>DySample 阶段1</w:t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DySample ×2 → Conv+BN+ReLU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s=2, lp, g=4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(B,256,16,16)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(B,256,32,32)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DySample ×2 → Conv+BN+ReLU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s=2, lp, g=4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(B,256,32,32)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(B,256,64,64)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Conv3×3+BN+ReLU (refinement)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(B,256,64,64)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(B,256,64,64)</w:t>
            </w:r>
          </w:p>
        </w:tc>
      </w:tr>
      <w:tr>
        <w:tc>
          <w:tcPr>
            <w:tcW w:type="dxa" w:w="1994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sz w:val="16"/>
              </w:rPr>
              <w:t>DySample 阶段2</w:t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DySample ×2 → Conv+BN+ReLU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s=2, lp, g=4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(B,256,64,64)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(B,256,128,128)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DySample ×2 → Conv+BN+ReLU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s=2, lp, g=4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(B,256,128,128)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(B,256,256,256)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Conv3×3+BN+ReLU (refinement)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(B,256,256,256)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(B,256,256,256)</w:t>
            </w:r>
          </w:p>
        </w:tc>
      </w:tr>
      <w:tr>
        <w:tc>
          <w:tcPr>
            <w:tcW w:type="dxa" w:w="1994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sz w:val="16"/>
              </w:rPr>
              <w:t>Output Conv</w:t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Conv3×3 256→128, ReLU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(B,256,256,256)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(B,128,256,256)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Conv3×3 128→32, ReLU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(B,128,256,256)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(B,32,256,256)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Conv1×1 32→2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(B,32,256,256)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(B,2,256,256)</w:t>
            </w:r>
          </w:p>
        </w:tc>
      </w:tr>
      <w:tr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输出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ab 色度通道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</w:tbl>
    <w:p>
      <w:pPr>
        <w:spacing w:before="240"/>
      </w:pPr>
      <w:r>
        <w:rPr>
          <w:i/>
          <w:sz w:val="16"/>
        </w:rPr>
        <w:t>注：ColorQueryBottleneck 为可选模块（use_color_queries=True），若不启用则为 Identity 直接透传。B 为 batch size，形状以 256×256 输入为例。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