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6"/>
          <w:szCs w:val="36"/>
        </w:rPr>
        <w:t xml:space="preserve">Tesis EduFEM, versión 4</w:t>
      </w:r>
    </w:p>
    <w:p>
      <w:pPr>
        <w:spacing w:after="60"/>
        <w:jc w:val="center"/>
      </w:pPr>
      <w:r>
        <w:rPr>
          <w:rFonts w:ascii="Calibri" w:cs="Calibri" w:eastAsia="Calibri" w:hAnsi="Calibri"/>
          <w:sz w:val="24"/>
          <w:szCs w:val="24"/>
        </w:rPr>
        <w:t xml:space="preserve">Resumen del eje «caja negra → bajo criterio» y revisión contra el material docente</w:t>
      </w:r>
    </w:p>
    <w:p>
      <w:pPr>
        <w:spacing w:after="240"/>
        <w:jc w:val="center"/>
      </w:pPr>
      <w:r>
        <w:rPr>
          <w:rFonts w:ascii="Calibri" w:cs="Calibri" w:eastAsia="Calibri" w:hAnsi="Calibri"/>
          <w:i/>
          <w:iCs/>
          <w:sz w:val="20"/>
          <w:szCs w:val="20"/>
        </w:rPr>
        <w:t xml:space="preserve">Documento de trabajo para el autor · 19 de septiembre de 2026</w:t>
      </w:r>
    </w:p>
    <w:p>
      <w:pPr>
        <w:pStyle w:val="Heading1"/>
        <w:spacing w:after="140" w:before="280"/>
      </w:pPr>
      <w:r>
        <w:rPr>
          <w:rFonts w:ascii="Calibri" w:cs="Calibri" w:eastAsia="Calibri" w:hAnsi="Calibri"/>
          <w:b/>
          <w:bCs/>
          <w:sz w:val="30"/>
          <w:szCs w:val="30"/>
        </w:rPr>
        <w:t xml:space="preserve">1. La v4 en una página</w:t>
      </w:r>
    </w:p>
    <w:p>
      <w:pPr>
        <w:spacing w:after="120"/>
      </w:pPr>
      <w:r>
        <w:rPr>
          <w:rFonts w:ascii="Calibri" w:cs="Calibri" w:eastAsia="Calibri" w:hAnsi="Calibri"/>
          <w:sz w:val="22"/>
          <w:szCs w:val="22"/>
        </w:rPr>
        <w:t xml:space="preserve">La v4 aplica sobre la v1 la alternativa 3 del documento de alternativas. Deja una sola brecha, una sola pareja de variables y una cadena lineal: situación problemática, problema, objeto y campo, objetivo general, cinco objetivos en escalera, hipótesis con tres variables, resultados que cierran cada peldaño y conclusiones. La tabla reúne cada pieza tal como quedó redactada.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7212"/>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Pieza</w:t>
            </w:r>
          </w:p>
        </w:tc>
        <w:tc>
          <w:tcPr>
            <w:tcW w:type="dxa" w:w="7212"/>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Formulación en la v4</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Situación problemática</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Los textos clásicos exponen el MEF en abstracto y el software profesional devuelve la respuesta estructural como caja negra. El estudiante aprende a operar sin formar criterio para juzgar lo que obtiene. Fuentes: Pérez-Santiago y Campos, pp. 1159, 1160 y 1171; Suárez et al. (ED-Elas2D), p. 246.</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Problema científico</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¿De qué manera el uso del software de análisis estructural como caja negra podrá afectar en el bajo criterio para interpretar la respuesta estructural obtenida por el MEF en los estudiantes de la Carrera de Ingeniería Civil de la Universidad Autónoma Tomás Frías en la gestión 2026?</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Causa (VI)</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 forma en que el software expone el canal de cálculo y la respuesta: como caja negra, o de manera transparente, interactiva y numéricamente verificable.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Efecto (VD)</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criterio del estudiante para interpretar y juzgar la respuesta estructural: desplazamientos, tensiones, reacciones, calidad de la malla y fenómenos numéricos.</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Variable interviniente</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EduFEM, la solución tentativa con que se manipula la causa.</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Objeto de estudio</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proceso de enseñanza y aprendizaje del análisis de medios continuos en elasticidad lineal plana por el MEF, en la formación de grado en ingeniería civil.</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Campo de acción</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Los medios didácticos con que el estudiante aprende a interpretar y verificar la respuesta: el software educativo que expone el canal y la memoria de cálculo que documenta el resultado.</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Objetivo general</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Desarrollar</w:t>
            </w:r>
            <w:r>
              <w:rPr>
                <w:rFonts w:ascii="Calibri" w:cs="Calibri" w:eastAsia="Calibri" w:hAnsi="Calibri"/>
                <w:b w:val="false"/>
                <w:bCs w:val="false"/>
                <w:sz w:val="19"/>
                <w:szCs w:val="19"/>
              </w:rPr>
              <w:t xml:space="preserve"> (verbo), en el lenguaje de programación Python y sobre bibliotecas numéricas de código abierto (cómo), EduFEM, un software educativo para el análisis por el MEF de problemas de elasticidad plana con elementos Q4 y Q9 (qué), </w:t>
            </w:r>
            <w:r>
              <w:rPr>
                <w:rFonts w:ascii="Calibri" w:cs="Calibri" w:eastAsia="Calibri" w:hAnsi="Calibri"/>
                <w:b w:val="false"/>
                <w:bCs w:val="false"/>
                <w:sz w:val="19"/>
                <w:szCs w:val="19"/>
              </w:rPr>
              <w:t xml:space="preserve">para mejorar el criterio de los estudiantes de ingeniería civil en la interpretación de la respuesta estructural</w:t>
            </w:r>
            <w:r>
              <w:rPr>
                <w:rFonts w:ascii="Calibri" w:cs="Calibri" w:eastAsia="Calibri" w:hAnsi="Calibri"/>
                <w:b w:val="false"/>
                <w:bCs w:val="false"/>
                <w:sz w:val="19"/>
                <w:szCs w:val="19"/>
              </w:rPr>
              <w:t xml:space="preserve"> (para qué).</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Objetivos específicos</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OE1 Diagnosticar la brecha entre operar el software y juzgar su respuesta. OE2 Fundamentar el MEF en elasticidad plana y los principios de aprendizaje. OE3 Desarrollar el motor, la interfaz, los módulos educativos y la memoria de cálculo. OE4 Verificar y validar el motor (MMS, Timoshenko, Cook, SAP2000). OE5 Validar el contenido y la coherencia del software frente a las destrezas que los expertos exigen.</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Hipótesis</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Bajo el desarrollo de EduFEM, la exposición transparente e interactiva del canal de cálculo y de la respuesta estructural permitirá mejorar el criterio para interpretar la respuesta obtenida por el MEF en los estudiantes de la Carrera de Ingeniería Civil de la UATF.</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Cómo se comprueba</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En esta etapa, en su parte de diseño y contenido, con tres cláusulas y criterios fijados a priori: (a) exposición: 7 de 7 etapas con módulo, 9 de 9 en la memoria, tres fases en un lienzo; (b) corrección: tasas teóricas de convergencia, error menor al 1 % en tensión y al 3 % en flecha frente a Timoshenko y SAP2000, bloqueo del Q4 frente al Q9; (c) validez de contenido y coherencia: 18 de 18 destrezas y conceptos con instrumento, 4 de 4 principios con encarnación. El efecto sobre el estudiante se fundamenta por analogía con Bishay (efecto medido) y Lee (efecto observado), y se deja a una prueba de campo diseñada en las recomendaciones.</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Preguntas de investigación</w:t>
            </w:r>
          </w:p>
        </w:tc>
        <w:tc>
          <w:tcPr>
            <w:tcW w:type="dxa" w:w="72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PI-1 exposición, PI-2 corrección, PI-3 validez de contenido. Una por cláusula.</w:t>
            </w:r>
          </w:p>
        </w:tc>
      </w:tr>
    </w:tbl>
    <w:p>
      <w:pPr>
        <w:pStyle w:val="Heading1"/>
        <w:spacing w:after="140" w:before="280"/>
      </w:pPr>
      <w:r>
        <w:rPr>
          <w:rFonts w:ascii="Calibri" w:cs="Calibri" w:eastAsia="Calibri" w:hAnsi="Calibri"/>
          <w:b/>
          <w:bCs/>
          <w:sz w:val="30"/>
          <w:szCs w:val="30"/>
        </w:rPr>
        <w:t xml:space="preserve">2. Cómo se valida la parte pedagógica sin estudiantes ni panel propio</w:t>
      </w:r>
    </w:p>
    <w:p>
      <w:pPr>
        <w:pStyle w:val="ListParagraph"/>
        <w:numPr>
          <w:ilvl w:val="0"/>
          <w:numId w:val="2"/>
        </w:numPr>
        <w:spacing w:after="80"/>
      </w:pPr>
      <w:r>
        <w:rPr>
          <w:rFonts w:ascii="Calibri" w:cs="Calibri" w:eastAsia="Calibri" w:hAnsi="Calibri"/>
          <w:b/>
          <w:bCs/>
          <w:sz w:val="22"/>
          <w:szCs w:val="22"/>
        </w:rPr>
        <w:t xml:space="preserve">Validez de contenido.</w:t>
      </w:r>
      <w:r>
        <w:rPr>
          <w:rFonts w:ascii="Calibri" w:cs="Calibri" w:eastAsia="Calibri" w:hAnsi="Calibri"/>
          <w:sz w:val="22"/>
          <w:szCs w:val="22"/>
        </w:rPr>
        <w:t xml:space="preserve"> La Tabla 3.7 cruza 15 destrezas de interpretación y verificación (mallado, post-proceso, conceptos fundamentales, verificación y validación) y 3 conceptos del canal, tomados del consenso de 67 expertos de Pérez-Santiago y Campos (pp. 1162, 1163 y 1168), con el instrumento de EduFEM que cubre cada uno y la evidencia en la tesis. Resultado: 18 de 18.</w:t>
      </w:r>
    </w:p>
    <w:p>
      <w:pPr>
        <w:pStyle w:val="ListParagraph"/>
        <w:numPr>
          <w:ilvl w:val="0"/>
          <w:numId w:val="2"/>
        </w:numPr>
        <w:spacing w:after="80"/>
      </w:pPr>
      <w:r>
        <w:rPr>
          <w:rFonts w:ascii="Calibri" w:cs="Calibri" w:eastAsia="Calibri" w:hAnsi="Calibri"/>
          <w:b/>
          <w:bCs/>
          <w:sz w:val="22"/>
          <w:szCs w:val="22"/>
        </w:rPr>
        <w:t xml:space="preserve">Coherencia del diseño.</w:t>
      </w:r>
      <w:r>
        <w:rPr>
          <w:rFonts w:ascii="Calibri" w:cs="Calibri" w:eastAsia="Calibri" w:hAnsi="Calibri"/>
          <w:sz w:val="22"/>
          <w:szCs w:val="22"/>
        </w:rPr>
        <w:t xml:space="preserve"> La Tabla 3.8 recorre los cuatro principios de aprendizaje de §1.2 (visibilidad, interactividad con vínculo al modelo, construcción paso a paso, fundamento y operación), ahora apoyados también en Rutten 2012, Chi y Wylie 2014 y Atkinson 2000. Resultado: 4 de 4.</w:t>
      </w:r>
    </w:p>
    <w:p>
      <w:pPr>
        <w:pStyle w:val="ListParagraph"/>
        <w:numPr>
          <w:ilvl w:val="0"/>
          <w:numId w:val="2"/>
        </w:numPr>
        <w:spacing w:after="80"/>
      </w:pPr>
      <w:r>
        <w:rPr>
          <w:rFonts w:ascii="Calibri" w:cs="Calibri" w:eastAsia="Calibri" w:hAnsi="Calibri"/>
          <w:b/>
          <w:bCs/>
          <w:sz w:val="22"/>
          <w:szCs w:val="22"/>
        </w:rPr>
        <w:t xml:space="preserve">Mejora sobre los antecedentes.</w:t>
      </w:r>
      <w:r>
        <w:rPr>
          <w:rFonts w:ascii="Calibri" w:cs="Calibri" w:eastAsia="Calibri" w:hAnsi="Calibri"/>
          <w:sz w:val="22"/>
          <w:szCs w:val="22"/>
        </w:rPr>
        <w:t xml:space="preserve"> La Tabla 1.1 gana la fila «Lectura de la respuesta» y §1.1 cita a los autores de ED-Elas2D, que reconocen que su post-proceso no explica el suavizado nodal. Esa tabla sostiene el diagnóstico (OE1) y el aporte, no la hipótesis.</w:t>
      </w:r>
    </w:p>
    <w:p>
      <w:pPr>
        <w:pStyle w:val="ListParagraph"/>
        <w:numPr>
          <w:ilvl w:val="0"/>
          <w:numId w:val="2"/>
        </w:numPr>
        <w:spacing w:after="80"/>
      </w:pPr>
      <w:r>
        <w:rPr>
          <w:rFonts w:ascii="Calibri" w:cs="Calibri" w:eastAsia="Calibri" w:hAnsi="Calibri"/>
          <w:b/>
          <w:bCs/>
          <w:sz w:val="22"/>
          <w:szCs w:val="22"/>
        </w:rPr>
        <w:t xml:space="preserve">Lo que la literatura no puede hacer.</w:t>
      </w:r>
      <w:r>
        <w:rPr>
          <w:rFonts w:ascii="Calibri" w:cs="Calibri" w:eastAsia="Calibri" w:hAnsi="Calibri"/>
          <w:sz w:val="22"/>
          <w:szCs w:val="22"/>
        </w:rPr>
        <w:t xml:space="preserve"> Contrastar que el estudiante juzga mejor. Eso queda fundamentado por analogía y remitido a una prueba de campo que las recomendaciones dejan diseñada.</w:t>
      </w:r>
    </w:p>
    <w:p>
      <w:pPr>
        <w:pStyle w:val="Heading1"/>
        <w:spacing w:after="140" w:before="280"/>
      </w:pPr>
      <w:r>
        <w:rPr>
          <w:rFonts w:ascii="Calibri" w:cs="Calibri" w:eastAsia="Calibri" w:hAnsi="Calibri"/>
          <w:b/>
          <w:bCs/>
          <w:sz w:val="30"/>
          <w:szCs w:val="30"/>
        </w:rPr>
        <w:t xml:space="preserve">3. Revisión contra el material docente</w:t>
      </w:r>
    </w:p>
    <w:p>
      <w:pPr>
        <w:spacing w:after="120"/>
      </w:pPr>
      <w:r>
        <w:rPr>
          <w:rFonts w:ascii="Calibri" w:cs="Calibri" w:eastAsia="Calibri" w:hAnsi="Calibri"/>
          <w:sz w:val="22"/>
          <w:szCs w:val="22"/>
        </w:rPr>
        <w:t xml:space="preserve">Se revisaron 33 exigencias de las tres guías de Miranda y de los Talleres 1, 2, 4, 5 y 6 de Barrios. Resultado: </w:t>
      </w:r>
      <w:r>
        <w:rPr>
          <w:rFonts w:ascii="Calibri" w:cs="Calibri" w:eastAsia="Calibri" w:hAnsi="Calibri"/>
          <w:b/>
          <w:bCs/>
          <w:sz w:val="22"/>
          <w:szCs w:val="22"/>
        </w:rPr>
        <w:t xml:space="preserve">24 cumplen</w:t>
      </w:r>
      <w:r>
        <w:rPr>
          <w:rFonts w:ascii="Calibri" w:cs="Calibri" w:eastAsia="Calibri" w:hAnsi="Calibri"/>
          <w:sz w:val="22"/>
          <w:szCs w:val="22"/>
        </w:rPr>
        <w:t xml:space="preserve">, </w:t>
      </w:r>
      <w:r>
        <w:rPr>
          <w:rFonts w:ascii="Calibri" w:cs="Calibri" w:eastAsia="Calibri" w:hAnsi="Calibri"/>
          <w:b/>
          <w:bCs/>
          <w:sz w:val="22"/>
          <w:szCs w:val="22"/>
        </w:rPr>
        <w:t xml:space="preserve">8 cumplen con matiz</w:t>
      </w:r>
      <w:r>
        <w:rPr>
          <w:rFonts w:ascii="Calibri" w:cs="Calibri" w:eastAsia="Calibri" w:hAnsi="Calibri"/>
          <w:sz w:val="22"/>
          <w:szCs w:val="22"/>
        </w:rPr>
        <w:t xml:space="preserve"> y </w:t>
      </w:r>
      <w:r>
        <w:rPr>
          <w:rFonts w:ascii="Calibri" w:cs="Calibri" w:eastAsia="Calibri" w:hAnsi="Calibri"/>
          <w:b/>
          <w:bCs/>
          <w:sz w:val="22"/>
          <w:szCs w:val="22"/>
        </w:rPr>
        <w:t xml:space="preserve">1 queda pendiente</w:t>
      </w:r>
      <w:r>
        <w:rPr>
          <w:rFonts w:ascii="Calibri" w:cs="Calibri" w:eastAsia="Calibri" w:hAnsi="Calibri"/>
          <w:sz w:val="22"/>
          <w:szCs w:val="22"/>
        </w:rPr>
        <w:t xml:space="preserve">. Ninguna se incumple. Los matices son los puntos que conviene llevar preparados a la defensa.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300"/>
        <w:gridCol w:w="4500"/>
        <w:gridCol w:w="1612"/>
      </w:tblGrid>
      <w:tr>
        <w:trPr>
          <w:tblHeader/>
        </w:trPr>
        <w:tc>
          <w:tcPr>
            <w:tcW w:type="dxa" w:w="3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Lo que pide el material docente</w:t>
            </w:r>
          </w:p>
        </w:tc>
        <w:tc>
          <w:tcPr>
            <w:tcW w:type="dxa" w:w="4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Dónde está en la v4</w:t>
            </w:r>
          </w:p>
        </w:tc>
        <w:tc>
          <w:tcPr>
            <w:tcW w:type="dxa" w:w="1612"/>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Veredicto</w:t>
            </w:r>
          </w:p>
        </w:tc>
      </w:tr>
      <w:tr>
        <w:tc>
          <w:tcPr>
            <w:tcW w:type="dxa" w:w="9412"/>
            <w:gridSpan w:val="3"/>
            <w:tcBorders>
              <w:top w:val="single" w:color="999999" w:sz="4"/>
              <w:left w:val="single" w:color="999999" w:sz="4"/>
              <w:bottom w:val="single" w:color="999999" w:sz="4"/>
              <w:right w:val="single" w:color="999999" w:sz="4"/>
            </w:tcBorders>
            <w:shd w:fill="EDEDED"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Guía «Planteamiento del problema científico e hipótesis» (Miranda)</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problema se plantea como interrogante</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Introducción, Planteamiento del problema: «¿De qué manera… podrá afectar…?»</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Dos variables: independiente (causa) y dependiente (efecto)</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Declaradas a continuación de la pregunta, con la misma redacción en §2.1.2 y en la Tabla 2.1</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Relación lógica entre las variables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 caja negra oculta el procedimiento y el estudiante no forma criterio; sostenida con Suárez p. 246 y Pérez-Santiago pp. 1160 y 1171</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Delimitación institucional, espacial y temporal</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Dentro de la propia pregunta y en el párrafo que la sigue: Carrera de Ingeniería Civil de la UATF, aula y equipo del estudiante, gestión 2026</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Verificación en fuentes de información</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Cada afirmación del diagnóstico lleva página. No hay diagnóstico propio, por encuesta, del «bajo criterio»: se declara y se apoya en literatura</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Hipótesis con tres variables: dependiente, independiente e interviniente</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Introducción, Hipótesis: VI exposición, VD criterio, interviniente EduFEM</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Hipótesis en tiempo futuro, afirmativa, como solución tentativa</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«…permitirá mejorar el criterio…»; solución tentativa con respaldo en García-Córdoba p. 85</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Flujograma: ¿se puede comprobar la hipótesis?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Tres cláusulas con criterios a priori en §2.1.6, comprobadas en §3.8. El efecto sobre el estudiante no se comprueba: se fundamenta y se deja a la prueba de campo</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c>
          <w:tcPr>
            <w:tcW w:type="dxa" w:w="9412"/>
            <w:gridSpan w:val="3"/>
            <w:tcBorders>
              <w:top w:val="single" w:color="999999" w:sz="4"/>
              <w:left w:val="single" w:color="999999" w:sz="4"/>
              <w:bottom w:val="single" w:color="999999" w:sz="4"/>
              <w:right w:val="single" w:color="999999" w:sz="4"/>
            </w:tcBorders>
            <w:shd w:fill="EDEDED"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Guía «Situación problemática, objeto de estudio y campo de acción» (Miranda)</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 situación problemática expresa contradicciones y a ella se regresa con la solución</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Introducción, y primer párrafo de las Conclusiones, que regresa a la doble brecha y a la interrogante</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Objeto: área donde se manifiesta la contradicción; de él salen los fundamentos teóricos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Proceso de enseñanza y aprendizaje del análisis por el MEF; el Cap. 1 reúne los fundamentos del método y los pedagógicos</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Campo: parte que resultará mejorada, de la misma naturaleza que el objeto</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Los medios didácticos de ese proceso: el software y la memoria de cálculo</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c>
          <w:tcPr>
            <w:tcW w:type="dxa" w:w="9412"/>
            <w:gridSpan w:val="3"/>
            <w:tcBorders>
              <w:top w:val="single" w:color="999999" w:sz="4"/>
              <w:left w:val="single" w:color="999999" w:sz="4"/>
              <w:bottom w:val="single" w:color="999999" w:sz="4"/>
              <w:right w:val="single" w:color="999999" w:sz="4"/>
            </w:tcBorders>
            <w:shd w:fill="EDEDED"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Guía «Cómo se construye el objetivo general» (Miranda)</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Cuatro partes: verbo en infinitivo, qué cosa, cómo, para qué</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Desarrollar / software educativo de elementos finitos / Python y bibliotecas abiertas / mejorar el criterio del estudiante</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«qué» va a la variable independiente y el «para qué» a la dependiente</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«para qué» es la VD, literal. El «qué» nombra el software, que es la interviniente que realiza la VI; el propio ejemplo de la guía tiene esa holgura</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título se obtiene del objetivo general</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título del perfil defendido lleva el verbo, el qué y el cómo, pero no el «para qué». No se toca sin aval escrito del director</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Escalera de objetivos: diagnosticar, fundamentar, experimentar, calcular, validar</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Cinco objetivos: diagnosticar, fundamentar, desarrollar, verificar, validar</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Cada objetivo: verbo, objeto y finalidad; logros, no actividades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Los cinco cierran con su finalidad («para delimitar…», «para exponer…», «para que la respuesta sea correcta», «para establecer…»)</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Objetivos repartidos en tres capítulos (Caso II)</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OE1 y OE2 en el Cap. 1; OE3 en el Cap. 2; OE4 y OE5 en el Cap. 3. La guía pone la aplicación práctica en el Cap. 2; aquí la verificación va al Cap. 3 con los resultados, como pide el Taller 5</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 tríada: capítulo, conclusión, recomendación</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Una conclusión por objetivo con su capítulo, y recomendaciones en tres grupos, uno por capítulo</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c>
          <w:tcPr>
            <w:tcW w:type="dxa" w:w="9412"/>
            <w:gridSpan w:val="3"/>
            <w:tcBorders>
              <w:top w:val="single" w:color="999999" w:sz="4"/>
              <w:left w:val="single" w:color="999999" w:sz="4"/>
              <w:bottom w:val="single" w:color="999999" w:sz="4"/>
              <w:right w:val="single" w:color="999999" w:sz="4"/>
            </w:tcBorders>
            <w:shd w:fill="EDEDED"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Taller 1 «Documento de graduación» (Barrios)</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Índice de tesis: Resumen, Introducción, tres capítulos con los títulos oficiales, Conclusiones y recomendaciones, Bibliografía, Anexos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Se conserva el índice oficial y sus tres títulos</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Art. 6, 8 y 9: investigación con metodología científica; proposición, demostración y conclusión; propuesta original y verificable</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Problema, hipótesis y contraste por cláusulas; originalidad acotada a «no se documenta entre los antecedentes revisados»</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Fuentes jerarquizadas: artículos en primer nivel; libros de no más de diez años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Las tres fuentes nuevas son artículos de revista. Los libros clásicos de más de diez años se justifican al abrir el Cap. 1</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Referenciar todo lo tomado; bibliografía por orden de aparición</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Vancouver numérico por orden de primera mención, con página en definiciones, valores y atribuciones; respaldo de citas actualizado</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c>
          <w:tcPr>
            <w:tcW w:type="dxa" w:w="9412"/>
            <w:gridSpan w:val="3"/>
            <w:tcBorders>
              <w:top w:val="single" w:color="999999" w:sz="4"/>
              <w:left w:val="single" w:color="999999" w:sz="4"/>
              <w:bottom w:val="single" w:color="999999" w:sz="4"/>
              <w:right w:val="single" w:color="999999" w:sz="4"/>
            </w:tcBorders>
            <w:shd w:fill="EDEDED"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Taller 4 «Modelo de investigación» (Barrios)</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Tipo de modelo; se admite la modelación de simulación teórica</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§2.1.1: modelo de simulación numérica para la verificación, más validación documental del contenido</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Estructura: conceptualización y alcance, variables, procedimiento, validación de las observaciones, contraste de hipótesis; descrita en el Cap. 2</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§2.1.1 a §2.1.6 siguen ese diagrama en ese orden</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Operacionalización de variables, procedimientos, técnicas e instrumentos, plan de análisis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Tabla 2.1, §2.1.5 (guiones de V&amp;V, tabla de especificaciones, matriz de principios) y §2.1.6 (criterios)</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Establecer la población y la muestra</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§2.1.4: la población son los estudiantes; esta etapa no toma muestra porque su unidad de análisis es el artefacto. Universo de contenido recorrido completo; casos numéricos por muestra dirigida</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Precisión, ausencia de error y grado de incertidumbre del modelo</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Motor determinista, tasas de convergencia, extrapolación de Richardson, criterios automáticos en los guiones</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c>
          <w:tcPr>
            <w:tcW w:type="dxa" w:w="9412"/>
            <w:gridSpan w:val="3"/>
            <w:tcBorders>
              <w:top w:val="single" w:color="999999" w:sz="4"/>
              <w:left w:val="single" w:color="999999" w:sz="4"/>
              <w:bottom w:val="single" w:color="999999" w:sz="4"/>
              <w:right w:val="single" w:color="999999" w:sz="4"/>
            </w:tcBorders>
            <w:shd w:fill="EDEDED"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Taller 5 «Comunicación de resultados» (Barrios)</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Los resultados responden a los objetivos y se presentan por variables, dimensiones e indicadores, con tablas y figuras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Cap. 3: §3.2 a §3.5 para la corrección; §3.6 para la exposición, la validez de contenido y la coherencia</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En resultados se describe; la interpretación va aparte</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 interpretación está en §3.7, pero quedan frases valorativas dentro de §3.4 a §3.6</w:t>
            </w:r>
          </w:p>
        </w:tc>
        <w:tc>
          <w:tcPr>
            <w:tcW w:type="dxa" w:w="1612"/>
            <w:tcBorders>
              <w:top w:val="single" w:color="999999" w:sz="4"/>
              <w:left w:val="single" w:color="999999" w:sz="4"/>
              <w:bottom w:val="single" w:color="999999" w:sz="4"/>
              <w:right w:val="single" w:color="999999" w:sz="4"/>
            </w:tcBorders>
            <w:shd w:fill="FFF2CC"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 con matiz</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Ejemplo 2: software validado contra casos publicados, con tablas de diferencia porcentual</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§3.4 Timoshenko frente a la solución analítica y SAP2000; §3.5 membrana de Cook</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Conclusiones: responder la pregunta problema y los objetivos, vincular con la metodología, señalar debilidades</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Conclusiones por objetivo, párrafo de cierre sobre la hipótesis y sección de Limitaciones</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c>
          <w:tcPr>
            <w:tcW w:type="dxa" w:w="9412"/>
            <w:gridSpan w:val="3"/>
            <w:tcBorders>
              <w:top w:val="single" w:color="999999" w:sz="4"/>
              <w:left w:val="single" w:color="999999" w:sz="4"/>
              <w:bottom w:val="single" w:color="999999" w:sz="4"/>
              <w:right w:val="single" w:color="999999" w:sz="4"/>
            </w:tcBorders>
            <w:shd w:fill="EDEDED"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Talleres 2 y 6 (Barrios)</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Taller 2: asumir una sola norma de referenciación</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Vancouver para citas y referencias; APA 7 solo para la presentación del documento, declarado en la Introducción</w:t>
            </w:r>
          </w:p>
        </w:tc>
        <w:tc>
          <w:tcPr>
            <w:tcW w:type="dxa" w:w="1612"/>
            <w:tcBorders>
              <w:top w:val="single" w:color="999999" w:sz="4"/>
              <w:left w:val="single" w:color="999999" w:sz="4"/>
              <w:bottom w:val="single" w:color="999999" w:sz="4"/>
              <w:right w:val="single" w:color="999999" w:sz="4"/>
            </w:tcBorders>
            <w:shd w:fill="E2EFDA"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Cumple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Taller 6: defensa del trabajo</w:t>
            </w:r>
          </w:p>
        </w:tc>
        <w:tc>
          <w:tcPr>
            <w:tcW w:type="dxa" w:w="4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 presentación y el video siguen con el eje de la v1: hay que rehacer las láminas de problema, hipótesis, variables, matriz y §3.6</w:t>
            </w:r>
          </w:p>
        </w:tc>
        <w:tc>
          <w:tcPr>
            <w:tcW w:type="dxa" w:w="1612"/>
            <w:tcBorders>
              <w:top w:val="single" w:color="999999" w:sz="4"/>
              <w:left w:val="single" w:color="999999" w:sz="4"/>
              <w:bottom w:val="single" w:color="999999" w:sz="4"/>
              <w:right w:val="single" w:color="999999" w:sz="4"/>
            </w:tcBorders>
            <w:shd w:fill="F8CBAD"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Pendiente</w:t>
            </w:r>
          </w:p>
        </w:tc>
      </w:tr>
    </w:tbl>
    <w:p>
      <w:pPr>
        <w:pStyle w:val="Heading1"/>
        <w:spacing w:after="140" w:before="280"/>
      </w:pPr>
      <w:r>
        <w:rPr>
          <w:rFonts w:ascii="Calibri" w:cs="Calibri" w:eastAsia="Calibri" w:hAnsi="Calibri"/>
          <w:b/>
          <w:bCs/>
          <w:sz w:val="30"/>
          <w:szCs w:val="30"/>
        </w:rPr>
        <w:t xml:space="preserve">4. Los matices, con la respuesta preparada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000"/>
        <w:gridCol w:w="6412"/>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Observación probable del tribunal</w:t>
            </w:r>
          </w:p>
        </w:tc>
        <w:tc>
          <w:tcPr>
            <w:tcW w:type="dxa" w:w="6412"/>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spacing w:after="0"/>
            </w:pPr>
            <w:r>
              <w:rPr>
                <w:rFonts w:ascii="Calibri" w:cs="Calibri" w:eastAsia="Calibri" w:hAnsi="Calibri"/>
                <w:b/>
                <w:bCs/>
                <w:sz w:val="19"/>
                <w:szCs w:val="19"/>
              </w:rPr>
              <w:t xml:space="preserve">Respuesta</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«¿Midió que el criterio mejora?»</w:t>
            </w:r>
          </w:p>
        </w:tc>
        <w:tc>
          <w:tcPr>
            <w:tcW w:type="dxa" w:w="64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No en esta etapa. La hipótesis se comprueba en su parte de diseño y contenido con criterios fijados a priori. El efecto se fundamenta con herramientas de la misma familia que sí lo midieron (Bishay, mejora significativa entre cohortes) u observaron (Lee). La prueba de campo está diseñada: un curso, preprueba y posprueba con resultados de MEF para juzgar, estadística no paramétrica.</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«¿Cómo sabe que el criterio es bajo?»</w:t>
            </w:r>
          </w:p>
        </w:tc>
        <w:tc>
          <w:tcPr>
            <w:tcW w:type="dxa" w:w="64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Con el diagnóstico de la literatura: solo el 31 % de los ingenieros se considera conocedor del análisis por elementos finitos (p. 1160); los expertos piden que el egresado sepa planificar, verificar y validar (p. 1171); el antecedente más directo reconoce que su post-proceso es «meramente descriptivo» (Suárez, p. 253). No hubo encuesta propia y se declara.</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«¿Dónde están la población y la muestra?»</w:t>
            </w:r>
          </w:p>
        </w:tc>
        <w:tc>
          <w:tcPr>
            <w:tcW w:type="dxa" w:w="64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 población son los estudiantes de la Carrera que cursan la asignatura donde se introduce el MEF. Esta etapa no toma muestra porque su unidad de análisis es el artefacto; recorre completo un universo de contenido de 15 destrezas y 3 conceptos tomados de un consenso publicado de 67 expertos. La muestra dirigida, un curso, corresponde a la prueba de campo.</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«Eso es juicio de expertos de otro país»</w:t>
            </w:r>
          </w:p>
        </w:tc>
        <w:tc>
          <w:tcPr>
            <w:tcW w:type="dxa" w:w="64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propio estudio declara que sus resultados no se generalizan a otros contextos (p. 1171). Se usan solo los ítems que son contenido universal del método: isoparamétrico, Gauss, ensamblaje, mallado, convergencia, equilibrio. Lo excluido se lista al pie de la Tabla 3.7.</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«Las tablas las armó usted mismo»</w:t>
            </w:r>
          </w:p>
        </w:tc>
        <w:tc>
          <w:tcPr>
            <w:tcW w:type="dxa" w:w="641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Sí, y se declara como limitación. Por eso el criterio exige evidencia comprobable por celda (una función descrita en el Cap. 2, una captura del manual o una prueba de regresión) y no puntajes.</w:t>
            </w:r>
          </w:p>
        </w:tc>
      </w:tr>
    </w:tbl>
    <w:p>
      <w:pPr>
        <w:pStyle w:val="Heading1"/>
        <w:spacing w:after="140" w:before="280"/>
      </w:pPr>
      <w:r>
        <w:rPr>
          <w:rFonts w:ascii="Calibri" w:cs="Calibri" w:eastAsia="Calibri" w:hAnsi="Calibri"/>
          <w:b/>
          <w:bCs/>
          <w:sz w:val="30"/>
          <w:szCs w:val="30"/>
        </w:rPr>
        <w:t xml:space="preserve">5. Qué queda en manos del autor</w:t>
      </w:r>
    </w:p>
    <w:p>
      <w:pPr>
        <w:pStyle w:val="ListParagraph"/>
        <w:numPr>
          <w:ilvl w:val="0"/>
          <w:numId w:val="2"/>
        </w:numPr>
        <w:spacing w:after="80"/>
      </w:pPr>
      <w:r>
        <w:rPr>
          <w:rFonts w:ascii="Calibri" w:cs="Calibri" w:eastAsia="Calibri" w:hAnsi="Calibri"/>
          <w:sz w:val="22"/>
          <w:szCs w:val="22"/>
        </w:rPr>
        <w:t xml:space="preserve">Completar en §2.1.4 el nombre, la sigla y el semestre de la asignatura en que se introduce el MEF (está marcado como dato pendiente).</w:t>
      </w:r>
    </w:p>
    <w:p>
      <w:pPr>
        <w:pStyle w:val="ListParagraph"/>
        <w:numPr>
          <w:ilvl w:val="0"/>
          <w:numId w:val="2"/>
        </w:numPr>
        <w:spacing w:after="80"/>
      </w:pPr>
      <w:r>
        <w:rPr>
          <w:rFonts w:ascii="Calibri" w:cs="Calibri" w:eastAsia="Calibri" w:hAnsi="Calibri"/>
          <w:sz w:val="22"/>
          <w:szCs w:val="22"/>
        </w:rPr>
        <w:t xml:space="preserve">Revisar celda por celda la Tabla 3.7: cada una afirma qué hace el software.</w:t>
      </w:r>
    </w:p>
    <w:p>
      <w:pPr>
        <w:pStyle w:val="ListParagraph"/>
        <w:numPr>
          <w:ilvl w:val="0"/>
          <w:numId w:val="2"/>
        </w:numPr>
        <w:spacing w:after="80"/>
      </w:pPr>
      <w:r>
        <w:rPr>
          <w:rFonts w:ascii="Calibri" w:cs="Calibri" w:eastAsia="Calibri" w:hAnsi="Calibri"/>
          <w:sz w:val="22"/>
          <w:szCs w:val="22"/>
        </w:rPr>
        <w:t xml:space="preserve">Confirmar en el PDF la cita de la página 187 de Atkinson (el ejemplar es OCR y el pasaje quedó con nota, no resaltado).</w:t>
      </w:r>
    </w:p>
    <w:p>
      <w:pPr>
        <w:pStyle w:val="ListParagraph"/>
        <w:numPr>
          <w:ilvl w:val="0"/>
          <w:numId w:val="2"/>
        </w:numPr>
        <w:spacing w:after="80"/>
      </w:pPr>
      <w:r>
        <w:rPr>
          <w:rFonts w:ascii="Calibri" w:cs="Calibri" w:eastAsia="Calibri" w:hAnsi="Calibri"/>
          <w:sz w:val="22"/>
          <w:szCs w:val="22"/>
        </w:rPr>
        <w:t xml:space="preserve">Si la v4 se adopta: mover los capítulos de la v4 sobre los de la v1 y rehacer las láminas de problema, hipótesis, variables, matriz y §3.6 de la presentación y el video.</w:t>
      </w:r>
    </w:p>
    <w:p>
      <w:pPr>
        <w:pStyle w:val="ListParagraph"/>
        <w:numPr>
          <w:ilvl w:val="0"/>
          <w:numId w:val="2"/>
        </w:numPr>
        <w:spacing w:after="80"/>
      </w:pPr>
      <w:r>
        <w:rPr>
          <w:rFonts w:ascii="Calibri" w:cs="Calibri" w:eastAsia="Calibri" w:hAnsi="Calibri"/>
          <w:sz w:val="22"/>
          <w:szCs w:val="22"/>
        </w:rPr>
        <w:t xml:space="preserve">Sigue abierto conseguir el Reglamento de Graduación completo, que el material docente solo cita por artículos.</w:t>
      </w:r>
    </w:p>
    <w:p>
      <w:pPr>
        <w:pStyle w:val="Heading1"/>
        <w:spacing w:after="140" w:before="280"/>
      </w:pPr>
      <w:r>
        <w:rPr>
          <w:rFonts w:ascii="Calibri" w:cs="Calibri" w:eastAsia="Calibri" w:hAnsi="Calibri"/>
          <w:b/>
          <w:bCs/>
          <w:sz w:val="30"/>
          <w:szCs w:val="30"/>
        </w:rPr>
        <w:t xml:space="preserve">6. Dónde está cada cosa</w:t>
      </w:r>
    </w:p>
    <w:p>
      <w:pPr>
        <w:pStyle w:val="ListParagraph"/>
        <w:numPr>
          <w:ilvl w:val="0"/>
          <w:numId w:val="2"/>
        </w:numPr>
        <w:spacing w:after="80"/>
      </w:pPr>
      <w:r>
        <w:rPr>
          <w:rFonts w:ascii="Calibri" w:cs="Calibri" w:eastAsia="Calibri" w:hAnsi="Calibri"/>
          <w:sz w:val="22"/>
          <w:szCs w:val="22"/>
        </w:rPr>
        <w:t xml:space="preserve">Tesis v4: tesis/main</w:t>
      </w:r>
      <w:r>
        <w:rPr>
          <w:rFonts w:ascii="Calibri" w:cs="Calibri" w:eastAsia="Calibri" w:hAnsi="Calibri"/>
          <w:i/>
          <w:iCs/>
          <w:sz w:val="22"/>
          <w:szCs w:val="22"/>
        </w:rPr>
        <w:t xml:space="preserve">v4.tex, con los capítulos reescritos en tesis/capitulos</w:t>
      </w:r>
      <w:r>
        <w:rPr>
          <w:rFonts w:ascii="Calibri" w:cs="Calibri" w:eastAsia="Calibri" w:hAnsi="Calibri"/>
          <w:sz w:val="22"/>
          <w:szCs w:val="22"/>
        </w:rPr>
        <w:t xml:space="preserve">v4/. Compila limpia: 168 hojas, sin referencias indefinidas ni desbordes.</w:t>
      </w:r>
    </w:p>
    <w:p>
      <w:pPr>
        <w:pStyle w:val="ListParagraph"/>
        <w:numPr>
          <w:ilvl w:val="0"/>
          <w:numId w:val="2"/>
        </w:numPr>
        <w:spacing w:after="80"/>
      </w:pPr>
      <w:r>
        <w:rPr>
          <w:rFonts w:ascii="Calibri" w:cs="Calibri" w:eastAsia="Calibri" w:hAnsi="Calibri"/>
          <w:sz w:val="22"/>
          <w:szCs w:val="22"/>
        </w:rPr>
        <w:t xml:space="preserve">Bibliografía: tesis/bibliografia/referencias.bib, 25 entradas. Respaldo de citas: tesis/respaldo</w:t>
      </w:r>
      <w:r>
        <w:rPr>
          <w:rFonts w:ascii="Calibri" w:cs="Calibri" w:eastAsia="Calibri" w:hAnsi="Calibri"/>
          <w:i/>
          <w:iCs/>
          <w:sz w:val="22"/>
          <w:szCs w:val="22"/>
        </w:rPr>
        <w:t xml:space="preserve">citas/respaldo</w:t>
      </w:r>
      <w:r>
        <w:rPr>
          <w:rFonts w:ascii="Calibri" w:cs="Calibri" w:eastAsia="Calibri" w:hAnsi="Calibri"/>
          <w:sz w:val="22"/>
          <w:szCs w:val="22"/>
        </w:rPr>
        <w:t xml:space="preserve">citas.pdf, 47 páginas. Copias resaltadas: tesis/bibliografia/resaltados/.</w:t>
      </w:r>
    </w:p>
    <w:p>
      <w:pPr>
        <w:pStyle w:val="ListParagraph"/>
        <w:numPr>
          <w:ilvl w:val="0"/>
          <w:numId w:val="2"/>
        </w:numPr>
        <w:spacing w:after="80"/>
      </w:pPr>
      <w:r>
        <w:rPr>
          <w:rFonts w:ascii="Calibri" w:cs="Calibri" w:eastAsia="Calibri" w:hAnsi="Calibri"/>
          <w:sz w:val="22"/>
          <w:szCs w:val="22"/>
        </w:rPr>
        <w:t xml:space="preserve">Alternativas comparadas: tesis/alternativas/alternativas</w:t>
      </w:r>
      <w:r>
        <w:rPr>
          <w:rFonts w:ascii="Calibri" w:cs="Calibri" w:eastAsia="Calibri" w:hAnsi="Calibri"/>
          <w:i/>
          <w:iCs/>
          <w:sz w:val="22"/>
          <w:szCs w:val="22"/>
        </w:rPr>
        <w:t xml:space="preserve">causa</w:t>
      </w:r>
      <w:r>
        <w:rPr>
          <w:rFonts w:ascii="Calibri" w:cs="Calibri" w:eastAsia="Calibri" w:hAnsi="Calibri"/>
          <w:sz w:val="22"/>
          <w:szCs w:val="22"/>
        </w:rPr>
        <w:t xml:space="preserve">efecto.pdf. Bitácora: docs/notas/2026-09-19_tesis-v4-alternativa-3.md.</w:t>
      </w:r>
    </w:p>
    <w:sectPr>
      <w:footerReference w:type="default" r:id="rId7"/>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EduFEM v4: resumen y revisión contra el material docente</dc:title>
  <dc:creator>EduFEM</dc:creator>
  <cp:lastModifiedBy>Un-named</cp:lastModifiedBy>
  <cp:revision>1</cp:revision>
  <dcterms:created xsi:type="dcterms:W3CDTF">2026-09-19T09:47:29.654Z</dcterms:created>
  <dcterms:modified xsi:type="dcterms:W3CDTF">2026-09-19T09:47:29.660Z</dcterms:modified>
</cp:coreProperties>
</file>

<file path=docProps/custom.xml><?xml version="1.0" encoding="utf-8"?>
<Properties xmlns="http://schemas.openxmlformats.org/officeDocument/2006/custom-properties" xmlns:vt="http://schemas.openxmlformats.org/officeDocument/2006/docPropsVTypes"/>
</file>