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7910C">
      <w:pPr>
        <w:spacing w:after="60"/>
        <w:jc w:val="center"/>
      </w:pPr>
      <w:r>
        <w:rPr>
          <w:rFonts w:ascii="Calibri" w:hAnsi="Calibri" w:eastAsia="Calibri" w:cs="Calibri"/>
          <w:b/>
          <w:bCs/>
          <w:sz w:val="36"/>
          <w:szCs w:val="36"/>
        </w:rPr>
        <w:t>Tesis EduFEM, versión 4</w:t>
      </w:r>
    </w:p>
    <w:p w14:paraId="4A1C871D">
      <w:pPr>
        <w:spacing w:after="60"/>
        <w:jc w:val="center"/>
      </w:pPr>
      <w:r>
        <w:rPr>
          <w:rFonts w:ascii="Calibri" w:hAnsi="Calibri" w:eastAsia="Calibri" w:cs="Calibri"/>
          <w:sz w:val="24"/>
          <w:szCs w:val="24"/>
        </w:rPr>
        <w:t>Resumen del eje «caja negra → bajo criterio» y revisión contra el material docente</w:t>
      </w:r>
    </w:p>
    <w:p w14:paraId="3DF61EE0">
      <w:pPr>
        <w:spacing w:after="240"/>
        <w:jc w:val="center"/>
      </w:pPr>
      <w:r>
        <w:rPr>
          <w:rFonts w:ascii="Calibri" w:hAnsi="Calibri" w:eastAsia="Calibri" w:cs="Calibri"/>
          <w:i/>
          <w:iCs/>
          <w:sz w:val="20"/>
          <w:szCs w:val="20"/>
        </w:rPr>
        <w:t>Documento de trabajo para el autor · 19 de septiembre de 2026</w:t>
      </w:r>
    </w:p>
    <w:p w14:paraId="5257DBAF">
      <w:pPr>
        <w:pStyle w:val="2"/>
        <w:spacing w:before="280" w:after="140"/>
      </w:pPr>
      <w:r>
        <w:rPr>
          <w:rFonts w:ascii="Calibri" w:hAnsi="Calibri" w:eastAsia="Calibri" w:cs="Calibri"/>
          <w:b/>
          <w:bCs/>
          <w:sz w:val="30"/>
          <w:szCs w:val="30"/>
        </w:rPr>
        <w:t>1. La v4 en una página</w:t>
      </w:r>
      <w:bookmarkStart w:id="0" w:name="_GoBack"/>
      <w:bookmarkEnd w:id="0"/>
    </w:p>
    <w:p w14:paraId="1F4F803D">
      <w:pPr>
        <w:spacing w:after="120"/>
      </w:pPr>
      <w:r>
        <w:rPr>
          <w:rFonts w:ascii="Calibri" w:hAnsi="Calibri" w:eastAsia="Calibri" w:cs="Calibri"/>
          <w:sz w:val="22"/>
          <w:szCs w:val="22"/>
        </w:rPr>
        <w:t>La v4 aplica sobre la v1 la alternativa 3 del documento de alternativas. Deja una sola brecha, una sola pareja de variables y una cadena lineal: situación problemática, problema, objeto y campo, objetivo general, cinco objetivos en escalera, hipótesis con tres variables, resultados que cierran cada peldaño y conclusiones. La tabla reúne cada pieza tal como quedó redactada.</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12"/>
      </w:tblGrid>
      <w:tr w14:paraId="6AEC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73DB84EB">
            <w:pPr>
              <w:spacing w:after="0"/>
            </w:pPr>
            <w:r>
              <w:rPr>
                <w:rFonts w:ascii="Calibri" w:hAnsi="Calibri" w:eastAsia="Calibri" w:cs="Calibri"/>
                <w:b/>
                <w:bCs/>
                <w:sz w:val="19"/>
                <w:szCs w:val="19"/>
              </w:rPr>
              <w:t>Pieza</w:t>
            </w:r>
          </w:p>
        </w:tc>
        <w:tc>
          <w:tcPr>
            <w:tcW w:w="7212"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3AC42F15">
            <w:pPr>
              <w:spacing w:after="0"/>
            </w:pPr>
            <w:r>
              <w:rPr>
                <w:rFonts w:ascii="Calibri" w:hAnsi="Calibri" w:eastAsia="Calibri" w:cs="Calibri"/>
                <w:b/>
                <w:bCs/>
                <w:sz w:val="19"/>
                <w:szCs w:val="19"/>
              </w:rPr>
              <w:t>Formulación en la v4</w:t>
            </w:r>
          </w:p>
        </w:tc>
      </w:tr>
      <w:tr w14:paraId="6FCE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9B3E63C">
            <w:pPr>
              <w:spacing w:after="0"/>
            </w:pPr>
            <w:r>
              <w:rPr>
                <w:rFonts w:ascii="Calibri" w:hAnsi="Calibri" w:eastAsia="Calibri" w:cs="Calibri"/>
                <w:b w:val="0"/>
                <w:bCs w:val="0"/>
                <w:sz w:val="19"/>
                <w:szCs w:val="19"/>
              </w:rPr>
              <w:t>Situación problemática</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91FDC96">
            <w:pPr>
              <w:spacing w:after="0"/>
            </w:pPr>
            <w:r>
              <w:rPr>
                <w:rFonts w:ascii="Calibri" w:hAnsi="Calibri" w:eastAsia="Calibri" w:cs="Calibri"/>
                <w:b w:val="0"/>
                <w:bCs w:val="0"/>
                <w:sz w:val="19"/>
                <w:szCs w:val="19"/>
              </w:rPr>
              <w:t>Los textos clásicos exponen el MEF en abstracto y el software profesional devuelve la respuesta estructural como caja negra. El estudiante aprende a operar sin formar criterio para juzgar lo que obtiene. Fuentes: Pérez-Santiago y Campos, pp. 1159, 1160 y 1171; Suárez et al. (ED-Elas2D), p. 246.</w:t>
            </w:r>
          </w:p>
        </w:tc>
      </w:tr>
      <w:tr w14:paraId="2C14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13397CE">
            <w:pPr>
              <w:spacing w:after="0"/>
            </w:pPr>
            <w:r>
              <w:rPr>
                <w:rFonts w:ascii="Calibri" w:hAnsi="Calibri" w:eastAsia="Calibri" w:cs="Calibri"/>
                <w:b w:val="0"/>
                <w:bCs w:val="0"/>
                <w:sz w:val="19"/>
                <w:szCs w:val="19"/>
              </w:rPr>
              <w:t>Problema científico</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4840C55">
            <w:pPr>
              <w:spacing w:after="0"/>
            </w:pPr>
            <w:r>
              <w:rPr>
                <w:rFonts w:ascii="Calibri" w:hAnsi="Calibri" w:eastAsia="Calibri" w:cs="Calibri"/>
                <w:b w:val="0"/>
                <w:bCs w:val="0"/>
                <w:sz w:val="19"/>
                <w:szCs w:val="19"/>
              </w:rPr>
              <w:t>¿De qué manera el uso del software de análisis estructural como caja negra podrá afectar en el bajo criterio para interpretar la respuesta estructural obtenida por el MEF en los estudiantes de la Carrera de Ingeniería Civil de la Universidad Autónoma Tomás Frías en la gestión 2026?</w:t>
            </w:r>
          </w:p>
        </w:tc>
      </w:tr>
      <w:tr w14:paraId="0813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B5AA576">
            <w:pPr>
              <w:spacing w:after="0"/>
            </w:pPr>
            <w:r>
              <w:rPr>
                <w:rFonts w:ascii="Calibri" w:hAnsi="Calibri" w:eastAsia="Calibri" w:cs="Calibri"/>
                <w:b w:val="0"/>
                <w:bCs w:val="0"/>
                <w:sz w:val="19"/>
                <w:szCs w:val="19"/>
              </w:rPr>
              <w:t>Causa (VI)</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2BBD9C0">
            <w:pPr>
              <w:spacing w:after="0"/>
            </w:pPr>
            <w:r>
              <w:rPr>
                <w:rFonts w:ascii="Calibri" w:hAnsi="Calibri" w:eastAsia="Calibri" w:cs="Calibri"/>
                <w:b w:val="0"/>
                <w:bCs w:val="0"/>
                <w:sz w:val="19"/>
                <w:szCs w:val="19"/>
              </w:rPr>
              <w:t>La forma en que el software expone el canal de cálculo y la respuesta: como caja negra, o de manera transparente, interactiva y numéricamente verificable.</w:t>
            </w:r>
          </w:p>
        </w:tc>
      </w:tr>
      <w:tr w14:paraId="0B19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FA0E926">
            <w:pPr>
              <w:spacing w:after="0"/>
            </w:pPr>
            <w:r>
              <w:rPr>
                <w:rFonts w:ascii="Calibri" w:hAnsi="Calibri" w:eastAsia="Calibri" w:cs="Calibri"/>
                <w:b w:val="0"/>
                <w:bCs w:val="0"/>
                <w:sz w:val="19"/>
                <w:szCs w:val="19"/>
              </w:rPr>
              <w:t>Efecto (VD)</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40E67E4">
            <w:pPr>
              <w:spacing w:after="0"/>
            </w:pPr>
            <w:r>
              <w:rPr>
                <w:rFonts w:ascii="Calibri" w:hAnsi="Calibri" w:eastAsia="Calibri" w:cs="Calibri"/>
                <w:b w:val="0"/>
                <w:bCs w:val="0"/>
                <w:sz w:val="19"/>
                <w:szCs w:val="19"/>
              </w:rPr>
              <w:t>El criterio del estudiante para interpretar y juzgar la respuesta estructural: desplazamientos, tensiones, reacciones, calidad de la malla y fenómenos numéricos.</w:t>
            </w:r>
          </w:p>
        </w:tc>
      </w:tr>
      <w:tr w14:paraId="6807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6046C2D">
            <w:pPr>
              <w:spacing w:after="0"/>
            </w:pPr>
            <w:r>
              <w:rPr>
                <w:rFonts w:ascii="Calibri" w:hAnsi="Calibri" w:eastAsia="Calibri" w:cs="Calibri"/>
                <w:b w:val="0"/>
                <w:bCs w:val="0"/>
                <w:sz w:val="19"/>
                <w:szCs w:val="19"/>
              </w:rPr>
              <w:t>Variable interviniente</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FB4E298">
            <w:pPr>
              <w:spacing w:after="0"/>
            </w:pPr>
            <w:r>
              <w:rPr>
                <w:rFonts w:ascii="Calibri" w:hAnsi="Calibri" w:eastAsia="Calibri" w:cs="Calibri"/>
                <w:b w:val="0"/>
                <w:bCs w:val="0"/>
                <w:sz w:val="19"/>
                <w:szCs w:val="19"/>
              </w:rPr>
              <w:t>EduFEM, la solución tentativa con que se manipula la causa.</w:t>
            </w:r>
          </w:p>
        </w:tc>
      </w:tr>
      <w:tr w14:paraId="1595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D253FC4">
            <w:pPr>
              <w:spacing w:after="0"/>
            </w:pPr>
            <w:r>
              <w:rPr>
                <w:rFonts w:ascii="Calibri" w:hAnsi="Calibri" w:eastAsia="Calibri" w:cs="Calibri"/>
                <w:b w:val="0"/>
                <w:bCs w:val="0"/>
                <w:sz w:val="19"/>
                <w:szCs w:val="19"/>
              </w:rPr>
              <w:t>Objeto de estudio</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B61C3BD">
            <w:pPr>
              <w:spacing w:after="0"/>
            </w:pPr>
            <w:r>
              <w:rPr>
                <w:rFonts w:ascii="Calibri" w:hAnsi="Calibri" w:eastAsia="Calibri" w:cs="Calibri"/>
                <w:b w:val="0"/>
                <w:bCs w:val="0"/>
                <w:sz w:val="19"/>
                <w:szCs w:val="19"/>
              </w:rPr>
              <w:t>El proceso de enseñanza y aprendizaje del análisis de medios continuos en elasticidad lineal plana por el MEF, en la formación de grado en ingeniería civil.</w:t>
            </w:r>
          </w:p>
        </w:tc>
      </w:tr>
      <w:tr w14:paraId="7E50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85099D">
            <w:pPr>
              <w:spacing w:after="0"/>
            </w:pPr>
            <w:r>
              <w:rPr>
                <w:rFonts w:ascii="Calibri" w:hAnsi="Calibri" w:eastAsia="Calibri" w:cs="Calibri"/>
                <w:b w:val="0"/>
                <w:bCs w:val="0"/>
                <w:sz w:val="19"/>
                <w:szCs w:val="19"/>
              </w:rPr>
              <w:t>Campo de acción</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1F77D49">
            <w:pPr>
              <w:spacing w:after="0"/>
            </w:pPr>
            <w:r>
              <w:rPr>
                <w:rFonts w:ascii="Calibri" w:hAnsi="Calibri" w:eastAsia="Calibri" w:cs="Calibri"/>
                <w:b w:val="0"/>
                <w:bCs w:val="0"/>
                <w:sz w:val="19"/>
                <w:szCs w:val="19"/>
              </w:rPr>
              <w:t>Los medios didácticos con que el estudiante aprende a interpretar y verificar la respuesta: el software educativo que expone el canal y la memoria de cálculo que documenta el resultado.</w:t>
            </w:r>
          </w:p>
        </w:tc>
      </w:tr>
      <w:tr w14:paraId="7026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9CAAD82">
            <w:pPr>
              <w:spacing w:after="0"/>
            </w:pPr>
            <w:r>
              <w:rPr>
                <w:rFonts w:ascii="Calibri" w:hAnsi="Calibri" w:eastAsia="Calibri" w:cs="Calibri"/>
                <w:b w:val="0"/>
                <w:bCs w:val="0"/>
                <w:sz w:val="19"/>
                <w:szCs w:val="19"/>
              </w:rPr>
              <w:t>Objetivo general</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31DDF1E">
            <w:pPr>
              <w:spacing w:after="0"/>
            </w:pPr>
            <w:r>
              <w:rPr>
                <w:rFonts w:ascii="Calibri" w:hAnsi="Calibri" w:eastAsia="Calibri" w:cs="Calibri"/>
                <w:b w:val="0"/>
                <w:bCs w:val="0"/>
                <w:sz w:val="19"/>
                <w:szCs w:val="19"/>
              </w:rPr>
              <w:t>Desarrollar (verbo), en el lenguaje de programación Python y sobre bibliotecas numéricas de código abierto (cómo), EduFEM, un software educativo para el análisis por el MEF de problemas de elasticidad plana con elementos Q4 y Q9 (qué), para mejorar el criterio de los estudiantes de ingeniería civil en la interpretación de la respuesta estructural (para qué).</w:t>
            </w:r>
          </w:p>
        </w:tc>
      </w:tr>
      <w:tr w14:paraId="271C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857F2D">
            <w:pPr>
              <w:spacing w:after="0"/>
            </w:pPr>
            <w:r>
              <w:rPr>
                <w:rFonts w:ascii="Calibri" w:hAnsi="Calibri" w:eastAsia="Calibri" w:cs="Calibri"/>
                <w:b w:val="0"/>
                <w:bCs w:val="0"/>
                <w:sz w:val="19"/>
                <w:szCs w:val="19"/>
              </w:rPr>
              <w:t>Objetivos específicos</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62F8939">
            <w:pPr>
              <w:spacing w:after="0"/>
            </w:pPr>
            <w:r>
              <w:rPr>
                <w:rFonts w:ascii="Calibri" w:hAnsi="Calibri" w:eastAsia="Calibri" w:cs="Calibri"/>
                <w:b w:val="0"/>
                <w:bCs w:val="0"/>
                <w:sz w:val="19"/>
                <w:szCs w:val="19"/>
              </w:rPr>
              <w:t>OE1 Diagnosticar la brecha entre operar el software y juzgar su respuesta. OE2 Fundamentar el MEF en elasticidad plana y los principios de aprendizaje. OE3 Desarrollar el motor, la interfaz, los módulos educativos y la memoria de cálculo. OE4 Verificar y validar el motor (MMS, Timoshenko, Cook, SAP2000). OE5 Validar el contenido y la coherencia del software frente a las destrezas que los expertos exigen.</w:t>
            </w:r>
          </w:p>
        </w:tc>
      </w:tr>
      <w:tr w14:paraId="1C43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B995866">
            <w:pPr>
              <w:spacing w:after="0"/>
            </w:pPr>
            <w:r>
              <w:rPr>
                <w:rFonts w:ascii="Calibri" w:hAnsi="Calibri" w:eastAsia="Calibri" w:cs="Calibri"/>
                <w:b w:val="0"/>
                <w:bCs w:val="0"/>
                <w:sz w:val="19"/>
                <w:szCs w:val="19"/>
              </w:rPr>
              <w:t>Hipótesis</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D9140EE">
            <w:pPr>
              <w:spacing w:after="0"/>
            </w:pPr>
            <w:r>
              <w:rPr>
                <w:rFonts w:ascii="Calibri" w:hAnsi="Calibri" w:eastAsia="Calibri" w:cs="Calibri"/>
                <w:b w:val="0"/>
                <w:bCs w:val="0"/>
                <w:sz w:val="19"/>
                <w:szCs w:val="19"/>
              </w:rPr>
              <w:t>Bajo el desarrollo de EduFEM, la exposición transparente e interactiva del canal de cálculo y de la respuesta estructural permitirá mejorar el criterio para interpretar la respuesta obtenida por el MEF en los estudiantes de la Carrera de Ingeniería Civil de la UATF.</w:t>
            </w:r>
          </w:p>
        </w:tc>
      </w:tr>
      <w:tr w14:paraId="7307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5E6956F">
            <w:pPr>
              <w:spacing w:after="0"/>
            </w:pPr>
            <w:r>
              <w:rPr>
                <w:rFonts w:ascii="Calibri" w:hAnsi="Calibri" w:eastAsia="Calibri" w:cs="Calibri"/>
                <w:b w:val="0"/>
                <w:bCs w:val="0"/>
                <w:sz w:val="19"/>
                <w:szCs w:val="19"/>
              </w:rPr>
              <w:t>Cómo se comprueba</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48A0510">
            <w:pPr>
              <w:spacing w:after="0"/>
            </w:pPr>
            <w:r>
              <w:rPr>
                <w:rFonts w:ascii="Calibri" w:hAnsi="Calibri" w:eastAsia="Calibri" w:cs="Calibri"/>
                <w:b w:val="0"/>
                <w:bCs w:val="0"/>
                <w:sz w:val="19"/>
                <w:szCs w:val="19"/>
              </w:rPr>
              <w:t>En esta etapa, en su parte de diseño y contenido, con tres cláusulas y criterios fijados a priori: (a) exposición: 7 de 7 etapas con módulo, 9 de 9 en la memoria, tres fases en un lienzo; (b) corrección: tasas teóricas de convergencia, error menor al 1 % en tensión y al 3 % en flecha frente a Timoshenko y SAP2000, bloqueo del Q4 frente al Q9; (c) validez de contenido y coherencia: 18 de 18 destrezas y conceptos con instrumento, 4 de 4 principios con encarnación. El efecto sobre el estudiante se fundamenta por analogía con Bishay (efecto medido) y Lee (efecto observado), y se deja a una prueba de campo diseñada en las recomendaciones.</w:t>
            </w:r>
          </w:p>
        </w:tc>
      </w:tr>
      <w:tr w14:paraId="2A9A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53E2360">
            <w:pPr>
              <w:spacing w:after="0"/>
            </w:pPr>
            <w:r>
              <w:rPr>
                <w:rFonts w:ascii="Calibri" w:hAnsi="Calibri" w:eastAsia="Calibri" w:cs="Calibri"/>
                <w:b w:val="0"/>
                <w:bCs w:val="0"/>
                <w:sz w:val="19"/>
                <w:szCs w:val="19"/>
              </w:rPr>
              <w:t>Preguntas de investigación</w:t>
            </w:r>
          </w:p>
        </w:tc>
        <w:tc>
          <w:tcPr>
            <w:tcW w:w="72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998B914">
            <w:pPr>
              <w:spacing w:after="0"/>
            </w:pPr>
            <w:r>
              <w:rPr>
                <w:rFonts w:ascii="Calibri" w:hAnsi="Calibri" w:eastAsia="Calibri" w:cs="Calibri"/>
                <w:b w:val="0"/>
                <w:bCs w:val="0"/>
                <w:sz w:val="19"/>
                <w:szCs w:val="19"/>
              </w:rPr>
              <w:t>PI-1 exposición, PI-2 corrección, PI-3 validez de contenido. Una por cláusula.</w:t>
            </w:r>
          </w:p>
        </w:tc>
      </w:tr>
    </w:tbl>
    <w:p w14:paraId="212B5E89">
      <w:pPr>
        <w:pStyle w:val="2"/>
        <w:spacing w:before="280" w:after="140"/>
      </w:pPr>
      <w:r>
        <w:rPr>
          <w:rFonts w:ascii="Calibri" w:hAnsi="Calibri" w:eastAsia="Calibri" w:cs="Calibri"/>
          <w:b/>
          <w:bCs/>
          <w:sz w:val="30"/>
          <w:szCs w:val="30"/>
        </w:rPr>
        <w:t>2. Cómo se valida la parte pedagógica sin estudiantes ni panel propio</w:t>
      </w:r>
    </w:p>
    <w:p w14:paraId="0D7B83D4">
      <w:pPr>
        <w:pStyle w:val="16"/>
        <w:numPr>
          <w:ilvl w:val="0"/>
          <w:numId w:val="1"/>
        </w:numPr>
        <w:spacing w:after="80"/>
      </w:pPr>
      <w:r>
        <w:rPr>
          <w:rFonts w:ascii="Calibri" w:hAnsi="Calibri" w:eastAsia="Calibri" w:cs="Calibri"/>
          <w:b/>
          <w:bCs/>
          <w:sz w:val="22"/>
          <w:szCs w:val="22"/>
        </w:rPr>
        <w:t>Validez de contenido.</w:t>
      </w:r>
      <w:r>
        <w:rPr>
          <w:rFonts w:ascii="Calibri" w:hAnsi="Calibri" w:eastAsia="Calibri" w:cs="Calibri"/>
          <w:sz w:val="22"/>
          <w:szCs w:val="22"/>
        </w:rPr>
        <w:t xml:space="preserve"> La Tabla 3.7 cruza 15 destrezas de interpretación y verificación (mallado, post-proceso, conceptos fundamentales, verificación y validación) y 3 conceptos del canal, tomados del consenso de 67 expertos de Pérez-Santiago y Campos (pp. 1162, 1163 y 1168), con el instrumento de EduFEM que cubre cada uno y la evidencia en la tesis. Resultado: 18 de 18.</w:t>
      </w:r>
    </w:p>
    <w:p w14:paraId="266A89E5">
      <w:pPr>
        <w:pStyle w:val="16"/>
        <w:numPr>
          <w:ilvl w:val="0"/>
          <w:numId w:val="1"/>
        </w:numPr>
        <w:spacing w:after="80"/>
      </w:pPr>
      <w:r>
        <w:rPr>
          <w:rFonts w:ascii="Calibri" w:hAnsi="Calibri" w:eastAsia="Calibri" w:cs="Calibri"/>
          <w:b/>
          <w:bCs/>
          <w:sz w:val="22"/>
          <w:szCs w:val="22"/>
        </w:rPr>
        <w:t>Coherencia del diseño.</w:t>
      </w:r>
      <w:r>
        <w:rPr>
          <w:rFonts w:ascii="Calibri" w:hAnsi="Calibri" w:eastAsia="Calibri" w:cs="Calibri"/>
          <w:sz w:val="22"/>
          <w:szCs w:val="22"/>
        </w:rPr>
        <w:t xml:space="preserve"> La Tabla 3.8 recorre los cuatro principios de aprendizaje de §1.2 (visibilidad, interactividad con vínculo al modelo, construcción paso a paso, fundamento y operación), ahora apoyados también en Rutten 2012, Chi y Wylie 2014 y Atkinson 2000. Resultado: 4 de 4.</w:t>
      </w:r>
    </w:p>
    <w:p w14:paraId="5511DE74">
      <w:pPr>
        <w:pStyle w:val="16"/>
        <w:numPr>
          <w:ilvl w:val="0"/>
          <w:numId w:val="1"/>
        </w:numPr>
        <w:spacing w:after="80"/>
      </w:pPr>
      <w:r>
        <w:rPr>
          <w:rFonts w:ascii="Calibri" w:hAnsi="Calibri" w:eastAsia="Calibri" w:cs="Calibri"/>
          <w:b/>
          <w:bCs/>
          <w:sz w:val="22"/>
          <w:szCs w:val="22"/>
        </w:rPr>
        <w:t>Mejora sobre los antecedentes.</w:t>
      </w:r>
      <w:r>
        <w:rPr>
          <w:rFonts w:ascii="Calibri" w:hAnsi="Calibri" w:eastAsia="Calibri" w:cs="Calibri"/>
          <w:sz w:val="22"/>
          <w:szCs w:val="22"/>
        </w:rPr>
        <w:t xml:space="preserve"> La Tabla 1.1 gana la fila «Lectura de la respuesta» y §1.1 cita a los autores de ED-Elas2D, que reconocen que su post-proceso no explica el suavizado nodal. Esa tabla sostiene el diagnóstico (OE1) y el aporte, no la hipótesis.</w:t>
      </w:r>
    </w:p>
    <w:p w14:paraId="5E57AE10">
      <w:pPr>
        <w:pStyle w:val="16"/>
        <w:numPr>
          <w:ilvl w:val="0"/>
          <w:numId w:val="1"/>
        </w:numPr>
        <w:spacing w:after="80"/>
      </w:pPr>
      <w:r>
        <w:rPr>
          <w:rFonts w:ascii="Calibri" w:hAnsi="Calibri" w:eastAsia="Calibri" w:cs="Calibri"/>
          <w:b/>
          <w:bCs/>
          <w:sz w:val="22"/>
          <w:szCs w:val="22"/>
        </w:rPr>
        <w:t>Lo que la literatura no puede hacer.</w:t>
      </w:r>
      <w:r>
        <w:rPr>
          <w:rFonts w:ascii="Calibri" w:hAnsi="Calibri" w:eastAsia="Calibri" w:cs="Calibri"/>
          <w:sz w:val="22"/>
          <w:szCs w:val="22"/>
        </w:rPr>
        <w:t xml:space="preserve"> Contrastar que el estudiante juzga mejor. Eso queda fundamentado por analogía y remitido a una prueba de campo que las recomendaciones dejan diseñada.</w:t>
      </w:r>
    </w:p>
    <w:p w14:paraId="4C684F3F">
      <w:pPr>
        <w:pStyle w:val="2"/>
        <w:spacing w:before="280" w:after="140"/>
      </w:pPr>
      <w:r>
        <w:rPr>
          <w:rFonts w:ascii="Calibri" w:hAnsi="Calibri" w:eastAsia="Calibri" w:cs="Calibri"/>
          <w:b/>
          <w:bCs/>
          <w:sz w:val="30"/>
          <w:szCs w:val="30"/>
        </w:rPr>
        <w:t>3. Revisión contra el material docente</w:t>
      </w:r>
    </w:p>
    <w:p w14:paraId="228D16EB">
      <w:pPr>
        <w:spacing w:after="120"/>
      </w:pPr>
      <w:r>
        <w:rPr>
          <w:rFonts w:ascii="Calibri" w:hAnsi="Calibri" w:eastAsia="Calibri" w:cs="Calibri"/>
          <w:sz w:val="22"/>
          <w:szCs w:val="22"/>
        </w:rPr>
        <w:t xml:space="preserve">Se revisaron 33 exigencias de las tres guías de Miranda y de los Talleres 1, 2, 4, 5 y 6 de Barrios. Resultado: </w:t>
      </w:r>
      <w:r>
        <w:rPr>
          <w:rFonts w:ascii="Calibri" w:hAnsi="Calibri" w:eastAsia="Calibri" w:cs="Calibri"/>
          <w:b/>
          <w:bCs/>
          <w:sz w:val="22"/>
          <w:szCs w:val="22"/>
        </w:rPr>
        <w:t>24 cumplen</w:t>
      </w:r>
      <w:r>
        <w:rPr>
          <w:rFonts w:ascii="Calibri" w:hAnsi="Calibri" w:eastAsia="Calibri" w:cs="Calibri"/>
          <w:sz w:val="22"/>
          <w:szCs w:val="22"/>
        </w:rPr>
        <w:t xml:space="preserve">, </w:t>
      </w:r>
      <w:r>
        <w:rPr>
          <w:rFonts w:ascii="Calibri" w:hAnsi="Calibri" w:eastAsia="Calibri" w:cs="Calibri"/>
          <w:b/>
          <w:bCs/>
          <w:sz w:val="22"/>
          <w:szCs w:val="22"/>
        </w:rPr>
        <w:t>8 cumplen con matiz</w:t>
      </w:r>
      <w:r>
        <w:rPr>
          <w:rFonts w:ascii="Calibri" w:hAnsi="Calibri" w:eastAsia="Calibri" w:cs="Calibri"/>
          <w:sz w:val="22"/>
          <w:szCs w:val="22"/>
        </w:rPr>
        <w:t xml:space="preserve"> y </w:t>
      </w:r>
      <w:r>
        <w:rPr>
          <w:rFonts w:ascii="Calibri" w:hAnsi="Calibri" w:eastAsia="Calibri" w:cs="Calibri"/>
          <w:b/>
          <w:bCs/>
          <w:sz w:val="22"/>
          <w:szCs w:val="22"/>
        </w:rPr>
        <w:t>1 queda pendiente</w:t>
      </w:r>
      <w:r>
        <w:rPr>
          <w:rFonts w:ascii="Calibri" w:hAnsi="Calibri" w:eastAsia="Calibri" w:cs="Calibri"/>
          <w:sz w:val="22"/>
          <w:szCs w:val="22"/>
        </w:rPr>
        <w:t>. Ninguna se incumple. Los matices son los puntos que conviene llevar preparados a la defensa.</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4500"/>
        <w:gridCol w:w="1612"/>
      </w:tblGrid>
      <w:tr w14:paraId="2BBE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6FADE170">
            <w:pPr>
              <w:spacing w:after="0"/>
            </w:pPr>
            <w:r>
              <w:rPr>
                <w:rFonts w:ascii="Calibri" w:hAnsi="Calibri" w:eastAsia="Calibri" w:cs="Calibri"/>
                <w:b/>
                <w:bCs/>
                <w:sz w:val="19"/>
                <w:szCs w:val="19"/>
              </w:rPr>
              <w:t>Lo que pide el material docente</w:t>
            </w:r>
          </w:p>
        </w:tc>
        <w:tc>
          <w:tcPr>
            <w:tcW w:w="4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528ED5D7">
            <w:pPr>
              <w:spacing w:after="0"/>
            </w:pPr>
            <w:r>
              <w:rPr>
                <w:rFonts w:ascii="Calibri" w:hAnsi="Calibri" w:eastAsia="Calibri" w:cs="Calibri"/>
                <w:b/>
                <w:bCs/>
                <w:sz w:val="19"/>
                <w:szCs w:val="19"/>
              </w:rPr>
              <w:t>Dónde está en la v4</w:t>
            </w:r>
          </w:p>
        </w:tc>
        <w:tc>
          <w:tcPr>
            <w:tcW w:w="1612"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3C24FF4B">
            <w:pPr>
              <w:spacing w:after="0"/>
            </w:pPr>
            <w:r>
              <w:rPr>
                <w:rFonts w:ascii="Calibri" w:hAnsi="Calibri" w:eastAsia="Calibri" w:cs="Calibri"/>
                <w:b/>
                <w:bCs/>
                <w:sz w:val="19"/>
                <w:szCs w:val="19"/>
              </w:rPr>
              <w:t>Veredicto</w:t>
            </w:r>
          </w:p>
        </w:tc>
      </w:tr>
      <w:tr w14:paraId="5DE6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1EA29DE2">
            <w:pPr>
              <w:spacing w:after="0"/>
            </w:pPr>
            <w:r>
              <w:rPr>
                <w:rFonts w:ascii="Calibri" w:hAnsi="Calibri" w:eastAsia="Calibri" w:cs="Calibri"/>
                <w:b/>
                <w:bCs/>
                <w:sz w:val="19"/>
                <w:szCs w:val="19"/>
              </w:rPr>
              <w:t>Guía «Planteamiento del problema científico e hipótesis» (Miranda)</w:t>
            </w:r>
          </w:p>
        </w:tc>
      </w:tr>
      <w:tr w14:paraId="0373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52C299B">
            <w:pPr>
              <w:spacing w:after="0"/>
            </w:pPr>
            <w:r>
              <w:rPr>
                <w:rFonts w:ascii="Calibri" w:hAnsi="Calibri" w:eastAsia="Calibri" w:cs="Calibri"/>
                <w:b w:val="0"/>
                <w:bCs w:val="0"/>
                <w:sz w:val="19"/>
                <w:szCs w:val="19"/>
              </w:rPr>
              <w:t>El problema se plantea como interrogante</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0B6CBFF">
            <w:pPr>
              <w:spacing w:after="0"/>
            </w:pPr>
            <w:r>
              <w:rPr>
                <w:rFonts w:ascii="Calibri" w:hAnsi="Calibri" w:eastAsia="Calibri" w:cs="Calibri"/>
                <w:b w:val="0"/>
                <w:bCs w:val="0"/>
                <w:sz w:val="19"/>
                <w:szCs w:val="19"/>
              </w:rPr>
              <w:t>Introducción, Planteamiento del problema: «¿De qué manera… podrá afectar…?»</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51584869">
            <w:pPr>
              <w:spacing w:after="0"/>
            </w:pPr>
            <w:r>
              <w:rPr>
                <w:rFonts w:ascii="Calibri" w:hAnsi="Calibri" w:eastAsia="Calibri" w:cs="Calibri"/>
                <w:b w:val="0"/>
                <w:bCs w:val="0"/>
                <w:sz w:val="19"/>
                <w:szCs w:val="19"/>
              </w:rPr>
              <w:t>Cumple</w:t>
            </w:r>
          </w:p>
        </w:tc>
      </w:tr>
      <w:tr w14:paraId="3487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05F44C0">
            <w:pPr>
              <w:spacing w:after="0"/>
            </w:pPr>
            <w:r>
              <w:rPr>
                <w:rFonts w:ascii="Calibri" w:hAnsi="Calibri" w:eastAsia="Calibri" w:cs="Calibri"/>
                <w:b w:val="0"/>
                <w:bCs w:val="0"/>
                <w:sz w:val="19"/>
                <w:szCs w:val="19"/>
              </w:rPr>
              <w:t>Dos variables: independiente (causa) y dependiente (efecto)</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F160618">
            <w:pPr>
              <w:spacing w:after="0"/>
            </w:pPr>
            <w:r>
              <w:rPr>
                <w:rFonts w:ascii="Calibri" w:hAnsi="Calibri" w:eastAsia="Calibri" w:cs="Calibri"/>
                <w:b w:val="0"/>
                <w:bCs w:val="0"/>
                <w:sz w:val="19"/>
                <w:szCs w:val="19"/>
              </w:rPr>
              <w:t>Declaradas a continuación de la pregunta, con la misma redacción en §2.1.2 y en la Tabla 2.1</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17CF4840">
            <w:pPr>
              <w:spacing w:after="0"/>
            </w:pPr>
            <w:r>
              <w:rPr>
                <w:rFonts w:ascii="Calibri" w:hAnsi="Calibri" w:eastAsia="Calibri" w:cs="Calibri"/>
                <w:b w:val="0"/>
                <w:bCs w:val="0"/>
                <w:sz w:val="19"/>
                <w:szCs w:val="19"/>
              </w:rPr>
              <w:t>Cumple</w:t>
            </w:r>
          </w:p>
        </w:tc>
      </w:tr>
      <w:tr w14:paraId="725D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9CBF46A">
            <w:pPr>
              <w:spacing w:after="0"/>
            </w:pPr>
            <w:r>
              <w:rPr>
                <w:rFonts w:ascii="Calibri" w:hAnsi="Calibri" w:eastAsia="Calibri" w:cs="Calibri"/>
                <w:b w:val="0"/>
                <w:bCs w:val="0"/>
                <w:sz w:val="19"/>
                <w:szCs w:val="19"/>
              </w:rPr>
              <w:t>Relación lógica entre las variables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B7A0084">
            <w:pPr>
              <w:spacing w:after="0"/>
            </w:pPr>
            <w:r>
              <w:rPr>
                <w:rFonts w:ascii="Calibri" w:hAnsi="Calibri" w:eastAsia="Calibri" w:cs="Calibri"/>
                <w:b w:val="0"/>
                <w:bCs w:val="0"/>
                <w:sz w:val="19"/>
                <w:szCs w:val="19"/>
              </w:rPr>
              <w:t>La caja negra oculta el procedimiento y el estudiante no forma criterio; sostenida con Suárez p. 246 y Pérez-Santiago pp. 1160 y 1171</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114317A4">
            <w:pPr>
              <w:spacing w:after="0"/>
            </w:pPr>
            <w:r>
              <w:rPr>
                <w:rFonts w:ascii="Calibri" w:hAnsi="Calibri" w:eastAsia="Calibri" w:cs="Calibri"/>
                <w:b w:val="0"/>
                <w:bCs w:val="0"/>
                <w:sz w:val="19"/>
                <w:szCs w:val="19"/>
              </w:rPr>
              <w:t>Cumple</w:t>
            </w:r>
          </w:p>
        </w:tc>
      </w:tr>
      <w:tr w14:paraId="06FE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2CD2CA2">
            <w:pPr>
              <w:spacing w:after="0"/>
            </w:pPr>
            <w:r>
              <w:rPr>
                <w:rFonts w:ascii="Calibri" w:hAnsi="Calibri" w:eastAsia="Calibri" w:cs="Calibri"/>
                <w:b w:val="0"/>
                <w:bCs w:val="0"/>
                <w:sz w:val="19"/>
                <w:szCs w:val="19"/>
              </w:rPr>
              <w:t>Delimitación institucional, espacial y temporal</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B442EFA">
            <w:pPr>
              <w:spacing w:after="0"/>
            </w:pPr>
            <w:r>
              <w:rPr>
                <w:rFonts w:ascii="Calibri" w:hAnsi="Calibri" w:eastAsia="Calibri" w:cs="Calibri"/>
                <w:b w:val="0"/>
                <w:bCs w:val="0"/>
                <w:sz w:val="19"/>
                <w:szCs w:val="19"/>
              </w:rPr>
              <w:t>Dentro de la propia pregunta y en el párrafo que la sigue: Carrera de Ingeniería Civil de la UATF, aula y equipo del estudiante, gestión 2026</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35B269BF">
            <w:pPr>
              <w:spacing w:after="0"/>
            </w:pPr>
            <w:r>
              <w:rPr>
                <w:rFonts w:ascii="Calibri" w:hAnsi="Calibri" w:eastAsia="Calibri" w:cs="Calibri"/>
                <w:b w:val="0"/>
                <w:bCs w:val="0"/>
                <w:sz w:val="19"/>
                <w:szCs w:val="19"/>
              </w:rPr>
              <w:t>Cumple</w:t>
            </w:r>
          </w:p>
        </w:tc>
      </w:tr>
      <w:tr w14:paraId="5B7B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CF4BD5A">
            <w:pPr>
              <w:spacing w:after="0"/>
            </w:pPr>
            <w:r>
              <w:rPr>
                <w:rFonts w:ascii="Calibri" w:hAnsi="Calibri" w:eastAsia="Calibri" w:cs="Calibri"/>
                <w:b w:val="0"/>
                <w:bCs w:val="0"/>
                <w:sz w:val="19"/>
                <w:szCs w:val="19"/>
              </w:rPr>
              <w:t>Verificación en fuentes de información</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A8A5B08">
            <w:pPr>
              <w:spacing w:after="0"/>
            </w:pPr>
            <w:r>
              <w:rPr>
                <w:rFonts w:ascii="Calibri" w:hAnsi="Calibri" w:eastAsia="Calibri" w:cs="Calibri"/>
                <w:b w:val="0"/>
                <w:bCs w:val="0"/>
                <w:sz w:val="19"/>
                <w:szCs w:val="19"/>
              </w:rPr>
              <w:t>Cada afirmación del diagnóstico lleva página. No hay diagnóstico propio, por encuesta, del «bajo criterio»: se declara y se apoya en literatura</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700CDE42">
            <w:pPr>
              <w:spacing w:after="0"/>
            </w:pPr>
            <w:r>
              <w:rPr>
                <w:rFonts w:ascii="Calibri" w:hAnsi="Calibri" w:eastAsia="Calibri" w:cs="Calibri"/>
                <w:b w:val="0"/>
                <w:bCs w:val="0"/>
                <w:sz w:val="19"/>
                <w:szCs w:val="19"/>
              </w:rPr>
              <w:t>Cumple con matiz</w:t>
            </w:r>
          </w:p>
        </w:tc>
      </w:tr>
      <w:tr w14:paraId="45CF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0D88A41">
            <w:pPr>
              <w:spacing w:after="0"/>
            </w:pPr>
            <w:r>
              <w:rPr>
                <w:rFonts w:ascii="Calibri" w:hAnsi="Calibri" w:eastAsia="Calibri" w:cs="Calibri"/>
                <w:b w:val="0"/>
                <w:bCs w:val="0"/>
                <w:sz w:val="19"/>
                <w:szCs w:val="19"/>
              </w:rPr>
              <w:t>Hipótesis con tres variables: dependiente, independiente e interviniente</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1BC5DBE">
            <w:pPr>
              <w:spacing w:after="0"/>
            </w:pPr>
            <w:r>
              <w:rPr>
                <w:rFonts w:ascii="Calibri" w:hAnsi="Calibri" w:eastAsia="Calibri" w:cs="Calibri"/>
                <w:b w:val="0"/>
                <w:bCs w:val="0"/>
                <w:sz w:val="19"/>
                <w:szCs w:val="19"/>
              </w:rPr>
              <w:t>Introducción, Hipótesis: VI exposición, VD criterio, interviniente EduFEM</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1D77918F">
            <w:pPr>
              <w:spacing w:after="0"/>
            </w:pPr>
            <w:r>
              <w:rPr>
                <w:rFonts w:ascii="Calibri" w:hAnsi="Calibri" w:eastAsia="Calibri" w:cs="Calibri"/>
                <w:b w:val="0"/>
                <w:bCs w:val="0"/>
                <w:sz w:val="19"/>
                <w:szCs w:val="19"/>
              </w:rPr>
              <w:t>Cumple</w:t>
            </w:r>
          </w:p>
        </w:tc>
      </w:tr>
      <w:tr w14:paraId="2720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D7CE6C">
            <w:pPr>
              <w:spacing w:after="0"/>
            </w:pPr>
            <w:r>
              <w:rPr>
                <w:rFonts w:ascii="Calibri" w:hAnsi="Calibri" w:eastAsia="Calibri" w:cs="Calibri"/>
                <w:b w:val="0"/>
                <w:bCs w:val="0"/>
                <w:sz w:val="19"/>
                <w:szCs w:val="19"/>
              </w:rPr>
              <w:t>Hipótesis en tiempo futuro, afirmativa, como solución tentativa</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17A4F62">
            <w:pPr>
              <w:spacing w:after="0"/>
            </w:pPr>
            <w:r>
              <w:rPr>
                <w:rFonts w:ascii="Calibri" w:hAnsi="Calibri" w:eastAsia="Calibri" w:cs="Calibri"/>
                <w:b w:val="0"/>
                <w:bCs w:val="0"/>
                <w:sz w:val="19"/>
                <w:szCs w:val="19"/>
              </w:rPr>
              <w:t>«…permitirá mejorar el criterio…»; solución tentativa con respaldo en García-Córdoba p. 85</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1DF2D4EC">
            <w:pPr>
              <w:spacing w:after="0"/>
            </w:pPr>
            <w:r>
              <w:rPr>
                <w:rFonts w:ascii="Calibri" w:hAnsi="Calibri" w:eastAsia="Calibri" w:cs="Calibri"/>
                <w:b w:val="0"/>
                <w:bCs w:val="0"/>
                <w:sz w:val="19"/>
                <w:szCs w:val="19"/>
              </w:rPr>
              <w:t>Cumple</w:t>
            </w:r>
          </w:p>
        </w:tc>
      </w:tr>
      <w:tr w14:paraId="763C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1C852FB">
            <w:pPr>
              <w:spacing w:after="0"/>
            </w:pPr>
            <w:r>
              <w:rPr>
                <w:rFonts w:ascii="Calibri" w:hAnsi="Calibri" w:eastAsia="Calibri" w:cs="Calibri"/>
                <w:b w:val="0"/>
                <w:bCs w:val="0"/>
                <w:sz w:val="19"/>
                <w:szCs w:val="19"/>
              </w:rPr>
              <w:t>Flujograma: ¿se puede comprobar la hipótesis?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09592A2">
            <w:pPr>
              <w:spacing w:after="0"/>
            </w:pPr>
            <w:r>
              <w:rPr>
                <w:rFonts w:ascii="Calibri" w:hAnsi="Calibri" w:eastAsia="Calibri" w:cs="Calibri"/>
                <w:b w:val="0"/>
                <w:bCs w:val="0"/>
                <w:sz w:val="19"/>
                <w:szCs w:val="19"/>
              </w:rPr>
              <w:t>Tres cláusulas con criterios a priori en §2.1.6, comprobadas en §3.8. El efecto sobre el estudiante no se comprueba: se fundamenta y se deja a la prueba de campo</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00D3BCA4">
            <w:pPr>
              <w:spacing w:after="0"/>
            </w:pPr>
            <w:r>
              <w:rPr>
                <w:rFonts w:ascii="Calibri" w:hAnsi="Calibri" w:eastAsia="Calibri" w:cs="Calibri"/>
                <w:b w:val="0"/>
                <w:bCs w:val="0"/>
                <w:sz w:val="19"/>
                <w:szCs w:val="19"/>
              </w:rPr>
              <w:t>Cumple con matiz</w:t>
            </w:r>
          </w:p>
        </w:tc>
      </w:tr>
      <w:tr w14:paraId="5520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6411B1BA">
            <w:pPr>
              <w:spacing w:after="0"/>
            </w:pPr>
            <w:r>
              <w:rPr>
                <w:rFonts w:ascii="Calibri" w:hAnsi="Calibri" w:eastAsia="Calibri" w:cs="Calibri"/>
                <w:b/>
                <w:bCs/>
                <w:sz w:val="19"/>
                <w:szCs w:val="19"/>
              </w:rPr>
              <w:t>Guía «Situación problemática, objeto de estudio y campo de acción» (Miranda)</w:t>
            </w:r>
          </w:p>
        </w:tc>
      </w:tr>
      <w:tr w14:paraId="1875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DD719C0">
            <w:pPr>
              <w:spacing w:after="0"/>
            </w:pPr>
            <w:r>
              <w:rPr>
                <w:rFonts w:ascii="Calibri" w:hAnsi="Calibri" w:eastAsia="Calibri" w:cs="Calibri"/>
                <w:b w:val="0"/>
                <w:bCs w:val="0"/>
                <w:sz w:val="19"/>
                <w:szCs w:val="19"/>
              </w:rPr>
              <w:t>La situación problemática expresa contradicciones y a ella se regresa con la solución</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ADFF0C9">
            <w:pPr>
              <w:spacing w:after="0"/>
            </w:pPr>
            <w:r>
              <w:rPr>
                <w:rFonts w:ascii="Calibri" w:hAnsi="Calibri" w:eastAsia="Calibri" w:cs="Calibri"/>
                <w:b w:val="0"/>
                <w:bCs w:val="0"/>
                <w:sz w:val="19"/>
                <w:szCs w:val="19"/>
              </w:rPr>
              <w:t>Introducción, y primer párrafo de las Conclusiones, que regresa a la doble brecha y a la interrogante</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66EEB9BB">
            <w:pPr>
              <w:spacing w:after="0"/>
            </w:pPr>
            <w:r>
              <w:rPr>
                <w:rFonts w:ascii="Calibri" w:hAnsi="Calibri" w:eastAsia="Calibri" w:cs="Calibri"/>
                <w:b w:val="0"/>
                <w:bCs w:val="0"/>
                <w:sz w:val="19"/>
                <w:szCs w:val="19"/>
              </w:rPr>
              <w:t>Cumple</w:t>
            </w:r>
          </w:p>
        </w:tc>
      </w:tr>
      <w:tr w14:paraId="6325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9B3DC91">
            <w:pPr>
              <w:spacing w:after="0"/>
            </w:pPr>
            <w:r>
              <w:rPr>
                <w:rFonts w:ascii="Calibri" w:hAnsi="Calibri" w:eastAsia="Calibri" w:cs="Calibri"/>
                <w:b w:val="0"/>
                <w:bCs w:val="0"/>
                <w:sz w:val="19"/>
                <w:szCs w:val="19"/>
              </w:rPr>
              <w:t>Objeto: área donde se manifiesta la contradicción; de él salen los fundamentos teóricos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569B386">
            <w:pPr>
              <w:spacing w:after="0"/>
            </w:pPr>
            <w:r>
              <w:rPr>
                <w:rFonts w:ascii="Calibri" w:hAnsi="Calibri" w:eastAsia="Calibri" w:cs="Calibri"/>
                <w:b w:val="0"/>
                <w:bCs w:val="0"/>
                <w:sz w:val="19"/>
                <w:szCs w:val="19"/>
              </w:rPr>
              <w:t>Proceso de enseñanza y aprendizaje del análisis por el MEF; el Cap. 1 reúne los fundamentos del método y los pedagógicos</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42655313">
            <w:pPr>
              <w:spacing w:after="0"/>
            </w:pPr>
            <w:r>
              <w:rPr>
                <w:rFonts w:ascii="Calibri" w:hAnsi="Calibri" w:eastAsia="Calibri" w:cs="Calibri"/>
                <w:b w:val="0"/>
                <w:bCs w:val="0"/>
                <w:sz w:val="19"/>
                <w:szCs w:val="19"/>
              </w:rPr>
              <w:t>Cumple</w:t>
            </w:r>
          </w:p>
        </w:tc>
      </w:tr>
      <w:tr w14:paraId="4FEB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B70BCB0">
            <w:pPr>
              <w:spacing w:after="0"/>
            </w:pPr>
            <w:r>
              <w:rPr>
                <w:rFonts w:ascii="Calibri" w:hAnsi="Calibri" w:eastAsia="Calibri" w:cs="Calibri"/>
                <w:b w:val="0"/>
                <w:bCs w:val="0"/>
                <w:sz w:val="19"/>
                <w:szCs w:val="19"/>
              </w:rPr>
              <w:t>Campo: parte que resultará mejorada, de la misma naturaleza que el objeto</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C5AE056">
            <w:pPr>
              <w:spacing w:after="0"/>
            </w:pPr>
            <w:r>
              <w:rPr>
                <w:rFonts w:ascii="Calibri" w:hAnsi="Calibri" w:eastAsia="Calibri" w:cs="Calibri"/>
                <w:b w:val="0"/>
                <w:bCs w:val="0"/>
                <w:sz w:val="19"/>
                <w:szCs w:val="19"/>
              </w:rPr>
              <w:t>Los medios didácticos de ese proceso: el software y la memoria de cálculo</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6B1ECE61">
            <w:pPr>
              <w:spacing w:after="0"/>
            </w:pPr>
            <w:r>
              <w:rPr>
                <w:rFonts w:ascii="Calibri" w:hAnsi="Calibri" w:eastAsia="Calibri" w:cs="Calibri"/>
                <w:b w:val="0"/>
                <w:bCs w:val="0"/>
                <w:sz w:val="19"/>
                <w:szCs w:val="19"/>
              </w:rPr>
              <w:t>Cumple</w:t>
            </w:r>
          </w:p>
        </w:tc>
      </w:tr>
      <w:tr w14:paraId="631B6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12693BE7">
            <w:pPr>
              <w:spacing w:after="0"/>
            </w:pPr>
            <w:r>
              <w:rPr>
                <w:rFonts w:ascii="Calibri" w:hAnsi="Calibri" w:eastAsia="Calibri" w:cs="Calibri"/>
                <w:b/>
                <w:bCs/>
                <w:sz w:val="19"/>
                <w:szCs w:val="19"/>
              </w:rPr>
              <w:t>Guía «Cómo se construye el objetivo general» (Miranda)</w:t>
            </w:r>
          </w:p>
        </w:tc>
      </w:tr>
      <w:tr w14:paraId="14CD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B7FB6BB">
            <w:pPr>
              <w:spacing w:after="0"/>
            </w:pPr>
            <w:r>
              <w:rPr>
                <w:rFonts w:ascii="Calibri" w:hAnsi="Calibri" w:eastAsia="Calibri" w:cs="Calibri"/>
                <w:b w:val="0"/>
                <w:bCs w:val="0"/>
                <w:sz w:val="19"/>
                <w:szCs w:val="19"/>
              </w:rPr>
              <w:t>Cuatro partes: verbo en infinitivo, qué cosa, cómo, para qué</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BADB8D0">
            <w:pPr>
              <w:spacing w:after="0"/>
            </w:pPr>
            <w:r>
              <w:rPr>
                <w:rFonts w:ascii="Calibri" w:hAnsi="Calibri" w:eastAsia="Calibri" w:cs="Calibri"/>
                <w:b w:val="0"/>
                <w:bCs w:val="0"/>
                <w:sz w:val="19"/>
                <w:szCs w:val="19"/>
              </w:rPr>
              <w:t>Desarrollar / software educativo de elementos finitos / Python y bibliotecas abiertas / mejorar el criterio del estudiante</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5D46F94E">
            <w:pPr>
              <w:spacing w:after="0"/>
            </w:pPr>
            <w:r>
              <w:rPr>
                <w:rFonts w:ascii="Calibri" w:hAnsi="Calibri" w:eastAsia="Calibri" w:cs="Calibri"/>
                <w:b w:val="0"/>
                <w:bCs w:val="0"/>
                <w:sz w:val="19"/>
                <w:szCs w:val="19"/>
              </w:rPr>
              <w:t>Cumple</w:t>
            </w:r>
          </w:p>
        </w:tc>
      </w:tr>
      <w:tr w14:paraId="34A5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72EFE58">
            <w:pPr>
              <w:spacing w:after="0"/>
            </w:pPr>
            <w:r>
              <w:rPr>
                <w:rFonts w:ascii="Calibri" w:hAnsi="Calibri" w:eastAsia="Calibri" w:cs="Calibri"/>
                <w:b w:val="0"/>
                <w:bCs w:val="0"/>
                <w:sz w:val="19"/>
                <w:szCs w:val="19"/>
              </w:rPr>
              <w:t>El «qué» va a la variable independiente y el «para qué» a la dependiente</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A289DD5">
            <w:pPr>
              <w:spacing w:after="0"/>
            </w:pPr>
            <w:r>
              <w:rPr>
                <w:rFonts w:ascii="Calibri" w:hAnsi="Calibri" w:eastAsia="Calibri" w:cs="Calibri"/>
                <w:b w:val="0"/>
                <w:bCs w:val="0"/>
                <w:sz w:val="19"/>
                <w:szCs w:val="19"/>
              </w:rPr>
              <w:t>El «para qué» es la VD, literal. El «qué» nombra el software, que es la interviniente que realiza la VI; el propio ejemplo de la guía tiene esa holgura</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5769E32D">
            <w:pPr>
              <w:spacing w:after="0"/>
            </w:pPr>
            <w:r>
              <w:rPr>
                <w:rFonts w:ascii="Calibri" w:hAnsi="Calibri" w:eastAsia="Calibri" w:cs="Calibri"/>
                <w:b w:val="0"/>
                <w:bCs w:val="0"/>
                <w:sz w:val="19"/>
                <w:szCs w:val="19"/>
              </w:rPr>
              <w:t>Cumple con matiz</w:t>
            </w:r>
          </w:p>
        </w:tc>
      </w:tr>
      <w:tr w14:paraId="73CA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34FC2DE">
            <w:pPr>
              <w:spacing w:after="0"/>
            </w:pPr>
            <w:r>
              <w:rPr>
                <w:rFonts w:ascii="Calibri" w:hAnsi="Calibri" w:eastAsia="Calibri" w:cs="Calibri"/>
                <w:b w:val="0"/>
                <w:bCs w:val="0"/>
                <w:sz w:val="19"/>
                <w:szCs w:val="19"/>
              </w:rPr>
              <w:t>El título se obtiene del objetivo general</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C87CD83">
            <w:pPr>
              <w:spacing w:after="0"/>
            </w:pPr>
            <w:r>
              <w:rPr>
                <w:rFonts w:ascii="Calibri" w:hAnsi="Calibri" w:eastAsia="Calibri" w:cs="Calibri"/>
                <w:b w:val="0"/>
                <w:bCs w:val="0"/>
                <w:sz w:val="19"/>
                <w:szCs w:val="19"/>
              </w:rPr>
              <w:t>El título del perfil defendido lleva el verbo, el qué y el cómo, pero no el «para qué». No se toca sin aval escrito del director</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4E332B2F">
            <w:pPr>
              <w:spacing w:after="0"/>
            </w:pPr>
            <w:r>
              <w:rPr>
                <w:rFonts w:ascii="Calibri" w:hAnsi="Calibri" w:eastAsia="Calibri" w:cs="Calibri"/>
                <w:b w:val="0"/>
                <w:bCs w:val="0"/>
                <w:sz w:val="19"/>
                <w:szCs w:val="19"/>
              </w:rPr>
              <w:t>Cumple con matiz</w:t>
            </w:r>
          </w:p>
        </w:tc>
      </w:tr>
      <w:tr w14:paraId="21B1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B4E683A">
            <w:pPr>
              <w:spacing w:after="0"/>
            </w:pPr>
            <w:r>
              <w:rPr>
                <w:rFonts w:ascii="Calibri" w:hAnsi="Calibri" w:eastAsia="Calibri" w:cs="Calibri"/>
                <w:b w:val="0"/>
                <w:bCs w:val="0"/>
                <w:sz w:val="19"/>
                <w:szCs w:val="19"/>
              </w:rPr>
              <w:t>Escalera de objetivos: diagnosticar, fundamentar, experimentar, calcular, validar</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1DF4E47">
            <w:pPr>
              <w:spacing w:after="0"/>
            </w:pPr>
            <w:r>
              <w:rPr>
                <w:rFonts w:ascii="Calibri" w:hAnsi="Calibri" w:eastAsia="Calibri" w:cs="Calibri"/>
                <w:b w:val="0"/>
                <w:bCs w:val="0"/>
                <w:sz w:val="19"/>
                <w:szCs w:val="19"/>
              </w:rPr>
              <w:t>Cinco objetivos: diagnosticar, fundamentar, desarrollar, verificar, validar</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297974DB">
            <w:pPr>
              <w:spacing w:after="0"/>
            </w:pPr>
            <w:r>
              <w:rPr>
                <w:rFonts w:ascii="Calibri" w:hAnsi="Calibri" w:eastAsia="Calibri" w:cs="Calibri"/>
                <w:b w:val="0"/>
                <w:bCs w:val="0"/>
                <w:sz w:val="19"/>
                <w:szCs w:val="19"/>
              </w:rPr>
              <w:t>Cumple</w:t>
            </w:r>
          </w:p>
        </w:tc>
      </w:tr>
      <w:tr w14:paraId="4FF9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317722F">
            <w:pPr>
              <w:spacing w:after="0"/>
            </w:pPr>
            <w:r>
              <w:rPr>
                <w:rFonts w:ascii="Calibri" w:hAnsi="Calibri" w:eastAsia="Calibri" w:cs="Calibri"/>
                <w:b w:val="0"/>
                <w:bCs w:val="0"/>
                <w:sz w:val="19"/>
                <w:szCs w:val="19"/>
              </w:rPr>
              <w:t>Cada objetivo: verbo, objeto y finalidad; logros, no actividades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BACC2E4">
            <w:pPr>
              <w:spacing w:after="0"/>
            </w:pPr>
            <w:r>
              <w:rPr>
                <w:rFonts w:ascii="Calibri" w:hAnsi="Calibri" w:eastAsia="Calibri" w:cs="Calibri"/>
                <w:b w:val="0"/>
                <w:bCs w:val="0"/>
                <w:sz w:val="19"/>
                <w:szCs w:val="19"/>
              </w:rPr>
              <w:t>Los cinco cierran con su finalidad («para delimitar…», «para exponer…», «para que la respuesta sea correcta», «para establecer…»)</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0E667BCE">
            <w:pPr>
              <w:spacing w:after="0"/>
            </w:pPr>
            <w:r>
              <w:rPr>
                <w:rFonts w:ascii="Calibri" w:hAnsi="Calibri" w:eastAsia="Calibri" w:cs="Calibri"/>
                <w:b w:val="0"/>
                <w:bCs w:val="0"/>
                <w:sz w:val="19"/>
                <w:szCs w:val="19"/>
              </w:rPr>
              <w:t>Cumple</w:t>
            </w:r>
          </w:p>
        </w:tc>
      </w:tr>
      <w:tr w14:paraId="2249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B6C2A7A">
            <w:pPr>
              <w:spacing w:after="0"/>
            </w:pPr>
            <w:r>
              <w:rPr>
                <w:rFonts w:ascii="Calibri" w:hAnsi="Calibri" w:eastAsia="Calibri" w:cs="Calibri"/>
                <w:b w:val="0"/>
                <w:bCs w:val="0"/>
                <w:sz w:val="19"/>
                <w:szCs w:val="19"/>
              </w:rPr>
              <w:t>Objetivos repartidos en tres capítulos (Caso II)</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55C3384">
            <w:pPr>
              <w:spacing w:after="0"/>
            </w:pPr>
            <w:r>
              <w:rPr>
                <w:rFonts w:ascii="Calibri" w:hAnsi="Calibri" w:eastAsia="Calibri" w:cs="Calibri"/>
                <w:b w:val="0"/>
                <w:bCs w:val="0"/>
                <w:sz w:val="19"/>
                <w:szCs w:val="19"/>
              </w:rPr>
              <w:t>OE1 y OE2 en el Cap. 1; OE3 en el Cap. 2; OE4 y OE5 en el Cap. 3. La guía pone la aplicación práctica en el Cap. 2; aquí la verificación va al Cap. 3 con los resultados, como pide el Taller 5</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6D1E0CB9">
            <w:pPr>
              <w:spacing w:after="0"/>
            </w:pPr>
            <w:r>
              <w:rPr>
                <w:rFonts w:ascii="Calibri" w:hAnsi="Calibri" w:eastAsia="Calibri" w:cs="Calibri"/>
                <w:b w:val="0"/>
                <w:bCs w:val="0"/>
                <w:sz w:val="19"/>
                <w:szCs w:val="19"/>
              </w:rPr>
              <w:t>Cumple con matiz</w:t>
            </w:r>
          </w:p>
        </w:tc>
      </w:tr>
      <w:tr w14:paraId="720A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C034712">
            <w:pPr>
              <w:spacing w:after="0"/>
            </w:pPr>
            <w:r>
              <w:rPr>
                <w:rFonts w:ascii="Calibri" w:hAnsi="Calibri" w:eastAsia="Calibri" w:cs="Calibri"/>
                <w:b w:val="0"/>
                <w:bCs w:val="0"/>
                <w:sz w:val="19"/>
                <w:szCs w:val="19"/>
              </w:rPr>
              <w:t>La tríada: capítulo, conclusión, recomendación</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8559ADF">
            <w:pPr>
              <w:spacing w:after="0"/>
            </w:pPr>
            <w:r>
              <w:rPr>
                <w:rFonts w:ascii="Calibri" w:hAnsi="Calibri" w:eastAsia="Calibri" w:cs="Calibri"/>
                <w:b w:val="0"/>
                <w:bCs w:val="0"/>
                <w:sz w:val="19"/>
                <w:szCs w:val="19"/>
              </w:rPr>
              <w:t>Una conclusión por objetivo con su capítulo, y recomendaciones en tres grupos, uno por capítulo</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6732A492">
            <w:pPr>
              <w:spacing w:after="0"/>
            </w:pPr>
            <w:r>
              <w:rPr>
                <w:rFonts w:ascii="Calibri" w:hAnsi="Calibri" w:eastAsia="Calibri" w:cs="Calibri"/>
                <w:b w:val="0"/>
                <w:bCs w:val="0"/>
                <w:sz w:val="19"/>
                <w:szCs w:val="19"/>
              </w:rPr>
              <w:t>Cumple</w:t>
            </w:r>
          </w:p>
        </w:tc>
      </w:tr>
      <w:tr w14:paraId="3B20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4C5D3349">
            <w:pPr>
              <w:spacing w:after="0"/>
            </w:pPr>
            <w:r>
              <w:rPr>
                <w:rFonts w:ascii="Calibri" w:hAnsi="Calibri" w:eastAsia="Calibri" w:cs="Calibri"/>
                <w:b/>
                <w:bCs/>
                <w:sz w:val="19"/>
                <w:szCs w:val="19"/>
              </w:rPr>
              <w:t>Taller 1 «Documento de graduación» (Barrios)</w:t>
            </w:r>
          </w:p>
        </w:tc>
      </w:tr>
      <w:tr w14:paraId="430D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D55D3D3">
            <w:pPr>
              <w:spacing w:after="0"/>
            </w:pPr>
            <w:r>
              <w:rPr>
                <w:rFonts w:ascii="Calibri" w:hAnsi="Calibri" w:eastAsia="Calibri" w:cs="Calibri"/>
                <w:b w:val="0"/>
                <w:bCs w:val="0"/>
                <w:sz w:val="19"/>
                <w:szCs w:val="19"/>
              </w:rPr>
              <w:t>Índice de tesis: Resumen, Introducción, tres capítulos con los títulos oficiales, Conclusiones y recomendaciones, Bibliografía, Anexos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5DFF2FC">
            <w:pPr>
              <w:spacing w:after="0"/>
            </w:pPr>
            <w:r>
              <w:rPr>
                <w:rFonts w:ascii="Calibri" w:hAnsi="Calibri" w:eastAsia="Calibri" w:cs="Calibri"/>
                <w:b w:val="0"/>
                <w:bCs w:val="0"/>
                <w:sz w:val="19"/>
                <w:szCs w:val="19"/>
              </w:rPr>
              <w:t>Se conserva el índice oficial y sus tres títulos</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7B550957">
            <w:pPr>
              <w:spacing w:after="0"/>
            </w:pPr>
            <w:r>
              <w:rPr>
                <w:rFonts w:ascii="Calibri" w:hAnsi="Calibri" w:eastAsia="Calibri" w:cs="Calibri"/>
                <w:b w:val="0"/>
                <w:bCs w:val="0"/>
                <w:sz w:val="19"/>
                <w:szCs w:val="19"/>
              </w:rPr>
              <w:t>Cumple</w:t>
            </w:r>
          </w:p>
        </w:tc>
      </w:tr>
      <w:tr w14:paraId="6E84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4524230">
            <w:pPr>
              <w:spacing w:after="0"/>
            </w:pPr>
            <w:r>
              <w:rPr>
                <w:rFonts w:ascii="Calibri" w:hAnsi="Calibri" w:eastAsia="Calibri" w:cs="Calibri"/>
                <w:b w:val="0"/>
                <w:bCs w:val="0"/>
                <w:sz w:val="19"/>
                <w:szCs w:val="19"/>
              </w:rPr>
              <w:t>Art. 6, 8 y 9: investigación con metodología científica; proposición, demostración y conclusión; propuesta original y verificable</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795B277">
            <w:pPr>
              <w:spacing w:after="0"/>
            </w:pPr>
            <w:r>
              <w:rPr>
                <w:rFonts w:ascii="Calibri" w:hAnsi="Calibri" w:eastAsia="Calibri" w:cs="Calibri"/>
                <w:b w:val="0"/>
                <w:bCs w:val="0"/>
                <w:sz w:val="19"/>
                <w:szCs w:val="19"/>
              </w:rPr>
              <w:t>Problema, hipótesis y contraste por cláusulas; originalidad acotada a «no se documenta entre los antecedentes revisados»</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36308990">
            <w:pPr>
              <w:spacing w:after="0"/>
            </w:pPr>
            <w:r>
              <w:rPr>
                <w:rFonts w:ascii="Calibri" w:hAnsi="Calibri" w:eastAsia="Calibri" w:cs="Calibri"/>
                <w:b w:val="0"/>
                <w:bCs w:val="0"/>
                <w:sz w:val="19"/>
                <w:szCs w:val="19"/>
              </w:rPr>
              <w:t>Cumple</w:t>
            </w:r>
          </w:p>
        </w:tc>
      </w:tr>
      <w:tr w14:paraId="33C6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1CFAEB0">
            <w:pPr>
              <w:spacing w:after="0"/>
            </w:pPr>
            <w:r>
              <w:rPr>
                <w:rFonts w:ascii="Calibri" w:hAnsi="Calibri" w:eastAsia="Calibri" w:cs="Calibri"/>
                <w:b w:val="0"/>
                <w:bCs w:val="0"/>
                <w:sz w:val="19"/>
                <w:szCs w:val="19"/>
              </w:rPr>
              <w:t>Fuentes jerarquizadas: artículos en primer nivel; libros de no más de diez años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F08CDAF">
            <w:pPr>
              <w:spacing w:after="0"/>
            </w:pPr>
            <w:r>
              <w:rPr>
                <w:rFonts w:ascii="Calibri" w:hAnsi="Calibri" w:eastAsia="Calibri" w:cs="Calibri"/>
                <w:b w:val="0"/>
                <w:bCs w:val="0"/>
                <w:sz w:val="19"/>
                <w:szCs w:val="19"/>
              </w:rPr>
              <w:t>Las tres fuentes nuevas son artículos de revista. Los libros clásicos de más de diez años se justifican al abrir el Cap. 1</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13B9271F">
            <w:pPr>
              <w:spacing w:after="0"/>
            </w:pPr>
            <w:r>
              <w:rPr>
                <w:rFonts w:ascii="Calibri" w:hAnsi="Calibri" w:eastAsia="Calibri" w:cs="Calibri"/>
                <w:b w:val="0"/>
                <w:bCs w:val="0"/>
                <w:sz w:val="19"/>
                <w:szCs w:val="19"/>
              </w:rPr>
              <w:t>Cumple con matiz</w:t>
            </w:r>
          </w:p>
        </w:tc>
      </w:tr>
      <w:tr w14:paraId="0C63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275545B3">
            <w:pPr>
              <w:spacing w:after="0"/>
            </w:pPr>
            <w:r>
              <w:rPr>
                <w:rFonts w:ascii="Calibri" w:hAnsi="Calibri" w:eastAsia="Calibri" w:cs="Calibri"/>
                <w:b w:val="0"/>
                <w:bCs w:val="0"/>
                <w:sz w:val="19"/>
                <w:szCs w:val="19"/>
              </w:rPr>
              <w:t>Referenciar todo lo tomado; bibliografía por orden de aparición</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607C30D">
            <w:pPr>
              <w:spacing w:after="0"/>
            </w:pPr>
            <w:r>
              <w:rPr>
                <w:rFonts w:ascii="Calibri" w:hAnsi="Calibri" w:eastAsia="Calibri" w:cs="Calibri"/>
                <w:b w:val="0"/>
                <w:bCs w:val="0"/>
                <w:sz w:val="19"/>
                <w:szCs w:val="19"/>
              </w:rPr>
              <w:t>Vancouver numérico por orden de primera mención, con página en definiciones, valores y atribuciones; respaldo de citas actualizado</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748F2E41">
            <w:pPr>
              <w:spacing w:after="0"/>
            </w:pPr>
            <w:r>
              <w:rPr>
                <w:rFonts w:ascii="Calibri" w:hAnsi="Calibri" w:eastAsia="Calibri" w:cs="Calibri"/>
                <w:b w:val="0"/>
                <w:bCs w:val="0"/>
                <w:sz w:val="19"/>
                <w:szCs w:val="19"/>
              </w:rPr>
              <w:t>Cumple</w:t>
            </w:r>
          </w:p>
        </w:tc>
      </w:tr>
      <w:tr w14:paraId="4BED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680966B6">
            <w:pPr>
              <w:spacing w:after="0"/>
            </w:pPr>
            <w:r>
              <w:rPr>
                <w:rFonts w:ascii="Calibri" w:hAnsi="Calibri" w:eastAsia="Calibri" w:cs="Calibri"/>
                <w:b/>
                <w:bCs/>
                <w:sz w:val="19"/>
                <w:szCs w:val="19"/>
              </w:rPr>
              <w:t>Taller 4 «Modelo de investigación» (Barrios)</w:t>
            </w:r>
          </w:p>
        </w:tc>
      </w:tr>
      <w:tr w14:paraId="79DD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798D05F">
            <w:pPr>
              <w:spacing w:after="0"/>
            </w:pPr>
            <w:r>
              <w:rPr>
                <w:rFonts w:ascii="Calibri" w:hAnsi="Calibri" w:eastAsia="Calibri" w:cs="Calibri"/>
                <w:b w:val="0"/>
                <w:bCs w:val="0"/>
                <w:sz w:val="19"/>
                <w:szCs w:val="19"/>
              </w:rPr>
              <w:t>Tipo de modelo; se admite la modelación de simulación teórica</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8F92ADF">
            <w:pPr>
              <w:spacing w:after="0"/>
            </w:pPr>
            <w:r>
              <w:rPr>
                <w:rFonts w:ascii="Calibri" w:hAnsi="Calibri" w:eastAsia="Calibri" w:cs="Calibri"/>
                <w:b w:val="0"/>
                <w:bCs w:val="0"/>
                <w:sz w:val="19"/>
                <w:szCs w:val="19"/>
              </w:rPr>
              <w:t>§2.1.1: modelo de simulación numérica para la verificación, más validación documental del contenido</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4E2DDB8E">
            <w:pPr>
              <w:spacing w:after="0"/>
            </w:pPr>
            <w:r>
              <w:rPr>
                <w:rFonts w:ascii="Calibri" w:hAnsi="Calibri" w:eastAsia="Calibri" w:cs="Calibri"/>
                <w:b w:val="0"/>
                <w:bCs w:val="0"/>
                <w:sz w:val="19"/>
                <w:szCs w:val="19"/>
              </w:rPr>
              <w:t>Cumple</w:t>
            </w:r>
          </w:p>
        </w:tc>
      </w:tr>
      <w:tr w14:paraId="753B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A07C61A">
            <w:pPr>
              <w:spacing w:after="0"/>
            </w:pPr>
            <w:r>
              <w:rPr>
                <w:rFonts w:ascii="Calibri" w:hAnsi="Calibri" w:eastAsia="Calibri" w:cs="Calibri"/>
                <w:b w:val="0"/>
                <w:bCs w:val="0"/>
                <w:sz w:val="19"/>
                <w:szCs w:val="19"/>
              </w:rPr>
              <w:t>Estructura: conceptualización y alcance, variables, procedimiento, validación de las observaciones, contraste de hipótesis; descrita en el Cap. 2</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86C425">
            <w:pPr>
              <w:spacing w:after="0"/>
            </w:pPr>
            <w:r>
              <w:rPr>
                <w:rFonts w:ascii="Calibri" w:hAnsi="Calibri" w:eastAsia="Calibri" w:cs="Calibri"/>
                <w:b w:val="0"/>
                <w:bCs w:val="0"/>
                <w:sz w:val="19"/>
                <w:szCs w:val="19"/>
              </w:rPr>
              <w:t>§2.1.1 a §2.1.6 siguen ese diagrama en ese orden</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6487D7CA">
            <w:pPr>
              <w:spacing w:after="0"/>
            </w:pPr>
            <w:r>
              <w:rPr>
                <w:rFonts w:ascii="Calibri" w:hAnsi="Calibri" w:eastAsia="Calibri" w:cs="Calibri"/>
                <w:b w:val="0"/>
                <w:bCs w:val="0"/>
                <w:sz w:val="19"/>
                <w:szCs w:val="19"/>
              </w:rPr>
              <w:t>Cumple</w:t>
            </w:r>
          </w:p>
        </w:tc>
      </w:tr>
      <w:tr w14:paraId="1926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845686B">
            <w:pPr>
              <w:spacing w:after="0"/>
            </w:pPr>
            <w:r>
              <w:rPr>
                <w:rFonts w:ascii="Calibri" w:hAnsi="Calibri" w:eastAsia="Calibri" w:cs="Calibri"/>
                <w:b w:val="0"/>
                <w:bCs w:val="0"/>
                <w:sz w:val="19"/>
                <w:szCs w:val="19"/>
              </w:rPr>
              <w:t>Operacionalización de variables, procedimientos, técnicas e instrumentos, plan de análisis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CE431CF">
            <w:pPr>
              <w:spacing w:after="0"/>
            </w:pPr>
            <w:r>
              <w:rPr>
                <w:rFonts w:ascii="Calibri" w:hAnsi="Calibri" w:eastAsia="Calibri" w:cs="Calibri"/>
                <w:b w:val="0"/>
                <w:bCs w:val="0"/>
                <w:sz w:val="19"/>
                <w:szCs w:val="19"/>
              </w:rPr>
              <w:t>Tabla 2.1, §2.1.5 (guiones de V&amp;V, tabla de especificaciones, matriz de principios) y §2.1.6 (criterios)</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3CF51193">
            <w:pPr>
              <w:spacing w:after="0"/>
            </w:pPr>
            <w:r>
              <w:rPr>
                <w:rFonts w:ascii="Calibri" w:hAnsi="Calibri" w:eastAsia="Calibri" w:cs="Calibri"/>
                <w:b w:val="0"/>
                <w:bCs w:val="0"/>
                <w:sz w:val="19"/>
                <w:szCs w:val="19"/>
              </w:rPr>
              <w:t>Cumple</w:t>
            </w:r>
          </w:p>
        </w:tc>
      </w:tr>
      <w:tr w14:paraId="16AD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182644D">
            <w:pPr>
              <w:spacing w:after="0"/>
            </w:pPr>
            <w:r>
              <w:rPr>
                <w:rFonts w:ascii="Calibri" w:hAnsi="Calibri" w:eastAsia="Calibri" w:cs="Calibri"/>
                <w:b w:val="0"/>
                <w:bCs w:val="0"/>
                <w:sz w:val="19"/>
                <w:szCs w:val="19"/>
              </w:rPr>
              <w:t>Establecer la población y la muestra</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DF635A4">
            <w:pPr>
              <w:spacing w:after="0"/>
            </w:pPr>
            <w:r>
              <w:rPr>
                <w:rFonts w:ascii="Calibri" w:hAnsi="Calibri" w:eastAsia="Calibri" w:cs="Calibri"/>
                <w:b w:val="0"/>
                <w:bCs w:val="0"/>
                <w:sz w:val="19"/>
                <w:szCs w:val="19"/>
              </w:rPr>
              <w:t>§2.1.4: la población son los estudiantes; esta etapa no toma muestra porque su unidad de análisis es el artefacto. Universo de contenido recorrido completo; casos numéricos por muestra dirigida</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1D414473">
            <w:pPr>
              <w:spacing w:after="0"/>
            </w:pPr>
            <w:r>
              <w:rPr>
                <w:rFonts w:ascii="Calibri" w:hAnsi="Calibri" w:eastAsia="Calibri" w:cs="Calibri"/>
                <w:b w:val="0"/>
                <w:bCs w:val="0"/>
                <w:sz w:val="19"/>
                <w:szCs w:val="19"/>
              </w:rPr>
              <w:t>Cumple con matiz</w:t>
            </w:r>
          </w:p>
        </w:tc>
      </w:tr>
      <w:tr w14:paraId="4F18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0398C2C1">
            <w:pPr>
              <w:spacing w:after="0"/>
            </w:pPr>
            <w:r>
              <w:rPr>
                <w:rFonts w:ascii="Calibri" w:hAnsi="Calibri" w:eastAsia="Calibri" w:cs="Calibri"/>
                <w:b w:val="0"/>
                <w:bCs w:val="0"/>
                <w:sz w:val="19"/>
                <w:szCs w:val="19"/>
              </w:rPr>
              <w:t>Precisión, ausencia de error y grado de incertidumbre del modelo</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4C6B1C">
            <w:pPr>
              <w:spacing w:after="0"/>
            </w:pPr>
            <w:r>
              <w:rPr>
                <w:rFonts w:ascii="Calibri" w:hAnsi="Calibri" w:eastAsia="Calibri" w:cs="Calibri"/>
                <w:b w:val="0"/>
                <w:bCs w:val="0"/>
                <w:sz w:val="19"/>
                <w:szCs w:val="19"/>
              </w:rPr>
              <w:t>Motor determinista, tasas de convergencia, extrapolación de Richardson, criterios automáticos en los guiones</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0B7414BD">
            <w:pPr>
              <w:spacing w:after="0"/>
            </w:pPr>
            <w:r>
              <w:rPr>
                <w:rFonts w:ascii="Calibri" w:hAnsi="Calibri" w:eastAsia="Calibri" w:cs="Calibri"/>
                <w:b w:val="0"/>
                <w:bCs w:val="0"/>
                <w:sz w:val="19"/>
                <w:szCs w:val="19"/>
              </w:rPr>
              <w:t>Cumple</w:t>
            </w:r>
          </w:p>
        </w:tc>
      </w:tr>
      <w:tr w14:paraId="00D2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13BF6E0D">
            <w:pPr>
              <w:spacing w:after="0"/>
            </w:pPr>
            <w:r>
              <w:rPr>
                <w:rFonts w:ascii="Calibri" w:hAnsi="Calibri" w:eastAsia="Calibri" w:cs="Calibri"/>
                <w:b/>
                <w:bCs/>
                <w:sz w:val="19"/>
                <w:szCs w:val="19"/>
              </w:rPr>
              <w:t>Taller 5 «Comunicación de resultados» (Barrios)</w:t>
            </w:r>
          </w:p>
        </w:tc>
      </w:tr>
      <w:tr w14:paraId="6B1F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67E9373">
            <w:pPr>
              <w:spacing w:after="0"/>
            </w:pPr>
            <w:r>
              <w:rPr>
                <w:rFonts w:ascii="Calibri" w:hAnsi="Calibri" w:eastAsia="Calibri" w:cs="Calibri"/>
                <w:b w:val="0"/>
                <w:bCs w:val="0"/>
                <w:sz w:val="19"/>
                <w:szCs w:val="19"/>
              </w:rPr>
              <w:t>Los resultados responden a los objetivos y se presentan por variables, dimensiones e indicadores, con tablas y figuras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4495119">
            <w:pPr>
              <w:spacing w:after="0"/>
            </w:pPr>
            <w:r>
              <w:rPr>
                <w:rFonts w:ascii="Calibri" w:hAnsi="Calibri" w:eastAsia="Calibri" w:cs="Calibri"/>
                <w:b w:val="0"/>
                <w:bCs w:val="0"/>
                <w:sz w:val="19"/>
                <w:szCs w:val="19"/>
              </w:rPr>
              <w:t>Cap. 3: §3.2 a §3.5 para la corrección; §3.6 para la exposición, la validez de contenido y la coherencia</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39E2C8EC">
            <w:pPr>
              <w:spacing w:after="0"/>
            </w:pPr>
            <w:r>
              <w:rPr>
                <w:rFonts w:ascii="Calibri" w:hAnsi="Calibri" w:eastAsia="Calibri" w:cs="Calibri"/>
                <w:b w:val="0"/>
                <w:bCs w:val="0"/>
                <w:sz w:val="19"/>
                <w:szCs w:val="19"/>
              </w:rPr>
              <w:t>Cumple</w:t>
            </w:r>
          </w:p>
        </w:tc>
      </w:tr>
      <w:tr w14:paraId="613B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C776013">
            <w:pPr>
              <w:spacing w:after="0"/>
            </w:pPr>
            <w:r>
              <w:rPr>
                <w:rFonts w:ascii="Calibri" w:hAnsi="Calibri" w:eastAsia="Calibri" w:cs="Calibri"/>
                <w:b w:val="0"/>
                <w:bCs w:val="0"/>
                <w:sz w:val="19"/>
                <w:szCs w:val="19"/>
              </w:rPr>
              <w:t>En resultados se describe; la interpretación va aparte</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31ABC33">
            <w:pPr>
              <w:spacing w:after="0"/>
            </w:pPr>
            <w:r>
              <w:rPr>
                <w:rFonts w:ascii="Calibri" w:hAnsi="Calibri" w:eastAsia="Calibri" w:cs="Calibri"/>
                <w:b w:val="0"/>
                <w:bCs w:val="0"/>
                <w:sz w:val="19"/>
                <w:szCs w:val="19"/>
              </w:rPr>
              <w:t>La interpretación está en §3.7, pero quedan frases valorativas dentro de §3.4 a §3.6</w:t>
            </w:r>
          </w:p>
        </w:tc>
        <w:tc>
          <w:tcPr>
            <w:tcW w:w="1612" w:type="dxa"/>
            <w:tcBorders>
              <w:top w:val="single" w:color="999999" w:sz="4" w:space="0"/>
              <w:left w:val="single" w:color="999999" w:sz="4" w:space="0"/>
              <w:bottom w:val="single" w:color="999999" w:sz="4" w:space="0"/>
              <w:right w:val="single" w:color="999999" w:sz="4" w:space="0"/>
            </w:tcBorders>
            <w:shd w:val="clear" w:color="auto" w:fill="FFF2CC"/>
            <w:tcMar>
              <w:top w:w="60" w:type="dxa"/>
              <w:left w:w="90" w:type="dxa"/>
              <w:bottom w:w="60" w:type="dxa"/>
              <w:right w:w="90" w:type="dxa"/>
            </w:tcMar>
          </w:tcPr>
          <w:p w14:paraId="3F7382D0">
            <w:pPr>
              <w:spacing w:after="0"/>
            </w:pPr>
            <w:r>
              <w:rPr>
                <w:rFonts w:ascii="Calibri" w:hAnsi="Calibri" w:eastAsia="Calibri" w:cs="Calibri"/>
                <w:b w:val="0"/>
                <w:bCs w:val="0"/>
                <w:sz w:val="19"/>
                <w:szCs w:val="19"/>
              </w:rPr>
              <w:t>Cumple con matiz</w:t>
            </w:r>
          </w:p>
        </w:tc>
      </w:tr>
      <w:tr w14:paraId="147C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776DC4C">
            <w:pPr>
              <w:spacing w:after="0"/>
            </w:pPr>
            <w:r>
              <w:rPr>
                <w:rFonts w:ascii="Calibri" w:hAnsi="Calibri" w:eastAsia="Calibri" w:cs="Calibri"/>
                <w:b w:val="0"/>
                <w:bCs w:val="0"/>
                <w:sz w:val="19"/>
                <w:szCs w:val="19"/>
              </w:rPr>
              <w:t>Ejemplo 2: software validado contra casos publicados, con tablas de diferencia porcentual</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A045EC8">
            <w:pPr>
              <w:spacing w:after="0"/>
            </w:pPr>
            <w:r>
              <w:rPr>
                <w:rFonts w:ascii="Calibri" w:hAnsi="Calibri" w:eastAsia="Calibri" w:cs="Calibri"/>
                <w:b w:val="0"/>
                <w:bCs w:val="0"/>
                <w:sz w:val="19"/>
                <w:szCs w:val="19"/>
              </w:rPr>
              <w:t>§3.4 Timoshenko frente a la solución analítica y SAP2000; §3.5 membrana de Cook</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50EFE9DB">
            <w:pPr>
              <w:spacing w:after="0"/>
            </w:pPr>
            <w:r>
              <w:rPr>
                <w:rFonts w:ascii="Calibri" w:hAnsi="Calibri" w:eastAsia="Calibri" w:cs="Calibri"/>
                <w:b w:val="0"/>
                <w:bCs w:val="0"/>
                <w:sz w:val="19"/>
                <w:szCs w:val="19"/>
              </w:rPr>
              <w:t>Cumple</w:t>
            </w:r>
          </w:p>
        </w:tc>
      </w:tr>
      <w:tr w14:paraId="30AE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A9259F1">
            <w:pPr>
              <w:spacing w:after="0"/>
            </w:pPr>
            <w:r>
              <w:rPr>
                <w:rFonts w:ascii="Calibri" w:hAnsi="Calibri" w:eastAsia="Calibri" w:cs="Calibri"/>
                <w:b w:val="0"/>
                <w:bCs w:val="0"/>
                <w:sz w:val="19"/>
                <w:szCs w:val="19"/>
              </w:rPr>
              <w:t>Conclusiones: responder la pregunta problema y los objetivos, vincular con la metodología, señalar debilidades</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CFABC11">
            <w:pPr>
              <w:spacing w:after="0"/>
            </w:pPr>
            <w:r>
              <w:rPr>
                <w:rFonts w:ascii="Calibri" w:hAnsi="Calibri" w:eastAsia="Calibri" w:cs="Calibri"/>
                <w:b w:val="0"/>
                <w:bCs w:val="0"/>
                <w:sz w:val="19"/>
                <w:szCs w:val="19"/>
              </w:rPr>
              <w:t>Conclusiones por objetivo, párrafo de cierre sobre la hipótesis y sección de Limitaciones</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77ADAABA">
            <w:pPr>
              <w:spacing w:after="0"/>
            </w:pPr>
            <w:r>
              <w:rPr>
                <w:rFonts w:ascii="Calibri" w:hAnsi="Calibri" w:eastAsia="Calibri" w:cs="Calibri"/>
                <w:b w:val="0"/>
                <w:bCs w:val="0"/>
                <w:sz w:val="19"/>
                <w:szCs w:val="19"/>
              </w:rPr>
              <w:t>Cumple</w:t>
            </w:r>
          </w:p>
        </w:tc>
      </w:tr>
      <w:tr w14:paraId="6F2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12" w:type="dxa"/>
            <w:gridSpan w:val="3"/>
            <w:tcBorders>
              <w:top w:val="single" w:color="999999" w:sz="4" w:space="0"/>
              <w:left w:val="single" w:color="999999" w:sz="4" w:space="0"/>
              <w:bottom w:val="single" w:color="999999" w:sz="4" w:space="0"/>
              <w:right w:val="single" w:color="999999" w:sz="4" w:space="0"/>
            </w:tcBorders>
            <w:shd w:val="clear" w:color="auto" w:fill="EDEDED"/>
            <w:tcMar>
              <w:top w:w="60" w:type="dxa"/>
              <w:left w:w="90" w:type="dxa"/>
              <w:bottom w:w="60" w:type="dxa"/>
              <w:right w:w="90" w:type="dxa"/>
            </w:tcMar>
          </w:tcPr>
          <w:p w14:paraId="13D8FFEF">
            <w:pPr>
              <w:spacing w:after="0"/>
            </w:pPr>
            <w:r>
              <w:rPr>
                <w:rFonts w:ascii="Calibri" w:hAnsi="Calibri" w:eastAsia="Calibri" w:cs="Calibri"/>
                <w:b/>
                <w:bCs/>
                <w:sz w:val="19"/>
                <w:szCs w:val="19"/>
              </w:rPr>
              <w:t>Talleres 2 y 6 (Barrios)</w:t>
            </w:r>
          </w:p>
        </w:tc>
      </w:tr>
      <w:tr w14:paraId="6FFE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6B6AAB1">
            <w:pPr>
              <w:spacing w:after="0"/>
            </w:pPr>
            <w:r>
              <w:rPr>
                <w:rFonts w:ascii="Calibri" w:hAnsi="Calibri" w:eastAsia="Calibri" w:cs="Calibri"/>
                <w:b w:val="0"/>
                <w:bCs w:val="0"/>
                <w:sz w:val="19"/>
                <w:szCs w:val="19"/>
              </w:rPr>
              <w:t>Taller 2: asumir una sola norma de referenciación</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13BFCF9">
            <w:pPr>
              <w:spacing w:after="0"/>
            </w:pPr>
            <w:r>
              <w:rPr>
                <w:rFonts w:ascii="Calibri" w:hAnsi="Calibri" w:eastAsia="Calibri" w:cs="Calibri"/>
                <w:b w:val="0"/>
                <w:bCs w:val="0"/>
                <w:sz w:val="19"/>
                <w:szCs w:val="19"/>
              </w:rPr>
              <w:t>Vancouver para citas y referencias; APA 7 solo para la presentación del documento, declarado en la Introducción</w:t>
            </w:r>
          </w:p>
        </w:tc>
        <w:tc>
          <w:tcPr>
            <w:tcW w:w="1612" w:type="dxa"/>
            <w:tcBorders>
              <w:top w:val="single" w:color="999999" w:sz="4" w:space="0"/>
              <w:left w:val="single" w:color="999999" w:sz="4" w:space="0"/>
              <w:bottom w:val="single" w:color="999999" w:sz="4" w:space="0"/>
              <w:right w:val="single" w:color="999999" w:sz="4" w:space="0"/>
            </w:tcBorders>
            <w:shd w:val="clear" w:color="auto" w:fill="E2EFDA"/>
            <w:tcMar>
              <w:top w:w="60" w:type="dxa"/>
              <w:left w:w="90" w:type="dxa"/>
              <w:bottom w:w="60" w:type="dxa"/>
              <w:right w:w="90" w:type="dxa"/>
            </w:tcMar>
          </w:tcPr>
          <w:p w14:paraId="07420600">
            <w:pPr>
              <w:spacing w:after="0"/>
            </w:pPr>
            <w:r>
              <w:rPr>
                <w:rFonts w:ascii="Calibri" w:hAnsi="Calibri" w:eastAsia="Calibri" w:cs="Calibri"/>
                <w:b w:val="0"/>
                <w:bCs w:val="0"/>
                <w:sz w:val="19"/>
                <w:szCs w:val="19"/>
              </w:rPr>
              <w:t>Cumple</w:t>
            </w:r>
          </w:p>
        </w:tc>
      </w:tr>
      <w:tr w14:paraId="0D71B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4453CDE2">
            <w:pPr>
              <w:spacing w:after="0"/>
            </w:pPr>
            <w:r>
              <w:rPr>
                <w:rFonts w:ascii="Calibri" w:hAnsi="Calibri" w:eastAsia="Calibri" w:cs="Calibri"/>
                <w:b w:val="0"/>
                <w:bCs w:val="0"/>
                <w:sz w:val="19"/>
                <w:szCs w:val="19"/>
              </w:rPr>
              <w:t>Taller 6: defensa del trabajo</w:t>
            </w:r>
          </w:p>
        </w:tc>
        <w:tc>
          <w:tcPr>
            <w:tcW w:w="4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502CAB84">
            <w:pPr>
              <w:spacing w:after="0"/>
            </w:pPr>
            <w:r>
              <w:rPr>
                <w:rFonts w:ascii="Calibri" w:hAnsi="Calibri" w:eastAsia="Calibri" w:cs="Calibri"/>
                <w:b w:val="0"/>
                <w:bCs w:val="0"/>
                <w:sz w:val="19"/>
                <w:szCs w:val="19"/>
              </w:rPr>
              <w:t>La presentación y el video siguen con el eje de la v1: hay que rehacer las láminas de problema, hipótesis, variables, matriz y §3.6</w:t>
            </w:r>
          </w:p>
        </w:tc>
        <w:tc>
          <w:tcPr>
            <w:tcW w:w="1612" w:type="dxa"/>
            <w:tcBorders>
              <w:top w:val="single" w:color="999999" w:sz="4" w:space="0"/>
              <w:left w:val="single" w:color="999999" w:sz="4" w:space="0"/>
              <w:bottom w:val="single" w:color="999999" w:sz="4" w:space="0"/>
              <w:right w:val="single" w:color="999999" w:sz="4" w:space="0"/>
            </w:tcBorders>
            <w:shd w:val="clear" w:color="auto" w:fill="F8CBAD"/>
            <w:tcMar>
              <w:top w:w="60" w:type="dxa"/>
              <w:left w:w="90" w:type="dxa"/>
              <w:bottom w:w="60" w:type="dxa"/>
              <w:right w:w="90" w:type="dxa"/>
            </w:tcMar>
          </w:tcPr>
          <w:p w14:paraId="76BE88DC">
            <w:pPr>
              <w:spacing w:after="0"/>
            </w:pPr>
            <w:r>
              <w:rPr>
                <w:rFonts w:ascii="Calibri" w:hAnsi="Calibri" w:eastAsia="Calibri" w:cs="Calibri"/>
                <w:b w:val="0"/>
                <w:bCs w:val="0"/>
                <w:sz w:val="19"/>
                <w:szCs w:val="19"/>
              </w:rPr>
              <w:t>Pendiente</w:t>
            </w:r>
          </w:p>
        </w:tc>
      </w:tr>
    </w:tbl>
    <w:p w14:paraId="038E189D">
      <w:pPr>
        <w:pStyle w:val="2"/>
        <w:spacing w:before="280" w:after="140"/>
      </w:pPr>
      <w:r>
        <w:rPr>
          <w:rFonts w:ascii="Calibri" w:hAnsi="Calibri" w:eastAsia="Calibri" w:cs="Calibri"/>
          <w:b/>
          <w:bCs/>
          <w:sz w:val="30"/>
          <w:szCs w:val="30"/>
        </w:rPr>
        <w:t>4. Los matices, con la respuesta preparada</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12"/>
      </w:tblGrid>
      <w:tr w14:paraId="4FB4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4DA163EC">
            <w:pPr>
              <w:spacing w:after="0"/>
            </w:pPr>
            <w:r>
              <w:rPr>
                <w:rFonts w:ascii="Calibri" w:hAnsi="Calibri" w:eastAsia="Calibri" w:cs="Calibri"/>
                <w:b/>
                <w:bCs/>
                <w:sz w:val="19"/>
                <w:szCs w:val="19"/>
              </w:rPr>
              <w:t>Observación probable del tribunal</w:t>
            </w:r>
          </w:p>
        </w:tc>
        <w:tc>
          <w:tcPr>
            <w:tcW w:w="6412" w:type="dxa"/>
            <w:tcBorders>
              <w:top w:val="single" w:color="999999" w:sz="4" w:space="0"/>
              <w:left w:val="single" w:color="999999" w:sz="4" w:space="0"/>
              <w:bottom w:val="single" w:color="999999" w:sz="4" w:space="0"/>
              <w:right w:val="single" w:color="999999" w:sz="4" w:space="0"/>
            </w:tcBorders>
            <w:shd w:val="clear" w:color="auto" w:fill="D9E2F3"/>
            <w:tcMar>
              <w:top w:w="60" w:type="dxa"/>
              <w:left w:w="90" w:type="dxa"/>
              <w:bottom w:w="60" w:type="dxa"/>
              <w:right w:w="90" w:type="dxa"/>
            </w:tcMar>
          </w:tcPr>
          <w:p w14:paraId="466FDB31">
            <w:pPr>
              <w:spacing w:after="0"/>
            </w:pPr>
            <w:r>
              <w:rPr>
                <w:rFonts w:ascii="Calibri" w:hAnsi="Calibri" w:eastAsia="Calibri" w:cs="Calibri"/>
                <w:b/>
                <w:bCs/>
                <w:sz w:val="19"/>
                <w:szCs w:val="19"/>
              </w:rPr>
              <w:t>Respuesta</w:t>
            </w:r>
          </w:p>
        </w:tc>
      </w:tr>
      <w:tr w14:paraId="414F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3A4F999A">
            <w:pPr>
              <w:spacing w:after="0"/>
            </w:pPr>
            <w:r>
              <w:rPr>
                <w:rFonts w:ascii="Calibri" w:hAnsi="Calibri" w:eastAsia="Calibri" w:cs="Calibri"/>
                <w:b w:val="0"/>
                <w:bCs w:val="0"/>
                <w:sz w:val="19"/>
                <w:szCs w:val="19"/>
              </w:rPr>
              <w:t>«¿Midió que el criterio mejora?»</w:t>
            </w:r>
          </w:p>
        </w:tc>
        <w:tc>
          <w:tcPr>
            <w:tcW w:w="64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F00B65">
            <w:pPr>
              <w:spacing w:after="0"/>
            </w:pPr>
            <w:r>
              <w:rPr>
                <w:rFonts w:ascii="Calibri" w:hAnsi="Calibri" w:eastAsia="Calibri" w:cs="Calibri"/>
                <w:b w:val="0"/>
                <w:bCs w:val="0"/>
                <w:sz w:val="19"/>
                <w:szCs w:val="19"/>
              </w:rPr>
              <w:t>No en esta etapa. La hipótesis se comprueba en su parte de diseño y contenido con criterios fijados a priori. El efecto se fundamenta con herramientas de la misma familia que sí lo midieron (Bishay, mejora significativa entre cohortes) u observaron (Lee). La prueba de campo está diseñada: un curso, preprueba y posprueba con resultados de MEF para juzgar, estadística no paramétrica.</w:t>
            </w:r>
          </w:p>
        </w:tc>
      </w:tr>
      <w:tr w14:paraId="4F2C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F8CA7F7">
            <w:pPr>
              <w:spacing w:after="0"/>
            </w:pPr>
            <w:r>
              <w:rPr>
                <w:rFonts w:ascii="Calibri" w:hAnsi="Calibri" w:eastAsia="Calibri" w:cs="Calibri"/>
                <w:b w:val="0"/>
                <w:bCs w:val="0"/>
                <w:sz w:val="19"/>
                <w:szCs w:val="19"/>
              </w:rPr>
              <w:t>«¿Cómo sabe que el criterio es bajo?»</w:t>
            </w:r>
          </w:p>
        </w:tc>
        <w:tc>
          <w:tcPr>
            <w:tcW w:w="64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E593CE4">
            <w:pPr>
              <w:spacing w:after="0"/>
            </w:pPr>
            <w:r>
              <w:rPr>
                <w:rFonts w:ascii="Calibri" w:hAnsi="Calibri" w:eastAsia="Calibri" w:cs="Calibri"/>
                <w:b w:val="0"/>
                <w:bCs w:val="0"/>
                <w:sz w:val="19"/>
                <w:szCs w:val="19"/>
              </w:rPr>
              <w:t>Con el diagnóstico de la literatura: solo el 31 % de los ingenieros se considera conocedor del análisis por elementos finitos (p. 1160); los expertos piden que el egresado sepa planificar, verificar y validar (p. 1171); el antecedente más directo reconoce que su post-proceso es «meramente descriptivo» (Suárez, p. 253). No hubo encuesta propia y se declara.</w:t>
            </w:r>
          </w:p>
        </w:tc>
      </w:tr>
      <w:tr w14:paraId="1060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9D0925E">
            <w:pPr>
              <w:spacing w:after="0"/>
            </w:pPr>
            <w:r>
              <w:rPr>
                <w:rFonts w:ascii="Calibri" w:hAnsi="Calibri" w:eastAsia="Calibri" w:cs="Calibri"/>
                <w:b w:val="0"/>
                <w:bCs w:val="0"/>
                <w:sz w:val="19"/>
                <w:szCs w:val="19"/>
              </w:rPr>
              <w:t>«¿Dónde están la población y la muestra?»</w:t>
            </w:r>
          </w:p>
        </w:tc>
        <w:tc>
          <w:tcPr>
            <w:tcW w:w="64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762F8706">
            <w:pPr>
              <w:spacing w:after="0"/>
            </w:pPr>
            <w:r>
              <w:rPr>
                <w:rFonts w:ascii="Calibri" w:hAnsi="Calibri" w:eastAsia="Calibri" w:cs="Calibri"/>
                <w:b w:val="0"/>
                <w:bCs w:val="0"/>
                <w:sz w:val="19"/>
                <w:szCs w:val="19"/>
              </w:rPr>
              <w:t>La población son los estudiantes de la Carrera que cursan la asignatura donde se introduce el MEF. Esta etapa no toma muestra porque su unidad de análisis es el artefacto; recorre completo un universo de contenido de 15 destrezas y 3 conceptos tomados de un consenso publicado de 67 expertos. La muestra dirigida, un curso, corresponde a la prueba de campo.</w:t>
            </w:r>
          </w:p>
        </w:tc>
      </w:tr>
      <w:tr w14:paraId="727C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CEFEE92">
            <w:pPr>
              <w:spacing w:after="0"/>
            </w:pPr>
            <w:r>
              <w:rPr>
                <w:rFonts w:ascii="Calibri" w:hAnsi="Calibri" w:eastAsia="Calibri" w:cs="Calibri"/>
                <w:b w:val="0"/>
                <w:bCs w:val="0"/>
                <w:sz w:val="19"/>
                <w:szCs w:val="19"/>
              </w:rPr>
              <w:t>«Eso es juicio de expertos de otro país»</w:t>
            </w:r>
          </w:p>
        </w:tc>
        <w:tc>
          <w:tcPr>
            <w:tcW w:w="64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AAE47AC">
            <w:pPr>
              <w:spacing w:after="0"/>
            </w:pPr>
            <w:r>
              <w:rPr>
                <w:rFonts w:ascii="Calibri" w:hAnsi="Calibri" w:eastAsia="Calibri" w:cs="Calibri"/>
                <w:b w:val="0"/>
                <w:bCs w:val="0"/>
                <w:sz w:val="19"/>
                <w:szCs w:val="19"/>
              </w:rPr>
              <w:t>El propio estudio declara que sus resultados no se generalizan a otros contextos (p. 1171). Se usan solo los ítems que son contenido universal del método: isoparamétrico, Gauss, ensamblaje, mallado, convergencia, equilibrio. Lo excluido se lista al pie de la Tabla 3.7.</w:t>
            </w:r>
          </w:p>
        </w:tc>
      </w:tr>
      <w:tr w14:paraId="18D3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6C4C7A1E">
            <w:pPr>
              <w:spacing w:after="0"/>
            </w:pPr>
            <w:r>
              <w:rPr>
                <w:rFonts w:ascii="Calibri" w:hAnsi="Calibri" w:eastAsia="Calibri" w:cs="Calibri"/>
                <w:b w:val="0"/>
                <w:bCs w:val="0"/>
                <w:sz w:val="19"/>
                <w:szCs w:val="19"/>
              </w:rPr>
              <w:t>«Las tablas las armó usted mismo»</w:t>
            </w:r>
          </w:p>
        </w:tc>
        <w:tc>
          <w:tcPr>
            <w:tcW w:w="6412"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14:paraId="1C031A92">
            <w:pPr>
              <w:spacing w:after="0"/>
            </w:pPr>
            <w:r>
              <w:rPr>
                <w:rFonts w:ascii="Calibri" w:hAnsi="Calibri" w:eastAsia="Calibri" w:cs="Calibri"/>
                <w:b w:val="0"/>
                <w:bCs w:val="0"/>
                <w:sz w:val="19"/>
                <w:szCs w:val="19"/>
              </w:rPr>
              <w:t>Sí, y se declara como limitación. Por eso el criterio exige evidencia comprobable por celda (una función descrita en el Cap. 2, una captura del manual o una prueba de regresión) y no puntajes.</w:t>
            </w:r>
          </w:p>
        </w:tc>
      </w:tr>
    </w:tbl>
    <w:p w14:paraId="1504EB28">
      <w:pPr>
        <w:pStyle w:val="2"/>
        <w:spacing w:before="280" w:after="140"/>
      </w:pPr>
      <w:r>
        <w:rPr>
          <w:rFonts w:ascii="Calibri" w:hAnsi="Calibri" w:eastAsia="Calibri" w:cs="Calibri"/>
          <w:b/>
          <w:bCs/>
          <w:sz w:val="30"/>
          <w:szCs w:val="30"/>
        </w:rPr>
        <w:t>5. Qué queda en manos del autor</w:t>
      </w:r>
    </w:p>
    <w:p w14:paraId="5CE1C858">
      <w:pPr>
        <w:pStyle w:val="16"/>
        <w:numPr>
          <w:ilvl w:val="0"/>
          <w:numId w:val="1"/>
        </w:numPr>
        <w:spacing w:after="80"/>
      </w:pPr>
      <w:r>
        <w:rPr>
          <w:rFonts w:ascii="Calibri" w:hAnsi="Calibri" w:eastAsia="Calibri" w:cs="Calibri"/>
          <w:sz w:val="22"/>
          <w:szCs w:val="22"/>
        </w:rPr>
        <w:t>Completar en §2.1.4 el nombre, la sigla y el semestre de la asignatura en que se introduce el MEF (está marcado como dato pendiente).</w:t>
      </w:r>
    </w:p>
    <w:p w14:paraId="33F8333A">
      <w:pPr>
        <w:pStyle w:val="16"/>
        <w:numPr>
          <w:ilvl w:val="0"/>
          <w:numId w:val="1"/>
        </w:numPr>
        <w:spacing w:after="80"/>
      </w:pPr>
      <w:r>
        <w:rPr>
          <w:rFonts w:ascii="Calibri" w:hAnsi="Calibri" w:eastAsia="Calibri" w:cs="Calibri"/>
          <w:sz w:val="22"/>
          <w:szCs w:val="22"/>
        </w:rPr>
        <w:t>Revisar celda por celda la Tabla 3.7: cada una afirma qué hace el software.</w:t>
      </w:r>
    </w:p>
    <w:p w14:paraId="30A76DBA">
      <w:pPr>
        <w:pStyle w:val="16"/>
        <w:numPr>
          <w:ilvl w:val="0"/>
          <w:numId w:val="1"/>
        </w:numPr>
        <w:spacing w:after="80"/>
      </w:pPr>
      <w:r>
        <w:rPr>
          <w:rFonts w:ascii="Calibri" w:hAnsi="Calibri" w:eastAsia="Calibri" w:cs="Calibri"/>
          <w:sz w:val="22"/>
          <w:szCs w:val="22"/>
        </w:rPr>
        <w:t>Confirmar en el PDF la cita de la página 187 de Atkinson (el ejemplar es OCR y el pasaje quedó con nota, no resaltado).</w:t>
      </w:r>
    </w:p>
    <w:p w14:paraId="6FBDCCF0">
      <w:pPr>
        <w:pStyle w:val="16"/>
        <w:numPr>
          <w:ilvl w:val="0"/>
          <w:numId w:val="1"/>
        </w:numPr>
        <w:spacing w:after="80"/>
      </w:pPr>
      <w:r>
        <w:rPr>
          <w:rFonts w:ascii="Calibri" w:hAnsi="Calibri" w:eastAsia="Calibri" w:cs="Calibri"/>
          <w:sz w:val="22"/>
          <w:szCs w:val="22"/>
        </w:rPr>
        <w:t>Si la v4 se adopta: mover los capítulos de la v4 sobre los de la v1 y rehacer las láminas de problema, hipótesis, variables, matriz y §3.6 de la presentación y el video.</w:t>
      </w:r>
    </w:p>
    <w:p w14:paraId="611C9749">
      <w:pPr>
        <w:pStyle w:val="16"/>
        <w:numPr>
          <w:ilvl w:val="0"/>
          <w:numId w:val="1"/>
        </w:numPr>
        <w:spacing w:after="80"/>
      </w:pPr>
      <w:r>
        <w:rPr>
          <w:rFonts w:ascii="Calibri" w:hAnsi="Calibri" w:eastAsia="Calibri" w:cs="Calibri"/>
          <w:sz w:val="22"/>
          <w:szCs w:val="22"/>
        </w:rPr>
        <w:t>Sigue abierto conseguir el Reglamento de Graduación completo, que el material docente solo cita por artículos.</w:t>
      </w:r>
    </w:p>
    <w:p w14:paraId="2CEBF0E7">
      <w:pPr>
        <w:pStyle w:val="2"/>
        <w:spacing w:before="280" w:after="140"/>
      </w:pPr>
      <w:r>
        <w:rPr>
          <w:rFonts w:ascii="Calibri" w:hAnsi="Calibri" w:eastAsia="Calibri" w:cs="Calibri"/>
          <w:b/>
          <w:bCs/>
          <w:sz w:val="30"/>
          <w:szCs w:val="30"/>
        </w:rPr>
        <w:t>6. Dónde está cada cosa</w:t>
      </w:r>
    </w:p>
    <w:p w14:paraId="564572A5">
      <w:pPr>
        <w:pStyle w:val="16"/>
        <w:numPr>
          <w:ilvl w:val="0"/>
          <w:numId w:val="1"/>
        </w:numPr>
        <w:spacing w:after="80"/>
      </w:pPr>
      <w:r>
        <w:rPr>
          <w:rFonts w:ascii="Calibri" w:hAnsi="Calibri" w:eastAsia="Calibri" w:cs="Calibri"/>
          <w:sz w:val="22"/>
          <w:szCs w:val="22"/>
        </w:rPr>
        <w:t>Tesis v4: tesis/main</w:t>
      </w:r>
      <w:r>
        <w:rPr>
          <w:rFonts w:ascii="Calibri" w:hAnsi="Calibri" w:eastAsia="Calibri" w:cs="Calibri"/>
          <w:i/>
          <w:iCs/>
          <w:sz w:val="22"/>
          <w:szCs w:val="22"/>
        </w:rPr>
        <w:t>v4.tex, con los capítulos reescritos en tesis/capitulos</w:t>
      </w:r>
      <w:r>
        <w:rPr>
          <w:rFonts w:ascii="Calibri" w:hAnsi="Calibri" w:eastAsia="Calibri" w:cs="Calibri"/>
          <w:sz w:val="22"/>
          <w:szCs w:val="22"/>
        </w:rPr>
        <w:t>v4/. Compila limpia: 168 hojas, sin referencias indefinidas ni desbordes.</w:t>
      </w:r>
    </w:p>
    <w:p w14:paraId="2EE9932F">
      <w:pPr>
        <w:pStyle w:val="16"/>
        <w:numPr>
          <w:ilvl w:val="0"/>
          <w:numId w:val="1"/>
        </w:numPr>
        <w:spacing w:after="80"/>
      </w:pPr>
      <w:r>
        <w:rPr>
          <w:rFonts w:ascii="Calibri" w:hAnsi="Calibri" w:eastAsia="Calibri" w:cs="Calibri"/>
          <w:sz w:val="22"/>
          <w:szCs w:val="22"/>
        </w:rPr>
        <w:t>Bibliografía: tesis/bibliografia/referencias.bib, 25 entradas. Respaldo de citas: tesis/respaldo</w:t>
      </w:r>
      <w:r>
        <w:rPr>
          <w:rFonts w:ascii="Calibri" w:hAnsi="Calibri" w:eastAsia="Calibri" w:cs="Calibri"/>
          <w:i/>
          <w:iCs/>
          <w:sz w:val="22"/>
          <w:szCs w:val="22"/>
        </w:rPr>
        <w:t>citas/respaldo</w:t>
      </w:r>
      <w:r>
        <w:rPr>
          <w:rFonts w:ascii="Calibri" w:hAnsi="Calibri" w:eastAsia="Calibri" w:cs="Calibri"/>
          <w:sz w:val="22"/>
          <w:szCs w:val="22"/>
        </w:rPr>
        <w:t>citas.pdf, 47 páginas. Copias resaltadas: tesis/bibliografia/resaltados/.</w:t>
      </w:r>
    </w:p>
    <w:p w14:paraId="6C8CE53B">
      <w:pPr>
        <w:pStyle w:val="16"/>
        <w:numPr>
          <w:ilvl w:val="0"/>
          <w:numId w:val="1"/>
        </w:numPr>
        <w:spacing w:after="80"/>
      </w:pPr>
      <w:r>
        <w:rPr>
          <w:rFonts w:ascii="Calibri" w:hAnsi="Calibri" w:eastAsia="Calibri" w:cs="Calibri"/>
          <w:sz w:val="22"/>
          <w:szCs w:val="22"/>
        </w:rPr>
        <w:t>Alternativas comparadas: tesis/alternativas/alternativas</w:t>
      </w:r>
      <w:r>
        <w:rPr>
          <w:rFonts w:ascii="Calibri" w:hAnsi="Calibri" w:eastAsia="Calibri" w:cs="Calibri"/>
          <w:i/>
          <w:iCs/>
          <w:sz w:val="22"/>
          <w:szCs w:val="22"/>
        </w:rPr>
        <w:t>causa</w:t>
      </w:r>
      <w:r>
        <w:rPr>
          <w:rFonts w:ascii="Calibri" w:hAnsi="Calibri" w:eastAsia="Calibri" w:cs="Calibri"/>
          <w:sz w:val="22"/>
          <w:szCs w:val="22"/>
        </w:rPr>
        <w:t>efecto.pdf. Bitácora: docs/notas/2026-09-19_tesis-v4-alternativa-3.md.</w:t>
      </w:r>
    </w:p>
    <w:sectPr>
      <w:footerReference r:id="rId3" w:type="default"/>
      <w:pgSz w:w="11906" w:h="16838"/>
      <w:pgMar w:top="1247" w:right="1247" w:bottom="1247" w:left="124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3A38C">
    <w:pPr>
      <w:jc w:val="center"/>
    </w:pP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6210C1E"/>
    <w:rsid w:val="2CFF084C"/>
    <w:rsid w:val="524E6196"/>
    <w:rsid w:val="6FE66B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2358</Words>
  <Characters>12725</Characters>
  <TotalTime>67</TotalTime>
  <ScaleCrop>false</ScaleCrop>
  <LinksUpToDate>false</LinksUpToDate>
  <CharactersWithSpaces>14913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2026-09-19T09:47:00Z</dcterms:created>
  <dc:creator>EduFEM</dc:creator>
  <cp:lastModifiedBy>User</cp:lastModifiedBy>
  <dcterms:modified xsi:type="dcterms:W3CDTF">2026-09-19T11:02:55Z</dcterms:modified>
  <dc:title>Tesis EduFEM v4: resumen y revisión contra el material docente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eyJoZGlkIjoiYmIxNzVjMzgyNjMxMWVlMDRkODg2NWE4NjYwN2I0NGMifQ==</vt:lpwstr>
  </property>
  <property fmtid="{D5CDD505-2E9C-101B-9397-08002B2CF9AE}" pid="3" name="KSOProductBuildVer">
    <vt:lpwstr>2058-12.1.0.28485</vt:lpwstr>
  </property>
  <property fmtid="{D5CDD505-2E9C-101B-9397-08002B2CF9AE}" pid="4" name="ICV">
    <vt:lpwstr>01709B53B47840B0AFE6B77F3A281B91_13</vt:lpwstr>
  </property>
</Properties>
</file>