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ratula"/>
      </w:pPr>
      <w:r>
        <w:rPr>
          <w:bCs/>
          <w:b/>
        </w:rPr>
        <w:t xml:space="preserve">UNIVERSIDAD AUTÓNOMA «TOMÁS FRÍAS»</w:t>
      </w:r>
    </w:p>
    <w:p>
      <w:pPr>
        <w:pStyle w:val="Caratula"/>
      </w:pPr>
      <w:r>
        <w:rPr>
          <w:bCs/>
          <w:b/>
        </w:rPr>
        <w:t xml:space="preserve">FACULTAD DE INGENIERÍA</w:t>
      </w:r>
    </w:p>
    <w:p>
      <w:pPr>
        <w:pStyle w:val="Caratula"/>
      </w:pPr>
      <w:r>
        <w:rPr>
          <w:bCs/>
          <w:b/>
        </w:rPr>
        <w:t xml:space="preserve">CARRERA DE INGENIERÍA CIVIL</w:t>
      </w:r>
    </w:p>
    <w:p>
      <w:pPr>
        <w:pStyle w:val="Caratula"/>
        <w:spacing w:before="793"/>
      </w:pPr>
      <w:r>
        <w:rPr>
          <w:rStyle w:val="Pendiente"/>
          <w:bCs/>
          <w:b/>
        </w:rPr>
        <w:t xml:space="preserve">[Pendiente:</w:t>
      </w:r>
      <w:r>
        <w:rPr>
          <w:rStyle w:val="Pendiente"/>
        </w:rPr>
        <w:t xml:space="preserve"> </w:t>
      </w:r>
      <w:r>
        <w:rPr>
          <w:rStyle w:val="Pendiente"/>
        </w:rPr>
        <w:t xml:space="preserve">insertar el escudo de la UATF</w:t>
      </w:r>
      <w:r>
        <w:rPr>
          <w:rStyle w:val="Pendiente"/>
          <w:bCs/>
          <w:b/>
        </w:rPr>
        <w:t xml:space="preserve">]</w:t>
      </w:r>
    </w:p>
    <w:p>
      <w:pPr>
        <w:pStyle w:val="Caratula"/>
        <w:spacing w:before="793"/>
      </w:pPr>
      <w:r>
        <w:rPr>
          <w:bCs/>
          <w:b/>
        </w:rPr>
        <w:t xml:space="preserve">TESIS DE GRADO</w:t>
      </w:r>
    </w:p>
    <w:p>
      <w:pPr>
        <w:pStyle w:val="Caratula"/>
        <w:spacing w:before="566"/>
      </w:pPr>
      <w:r>
        <w:rPr>
          <w:bCs/>
          <w:b/>
        </w:rPr>
        <w:t xml:space="preserve">DISEÑO DE UN SISTEMA DE GESTIÓN DE LA CALIDAD BASADO EN LA NORMA ISO 9001 PARA REDUCIR COSTOS MEDIANTE EL CONTROL DE MATERIALES EN LOSAS ALIVIANADAS CON VIGUETAS PRETENSADAS DEL EDIFICIO DE POSGRADO DE LA UNIVERSIDAD AUTÓNOMA TOMÁS FRÍAS, POTOSÍ</w:t>
      </w:r>
    </w:p>
    <w:p>
      <w:pPr>
        <w:pStyle w:val="Caratula"/>
        <w:spacing w:before="680"/>
      </w:pPr>
      <w:r>
        <w:t xml:space="preserve">Trabajo de graduación en la modalidad de Tesis, presentado para optar al grado académico de Licenciatura en Ingeniería Civil</w:t>
      </w:r>
    </w:p>
    <w:p>
      <w:pPr>
        <w:pStyle w:val="Caratula"/>
        <w:spacing w:before="598"/>
      </w:pPr>
      <w:r>
        <w:rPr>
          <w:bCs/>
          <w:b/>
        </w:rPr>
        <w:t xml:space="preserve">Postulante:</w:t>
      </w:r>
      <w:r>
        <w:t xml:space="preserve"> </w:t>
      </w:r>
      <w:r>
        <w:t xml:space="preserve">[Nombres y apellidos del postulante]</w:t>
      </w:r>
    </w:p>
    <w:p>
      <w:pPr>
        <w:pStyle w:val="Caratula"/>
      </w:pPr>
      <w:r>
        <w:rPr>
          <w:bCs/>
          <w:b/>
        </w:rPr>
        <w:t xml:space="preserve">Tutor:</w:t>
      </w:r>
      <w:r>
        <w:t xml:space="preserve"> </w:t>
      </w:r>
      <w:r>
        <w:t xml:space="preserve">Ing. [Nombres y apellidos del tutor]</w:t>
      </w:r>
    </w:p>
    <w:p>
      <w:pPr>
        <w:pStyle w:val="Caratula"/>
        <w:spacing w:before="598"/>
      </w:pPr>
      <w:r>
        <w:rPr>
          <w:bCs/>
          <w:b/>
        </w:rPr>
        <w:t xml:space="preserve">POTOSÍ – BOLIVIA</w:t>
      </w:r>
    </w:p>
    <w:p>
      <w:pPr>
        <w:pStyle w:val="Caratula"/>
        <w:sectPr>
          <w:pgSz w:h="15840" w:w="12240"/>
          <w:pgMar w:bottom="1440" w:footer="720" w:gutter="0" w:header="720" w:left="1440" w:right="1440" w:top="1440"/>
        </w:sectPr>
      </w:pPr>
      <w:r>
        <w:rPr>
          <w:bCs/>
          <w:b/>
        </w:rPr>
        <w:t xml:space="preserve">2026</w:t>
      </w:r>
    </w:p>
    <w:p>
      <w:pPr>
        <w:pStyle w:val="Heading1"/>
        <w:pageBreakBefore w:val="0"/>
      </w:pPr>
      <w:bookmarkStart w:id="20" w:name="tit1"/>
      <w:r>
        <w:t xml:space="preserve">Dedicatoria</w:t>
      </w:r>
      <w:bookmarkEnd w:id="20"/>
    </w:p>
    <w:p>
      <w:pPr>
        <w:pStyle w:val="FirstParagraph"/>
      </w:pPr>
      <w:r>
        <w:rPr>
          <w:rStyle w:val="Pendiente"/>
          <w:bCs/>
          <w:b/>
        </w:rPr>
        <w:t xml:space="preserve">[Pendiente:</w:t>
      </w:r>
      <w:r>
        <w:rPr>
          <w:rStyle w:val="Pendiente"/>
        </w:rPr>
        <w:t xml:space="preserve"> </w:t>
      </w:r>
      <w:r>
        <w:rPr>
          <w:rStyle w:val="Pendiente"/>
        </w:rPr>
        <w:t xml:space="preserve">opcional. Redacte aquí su dedicatoria.</w:t>
      </w:r>
      <w:r>
        <w:rPr>
          <w:rStyle w:val="Pendiente"/>
          <w:bCs/>
          <w:b/>
        </w:rPr>
        <w:t xml:space="preserve">]</w:t>
      </w:r>
    </w:p>
    <w:p>
      <w:pPr>
        <w:pStyle w:val="Heading1"/>
      </w:pPr>
      <w:bookmarkStart w:id="21" w:name="tit2"/>
      <w:r>
        <w:t xml:space="preserve">Agradecimientos</w:t>
      </w:r>
      <w:bookmarkEnd w:id="21"/>
    </w:p>
    <w:p>
      <w:pPr>
        <w:pStyle w:val="FirstParagraph"/>
      </w:pPr>
      <w:r>
        <w:rPr>
          <w:rStyle w:val="Pendiente"/>
          <w:bCs/>
          <w:b/>
        </w:rPr>
        <w:t xml:space="preserve">[Pendiente:</w:t>
      </w:r>
      <w:r>
        <w:rPr>
          <w:rStyle w:val="Pendiente"/>
        </w:rPr>
        <w:t xml:space="preserve"> </w:t>
      </w:r>
      <w:r>
        <w:rPr>
          <w:rStyle w:val="Pendiente"/>
        </w:rPr>
        <w:t xml:space="preserve">opcional. Agradecimientos a la Universidad Autónoma Tomás Frías, al tutor, a la Supervisión y a la Fiscalización de la obra, y a quienes facilitaron la información.</w:t>
      </w:r>
      <w:r>
        <w:rPr>
          <w:rStyle w:val="Pendiente"/>
          <w:bCs/>
          <w:b/>
        </w:rPr>
        <w:t xml:space="preserve">]</w:t>
      </w:r>
    </w:p>
    <w:p>
      <w:pPr>
        <w:pStyle w:val="Heading1"/>
      </w:pPr>
      <w:bookmarkStart w:id="22" w:name="tit3"/>
      <w:r>
        <w:t xml:space="preserve">Resumen</w:t>
      </w:r>
      <w:bookmarkEnd w:id="22"/>
    </w:p>
    <w:p>
      <w:pPr>
        <w:pStyle w:val="FirstParagraph"/>
      </w:pPr>
      <w:r>
        <w:t xml:space="preserve">La presente investigación aborda los sobrecostos y la falta de control de materiales en la ejecución de las losas alivianadas con viguetas pretensadas y complemento de poliestireno expandido del Edificio de Posgrado de la Universidad Autónoma Tomás Frías (UATF), en Potosí. El contrato de obra registró un incremento del 7,22 % en su monto y del 33,3 % en su plazo, y se resolvió cuando solo se había ejecutado el 33,18 % de la superficie de losa prevista. El objetivo fue diseñar un Sistema de Gestión de la Calidad (SGC) basado en la norma ISO 9001, centrado en el control de materiales, para reducir los costos de ejecución de dichas losas. La investigación fue aplicada, de enfoque cuantitativo y nivel explicativo, con un diseño cuasi-experimental de preprueba y posprueba en el que la primera losa (1.109,84 m</w:t>
      </w:r>
      <w:r>
        <w:rPr>
          <w:vertAlign w:val="superscript"/>
        </w:rPr>
        <w:t xml:space="preserve">2</w:t>
      </w:r>
      <w:r>
        <w:t xml:space="preserve">, sin SGC) constituyó la línea base.</w:t>
      </w:r>
      <w:r>
        <w:t xml:space="preserve"> </w:t>
      </w:r>
      <w:r>
        <w:rPr>
          <w:rStyle w:val="Pendiente"/>
          <w:bCs/>
          <w:b/>
        </w:rPr>
        <w:t xml:space="preserve">[Pendiente:</w:t>
      </w:r>
      <w:r>
        <w:rPr>
          <w:rStyle w:val="Pendiente"/>
        </w:rPr>
        <w:t xml:space="preserve"> </w:t>
      </w:r>
      <w:r>
        <w:rPr>
          <w:rStyle w:val="Pendiente"/>
        </w:rPr>
        <w:t xml:space="preserve">completar con los resultados: índice de desperdicio por material, costo unitario antes y después, costo de no calidad, resultado de la prueba de hipótesis y conclusión principal.</w:t>
      </w:r>
      <w:r>
        <w:rPr>
          <w:rStyle w:val="Pendiente"/>
          <w:bCs/>
          <w:b/>
        </w:rPr>
        <w:t xml:space="preserve">]</w:t>
      </w:r>
    </w:p>
    <w:p>
      <w:pPr>
        <w:pStyle w:val="BodyText"/>
      </w:pPr>
      <w:r>
        <w:rPr>
          <w:bCs/>
          <w:b/>
        </w:rPr>
        <w:t xml:space="preserve">Palabras clave:</w:t>
      </w:r>
      <w:r>
        <w:t xml:space="preserve"> </w:t>
      </w:r>
      <w:r>
        <w:t xml:space="preserve">gestión de la calidad; ISO 9001; control de materiales; desperdicio de materiales; costos de no calidad; losa alivianada; viguetas pretensadas.</w:t>
      </w:r>
    </w:p>
    <w:p>
      <w:pPr>
        <w:pStyle w:val="Heading1"/>
      </w:pPr>
      <w:bookmarkStart w:id="23" w:name="tit4"/>
      <w:r>
        <w:t xml:space="preserve">Abstract</w:t>
      </w:r>
      <w:bookmarkEnd w:id="23"/>
    </w:p>
    <w:p>
      <w:pPr>
        <w:pStyle w:val="FirstParagraph"/>
      </w:pPr>
      <w:r>
        <w:rPr>
          <w:rStyle w:val="Pendiente"/>
          <w:bCs/>
          <w:b/>
        </w:rPr>
        <w:t xml:space="preserve">[Pendiente:</w:t>
      </w:r>
      <w:r>
        <w:rPr>
          <w:rStyle w:val="Pendiente"/>
        </w:rPr>
        <w:t xml:space="preserve"> </w:t>
      </w:r>
      <w:r>
        <w:rPr>
          <w:rStyle w:val="Pendiente"/>
        </w:rPr>
        <w:t xml:space="preserve">traducción al inglés del resumen definitivo.</w:t>
      </w:r>
      <w:r>
        <w:rPr>
          <w:rStyle w:val="Pendiente"/>
          <w:bCs/>
          <w:b/>
        </w:rPr>
        <w:t xml:space="preserve">]</w:t>
      </w:r>
    </w:p>
    <w:p>
      <w:pPr>
        <w:pStyle w:val="BodyText"/>
      </w:pPr>
      <w:r>
        <w:rPr>
          <w:bCs/>
          <w:b/>
        </w:rPr>
        <w:t xml:space="preserve">Keywords:</w:t>
      </w:r>
      <w:r>
        <w:t xml:space="preserve"> </w:t>
      </w:r>
      <w:r>
        <w:t xml:space="preserve">quality management system; ISO 9001; material control; construction waste; cost of poor quality; precast prestressed joist slab.</w:t>
      </w:r>
    </w:p>
    <w:p>
      <w:pPr>
        <w:pStyle w:val="TOCHeading"/>
      </w:pPr>
      <w:bookmarkStart w:id="1390" w:name="idxtoc"/>
      <w:r>
        <w:t xml:space="preserve">Índice general</w:t>
      </w:r>
      <w:bookmarkEnd w:id="1390"/>
    </w:p>
    <w:p>
      <w:pPr>
        <w:pStyle w:val="toc1"/>
      </w:pPr>
      <w:hyperlink w:anchor="tit3" w:history="1">
        <w:r>
          <w:t xml:space="preserve">Resumen</w:t>
        </w:r>
        <w:r>
          <w:tab/>
        </w:r>
        <w:r>
          <w:fldChar w:fldCharType="begin"/>
        </w:r>
        <w:r>
          <w:instrText xml:space="preserve"> PAGEREF tit3 \h \* roman </w:instrText>
        </w:r>
        <w:r>
          <w:fldChar w:fldCharType="separate"/>
        </w:r>
        <w:r>
          <w:t>iii</w:t>
        </w:r>
        <w:r>
          <w:fldChar w:fldCharType="end"/>
        </w:r>
      </w:hyperlink>
    </w:p>
    <w:p>
      <w:pPr>
        <w:pStyle w:val="toc1"/>
      </w:pPr>
      <w:hyperlink w:anchor="tit4" w:history="1">
        <w:r>
          <w:t xml:space="preserve">Abstract</w:t>
        </w:r>
        <w:r>
          <w:tab/>
        </w:r>
        <w:r>
          <w:fldChar w:fldCharType="begin"/>
        </w:r>
        <w:r>
          <w:instrText xml:space="preserve"> PAGEREF tit4 \h \* roman </w:instrText>
        </w:r>
        <w:r>
          <w:fldChar w:fldCharType="separate"/>
        </w:r>
        <w:r>
          <w:t>iv</w:t>
        </w:r>
        <w:r>
          <w:fldChar w:fldCharType="end"/>
        </w:r>
      </w:hyperlink>
    </w:p>
    <w:p>
      <w:pPr>
        <w:pStyle w:val="toc1"/>
      </w:pPr>
      <w:hyperlink w:anchor="idxlot" w:history="1">
        <w:r>
          <w:t xml:space="preserve">Índice de tablas</w:t>
        </w:r>
        <w:r>
          <w:tab/>
        </w:r>
        <w:r>
          <w:fldChar w:fldCharType="begin"/>
        </w:r>
        <w:r>
          <w:instrText xml:space="preserve"> PAGEREF idxlot \h \* roman </w:instrText>
        </w:r>
        <w:r>
          <w:fldChar w:fldCharType="separate"/>
        </w:r>
        <w:r>
          <w:t>x</w:t>
        </w:r>
        <w:r>
          <w:fldChar w:fldCharType="end"/>
        </w:r>
      </w:hyperlink>
    </w:p>
    <w:p>
      <w:pPr>
        <w:pStyle w:val="toc1"/>
      </w:pPr>
      <w:hyperlink w:anchor="idxlof" w:history="1">
        <w:r>
          <w:t xml:space="preserve">Índice de figuras</w:t>
        </w:r>
        <w:r>
          <w:tab/>
        </w:r>
        <w:r>
          <w:fldChar w:fldCharType="begin"/>
        </w:r>
        <w:r>
          <w:instrText xml:space="preserve"> PAGEREF idxlof \h \* roman </w:instrText>
        </w:r>
        <w:r>
          <w:fldChar w:fldCharType="separate"/>
        </w:r>
        <w:r>
          <w:t>xii</w:t>
        </w:r>
        <w:r>
          <w:fldChar w:fldCharType="end"/>
        </w:r>
      </w:hyperlink>
    </w:p>
    <w:p>
      <w:pPr>
        <w:pStyle w:val="toc1"/>
      </w:pPr>
      <w:hyperlink w:anchor="tit5" w:history="1">
        <w:r>
          <w:t xml:space="preserve">Lista de abreviaturas y siglas</w:t>
        </w:r>
        <w:r>
          <w:tab/>
        </w:r>
        <w:r>
          <w:fldChar w:fldCharType="begin"/>
        </w:r>
        <w:r>
          <w:instrText xml:space="preserve"> PAGEREF tit5 \h \* roman </w:instrText>
        </w:r>
        <w:r>
          <w:fldChar w:fldCharType="separate"/>
        </w:r>
        <w:r>
          <w:t>xiii</w:t>
        </w:r>
        <w:r>
          <w:fldChar w:fldCharType="end"/>
        </w:r>
      </w:hyperlink>
    </w:p>
    <w:p>
      <w:pPr>
        <w:pStyle w:val="toc1"/>
      </w:pPr>
      <w:hyperlink w:anchor="tit6" w:history="1">
        <w:r>
          <w:t xml:space="preserve">INTRODUCCIÓN</w:t>
        </w:r>
        <w:r>
          <w:tab/>
        </w:r>
        <w:r>
          <w:fldChar w:fldCharType="begin"/>
        </w:r>
        <w:r>
          <w:instrText xml:space="preserve"> PAGEREF tit6 \h </w:instrText>
        </w:r>
        <w:r>
          <w:fldChar w:fldCharType="separate"/>
        </w:r>
        <w:r>
          <w:t>1</w:t>
        </w:r>
        <w:r>
          <w:fldChar w:fldCharType="end"/>
        </w:r>
      </w:hyperlink>
    </w:p>
    <w:p>
      <w:pPr>
        <w:pStyle w:val="toc2"/>
      </w:pPr>
      <w:hyperlink w:anchor="tit7" w:history="1">
        <w:r>
          <w:t xml:space="preserve">1 Antecedentes</w:t>
        </w:r>
        <w:r>
          <w:tab/>
        </w:r>
        <w:r>
          <w:fldChar w:fldCharType="begin"/>
        </w:r>
        <w:r>
          <w:instrText xml:space="preserve"> PAGEREF tit7 \h </w:instrText>
        </w:r>
        <w:r>
          <w:fldChar w:fldCharType="separate"/>
        </w:r>
        <w:r>
          <w:t>1</w:t>
        </w:r>
        <w:r>
          <w:fldChar w:fldCharType="end"/>
        </w:r>
      </w:hyperlink>
    </w:p>
    <w:p>
      <w:pPr>
        <w:pStyle w:val="toc3"/>
      </w:pPr>
      <w:hyperlink w:anchor="tit8" w:history="1">
        <w:r>
          <w:t xml:space="preserve">1.1 Antecedentes generales</w:t>
        </w:r>
        <w:r>
          <w:tab/>
        </w:r>
        <w:r>
          <w:fldChar w:fldCharType="begin"/>
        </w:r>
        <w:r>
          <w:instrText xml:space="preserve"> PAGEREF tit8 \h </w:instrText>
        </w:r>
        <w:r>
          <w:fldChar w:fldCharType="separate"/>
        </w:r>
        <w:r>
          <w:t>1</w:t>
        </w:r>
        <w:r>
          <w:fldChar w:fldCharType="end"/>
        </w:r>
      </w:hyperlink>
    </w:p>
    <w:p>
      <w:pPr>
        <w:pStyle w:val="toc3"/>
      </w:pPr>
      <w:hyperlink w:anchor="tit9" w:history="1">
        <w:r>
          <w:t xml:space="preserve">1.2 Antecedentes de investigación</w:t>
        </w:r>
        <w:r>
          <w:tab/>
        </w:r>
        <w:r>
          <w:fldChar w:fldCharType="begin"/>
        </w:r>
        <w:r>
          <w:instrText xml:space="preserve"> PAGEREF tit9 \h </w:instrText>
        </w:r>
        <w:r>
          <w:fldChar w:fldCharType="separate"/>
        </w:r>
        <w:r>
          <w:t>2</w:t>
        </w:r>
        <w:r>
          <w:fldChar w:fldCharType="end"/>
        </w:r>
      </w:hyperlink>
    </w:p>
    <w:p>
      <w:pPr>
        <w:pStyle w:val="toc3"/>
      </w:pPr>
      <w:hyperlink w:anchor="tit10" w:history="1">
        <w:r>
          <w:t xml:space="preserve">1.3 Antecedentes del caso de estudio</w:t>
        </w:r>
        <w:r>
          <w:tab/>
        </w:r>
        <w:r>
          <w:fldChar w:fldCharType="begin"/>
        </w:r>
        <w:r>
          <w:instrText xml:space="preserve"> PAGEREF tit10 \h </w:instrText>
        </w:r>
        <w:r>
          <w:fldChar w:fldCharType="separate"/>
        </w:r>
        <w:r>
          <w:t>7</w:t>
        </w:r>
        <w:r>
          <w:fldChar w:fldCharType="end"/>
        </w:r>
      </w:hyperlink>
    </w:p>
    <w:p>
      <w:pPr>
        <w:pStyle w:val="toc2"/>
      </w:pPr>
      <w:hyperlink w:anchor="tit11" w:history="1">
        <w:r>
          <w:t xml:space="preserve">2 Situación problemática</w:t>
        </w:r>
        <w:r>
          <w:tab/>
        </w:r>
        <w:r>
          <w:fldChar w:fldCharType="begin"/>
        </w:r>
        <w:r>
          <w:instrText xml:space="preserve"> PAGEREF tit11 \h </w:instrText>
        </w:r>
        <w:r>
          <w:fldChar w:fldCharType="separate"/>
        </w:r>
        <w:r>
          <w:t>8</w:t>
        </w:r>
        <w:r>
          <w:fldChar w:fldCharType="end"/>
        </w:r>
      </w:hyperlink>
    </w:p>
    <w:p>
      <w:pPr>
        <w:pStyle w:val="toc2"/>
      </w:pPr>
      <w:hyperlink w:anchor="tit12" w:history="1">
        <w:r>
          <w:t xml:space="preserve">3 Formulación del problema</w:t>
        </w:r>
        <w:r>
          <w:tab/>
        </w:r>
        <w:r>
          <w:fldChar w:fldCharType="begin"/>
        </w:r>
        <w:r>
          <w:instrText xml:space="preserve"> PAGEREF tit12 \h </w:instrText>
        </w:r>
        <w:r>
          <w:fldChar w:fldCharType="separate"/>
        </w:r>
        <w:r>
          <w:t>14</w:t>
        </w:r>
        <w:r>
          <w:fldChar w:fldCharType="end"/>
        </w:r>
      </w:hyperlink>
    </w:p>
    <w:p>
      <w:pPr>
        <w:pStyle w:val="toc3"/>
      </w:pPr>
      <w:hyperlink w:anchor="tit13" w:history="1">
        <w:r>
          <w:t xml:space="preserve">3.1 Problema general</w:t>
        </w:r>
        <w:r>
          <w:tab/>
        </w:r>
        <w:r>
          <w:fldChar w:fldCharType="begin"/>
        </w:r>
        <w:r>
          <w:instrText xml:space="preserve"> PAGEREF tit13 \h </w:instrText>
        </w:r>
        <w:r>
          <w:fldChar w:fldCharType="separate"/>
        </w:r>
        <w:r>
          <w:t>14</w:t>
        </w:r>
        <w:r>
          <w:fldChar w:fldCharType="end"/>
        </w:r>
      </w:hyperlink>
    </w:p>
    <w:p>
      <w:pPr>
        <w:pStyle w:val="toc3"/>
      </w:pPr>
      <w:hyperlink w:anchor="tit14" w:history="1">
        <w:r>
          <w:t xml:space="preserve">3.2 Problemas específicos</w:t>
        </w:r>
        <w:r>
          <w:tab/>
        </w:r>
        <w:r>
          <w:fldChar w:fldCharType="begin"/>
        </w:r>
        <w:r>
          <w:instrText xml:space="preserve"> PAGEREF tit14 \h </w:instrText>
        </w:r>
        <w:r>
          <w:fldChar w:fldCharType="separate"/>
        </w:r>
        <w:r>
          <w:t>14</w:t>
        </w:r>
        <w:r>
          <w:fldChar w:fldCharType="end"/>
        </w:r>
      </w:hyperlink>
    </w:p>
    <w:p>
      <w:pPr>
        <w:pStyle w:val="toc2"/>
      </w:pPr>
      <w:hyperlink w:anchor="tit15" w:history="1">
        <w:r>
          <w:t xml:space="preserve">4 Objeto de estudio y campo de acción</w:t>
        </w:r>
        <w:r>
          <w:tab/>
        </w:r>
        <w:r>
          <w:fldChar w:fldCharType="begin"/>
        </w:r>
        <w:r>
          <w:instrText xml:space="preserve"> PAGEREF tit15 \h </w:instrText>
        </w:r>
        <w:r>
          <w:fldChar w:fldCharType="separate"/>
        </w:r>
        <w:r>
          <w:t>14</w:t>
        </w:r>
        <w:r>
          <w:fldChar w:fldCharType="end"/>
        </w:r>
      </w:hyperlink>
    </w:p>
    <w:p>
      <w:pPr>
        <w:pStyle w:val="toc2"/>
      </w:pPr>
      <w:hyperlink w:anchor="tit16" w:history="1">
        <w:r>
          <w:t xml:space="preserve">5 Objetivos</w:t>
        </w:r>
        <w:r>
          <w:tab/>
        </w:r>
        <w:r>
          <w:fldChar w:fldCharType="begin"/>
        </w:r>
        <w:r>
          <w:instrText xml:space="preserve"> PAGEREF tit16 \h </w:instrText>
        </w:r>
        <w:r>
          <w:fldChar w:fldCharType="separate"/>
        </w:r>
        <w:r>
          <w:t>15</w:t>
        </w:r>
        <w:r>
          <w:fldChar w:fldCharType="end"/>
        </w:r>
      </w:hyperlink>
    </w:p>
    <w:p>
      <w:pPr>
        <w:pStyle w:val="toc3"/>
      </w:pPr>
      <w:hyperlink w:anchor="tit17" w:history="1">
        <w:r>
          <w:t xml:space="preserve">5.1 Objetivo general</w:t>
        </w:r>
        <w:r>
          <w:tab/>
        </w:r>
        <w:r>
          <w:fldChar w:fldCharType="begin"/>
        </w:r>
        <w:r>
          <w:instrText xml:space="preserve"> PAGEREF tit17 \h </w:instrText>
        </w:r>
        <w:r>
          <w:fldChar w:fldCharType="separate"/>
        </w:r>
        <w:r>
          <w:t>15</w:t>
        </w:r>
        <w:r>
          <w:fldChar w:fldCharType="end"/>
        </w:r>
      </w:hyperlink>
    </w:p>
    <w:p>
      <w:pPr>
        <w:pStyle w:val="toc3"/>
      </w:pPr>
      <w:hyperlink w:anchor="tit18" w:history="1">
        <w:r>
          <w:t xml:space="preserve">5.2 Objetivos específicos</w:t>
        </w:r>
        <w:r>
          <w:tab/>
        </w:r>
        <w:r>
          <w:fldChar w:fldCharType="begin"/>
        </w:r>
        <w:r>
          <w:instrText xml:space="preserve"> PAGEREF tit18 \h </w:instrText>
        </w:r>
        <w:r>
          <w:fldChar w:fldCharType="separate"/>
        </w:r>
        <w:r>
          <w:t>15</w:t>
        </w:r>
        <w:r>
          <w:fldChar w:fldCharType="end"/>
        </w:r>
      </w:hyperlink>
    </w:p>
    <w:p>
      <w:pPr>
        <w:pStyle w:val="toc2"/>
      </w:pPr>
      <w:hyperlink w:anchor="tit19" w:history="1">
        <w:r>
          <w:t xml:space="preserve">6 Hipótesis</w:t>
        </w:r>
        <w:r>
          <w:tab/>
        </w:r>
        <w:r>
          <w:fldChar w:fldCharType="begin"/>
        </w:r>
        <w:r>
          <w:instrText xml:space="preserve"> PAGEREF tit19 \h </w:instrText>
        </w:r>
        <w:r>
          <w:fldChar w:fldCharType="separate"/>
        </w:r>
        <w:r>
          <w:t>16</w:t>
        </w:r>
        <w:r>
          <w:fldChar w:fldCharType="end"/>
        </w:r>
      </w:hyperlink>
    </w:p>
    <w:p>
      <w:pPr>
        <w:pStyle w:val="toc3"/>
      </w:pPr>
      <w:hyperlink w:anchor="tit20" w:history="1">
        <w:r>
          <w:t xml:space="preserve">6.1 Hipótesis general</w:t>
        </w:r>
        <w:r>
          <w:tab/>
        </w:r>
        <w:r>
          <w:fldChar w:fldCharType="begin"/>
        </w:r>
        <w:r>
          <w:instrText xml:space="preserve"> PAGEREF tit20 \h </w:instrText>
        </w:r>
        <w:r>
          <w:fldChar w:fldCharType="separate"/>
        </w:r>
        <w:r>
          <w:t>16</w:t>
        </w:r>
        <w:r>
          <w:fldChar w:fldCharType="end"/>
        </w:r>
      </w:hyperlink>
    </w:p>
    <w:p>
      <w:pPr>
        <w:pStyle w:val="toc3"/>
      </w:pPr>
      <w:hyperlink w:anchor="tit21" w:history="1">
        <w:r>
          <w:t xml:space="preserve">6.2 Hipótesis específicas</w:t>
        </w:r>
        <w:r>
          <w:tab/>
        </w:r>
        <w:r>
          <w:fldChar w:fldCharType="begin"/>
        </w:r>
        <w:r>
          <w:instrText xml:space="preserve"> PAGEREF tit21 \h </w:instrText>
        </w:r>
        <w:r>
          <w:fldChar w:fldCharType="separate"/>
        </w:r>
        <w:r>
          <w:t>16</w:t>
        </w:r>
        <w:r>
          <w:fldChar w:fldCharType="end"/>
        </w:r>
      </w:hyperlink>
    </w:p>
    <w:p>
      <w:pPr>
        <w:pStyle w:val="toc2"/>
      </w:pPr>
      <w:hyperlink w:anchor="tit22" w:history="1">
        <w:r>
          <w:t xml:space="preserve">7 Variables</w:t>
        </w:r>
        <w:r>
          <w:tab/>
        </w:r>
        <w:r>
          <w:fldChar w:fldCharType="begin"/>
        </w:r>
        <w:r>
          <w:instrText xml:space="preserve"> PAGEREF tit22 \h </w:instrText>
        </w:r>
        <w:r>
          <w:fldChar w:fldCharType="separate"/>
        </w:r>
        <w:r>
          <w:t>16</w:t>
        </w:r>
        <w:r>
          <w:fldChar w:fldCharType="end"/>
        </w:r>
      </w:hyperlink>
    </w:p>
    <w:p>
      <w:pPr>
        <w:pStyle w:val="toc3"/>
      </w:pPr>
      <w:hyperlink w:anchor="tit23" w:history="1">
        <w:r>
          <w:t xml:space="preserve">7.1 Identificación de variables</w:t>
        </w:r>
        <w:r>
          <w:tab/>
        </w:r>
        <w:r>
          <w:fldChar w:fldCharType="begin"/>
        </w:r>
        <w:r>
          <w:instrText xml:space="preserve"> PAGEREF tit23 \h </w:instrText>
        </w:r>
        <w:r>
          <w:fldChar w:fldCharType="separate"/>
        </w:r>
        <w:r>
          <w:t>16</w:t>
        </w:r>
        <w:r>
          <w:fldChar w:fldCharType="end"/>
        </w:r>
      </w:hyperlink>
    </w:p>
    <w:p>
      <w:pPr>
        <w:pStyle w:val="toc3"/>
      </w:pPr>
      <w:hyperlink w:anchor="tit24" w:history="1">
        <w:r>
          <w:t xml:space="preserve">7.2 Operacionalización de variables</w:t>
        </w:r>
        <w:r>
          <w:tab/>
        </w:r>
        <w:r>
          <w:fldChar w:fldCharType="begin"/>
        </w:r>
        <w:r>
          <w:instrText xml:space="preserve"> PAGEREF tit24 \h </w:instrText>
        </w:r>
        <w:r>
          <w:fldChar w:fldCharType="separate"/>
        </w:r>
        <w:r>
          <w:t>17</w:t>
        </w:r>
        <w:r>
          <w:fldChar w:fldCharType="end"/>
        </w:r>
      </w:hyperlink>
    </w:p>
    <w:p>
      <w:pPr>
        <w:pStyle w:val="toc2"/>
      </w:pPr>
      <w:hyperlink w:anchor="tit25" w:history="1">
        <w:r>
          <w:t xml:space="preserve">8 Justificación</w:t>
        </w:r>
        <w:r>
          <w:tab/>
        </w:r>
        <w:r>
          <w:fldChar w:fldCharType="begin"/>
        </w:r>
        <w:r>
          <w:instrText xml:space="preserve"> PAGEREF tit25 \h </w:instrText>
        </w:r>
        <w:r>
          <w:fldChar w:fldCharType="separate"/>
        </w:r>
        <w:r>
          <w:t>17</w:t>
        </w:r>
        <w:r>
          <w:fldChar w:fldCharType="end"/>
        </w:r>
      </w:hyperlink>
    </w:p>
    <w:p>
      <w:pPr>
        <w:pStyle w:val="toc3"/>
      </w:pPr>
      <w:hyperlink w:anchor="tit26" w:history="1">
        <w:r>
          <w:t xml:space="preserve">8.1 Justificación técnica</w:t>
        </w:r>
        <w:r>
          <w:tab/>
        </w:r>
        <w:r>
          <w:fldChar w:fldCharType="begin"/>
        </w:r>
        <w:r>
          <w:instrText xml:space="preserve"> PAGEREF tit26 \h </w:instrText>
        </w:r>
        <w:r>
          <w:fldChar w:fldCharType="separate"/>
        </w:r>
        <w:r>
          <w:t>17</w:t>
        </w:r>
        <w:r>
          <w:fldChar w:fldCharType="end"/>
        </w:r>
      </w:hyperlink>
    </w:p>
    <w:p>
      <w:pPr>
        <w:pStyle w:val="toc3"/>
      </w:pPr>
      <w:hyperlink w:anchor="tit27" w:history="1">
        <w:r>
          <w:t xml:space="preserve">8.2 Justificación económica</w:t>
        </w:r>
        <w:r>
          <w:tab/>
        </w:r>
        <w:r>
          <w:fldChar w:fldCharType="begin"/>
        </w:r>
        <w:r>
          <w:instrText xml:space="preserve"> PAGEREF tit27 \h </w:instrText>
        </w:r>
        <w:r>
          <w:fldChar w:fldCharType="separate"/>
        </w:r>
        <w:r>
          <w:t>18</w:t>
        </w:r>
        <w:r>
          <w:fldChar w:fldCharType="end"/>
        </w:r>
      </w:hyperlink>
    </w:p>
    <w:p>
      <w:pPr>
        <w:pStyle w:val="toc3"/>
      </w:pPr>
      <w:hyperlink w:anchor="tit28" w:history="1">
        <w:r>
          <w:t xml:space="preserve">8.3 Justificación social e institucional</w:t>
        </w:r>
        <w:r>
          <w:tab/>
        </w:r>
        <w:r>
          <w:fldChar w:fldCharType="begin"/>
        </w:r>
        <w:r>
          <w:instrText xml:space="preserve"> PAGEREF tit28 \h </w:instrText>
        </w:r>
        <w:r>
          <w:fldChar w:fldCharType="separate"/>
        </w:r>
        <w:r>
          <w:t>18</w:t>
        </w:r>
        <w:r>
          <w:fldChar w:fldCharType="end"/>
        </w:r>
      </w:hyperlink>
    </w:p>
    <w:p>
      <w:pPr>
        <w:pStyle w:val="toc3"/>
      </w:pPr>
      <w:hyperlink w:anchor="tit29" w:history="1">
        <w:r>
          <w:t xml:space="preserve">8.4 Justificación metodológica</w:t>
        </w:r>
        <w:r>
          <w:tab/>
        </w:r>
        <w:r>
          <w:fldChar w:fldCharType="begin"/>
        </w:r>
        <w:r>
          <w:instrText xml:space="preserve"> PAGEREF tit29 \h </w:instrText>
        </w:r>
        <w:r>
          <w:fldChar w:fldCharType="separate"/>
        </w:r>
        <w:r>
          <w:t>18</w:t>
        </w:r>
        <w:r>
          <w:fldChar w:fldCharType="end"/>
        </w:r>
      </w:hyperlink>
    </w:p>
    <w:p>
      <w:pPr>
        <w:pStyle w:val="toc2"/>
      </w:pPr>
      <w:hyperlink w:anchor="tit30" w:history="1">
        <w:r>
          <w:t xml:space="preserve">9 Alcances y delimitación</w:t>
        </w:r>
        <w:r>
          <w:tab/>
        </w:r>
        <w:r>
          <w:fldChar w:fldCharType="begin"/>
        </w:r>
        <w:r>
          <w:instrText xml:space="preserve"> PAGEREF tit30 \h </w:instrText>
        </w:r>
        <w:r>
          <w:fldChar w:fldCharType="separate"/>
        </w:r>
        <w:r>
          <w:t>19</w:t>
        </w:r>
        <w:r>
          <w:fldChar w:fldCharType="end"/>
        </w:r>
      </w:hyperlink>
    </w:p>
    <w:p>
      <w:pPr>
        <w:pStyle w:val="toc3"/>
      </w:pPr>
      <w:hyperlink w:anchor="tit31" w:history="1">
        <w:r>
          <w:t xml:space="preserve">9.1 Alcance</w:t>
        </w:r>
        <w:r>
          <w:tab/>
        </w:r>
        <w:r>
          <w:fldChar w:fldCharType="begin"/>
        </w:r>
        <w:r>
          <w:instrText xml:space="preserve"> PAGEREF tit31 \h </w:instrText>
        </w:r>
        <w:r>
          <w:fldChar w:fldCharType="separate"/>
        </w:r>
        <w:r>
          <w:t>19</w:t>
        </w:r>
        <w:r>
          <w:fldChar w:fldCharType="end"/>
        </w:r>
      </w:hyperlink>
    </w:p>
    <w:p>
      <w:pPr>
        <w:pStyle w:val="toc3"/>
      </w:pPr>
      <w:hyperlink w:anchor="tit32" w:history="1">
        <w:r>
          <w:t xml:space="preserve">9.2 Delimitación espacial</w:t>
        </w:r>
        <w:r>
          <w:tab/>
        </w:r>
        <w:r>
          <w:fldChar w:fldCharType="begin"/>
        </w:r>
        <w:r>
          <w:instrText xml:space="preserve"> PAGEREF tit32 \h </w:instrText>
        </w:r>
        <w:r>
          <w:fldChar w:fldCharType="separate"/>
        </w:r>
        <w:r>
          <w:t>19</w:t>
        </w:r>
        <w:r>
          <w:fldChar w:fldCharType="end"/>
        </w:r>
      </w:hyperlink>
    </w:p>
    <w:p>
      <w:pPr>
        <w:pStyle w:val="toc3"/>
      </w:pPr>
      <w:hyperlink w:anchor="tit33" w:history="1">
        <w:r>
          <w:t xml:space="preserve">9.3 Delimitación temporal</w:t>
        </w:r>
        <w:r>
          <w:tab/>
        </w:r>
        <w:r>
          <w:fldChar w:fldCharType="begin"/>
        </w:r>
        <w:r>
          <w:instrText xml:space="preserve"> PAGEREF tit33 \h </w:instrText>
        </w:r>
        <w:r>
          <w:fldChar w:fldCharType="separate"/>
        </w:r>
        <w:r>
          <w:t>19</w:t>
        </w:r>
        <w:r>
          <w:fldChar w:fldCharType="end"/>
        </w:r>
      </w:hyperlink>
    </w:p>
    <w:p>
      <w:pPr>
        <w:pStyle w:val="toc3"/>
      </w:pPr>
      <w:hyperlink w:anchor="tit34" w:history="1">
        <w:r>
          <w:t xml:space="preserve">9.4 Delimitación temática</w:t>
        </w:r>
        <w:r>
          <w:tab/>
        </w:r>
        <w:r>
          <w:fldChar w:fldCharType="begin"/>
        </w:r>
        <w:r>
          <w:instrText xml:space="preserve"> PAGEREF tit34 \h </w:instrText>
        </w:r>
        <w:r>
          <w:fldChar w:fldCharType="separate"/>
        </w:r>
        <w:r>
          <w:t>20</w:t>
        </w:r>
        <w:r>
          <w:fldChar w:fldCharType="end"/>
        </w:r>
      </w:hyperlink>
    </w:p>
    <w:p>
      <w:pPr>
        <w:pStyle w:val="toc2"/>
      </w:pPr>
      <w:hyperlink w:anchor="tit35" w:history="1">
        <w:r>
          <w:t xml:space="preserve">10 Metodología de la investigación</w:t>
        </w:r>
        <w:r>
          <w:tab/>
        </w:r>
        <w:r>
          <w:fldChar w:fldCharType="begin"/>
        </w:r>
        <w:r>
          <w:instrText xml:space="preserve"> PAGEREF tit35 \h </w:instrText>
        </w:r>
        <w:r>
          <w:fldChar w:fldCharType="separate"/>
        </w:r>
        <w:r>
          <w:t>20</w:t>
        </w:r>
        <w:r>
          <w:fldChar w:fldCharType="end"/>
        </w:r>
      </w:hyperlink>
    </w:p>
    <w:p>
      <w:pPr>
        <w:pStyle w:val="toc3"/>
      </w:pPr>
      <w:hyperlink w:anchor="tit36" w:history="1">
        <w:r>
          <w:t xml:space="preserve">10.1 Tipo, enfoque y nivel de investigación</w:t>
        </w:r>
        <w:r>
          <w:tab/>
        </w:r>
        <w:r>
          <w:fldChar w:fldCharType="begin"/>
        </w:r>
        <w:r>
          <w:instrText xml:space="preserve"> PAGEREF tit36 \h </w:instrText>
        </w:r>
        <w:r>
          <w:fldChar w:fldCharType="separate"/>
        </w:r>
        <w:r>
          <w:t>20</w:t>
        </w:r>
        <w:r>
          <w:fldChar w:fldCharType="end"/>
        </w:r>
      </w:hyperlink>
    </w:p>
    <w:p>
      <w:pPr>
        <w:pStyle w:val="toc3"/>
      </w:pPr>
      <w:hyperlink w:anchor="tit37" w:history="1">
        <w:r>
          <w:t xml:space="preserve">10.2 Diseño de investigación</w:t>
        </w:r>
        <w:r>
          <w:tab/>
        </w:r>
        <w:r>
          <w:fldChar w:fldCharType="begin"/>
        </w:r>
        <w:r>
          <w:instrText xml:space="preserve"> PAGEREF tit37 \h </w:instrText>
        </w:r>
        <w:r>
          <w:fldChar w:fldCharType="separate"/>
        </w:r>
        <w:r>
          <w:t>20</w:t>
        </w:r>
        <w:r>
          <w:fldChar w:fldCharType="end"/>
        </w:r>
      </w:hyperlink>
    </w:p>
    <w:p>
      <w:pPr>
        <w:pStyle w:val="toc3"/>
      </w:pPr>
      <w:hyperlink w:anchor="tit38" w:history="1">
        <w:r>
          <w:t xml:space="preserve">10.3 Población, unidad de análisis y muestra</w:t>
        </w:r>
        <w:r>
          <w:tab/>
        </w:r>
        <w:r>
          <w:fldChar w:fldCharType="begin"/>
        </w:r>
        <w:r>
          <w:instrText xml:space="preserve"> PAGEREF tit38 \h </w:instrText>
        </w:r>
        <w:r>
          <w:fldChar w:fldCharType="separate"/>
        </w:r>
        <w:r>
          <w:t>22</w:t>
        </w:r>
        <w:r>
          <w:fldChar w:fldCharType="end"/>
        </w:r>
      </w:hyperlink>
    </w:p>
    <w:p>
      <w:pPr>
        <w:pStyle w:val="toc3"/>
      </w:pPr>
      <w:hyperlink w:anchor="tit39" w:history="1">
        <w:r>
          <w:t xml:space="preserve">10.4 Métodos</w:t>
        </w:r>
        <w:r>
          <w:tab/>
        </w:r>
        <w:r>
          <w:fldChar w:fldCharType="begin"/>
        </w:r>
        <w:r>
          <w:instrText xml:space="preserve"> PAGEREF tit39 \h </w:instrText>
        </w:r>
        <w:r>
          <w:fldChar w:fldCharType="separate"/>
        </w:r>
        <w:r>
          <w:t>22</w:t>
        </w:r>
        <w:r>
          <w:fldChar w:fldCharType="end"/>
        </w:r>
      </w:hyperlink>
    </w:p>
    <w:p>
      <w:pPr>
        <w:pStyle w:val="toc3"/>
      </w:pPr>
      <w:hyperlink w:anchor="tit40" w:history="1">
        <w:r>
          <w:t xml:space="preserve">10.5 Técnicas e instrumentos de recolección de datos</w:t>
        </w:r>
        <w:r>
          <w:tab/>
        </w:r>
        <w:r>
          <w:fldChar w:fldCharType="begin"/>
        </w:r>
        <w:r>
          <w:instrText xml:space="preserve"> PAGEREF tit40 \h </w:instrText>
        </w:r>
        <w:r>
          <w:fldChar w:fldCharType="separate"/>
        </w:r>
        <w:r>
          <w:t>22</w:t>
        </w:r>
        <w:r>
          <w:fldChar w:fldCharType="end"/>
        </w:r>
      </w:hyperlink>
    </w:p>
    <w:p>
      <w:pPr>
        <w:pStyle w:val="toc3"/>
      </w:pPr>
      <w:hyperlink w:anchor="tit41" w:history="1">
        <w:r>
          <w:t xml:space="preserve">10.6 Procesamiento y análisis de datos</w:t>
        </w:r>
        <w:r>
          <w:tab/>
        </w:r>
        <w:r>
          <w:fldChar w:fldCharType="begin"/>
        </w:r>
        <w:r>
          <w:instrText xml:space="preserve"> PAGEREF tit41 \h </w:instrText>
        </w:r>
        <w:r>
          <w:fldChar w:fldCharType="separate"/>
        </w:r>
        <w:r>
          <w:t>23</w:t>
        </w:r>
        <w:r>
          <w:fldChar w:fldCharType="end"/>
        </w:r>
      </w:hyperlink>
    </w:p>
    <w:p>
      <w:pPr>
        <w:pStyle w:val="toc2"/>
      </w:pPr>
      <w:hyperlink w:anchor="tit42" w:history="1">
        <w:r>
          <w:t xml:space="preserve">11 Estructura del documento</w:t>
        </w:r>
        <w:r>
          <w:tab/>
        </w:r>
        <w:r>
          <w:fldChar w:fldCharType="begin"/>
        </w:r>
        <w:r>
          <w:instrText xml:space="preserve"> PAGEREF tit42 \h </w:instrText>
        </w:r>
        <w:r>
          <w:fldChar w:fldCharType="separate"/>
        </w:r>
        <w:r>
          <w:t>24</w:t>
        </w:r>
        <w:r>
          <w:fldChar w:fldCharType="end"/>
        </w:r>
      </w:hyperlink>
    </w:p>
    <w:p>
      <w:pPr>
        <w:pStyle w:val="toc1"/>
      </w:pPr>
      <w:hyperlink w:anchor="tit43" w:history="1">
        <w:r>
          <w:t xml:space="preserve">Capítulo 1. MARCO TEÓRICO DE LA GESTIÓN DE LA CALIDAD Y DEL CONTROL DE MATERIALES EN LOSAS ALIVIANADAS CON VIGUETAS PRETENSADAS</w:t>
        </w:r>
        <w:r>
          <w:tab/>
        </w:r>
        <w:r>
          <w:fldChar w:fldCharType="begin"/>
        </w:r>
        <w:r>
          <w:instrText xml:space="preserve"> PAGEREF tit43 \h </w:instrText>
        </w:r>
        <w:r>
          <w:fldChar w:fldCharType="separate"/>
        </w:r>
        <w:r>
          <w:t>26</w:t>
        </w:r>
        <w:r>
          <w:fldChar w:fldCharType="end"/>
        </w:r>
      </w:hyperlink>
    </w:p>
    <w:p>
      <w:pPr>
        <w:pStyle w:val="toc2"/>
      </w:pPr>
      <w:hyperlink w:anchor="tit44" w:history="1">
        <w:r>
          <w:t xml:space="preserve">1.1 Estado del arte</w:t>
        </w:r>
        <w:r>
          <w:tab/>
        </w:r>
        <w:r>
          <w:fldChar w:fldCharType="begin"/>
        </w:r>
        <w:r>
          <w:instrText xml:space="preserve"> PAGEREF tit44 \h </w:instrText>
        </w:r>
        <w:r>
          <w:fldChar w:fldCharType="separate"/>
        </w:r>
        <w:r>
          <w:t>26</w:t>
        </w:r>
        <w:r>
          <w:fldChar w:fldCharType="end"/>
        </w:r>
      </w:hyperlink>
    </w:p>
    <w:p>
      <w:pPr>
        <w:pStyle w:val="toc3"/>
      </w:pPr>
      <w:hyperlink w:anchor="tit45" w:history="1">
        <w:r>
          <w:t xml:space="preserve">1.1.1 Calidad, retrabajo y costos de la calidad en la construcción</w:t>
        </w:r>
        <w:r>
          <w:tab/>
        </w:r>
        <w:r>
          <w:fldChar w:fldCharType="begin"/>
        </w:r>
        <w:r>
          <w:instrText xml:space="preserve"> PAGEREF tit45 \h </w:instrText>
        </w:r>
        <w:r>
          <w:fldChar w:fldCharType="separate"/>
        </w:r>
        <w:r>
          <w:t>29</w:t>
        </w:r>
        <w:r>
          <w:fldChar w:fldCharType="end"/>
        </w:r>
      </w:hyperlink>
    </w:p>
    <w:p>
      <w:pPr>
        <w:pStyle w:val="toc3"/>
      </w:pPr>
      <w:hyperlink w:anchor="tit46" w:history="1">
        <w:r>
          <w:t xml:space="preserve">1.1.2 Desperdicio de materiales y su medición</w:t>
        </w:r>
        <w:r>
          <w:tab/>
        </w:r>
        <w:r>
          <w:fldChar w:fldCharType="begin"/>
        </w:r>
        <w:r>
          <w:instrText xml:space="preserve"> PAGEREF tit46 \h </w:instrText>
        </w:r>
        <w:r>
          <w:fldChar w:fldCharType="separate"/>
        </w:r>
        <w:r>
          <w:t>30</w:t>
        </w:r>
        <w:r>
          <w:fldChar w:fldCharType="end"/>
        </w:r>
      </w:hyperlink>
    </w:p>
    <w:p>
      <w:pPr>
        <w:pStyle w:val="toc3"/>
      </w:pPr>
      <w:hyperlink w:anchor="tit47" w:history="1">
        <w:r>
          <w:t xml:space="preserve">1.1.3 Sistemas y planes de gestión de la calidad en obras y en fabricantes de viguetas</w:t>
        </w:r>
        <w:r>
          <w:tab/>
        </w:r>
        <w:r>
          <w:fldChar w:fldCharType="begin"/>
        </w:r>
        <w:r>
          <w:instrText xml:space="preserve"> PAGEREF tit47 \h </w:instrText>
        </w:r>
        <w:r>
          <w:fldChar w:fldCharType="separate"/>
        </w:r>
        <w:r>
          <w:t>30</w:t>
        </w:r>
        <w:r>
          <w:fldChar w:fldCharType="end"/>
        </w:r>
      </w:hyperlink>
    </w:p>
    <w:p>
      <w:pPr>
        <w:pStyle w:val="toc3"/>
      </w:pPr>
      <w:hyperlink w:anchor="tit48" w:history="1">
        <w:r>
          <w:t xml:space="preserve">1.1.4 Losas alivianadas con viguetas pretensadas</w:t>
        </w:r>
        <w:r>
          <w:tab/>
        </w:r>
        <w:r>
          <w:fldChar w:fldCharType="begin"/>
        </w:r>
        <w:r>
          <w:instrText xml:space="preserve"> PAGEREF tit48 \h </w:instrText>
        </w:r>
        <w:r>
          <w:fldChar w:fldCharType="separate"/>
        </w:r>
        <w:r>
          <w:t>31</w:t>
        </w:r>
        <w:r>
          <w:fldChar w:fldCharType="end"/>
        </w:r>
      </w:hyperlink>
    </w:p>
    <w:p>
      <w:pPr>
        <w:pStyle w:val="toc3"/>
      </w:pPr>
      <w:hyperlink w:anchor="tit49" w:history="1">
        <w:r>
          <w:t xml:space="preserve">1.1.5 Vacío de conocimiento</w:t>
        </w:r>
        <w:r>
          <w:tab/>
        </w:r>
        <w:r>
          <w:fldChar w:fldCharType="begin"/>
        </w:r>
        <w:r>
          <w:instrText xml:space="preserve"> PAGEREF tit49 \h </w:instrText>
        </w:r>
        <w:r>
          <w:fldChar w:fldCharType="separate"/>
        </w:r>
        <w:r>
          <w:t>32</w:t>
        </w:r>
        <w:r>
          <w:fldChar w:fldCharType="end"/>
        </w:r>
      </w:hyperlink>
    </w:p>
    <w:p>
      <w:pPr>
        <w:pStyle w:val="toc2"/>
      </w:pPr>
      <w:hyperlink w:anchor="tit50" w:history="1">
        <w:r>
          <w:t xml:space="preserve">1.2 La calidad en la construcción</w:t>
        </w:r>
        <w:r>
          <w:tab/>
        </w:r>
        <w:r>
          <w:fldChar w:fldCharType="begin"/>
        </w:r>
        <w:r>
          <w:instrText xml:space="preserve"> PAGEREF tit50 \h </w:instrText>
        </w:r>
        <w:r>
          <w:fldChar w:fldCharType="separate"/>
        </w:r>
        <w:r>
          <w:t>33</w:t>
        </w:r>
        <w:r>
          <w:fldChar w:fldCharType="end"/>
        </w:r>
      </w:hyperlink>
    </w:p>
    <w:p>
      <w:pPr>
        <w:pStyle w:val="toc3"/>
      </w:pPr>
      <w:hyperlink w:anchor="tit51" w:history="1">
        <w:r>
          <w:t xml:space="preserve">1.2.1 Conceptos de calidad, control, aseguramiento y gestión de la calidad</w:t>
        </w:r>
        <w:r>
          <w:tab/>
        </w:r>
        <w:r>
          <w:fldChar w:fldCharType="begin"/>
        </w:r>
        <w:r>
          <w:instrText xml:space="preserve"> PAGEREF tit51 \h </w:instrText>
        </w:r>
        <w:r>
          <w:fldChar w:fldCharType="separate"/>
        </w:r>
        <w:r>
          <w:t>33</w:t>
        </w:r>
        <w:r>
          <w:fldChar w:fldCharType="end"/>
        </w:r>
      </w:hyperlink>
    </w:p>
    <w:p>
      <w:pPr>
        <w:pStyle w:val="toc3"/>
      </w:pPr>
      <w:hyperlink w:anchor="tit52" w:history="1">
        <w:r>
          <w:t xml:space="preserve">1.2.2 Evolución del enfoque de la calidad</w:t>
        </w:r>
        <w:r>
          <w:tab/>
        </w:r>
        <w:r>
          <w:fldChar w:fldCharType="begin"/>
        </w:r>
        <w:r>
          <w:instrText xml:space="preserve"> PAGEREF tit52 \h </w:instrText>
        </w:r>
        <w:r>
          <w:fldChar w:fldCharType="separate"/>
        </w:r>
        <w:r>
          <w:t>34</w:t>
        </w:r>
        <w:r>
          <w:fldChar w:fldCharType="end"/>
        </w:r>
      </w:hyperlink>
    </w:p>
    <w:p>
      <w:pPr>
        <w:pStyle w:val="toc3"/>
      </w:pPr>
      <w:hyperlink w:anchor="tit53" w:history="1">
        <w:r>
          <w:t xml:space="preserve">1.2.3 Principios de la gestión de la calidad</w:t>
        </w:r>
        <w:r>
          <w:tab/>
        </w:r>
        <w:r>
          <w:fldChar w:fldCharType="begin"/>
        </w:r>
        <w:r>
          <w:instrText xml:space="preserve"> PAGEREF tit53 \h </w:instrText>
        </w:r>
        <w:r>
          <w:fldChar w:fldCharType="separate"/>
        </w:r>
        <w:r>
          <w:t>35</w:t>
        </w:r>
        <w:r>
          <w:fldChar w:fldCharType="end"/>
        </w:r>
      </w:hyperlink>
    </w:p>
    <w:p>
      <w:pPr>
        <w:pStyle w:val="toc2"/>
      </w:pPr>
      <w:hyperlink w:anchor="tit54" w:history="1">
        <w:r>
          <w:t xml:space="preserve">1.3 Sistema de gestión de la calidad según la norma ISO 9001:2026</w:t>
        </w:r>
        <w:r>
          <w:tab/>
        </w:r>
        <w:r>
          <w:fldChar w:fldCharType="begin"/>
        </w:r>
        <w:r>
          <w:instrText xml:space="preserve"> PAGEREF tit54 \h </w:instrText>
        </w:r>
        <w:r>
          <w:fldChar w:fldCharType="separate"/>
        </w:r>
        <w:r>
          <w:t>37</w:t>
        </w:r>
        <w:r>
          <w:fldChar w:fldCharType="end"/>
        </w:r>
      </w:hyperlink>
    </w:p>
    <w:p>
      <w:pPr>
        <w:pStyle w:val="toc3"/>
      </w:pPr>
      <w:hyperlink w:anchor="tit55" w:history="1">
        <w:r>
          <w:t xml:space="preserve">1.3.1 Estructura de la norma y ciclo PHVA</w:t>
        </w:r>
        <w:r>
          <w:tab/>
        </w:r>
        <w:r>
          <w:fldChar w:fldCharType="begin"/>
        </w:r>
        <w:r>
          <w:instrText xml:space="preserve"> PAGEREF tit55 \h </w:instrText>
        </w:r>
        <w:r>
          <w:fldChar w:fldCharType="separate"/>
        </w:r>
        <w:r>
          <w:t>37</w:t>
        </w:r>
        <w:r>
          <w:fldChar w:fldCharType="end"/>
        </w:r>
      </w:hyperlink>
    </w:p>
    <w:p>
      <w:pPr>
        <w:pStyle w:val="toc3"/>
      </w:pPr>
      <w:hyperlink w:anchor="tit56" w:history="1">
        <w:r>
          <w:t xml:space="preserve">1.3.2 Pensamiento basado en riesgos</w:t>
        </w:r>
        <w:r>
          <w:tab/>
        </w:r>
        <w:r>
          <w:fldChar w:fldCharType="begin"/>
        </w:r>
        <w:r>
          <w:instrText xml:space="preserve"> PAGEREF tit56 \h </w:instrText>
        </w:r>
        <w:r>
          <w:fldChar w:fldCharType="separate"/>
        </w:r>
        <w:r>
          <w:t>39</w:t>
        </w:r>
        <w:r>
          <w:fldChar w:fldCharType="end"/>
        </w:r>
      </w:hyperlink>
    </w:p>
    <w:p>
      <w:pPr>
        <w:pStyle w:val="toc3"/>
      </w:pPr>
      <w:hyperlink w:anchor="tit57" w:history="1">
        <w:r>
          <w:t xml:space="preserve">1.3.3 Novedades de la edición 2026</w:t>
        </w:r>
        <w:r>
          <w:tab/>
        </w:r>
        <w:r>
          <w:fldChar w:fldCharType="begin"/>
        </w:r>
        <w:r>
          <w:instrText xml:space="preserve"> PAGEREF tit57 \h </w:instrText>
        </w:r>
        <w:r>
          <w:fldChar w:fldCharType="separate"/>
        </w:r>
        <w:r>
          <w:t>40</w:t>
        </w:r>
        <w:r>
          <w:fldChar w:fldCharType="end"/>
        </w:r>
      </w:hyperlink>
    </w:p>
    <w:p>
      <w:pPr>
        <w:pStyle w:val="toc3"/>
      </w:pPr>
      <w:hyperlink w:anchor="tit58" w:history="1">
        <w:r>
          <w:t xml:space="preserve">1.3.4 Planes de la calidad según la norma ISO 10005:2018</w:t>
        </w:r>
        <w:r>
          <w:tab/>
        </w:r>
        <w:r>
          <w:fldChar w:fldCharType="begin"/>
        </w:r>
        <w:r>
          <w:instrText xml:space="preserve"> PAGEREF tit58 \h </w:instrText>
        </w:r>
        <w:r>
          <w:fldChar w:fldCharType="separate"/>
        </w:r>
        <w:r>
          <w:t>40</w:t>
        </w:r>
        <w:r>
          <w:fldChar w:fldCharType="end"/>
        </w:r>
      </w:hyperlink>
    </w:p>
    <w:p>
      <w:pPr>
        <w:pStyle w:val="toc3"/>
      </w:pPr>
      <w:hyperlink w:anchor="tit59" w:history="1">
        <w:r>
          <w:t xml:space="preserve">1.3.5 Gestión de la calidad en proyectos según la norma ISO 10006:2017</w:t>
        </w:r>
        <w:r>
          <w:tab/>
        </w:r>
        <w:r>
          <w:fldChar w:fldCharType="begin"/>
        </w:r>
        <w:r>
          <w:instrText xml:space="preserve"> PAGEREF tit59 \h </w:instrText>
        </w:r>
        <w:r>
          <w:fldChar w:fldCharType="separate"/>
        </w:r>
        <w:r>
          <w:t>41</w:t>
        </w:r>
        <w:r>
          <w:fldChar w:fldCharType="end"/>
        </w:r>
      </w:hyperlink>
    </w:p>
    <w:p>
      <w:pPr>
        <w:pStyle w:val="toc3"/>
      </w:pPr>
      <w:hyperlink w:anchor="tit60" w:history="1">
        <w:r>
          <w:t xml:space="preserve">1.3.6 Evidencia empírica sobre ISO 9001 en la construcción</w:t>
        </w:r>
        <w:r>
          <w:tab/>
        </w:r>
        <w:r>
          <w:fldChar w:fldCharType="begin"/>
        </w:r>
        <w:r>
          <w:instrText xml:space="preserve"> PAGEREF tit60 \h </w:instrText>
        </w:r>
        <w:r>
          <w:fldChar w:fldCharType="separate"/>
        </w:r>
        <w:r>
          <w:t>41</w:t>
        </w:r>
        <w:r>
          <w:fldChar w:fldCharType="end"/>
        </w:r>
      </w:hyperlink>
    </w:p>
    <w:p>
      <w:pPr>
        <w:pStyle w:val="toc2"/>
      </w:pPr>
      <w:hyperlink w:anchor="tit61" w:history="1">
        <w:r>
          <w:t xml:space="preserve">1.4 Costos de la calidad</w:t>
        </w:r>
        <w:r>
          <w:tab/>
        </w:r>
        <w:r>
          <w:fldChar w:fldCharType="begin"/>
        </w:r>
        <w:r>
          <w:instrText xml:space="preserve"> PAGEREF tit61 \h </w:instrText>
        </w:r>
        <w:r>
          <w:fldChar w:fldCharType="separate"/>
        </w:r>
        <w:r>
          <w:t>42</w:t>
        </w:r>
        <w:r>
          <w:fldChar w:fldCharType="end"/>
        </w:r>
      </w:hyperlink>
    </w:p>
    <w:p>
      <w:pPr>
        <w:pStyle w:val="toc3"/>
      </w:pPr>
      <w:hyperlink w:anchor="tit62" w:history="1">
        <w:r>
          <w:t xml:space="preserve">1.4.1 Modelo de prevención, evaluación y fallas</w:t>
        </w:r>
        <w:r>
          <w:tab/>
        </w:r>
        <w:r>
          <w:fldChar w:fldCharType="begin"/>
        </w:r>
        <w:r>
          <w:instrText xml:space="preserve"> PAGEREF tit62 \h </w:instrText>
        </w:r>
        <w:r>
          <w:fldChar w:fldCharType="separate"/>
        </w:r>
        <w:r>
          <w:t>42</w:t>
        </w:r>
        <w:r>
          <w:fldChar w:fldCharType="end"/>
        </w:r>
      </w:hyperlink>
    </w:p>
    <w:p>
      <w:pPr>
        <w:pStyle w:val="toc3"/>
      </w:pPr>
      <w:hyperlink w:anchor="tit63" w:history="1">
        <w:r>
          <w:t xml:space="preserve">1.4.2 Costo de no calidad y retrabajo</w:t>
        </w:r>
        <w:r>
          <w:tab/>
        </w:r>
        <w:r>
          <w:fldChar w:fldCharType="begin"/>
        </w:r>
        <w:r>
          <w:instrText xml:space="preserve"> PAGEREF tit63 \h </w:instrText>
        </w:r>
        <w:r>
          <w:fldChar w:fldCharType="separate"/>
        </w:r>
        <w:r>
          <w:t>46</w:t>
        </w:r>
        <w:r>
          <w:fldChar w:fldCharType="end"/>
        </w:r>
      </w:hyperlink>
    </w:p>
    <w:p>
      <w:pPr>
        <w:pStyle w:val="toc2"/>
      </w:pPr>
      <w:hyperlink w:anchor="tit64" w:history="1">
        <w:r>
          <w:t xml:space="preserve">1.5 Pérdidas y desperdicio de materiales en la construcción</w:t>
        </w:r>
        <w:r>
          <w:tab/>
        </w:r>
        <w:r>
          <w:fldChar w:fldCharType="begin"/>
        </w:r>
        <w:r>
          <w:instrText xml:space="preserve"> PAGEREF tit64 \h </w:instrText>
        </w:r>
        <w:r>
          <w:fldChar w:fldCharType="separate"/>
        </w:r>
        <w:r>
          <w:t>47</w:t>
        </w:r>
        <w:r>
          <w:fldChar w:fldCharType="end"/>
        </w:r>
      </w:hyperlink>
    </w:p>
    <w:p>
      <w:pPr>
        <w:pStyle w:val="toc3"/>
      </w:pPr>
      <w:hyperlink w:anchor="tit65" w:history="1">
        <w:r>
          <w:t xml:space="preserve">1.5.1 La nueva filosofía de producción y la construcción sin pérdidas</w:t>
        </w:r>
        <w:r>
          <w:tab/>
        </w:r>
        <w:r>
          <w:fldChar w:fldCharType="begin"/>
        </w:r>
        <w:r>
          <w:instrText xml:space="preserve"> PAGEREF tit65 \h </w:instrText>
        </w:r>
        <w:r>
          <w:fldChar w:fldCharType="separate"/>
        </w:r>
        <w:r>
          <w:t>47</w:t>
        </w:r>
        <w:r>
          <w:fldChar w:fldCharType="end"/>
        </w:r>
      </w:hyperlink>
    </w:p>
    <w:p>
      <w:pPr>
        <w:pStyle w:val="toc3"/>
      </w:pPr>
      <w:hyperlink w:anchor="tit66" w:history="1">
        <w:r>
          <w:t xml:space="preserve">1.5.2 Clasificación y causas de las pérdidas</w:t>
        </w:r>
        <w:r>
          <w:tab/>
        </w:r>
        <w:r>
          <w:fldChar w:fldCharType="begin"/>
        </w:r>
        <w:r>
          <w:instrText xml:space="preserve"> PAGEREF tit66 \h </w:instrText>
        </w:r>
        <w:r>
          <w:fldChar w:fldCharType="separate"/>
        </w:r>
        <w:r>
          <w:t>48</w:t>
        </w:r>
        <w:r>
          <w:fldChar w:fldCharType="end"/>
        </w:r>
      </w:hyperlink>
    </w:p>
    <w:p>
      <w:pPr>
        <w:pStyle w:val="toc3"/>
      </w:pPr>
      <w:hyperlink w:anchor="tit67" w:history="1">
        <w:r>
          <w:t xml:space="preserve">1.5.3 Medición del desperdicio y valores de referencia</w:t>
        </w:r>
        <w:r>
          <w:tab/>
        </w:r>
        <w:r>
          <w:fldChar w:fldCharType="begin"/>
        </w:r>
        <w:r>
          <w:instrText xml:space="preserve"> PAGEREF tit67 \h </w:instrText>
        </w:r>
        <w:r>
          <w:fldChar w:fldCharType="separate"/>
        </w:r>
        <w:r>
          <w:t>49</w:t>
        </w:r>
        <w:r>
          <w:fldChar w:fldCharType="end"/>
        </w:r>
      </w:hyperlink>
    </w:p>
    <w:p>
      <w:pPr>
        <w:pStyle w:val="toc2"/>
      </w:pPr>
      <w:hyperlink w:anchor="tit68" w:history="1">
        <w:r>
          <w:t xml:space="preserve">1.6 Losas alivianadas con viguetas pretensadas y complemento de plastoformo</w:t>
        </w:r>
        <w:r>
          <w:tab/>
        </w:r>
        <w:r>
          <w:fldChar w:fldCharType="begin"/>
        </w:r>
        <w:r>
          <w:instrText xml:space="preserve"> PAGEREF tit68 \h </w:instrText>
        </w:r>
        <w:r>
          <w:fldChar w:fldCharType="separate"/>
        </w:r>
        <w:r>
          <w:t>52</w:t>
        </w:r>
        <w:r>
          <w:fldChar w:fldCharType="end"/>
        </w:r>
      </w:hyperlink>
    </w:p>
    <w:p>
      <w:pPr>
        <w:pStyle w:val="toc3"/>
      </w:pPr>
      <w:hyperlink w:anchor="tit69" w:history="1">
        <w:r>
          <w:t xml:space="preserve">1.6.1 Descripción del sistema y de sus componentes</w:t>
        </w:r>
        <w:r>
          <w:tab/>
        </w:r>
        <w:r>
          <w:fldChar w:fldCharType="begin"/>
        </w:r>
        <w:r>
          <w:instrText xml:space="preserve"> PAGEREF tit69 \h </w:instrText>
        </w:r>
        <w:r>
          <w:fldChar w:fldCharType="separate"/>
        </w:r>
        <w:r>
          <w:t>52</w:t>
        </w:r>
        <w:r>
          <w:fldChar w:fldCharType="end"/>
        </w:r>
      </w:hyperlink>
    </w:p>
    <w:p>
      <w:pPr>
        <w:pStyle w:val="toc3"/>
      </w:pPr>
      <w:hyperlink w:anchor="tit70" w:history="1">
        <w:r>
          <w:t xml:space="preserve">1.6.2 Proceso constructivo y puntos críticos de calidad</w:t>
        </w:r>
        <w:r>
          <w:tab/>
        </w:r>
        <w:r>
          <w:fldChar w:fldCharType="begin"/>
        </w:r>
        <w:r>
          <w:instrText xml:space="preserve"> PAGEREF tit70 \h </w:instrText>
        </w:r>
        <w:r>
          <w:fldChar w:fldCharType="separate"/>
        </w:r>
        <w:r>
          <w:t>55</w:t>
        </w:r>
        <w:r>
          <w:fldChar w:fldCharType="end"/>
        </w:r>
      </w:hyperlink>
    </w:p>
    <w:p>
      <w:pPr>
        <w:pStyle w:val="toc3"/>
      </w:pPr>
      <w:hyperlink w:anchor="tit71" w:history="1">
        <w:r>
          <w:t xml:space="preserve">1.6.3 Consumos teóricos de materiales por metro cuadrado</w:t>
        </w:r>
        <w:r>
          <w:tab/>
        </w:r>
        <w:r>
          <w:fldChar w:fldCharType="begin"/>
        </w:r>
        <w:r>
          <w:instrText xml:space="preserve"> PAGEREF tit71 \h </w:instrText>
        </w:r>
        <w:r>
          <w:fldChar w:fldCharType="separate"/>
        </w:r>
        <w:r>
          <w:t>57</w:t>
        </w:r>
        <w:r>
          <w:fldChar w:fldCharType="end"/>
        </w:r>
      </w:hyperlink>
    </w:p>
    <w:p>
      <w:pPr>
        <w:pStyle w:val="toc3"/>
      </w:pPr>
      <w:hyperlink w:anchor="tit72" w:history="1">
        <w:r>
          <w:t xml:space="preserve">1.6.4 Defectos frecuentes y su prevención</w:t>
        </w:r>
        <w:r>
          <w:tab/>
        </w:r>
        <w:r>
          <w:fldChar w:fldCharType="begin"/>
        </w:r>
        <w:r>
          <w:instrText xml:space="preserve"> PAGEREF tit72 \h </w:instrText>
        </w:r>
        <w:r>
          <w:fldChar w:fldCharType="separate"/>
        </w:r>
        <w:r>
          <w:t>58</w:t>
        </w:r>
        <w:r>
          <w:fldChar w:fldCharType="end"/>
        </w:r>
      </w:hyperlink>
    </w:p>
    <w:p>
      <w:pPr>
        <w:pStyle w:val="toc2"/>
      </w:pPr>
      <w:hyperlink w:anchor="tit73" w:history="1">
        <w:r>
          <w:t xml:space="preserve">1.7 Marco normativo</w:t>
        </w:r>
        <w:r>
          <w:tab/>
        </w:r>
        <w:r>
          <w:fldChar w:fldCharType="begin"/>
        </w:r>
        <w:r>
          <w:instrText xml:space="preserve"> PAGEREF tit73 \h </w:instrText>
        </w:r>
        <w:r>
          <w:fldChar w:fldCharType="separate"/>
        </w:r>
        <w:r>
          <w:t>60</w:t>
        </w:r>
        <w:r>
          <w:fldChar w:fldCharType="end"/>
        </w:r>
      </w:hyperlink>
    </w:p>
    <w:p>
      <w:pPr>
        <w:pStyle w:val="toc3"/>
      </w:pPr>
      <w:hyperlink w:anchor="tit74" w:history="1">
        <w:r>
          <w:t xml:space="preserve">1.7.1 Normas de gestión de la calidad</w:t>
        </w:r>
        <w:r>
          <w:tab/>
        </w:r>
        <w:r>
          <w:fldChar w:fldCharType="begin"/>
        </w:r>
        <w:r>
          <w:instrText xml:space="preserve"> PAGEREF tit74 \h </w:instrText>
        </w:r>
        <w:r>
          <w:fldChar w:fldCharType="separate"/>
        </w:r>
        <w:r>
          <w:t>60</w:t>
        </w:r>
        <w:r>
          <w:fldChar w:fldCharType="end"/>
        </w:r>
      </w:hyperlink>
    </w:p>
    <w:p>
      <w:pPr>
        <w:pStyle w:val="toc3"/>
      </w:pPr>
      <w:hyperlink w:anchor="tit75" w:history="1">
        <w:r>
          <w:t xml:space="preserve">1.7.2 Normas técnicas del hormigón, de las viguetas y de los ensayos</w:t>
        </w:r>
        <w:r>
          <w:tab/>
        </w:r>
        <w:r>
          <w:fldChar w:fldCharType="begin"/>
        </w:r>
        <w:r>
          <w:instrText xml:space="preserve"> PAGEREF tit75 \h </w:instrText>
        </w:r>
        <w:r>
          <w:fldChar w:fldCharType="separate"/>
        </w:r>
        <w:r>
          <w:t>61</w:t>
        </w:r>
        <w:r>
          <w:fldChar w:fldCharType="end"/>
        </w:r>
      </w:hyperlink>
    </w:p>
    <w:p>
      <w:pPr>
        <w:pStyle w:val="toc3"/>
      </w:pPr>
      <w:hyperlink w:anchor="tit76" w:history="1">
        <w:r>
          <w:t xml:space="preserve">1.7.3 Legislación de contratación pública</w:t>
        </w:r>
        <w:r>
          <w:tab/>
        </w:r>
        <w:r>
          <w:fldChar w:fldCharType="begin"/>
        </w:r>
        <w:r>
          <w:instrText xml:space="preserve"> PAGEREF tit76 \h </w:instrText>
        </w:r>
        <w:r>
          <w:fldChar w:fldCharType="separate"/>
        </w:r>
        <w:r>
          <w:t>63</w:t>
        </w:r>
        <w:r>
          <w:fldChar w:fldCharType="end"/>
        </w:r>
      </w:hyperlink>
    </w:p>
    <w:p>
      <w:pPr>
        <w:pStyle w:val="toc2"/>
      </w:pPr>
      <w:hyperlink w:anchor="tit77" w:history="1">
        <w:r>
          <w:t xml:space="preserve">1.8 Control de costos en obras públicas</w:t>
        </w:r>
        <w:r>
          <w:tab/>
        </w:r>
        <w:r>
          <w:fldChar w:fldCharType="begin"/>
        </w:r>
        <w:r>
          <w:instrText xml:space="preserve"> PAGEREF tit77 \h </w:instrText>
        </w:r>
        <w:r>
          <w:fldChar w:fldCharType="separate"/>
        </w:r>
        <w:r>
          <w:t>67</w:t>
        </w:r>
        <w:r>
          <w:fldChar w:fldCharType="end"/>
        </w:r>
      </w:hyperlink>
    </w:p>
    <w:p>
      <w:pPr>
        <w:pStyle w:val="toc3"/>
      </w:pPr>
      <w:hyperlink w:anchor="tit78" w:history="1">
        <w:r>
          <w:t xml:space="preserve">1.8.1 Análisis de precios unitarios</w:t>
        </w:r>
        <w:r>
          <w:tab/>
        </w:r>
        <w:r>
          <w:fldChar w:fldCharType="begin"/>
        </w:r>
        <w:r>
          <w:instrText xml:space="preserve"> PAGEREF tit78 \h </w:instrText>
        </w:r>
        <w:r>
          <w:fldChar w:fldCharType="separate"/>
        </w:r>
        <w:r>
          <w:t>67</w:t>
        </w:r>
        <w:r>
          <w:fldChar w:fldCharType="end"/>
        </w:r>
      </w:hyperlink>
    </w:p>
    <w:p>
      <w:pPr>
        <w:pStyle w:val="toc3"/>
      </w:pPr>
      <w:hyperlink w:anchor="tit79" w:history="1">
        <w:r>
          <w:t xml:space="preserve">1.8.2 Cómputos métricos, planillas de avance y modificaciones</w:t>
        </w:r>
        <w:r>
          <w:tab/>
        </w:r>
        <w:r>
          <w:fldChar w:fldCharType="begin"/>
        </w:r>
        <w:r>
          <w:instrText xml:space="preserve"> PAGEREF tit79 \h </w:instrText>
        </w:r>
        <w:r>
          <w:fldChar w:fldCharType="separate"/>
        </w:r>
        <w:r>
          <w:t>68</w:t>
        </w:r>
        <w:r>
          <w:fldChar w:fldCharType="end"/>
        </w:r>
      </w:hyperlink>
    </w:p>
    <w:p>
      <w:pPr>
        <w:pStyle w:val="toc2"/>
      </w:pPr>
      <w:hyperlink w:anchor="tit80" w:history="1">
        <w:r>
          <w:t xml:space="preserve">1.9 Herramientas de la calidad</w:t>
        </w:r>
        <w:r>
          <w:tab/>
        </w:r>
        <w:r>
          <w:fldChar w:fldCharType="begin"/>
        </w:r>
        <w:r>
          <w:instrText xml:space="preserve"> PAGEREF tit80 \h </w:instrText>
        </w:r>
        <w:r>
          <w:fldChar w:fldCharType="separate"/>
        </w:r>
        <w:r>
          <w:t>70</w:t>
        </w:r>
        <w:r>
          <w:fldChar w:fldCharType="end"/>
        </w:r>
      </w:hyperlink>
    </w:p>
    <w:p>
      <w:pPr>
        <w:pStyle w:val="toc2"/>
      </w:pPr>
      <w:hyperlink w:anchor="tit81" w:history="1">
        <w:r>
          <w:t xml:space="preserve">1.10 Evaluación</w:t>
        </w:r>
        <w:r>
          <w:t xml:space="preserve"> </w:t>
        </w:r>
        <w:r>
          <w:rPr>
            <w:iCs/>
            <w:i/>
          </w:rPr>
          <w:t xml:space="preserve">ex ante</w:t>
        </w:r>
        <w:r>
          <w:t xml:space="preserve"> </w:t>
        </w:r>
        <w:r>
          <w:t xml:space="preserve">y simulación</w:t>
        </w:r>
        <w:r>
          <w:tab/>
        </w:r>
        <w:r>
          <w:fldChar w:fldCharType="begin"/>
        </w:r>
        <w:r>
          <w:instrText xml:space="preserve"> PAGEREF tit81 \h </w:instrText>
        </w:r>
        <w:r>
          <w:fldChar w:fldCharType="separate"/>
        </w:r>
        <w:r>
          <w:t>71</w:t>
        </w:r>
        <w:r>
          <w:fldChar w:fldCharType="end"/>
        </w:r>
      </w:hyperlink>
    </w:p>
    <w:p>
      <w:pPr>
        <w:pStyle w:val="toc3"/>
      </w:pPr>
      <w:hyperlink w:anchor="tit82" w:history="1">
        <w:r>
          <w:t xml:space="preserve">1.10.1 Modelo de simulación teórica con tratamiento de control</w:t>
        </w:r>
        <w:r>
          <w:tab/>
        </w:r>
        <w:r>
          <w:fldChar w:fldCharType="begin"/>
        </w:r>
        <w:r>
          <w:instrText xml:space="preserve"> PAGEREF tit82 \h </w:instrText>
        </w:r>
        <w:r>
          <w:fldChar w:fldCharType="separate"/>
        </w:r>
        <w:r>
          <w:t>71</w:t>
        </w:r>
        <w:r>
          <w:fldChar w:fldCharType="end"/>
        </w:r>
      </w:hyperlink>
    </w:p>
    <w:p>
      <w:pPr>
        <w:pStyle w:val="toc3"/>
      </w:pPr>
      <w:hyperlink w:anchor="tit83" w:history="1">
        <w:r>
          <w:t xml:space="preserve">1.10.2 Método de Monte Carlo</w:t>
        </w:r>
        <w:r>
          <w:tab/>
        </w:r>
        <w:r>
          <w:fldChar w:fldCharType="begin"/>
        </w:r>
        <w:r>
          <w:instrText xml:space="preserve"> PAGEREF tit83 \h </w:instrText>
        </w:r>
        <w:r>
          <w:fldChar w:fldCharType="separate"/>
        </w:r>
        <w:r>
          <w:t>72</w:t>
        </w:r>
        <w:r>
          <w:fldChar w:fldCharType="end"/>
        </w:r>
      </w:hyperlink>
    </w:p>
    <w:p>
      <w:pPr>
        <w:pStyle w:val="toc3"/>
      </w:pPr>
      <w:hyperlink w:anchor="tit84" w:history="1">
        <w:r>
          <w:t xml:space="preserve">1.10.3 Distribución triangular</w:t>
        </w:r>
        <w:r>
          <w:tab/>
        </w:r>
        <w:r>
          <w:fldChar w:fldCharType="begin"/>
        </w:r>
        <w:r>
          <w:instrText xml:space="preserve"> PAGEREF tit84 \h </w:instrText>
        </w:r>
        <w:r>
          <w:fldChar w:fldCharType="separate"/>
        </w:r>
        <w:r>
          <w:t>73</w:t>
        </w:r>
        <w:r>
          <w:fldChar w:fldCharType="end"/>
        </w:r>
      </w:hyperlink>
    </w:p>
    <w:p>
      <w:pPr>
        <w:pStyle w:val="toc3"/>
      </w:pPr>
      <w:hyperlink w:anchor="tit85" w:history="1">
        <w:r>
          <w:t xml:space="preserve">1.10.4 Convergencia y análisis de sensibilidad</w:t>
        </w:r>
        <w:r>
          <w:tab/>
        </w:r>
        <w:r>
          <w:fldChar w:fldCharType="begin"/>
        </w:r>
        <w:r>
          <w:instrText xml:space="preserve"> PAGEREF tit85 \h </w:instrText>
        </w:r>
        <w:r>
          <w:fldChar w:fldCharType="separate"/>
        </w:r>
        <w:r>
          <w:t>74</w:t>
        </w:r>
        <w:r>
          <w:fldChar w:fldCharType="end"/>
        </w:r>
      </w:hyperlink>
    </w:p>
    <w:p>
      <w:pPr>
        <w:pStyle w:val="toc2"/>
      </w:pPr>
      <w:hyperlink w:anchor="tit86" w:history="1">
        <w:r>
          <w:t xml:space="preserve">1.11 Definición de términos básicos</w:t>
        </w:r>
        <w:r>
          <w:tab/>
        </w:r>
        <w:r>
          <w:fldChar w:fldCharType="begin"/>
        </w:r>
        <w:r>
          <w:instrText xml:space="preserve"> PAGEREF tit86 \h </w:instrText>
        </w:r>
        <w:r>
          <w:fldChar w:fldCharType="separate"/>
        </w:r>
        <w:r>
          <w:t>75</w:t>
        </w:r>
        <w:r>
          <w:fldChar w:fldCharType="end"/>
        </w:r>
      </w:hyperlink>
    </w:p>
    <w:p>
      <w:pPr>
        <w:pStyle w:val="toc1"/>
      </w:pPr>
      <w:hyperlink w:anchor="tit87" w:history="1">
        <w:r>
          <w:t xml:space="preserve">Capítulo 2. DISEÑO E IMPLEMENTACIÓN DEL SISTEMA DE GESTIÓN DE LA CALIDAD</w:t>
        </w:r>
        <w:r>
          <w:tab/>
        </w:r>
        <w:r>
          <w:fldChar w:fldCharType="begin"/>
        </w:r>
        <w:r>
          <w:instrText xml:space="preserve"> PAGEREF tit87 \h </w:instrText>
        </w:r>
        <w:r>
          <w:fldChar w:fldCharType="separate"/>
        </w:r>
        <w:r>
          <w:t>78</w:t>
        </w:r>
        <w:r>
          <w:fldChar w:fldCharType="end"/>
        </w:r>
      </w:hyperlink>
    </w:p>
    <w:p>
      <w:pPr>
        <w:pStyle w:val="toc2"/>
      </w:pPr>
      <w:hyperlink w:anchor="tit88" w:history="1">
        <w:r>
          <w:t xml:space="preserve">2.1 Conceptualización y alcance del modelo de investigación</w:t>
        </w:r>
        <w:r>
          <w:tab/>
        </w:r>
        <w:r>
          <w:fldChar w:fldCharType="begin"/>
        </w:r>
        <w:r>
          <w:instrText xml:space="preserve"> PAGEREF tit88 \h </w:instrText>
        </w:r>
        <w:r>
          <w:fldChar w:fldCharType="separate"/>
        </w:r>
        <w:r>
          <w:t>78</w:t>
        </w:r>
        <w:r>
          <w:fldChar w:fldCharType="end"/>
        </w:r>
      </w:hyperlink>
    </w:p>
    <w:p>
      <w:pPr>
        <w:pStyle w:val="toc2"/>
      </w:pPr>
      <w:hyperlink w:anchor="tit89" w:history="1">
        <w:r>
          <w:t xml:space="preserve">2.2 Caracterización del caso de estudio</w:t>
        </w:r>
        <w:r>
          <w:tab/>
        </w:r>
        <w:r>
          <w:fldChar w:fldCharType="begin"/>
        </w:r>
        <w:r>
          <w:instrText xml:space="preserve"> PAGEREF tit89 \h </w:instrText>
        </w:r>
        <w:r>
          <w:fldChar w:fldCharType="separate"/>
        </w:r>
        <w:r>
          <w:t>82</w:t>
        </w:r>
        <w:r>
          <w:fldChar w:fldCharType="end"/>
        </w:r>
      </w:hyperlink>
    </w:p>
    <w:p>
      <w:pPr>
        <w:pStyle w:val="toc3"/>
      </w:pPr>
      <w:hyperlink w:anchor="tit90" w:history="1">
        <w:r>
          <w:t xml:space="preserve">2.2.1 Ubicación y descripción del edificio</w:t>
        </w:r>
        <w:r>
          <w:tab/>
        </w:r>
        <w:r>
          <w:fldChar w:fldCharType="begin"/>
        </w:r>
        <w:r>
          <w:instrText xml:space="preserve"> PAGEREF tit90 \h </w:instrText>
        </w:r>
        <w:r>
          <w:fldChar w:fldCharType="separate"/>
        </w:r>
        <w:r>
          <w:t>82</w:t>
        </w:r>
        <w:r>
          <w:fldChar w:fldCharType="end"/>
        </w:r>
      </w:hyperlink>
    </w:p>
    <w:p>
      <w:pPr>
        <w:pStyle w:val="toc3"/>
      </w:pPr>
      <w:hyperlink w:anchor="tit91" w:history="1">
        <w:r>
          <w:t xml:space="preserve">2.2.2 Datos contractuales</w:t>
        </w:r>
        <w:r>
          <w:tab/>
        </w:r>
        <w:r>
          <w:fldChar w:fldCharType="begin"/>
        </w:r>
        <w:r>
          <w:instrText xml:space="preserve"> PAGEREF tit91 \h </w:instrText>
        </w:r>
        <w:r>
          <w:fldChar w:fldCharType="separate"/>
        </w:r>
        <w:r>
          <w:t>83</w:t>
        </w:r>
        <w:r>
          <w:fldChar w:fldCharType="end"/>
        </w:r>
      </w:hyperlink>
    </w:p>
    <w:p>
      <w:pPr>
        <w:pStyle w:val="toc3"/>
      </w:pPr>
      <w:hyperlink w:anchor="tit92" w:history="1">
        <w:r>
          <w:t xml:space="preserve">2.2.3 Cronología de la ejecución</w:t>
        </w:r>
        <w:r>
          <w:tab/>
        </w:r>
        <w:r>
          <w:fldChar w:fldCharType="begin"/>
        </w:r>
        <w:r>
          <w:instrText xml:space="preserve"> PAGEREF tit92 \h </w:instrText>
        </w:r>
        <w:r>
          <w:fldChar w:fldCharType="separate"/>
        </w:r>
        <w:r>
          <w:t>86</w:t>
        </w:r>
        <w:r>
          <w:fldChar w:fldCharType="end"/>
        </w:r>
      </w:hyperlink>
    </w:p>
    <w:p>
      <w:pPr>
        <w:pStyle w:val="toc3"/>
      </w:pPr>
      <w:hyperlink w:anchor="tit93" w:history="1">
        <w:r>
          <w:t xml:space="preserve">2.2.4 Sistema de losa: planos, especificaciones y certificados</w:t>
        </w:r>
        <w:r>
          <w:tab/>
        </w:r>
        <w:r>
          <w:fldChar w:fldCharType="begin"/>
        </w:r>
        <w:r>
          <w:instrText xml:space="preserve"> PAGEREF tit93 \h </w:instrText>
        </w:r>
        <w:r>
          <w:fldChar w:fldCharType="separate"/>
        </w:r>
        <w:r>
          <w:t>89</w:t>
        </w:r>
        <w:r>
          <w:fldChar w:fldCharType="end"/>
        </w:r>
      </w:hyperlink>
    </w:p>
    <w:p>
      <w:pPr>
        <w:pStyle w:val="toc2"/>
      </w:pPr>
      <w:hyperlink w:anchor="tit94" w:history="1">
        <w:r>
          <w:t xml:space="preserve">2.3 Definición de factores y variables</w:t>
        </w:r>
        <w:r>
          <w:tab/>
        </w:r>
        <w:r>
          <w:fldChar w:fldCharType="begin"/>
        </w:r>
        <w:r>
          <w:instrText xml:space="preserve"> PAGEREF tit94 \h </w:instrText>
        </w:r>
        <w:r>
          <w:fldChar w:fldCharType="separate"/>
        </w:r>
        <w:r>
          <w:t>91</w:t>
        </w:r>
        <w:r>
          <w:fldChar w:fldCharType="end"/>
        </w:r>
      </w:hyperlink>
    </w:p>
    <w:p>
      <w:pPr>
        <w:pStyle w:val="toc2"/>
      </w:pPr>
      <w:hyperlink w:anchor="tit95" w:history="1">
        <w:r>
          <w:t xml:space="preserve">2.4 Población y muestra</w:t>
        </w:r>
        <w:r>
          <w:tab/>
        </w:r>
        <w:r>
          <w:fldChar w:fldCharType="begin"/>
        </w:r>
        <w:r>
          <w:instrText xml:space="preserve"> PAGEREF tit95 \h </w:instrText>
        </w:r>
        <w:r>
          <w:fldChar w:fldCharType="separate"/>
        </w:r>
        <w:r>
          <w:t>94</w:t>
        </w:r>
        <w:r>
          <w:fldChar w:fldCharType="end"/>
        </w:r>
      </w:hyperlink>
    </w:p>
    <w:p>
      <w:pPr>
        <w:pStyle w:val="toc2"/>
      </w:pPr>
      <w:hyperlink w:anchor="tit96" w:history="1">
        <w:r>
          <w:t xml:space="preserve">2.5 Diagnóstico de la situación actual (línea base)</w:t>
        </w:r>
        <w:r>
          <w:tab/>
        </w:r>
        <w:r>
          <w:fldChar w:fldCharType="begin"/>
        </w:r>
        <w:r>
          <w:instrText xml:space="preserve"> PAGEREF tit96 \h </w:instrText>
        </w:r>
        <w:r>
          <w:fldChar w:fldCharType="separate"/>
        </w:r>
        <w:r>
          <w:t>95</w:t>
        </w:r>
        <w:r>
          <w:fldChar w:fldCharType="end"/>
        </w:r>
      </w:hyperlink>
    </w:p>
    <w:p>
      <w:pPr>
        <w:pStyle w:val="toc3"/>
      </w:pPr>
      <w:hyperlink w:anchor="tit97" w:history="1">
        <w:r>
          <w:t xml:space="preserve">2.5.1 Brechas frente a la norma ISO 9001:2026</w:t>
        </w:r>
        <w:r>
          <w:tab/>
        </w:r>
        <w:r>
          <w:fldChar w:fldCharType="begin"/>
        </w:r>
        <w:r>
          <w:instrText xml:space="preserve"> PAGEREF tit97 \h </w:instrText>
        </w:r>
        <w:r>
          <w:fldChar w:fldCharType="separate"/>
        </w:r>
        <w:r>
          <w:t>95</w:t>
        </w:r>
        <w:r>
          <w:fldChar w:fldCharType="end"/>
        </w:r>
      </w:hyperlink>
    </w:p>
    <w:p>
      <w:pPr>
        <w:pStyle w:val="toc3"/>
      </w:pPr>
      <w:hyperlink w:anchor="tit98" w:history="1">
        <w:r>
          <w:t xml:space="preserve">2.5.2 Análisis documental de la primera losa</w:t>
        </w:r>
        <w:r>
          <w:tab/>
        </w:r>
        <w:r>
          <w:fldChar w:fldCharType="begin"/>
        </w:r>
        <w:r>
          <w:instrText xml:space="preserve"> PAGEREF tit98 \h </w:instrText>
        </w:r>
        <w:r>
          <w:fldChar w:fldCharType="separate"/>
        </w:r>
        <w:r>
          <w:t>99</w:t>
        </w:r>
        <w:r>
          <w:fldChar w:fldCharType="end"/>
        </w:r>
      </w:hyperlink>
    </w:p>
    <w:p>
      <w:pPr>
        <w:pStyle w:val="toc3"/>
      </w:pPr>
      <w:hyperlink w:anchor="tit107" w:history="1">
        <w:r>
          <w:t xml:space="preserve">2.5.3 No conformidades y análisis de causas</w:t>
        </w:r>
        <w:r>
          <w:tab/>
        </w:r>
        <w:r>
          <w:fldChar w:fldCharType="begin"/>
        </w:r>
        <w:r>
          <w:instrText xml:space="preserve"> PAGEREF tit107 \h </w:instrText>
        </w:r>
        <w:r>
          <w:fldChar w:fldCharType="separate"/>
        </w:r>
        <w:r>
          <w:t>109</w:t>
        </w:r>
        <w:r>
          <w:fldChar w:fldCharType="end"/>
        </w:r>
      </w:hyperlink>
    </w:p>
    <w:p>
      <w:pPr>
        <w:pStyle w:val="toc3"/>
      </w:pPr>
      <w:hyperlink w:anchor="tit108" w:history="1">
        <w:r>
          <w:t xml:space="preserve">2.5.4 Línea base cuantitativa</w:t>
        </w:r>
        <w:r>
          <w:tab/>
        </w:r>
        <w:r>
          <w:fldChar w:fldCharType="begin"/>
        </w:r>
        <w:r>
          <w:instrText xml:space="preserve"> PAGEREF tit108 \h </w:instrText>
        </w:r>
        <w:r>
          <w:fldChar w:fldCharType="separate"/>
        </w:r>
        <w:r>
          <w:t>116</w:t>
        </w:r>
        <w:r>
          <w:fldChar w:fldCharType="end"/>
        </w:r>
      </w:hyperlink>
    </w:p>
    <w:p>
      <w:pPr>
        <w:pStyle w:val="toc2"/>
      </w:pPr>
      <w:hyperlink w:anchor="tit109" w:history="1">
        <w:r>
          <w:t xml:space="preserve">2.6 Diseño del Sistema de Gestión de la Calidad</w:t>
        </w:r>
        <w:r>
          <w:tab/>
        </w:r>
        <w:r>
          <w:fldChar w:fldCharType="begin"/>
        </w:r>
        <w:r>
          <w:instrText xml:space="preserve"> PAGEREF tit109 \h </w:instrText>
        </w:r>
        <w:r>
          <w:fldChar w:fldCharType="separate"/>
        </w:r>
        <w:r>
          <w:t>121</w:t>
        </w:r>
        <w:r>
          <w:fldChar w:fldCharType="end"/>
        </w:r>
      </w:hyperlink>
    </w:p>
    <w:p>
      <w:pPr>
        <w:pStyle w:val="toc3"/>
      </w:pPr>
      <w:hyperlink w:anchor="tit110" w:history="1">
        <w:r>
          <w:t xml:space="preserve">2.6.1 Enfoque y estructura del sistema</w:t>
        </w:r>
        <w:r>
          <w:tab/>
        </w:r>
        <w:r>
          <w:fldChar w:fldCharType="begin"/>
        </w:r>
        <w:r>
          <w:instrText xml:space="preserve"> PAGEREF tit110 \h </w:instrText>
        </w:r>
        <w:r>
          <w:fldChar w:fldCharType="separate"/>
        </w:r>
        <w:r>
          <w:t>124</w:t>
        </w:r>
        <w:r>
          <w:fldChar w:fldCharType="end"/>
        </w:r>
      </w:hyperlink>
    </w:p>
    <w:p>
      <w:pPr>
        <w:pStyle w:val="toc3"/>
      </w:pPr>
      <w:hyperlink w:anchor="tit111" w:history="1">
        <w:r>
          <w:t xml:space="preserve">2.6.2 Contexto, partes interesadas, alcance y exclusiones</w:t>
        </w:r>
        <w:r>
          <w:tab/>
        </w:r>
        <w:r>
          <w:fldChar w:fldCharType="begin"/>
        </w:r>
        <w:r>
          <w:instrText xml:space="preserve"> PAGEREF tit111 \h </w:instrText>
        </w:r>
        <w:r>
          <w:fldChar w:fldCharType="separate"/>
        </w:r>
        <w:r>
          <w:t>126</w:t>
        </w:r>
        <w:r>
          <w:fldChar w:fldCharType="end"/>
        </w:r>
      </w:hyperlink>
    </w:p>
    <w:p>
      <w:pPr>
        <w:pStyle w:val="toc3"/>
      </w:pPr>
      <w:hyperlink w:anchor="tit112" w:history="1">
        <w:r>
          <w:t xml:space="preserve">2.6.3 Liderazgo: política de la calidad, organización y responsabilidades</w:t>
        </w:r>
        <w:r>
          <w:tab/>
        </w:r>
        <w:r>
          <w:fldChar w:fldCharType="begin"/>
        </w:r>
        <w:r>
          <w:instrText xml:space="preserve"> PAGEREF tit112 \h </w:instrText>
        </w:r>
        <w:r>
          <w:fldChar w:fldCharType="separate"/>
        </w:r>
        <w:r>
          <w:t>128</w:t>
        </w:r>
        <w:r>
          <w:fldChar w:fldCharType="end"/>
        </w:r>
      </w:hyperlink>
    </w:p>
    <w:p>
      <w:pPr>
        <w:pStyle w:val="toc3"/>
      </w:pPr>
      <w:hyperlink w:anchor="tit113" w:history="1">
        <w:r>
          <w:t xml:space="preserve">2.6.4 Planificación: riesgos, oportunidades y objetivos de la calidad</w:t>
        </w:r>
        <w:r>
          <w:tab/>
        </w:r>
        <w:r>
          <w:fldChar w:fldCharType="begin"/>
        </w:r>
        <w:r>
          <w:instrText xml:space="preserve"> PAGEREF tit113 \h </w:instrText>
        </w:r>
        <w:r>
          <w:fldChar w:fldCharType="separate"/>
        </w:r>
        <w:r>
          <w:t>131</w:t>
        </w:r>
        <w:r>
          <w:fldChar w:fldCharType="end"/>
        </w:r>
      </w:hyperlink>
    </w:p>
    <w:p>
      <w:pPr>
        <w:pStyle w:val="toc3"/>
      </w:pPr>
      <w:hyperlink w:anchor="tit114" w:history="1">
        <w:r>
          <w:t xml:space="preserve">2.6.5 Apoyo: recursos, competencia, información documentada y comunicación</w:t>
        </w:r>
        <w:r>
          <w:tab/>
        </w:r>
        <w:r>
          <w:fldChar w:fldCharType="begin"/>
        </w:r>
        <w:r>
          <w:instrText xml:space="preserve"> PAGEREF tit114 \h </w:instrText>
        </w:r>
        <w:r>
          <w:fldChar w:fldCharType="separate"/>
        </w:r>
        <w:r>
          <w:t>136</w:t>
        </w:r>
        <w:r>
          <w:fldChar w:fldCharType="end"/>
        </w:r>
      </w:hyperlink>
    </w:p>
    <w:p>
      <w:pPr>
        <w:pStyle w:val="toc3"/>
      </w:pPr>
      <w:hyperlink w:anchor="tit115" w:history="1">
        <w:r>
          <w:t xml:space="preserve">2.6.6 Operación: plan de la calidad, inspección y control de materiales</w:t>
        </w:r>
        <w:r>
          <w:tab/>
        </w:r>
        <w:r>
          <w:fldChar w:fldCharType="begin"/>
        </w:r>
        <w:r>
          <w:instrText xml:space="preserve"> PAGEREF tit115 \h </w:instrText>
        </w:r>
        <w:r>
          <w:fldChar w:fldCharType="separate"/>
        </w:r>
        <w:r>
          <w:t>140</w:t>
        </w:r>
        <w:r>
          <w:fldChar w:fldCharType="end"/>
        </w:r>
      </w:hyperlink>
    </w:p>
    <w:p>
      <w:pPr>
        <w:pStyle w:val="toc3"/>
      </w:pPr>
      <w:hyperlink w:anchor="tit127" w:history="1">
        <w:r>
          <w:t xml:space="preserve">2.6.7 Evaluación del desempeño</w:t>
        </w:r>
        <w:r>
          <w:tab/>
        </w:r>
        <w:r>
          <w:fldChar w:fldCharType="begin"/>
        </w:r>
        <w:r>
          <w:instrText xml:space="preserve"> PAGEREF tit127 \h </w:instrText>
        </w:r>
        <w:r>
          <w:fldChar w:fldCharType="separate"/>
        </w:r>
        <w:r>
          <w:t>160</w:t>
        </w:r>
        <w:r>
          <w:fldChar w:fldCharType="end"/>
        </w:r>
      </w:hyperlink>
    </w:p>
    <w:p>
      <w:pPr>
        <w:pStyle w:val="toc3"/>
      </w:pPr>
      <w:hyperlink w:anchor="tit128" w:history="1">
        <w:r>
          <w:t xml:space="preserve">2.6.8 Mejora: no conformidades, acción correctiva y mejora continua</w:t>
        </w:r>
        <w:r>
          <w:tab/>
        </w:r>
        <w:r>
          <w:fldChar w:fldCharType="begin"/>
        </w:r>
        <w:r>
          <w:instrText xml:space="preserve"> PAGEREF tit128 \h </w:instrText>
        </w:r>
        <w:r>
          <w:fldChar w:fldCharType="separate"/>
        </w:r>
        <w:r>
          <w:t>162</w:t>
        </w:r>
        <w:r>
          <w:fldChar w:fldCharType="end"/>
        </w:r>
      </w:hyperlink>
    </w:p>
    <w:p>
      <w:pPr>
        <w:pStyle w:val="toc3"/>
      </w:pPr>
      <w:hyperlink w:anchor="tit129" w:history="1">
        <w:r>
          <w:t xml:space="preserve">2.6.9 Registro de costos de la calidad</w:t>
        </w:r>
        <w:r>
          <w:tab/>
        </w:r>
        <w:r>
          <w:fldChar w:fldCharType="begin"/>
        </w:r>
        <w:r>
          <w:instrText xml:space="preserve"> PAGEREF tit129 \h </w:instrText>
        </w:r>
        <w:r>
          <w:fldChar w:fldCharType="separate"/>
        </w:r>
        <w:r>
          <w:t>164</w:t>
        </w:r>
        <w:r>
          <w:fldChar w:fldCharType="end"/>
        </w:r>
      </w:hyperlink>
    </w:p>
    <w:p>
      <w:pPr>
        <w:pStyle w:val="toc3"/>
      </w:pPr>
      <w:hyperlink w:anchor="tit130" w:history="1">
        <w:r>
          <w:t xml:space="preserve">2.6.10 Matriz de trazabilidad entre brechas, requisitos, componentes e indicadores</w:t>
        </w:r>
        <w:r>
          <w:tab/>
        </w:r>
        <w:r>
          <w:fldChar w:fldCharType="begin"/>
        </w:r>
        <w:r>
          <w:instrText xml:space="preserve"> PAGEREF tit130 \h </w:instrText>
        </w:r>
        <w:r>
          <w:fldChar w:fldCharType="separate"/>
        </w:r>
        <w:r>
          <w:t>167</w:t>
        </w:r>
        <w:r>
          <w:fldChar w:fldCharType="end"/>
        </w:r>
      </w:hyperlink>
    </w:p>
    <w:p>
      <w:pPr>
        <w:pStyle w:val="toc2"/>
      </w:pPr>
      <w:hyperlink w:anchor="tit131" w:history="1">
        <w:r>
          <w:t xml:space="preserve">2.7 Procedimiento de implementación y toma de observaciones</w:t>
        </w:r>
        <w:r>
          <w:tab/>
        </w:r>
        <w:r>
          <w:fldChar w:fldCharType="begin"/>
        </w:r>
        <w:r>
          <w:instrText xml:space="preserve"> PAGEREF tit131 \h </w:instrText>
        </w:r>
        <w:r>
          <w:fldChar w:fldCharType="separate"/>
        </w:r>
        <w:r>
          <w:t>169</w:t>
        </w:r>
        <w:r>
          <w:fldChar w:fldCharType="end"/>
        </w:r>
      </w:hyperlink>
    </w:p>
    <w:p>
      <w:pPr>
        <w:pStyle w:val="toc3"/>
      </w:pPr>
      <w:hyperlink w:anchor="tit132" w:history="1">
        <w:r>
          <w:t xml:space="preserve">2.7.1 Implementación prevista en la segunda y tercera losa</w:t>
        </w:r>
        <w:r>
          <w:tab/>
        </w:r>
        <w:r>
          <w:fldChar w:fldCharType="begin"/>
        </w:r>
        <w:r>
          <w:instrText xml:space="preserve"> PAGEREF tit132 \h </w:instrText>
        </w:r>
        <w:r>
          <w:fldChar w:fldCharType="separate"/>
        </w:r>
        <w:r>
          <w:t>169</w:t>
        </w:r>
        <w:r>
          <w:fldChar w:fldCharType="end"/>
        </w:r>
      </w:hyperlink>
    </w:p>
    <w:p>
      <w:pPr>
        <w:pStyle w:val="toc3"/>
      </w:pPr>
      <w:hyperlink w:anchor="tit133" w:history="1">
        <w:r>
          <w:t xml:space="preserve">2.7.2 Evaluación ex ante mediante modelación y simulación</w:t>
        </w:r>
        <w:r>
          <w:tab/>
        </w:r>
        <w:r>
          <w:fldChar w:fldCharType="begin"/>
        </w:r>
        <w:r>
          <w:instrText xml:space="preserve"> PAGEREF tit133 \h </w:instrText>
        </w:r>
        <w:r>
          <w:fldChar w:fldCharType="separate"/>
        </w:r>
        <w:r>
          <w:t>171</w:t>
        </w:r>
        <w:r>
          <w:fldChar w:fldCharType="end"/>
        </w:r>
      </w:hyperlink>
    </w:p>
    <w:p>
      <w:pPr>
        <w:pStyle w:val="toc2"/>
      </w:pPr>
      <w:hyperlink w:anchor="tit134" w:history="1">
        <w:r>
          <w:t xml:space="preserve">2.8 Validación de las observaciones, del modelo y de los instrumentos</w:t>
        </w:r>
        <w:r>
          <w:tab/>
        </w:r>
        <w:r>
          <w:fldChar w:fldCharType="begin"/>
        </w:r>
        <w:r>
          <w:instrText xml:space="preserve"> PAGEREF tit134 \h </w:instrText>
        </w:r>
        <w:r>
          <w:fldChar w:fldCharType="separate"/>
        </w:r>
        <w:r>
          <w:t>173</w:t>
        </w:r>
        <w:r>
          <w:fldChar w:fldCharType="end"/>
        </w:r>
      </w:hyperlink>
    </w:p>
    <w:p>
      <w:pPr>
        <w:pStyle w:val="toc2"/>
      </w:pPr>
      <w:hyperlink w:anchor="tit135" w:history="1">
        <w:r>
          <w:t xml:space="preserve">2.9 Plan de análisis y contraste de hipótesis</w:t>
        </w:r>
        <w:r>
          <w:tab/>
        </w:r>
        <w:r>
          <w:fldChar w:fldCharType="begin"/>
        </w:r>
        <w:r>
          <w:instrText xml:space="preserve"> PAGEREF tit135 \h </w:instrText>
        </w:r>
        <w:r>
          <w:fldChar w:fldCharType="separate"/>
        </w:r>
        <w:r>
          <w:t>174</w:t>
        </w:r>
        <w:r>
          <w:fldChar w:fldCharType="end"/>
        </w:r>
      </w:hyperlink>
    </w:p>
    <w:p>
      <w:pPr>
        <w:pStyle w:val="toc3"/>
      </w:pPr>
      <w:hyperlink w:anchor="tit136" w:history="1">
        <w:r>
          <w:t xml:space="preserve">2.9.1 Verificación futura con datos de obra</w:t>
        </w:r>
        <w:r>
          <w:tab/>
        </w:r>
        <w:r>
          <w:fldChar w:fldCharType="begin"/>
        </w:r>
        <w:r>
          <w:instrText xml:space="preserve"> PAGEREF tit136 \h </w:instrText>
        </w:r>
        <w:r>
          <w:fldChar w:fldCharType="separate"/>
        </w:r>
        <w:r>
          <w:t>175</w:t>
        </w:r>
        <w:r>
          <w:fldChar w:fldCharType="end"/>
        </w:r>
      </w:hyperlink>
    </w:p>
    <w:p>
      <w:pPr>
        <w:pStyle w:val="toc1"/>
      </w:pPr>
      <w:hyperlink w:anchor="tit137" w:history="1">
        <w:r>
          <w:t xml:space="preserve">Capítulo 3. PRESENTACIÓN DE RESULTADOS Y ANÁLISIS DE LOS MISMOS</w:t>
        </w:r>
        <w:r>
          <w:tab/>
        </w:r>
        <w:r>
          <w:fldChar w:fldCharType="begin"/>
        </w:r>
        <w:r>
          <w:instrText xml:space="preserve"> PAGEREF tit137 \h </w:instrText>
        </w:r>
        <w:r>
          <w:fldChar w:fldCharType="separate"/>
        </w:r>
        <w:r>
          <w:t>177</w:t>
        </w:r>
        <w:r>
          <w:fldChar w:fldCharType="end"/>
        </w:r>
      </w:hyperlink>
    </w:p>
    <w:p>
      <w:pPr>
        <w:pStyle w:val="toc2"/>
      </w:pPr>
      <w:hyperlink w:anchor="tit138" w:history="1">
        <w:r>
          <w:t xml:space="preserve">3.1 Resultados del diagnóstico y de la línea base</w:t>
        </w:r>
        <w:r>
          <w:tab/>
        </w:r>
        <w:r>
          <w:fldChar w:fldCharType="begin"/>
        </w:r>
        <w:r>
          <w:instrText xml:space="preserve"> PAGEREF tit138 \h </w:instrText>
        </w:r>
        <w:r>
          <w:fldChar w:fldCharType="separate"/>
        </w:r>
        <w:r>
          <w:t>177</w:t>
        </w:r>
        <w:r>
          <w:fldChar w:fldCharType="end"/>
        </w:r>
      </w:hyperlink>
    </w:p>
    <w:p>
      <w:pPr>
        <w:pStyle w:val="toc2"/>
      </w:pPr>
      <w:hyperlink w:anchor="tit139" w:history="1">
        <w:r>
          <w:t xml:space="preserve">3.2 Resultados de la aplicación del SGC en el control de materiales</w:t>
        </w:r>
        <w:r>
          <w:tab/>
        </w:r>
        <w:r>
          <w:fldChar w:fldCharType="begin"/>
        </w:r>
        <w:r>
          <w:instrText xml:space="preserve"> PAGEREF tit139 \h </w:instrText>
        </w:r>
        <w:r>
          <w:fldChar w:fldCharType="separate"/>
        </w:r>
        <w:r>
          <w:t>177</w:t>
        </w:r>
        <w:r>
          <w:fldChar w:fldCharType="end"/>
        </w:r>
      </w:hyperlink>
    </w:p>
    <w:p>
      <w:pPr>
        <w:pStyle w:val="toc2"/>
      </w:pPr>
      <w:hyperlink w:anchor="tit140" w:history="1">
        <w:r>
          <w:t xml:space="preserve">3.3 Resultados del control de calidad de materiales y del hormigón</w:t>
        </w:r>
        <w:r>
          <w:tab/>
        </w:r>
        <w:r>
          <w:fldChar w:fldCharType="begin"/>
        </w:r>
        <w:r>
          <w:instrText xml:space="preserve"> PAGEREF tit140 \h </w:instrText>
        </w:r>
        <w:r>
          <w:fldChar w:fldCharType="separate"/>
        </w:r>
        <w:r>
          <w:t>177</w:t>
        </w:r>
        <w:r>
          <w:fldChar w:fldCharType="end"/>
        </w:r>
      </w:hyperlink>
    </w:p>
    <w:p>
      <w:pPr>
        <w:pStyle w:val="toc2"/>
      </w:pPr>
      <w:hyperlink w:anchor="tit141" w:history="1">
        <w:r>
          <w:t xml:space="preserve">3.4 Resultados de costos</w:t>
        </w:r>
        <w:r>
          <w:tab/>
        </w:r>
        <w:r>
          <w:fldChar w:fldCharType="begin"/>
        </w:r>
        <w:r>
          <w:instrText xml:space="preserve"> PAGEREF tit141 \h </w:instrText>
        </w:r>
        <w:r>
          <w:fldChar w:fldCharType="separate"/>
        </w:r>
        <w:r>
          <w:t>177</w:t>
        </w:r>
        <w:r>
          <w:fldChar w:fldCharType="end"/>
        </w:r>
      </w:hyperlink>
    </w:p>
    <w:p>
      <w:pPr>
        <w:pStyle w:val="toc2"/>
      </w:pPr>
      <w:hyperlink w:anchor="tit142" w:history="1">
        <w:r>
          <w:t xml:space="preserve">3.5 Contraste de hipótesis</w:t>
        </w:r>
        <w:r>
          <w:tab/>
        </w:r>
        <w:r>
          <w:fldChar w:fldCharType="begin"/>
        </w:r>
        <w:r>
          <w:instrText xml:space="preserve"> PAGEREF tit142 \h </w:instrText>
        </w:r>
        <w:r>
          <w:fldChar w:fldCharType="separate"/>
        </w:r>
        <w:r>
          <w:t>177</w:t>
        </w:r>
        <w:r>
          <w:fldChar w:fldCharType="end"/>
        </w:r>
      </w:hyperlink>
    </w:p>
    <w:p>
      <w:pPr>
        <w:pStyle w:val="toc2"/>
      </w:pPr>
      <w:hyperlink w:anchor="tit143" w:history="1">
        <w:r>
          <w:t xml:space="preserve">3.6 Validación del SGC por juicio de expertos</w:t>
        </w:r>
        <w:r>
          <w:tab/>
        </w:r>
        <w:r>
          <w:fldChar w:fldCharType="begin"/>
        </w:r>
        <w:r>
          <w:instrText xml:space="preserve"> PAGEREF tit143 \h </w:instrText>
        </w:r>
        <w:r>
          <w:fldChar w:fldCharType="separate"/>
        </w:r>
        <w:r>
          <w:t>177</w:t>
        </w:r>
        <w:r>
          <w:fldChar w:fldCharType="end"/>
        </w:r>
      </w:hyperlink>
    </w:p>
    <w:p>
      <w:pPr>
        <w:pStyle w:val="toc2"/>
      </w:pPr>
      <w:hyperlink w:anchor="tit144" w:history="1">
        <w:r>
          <w:t xml:space="preserve">3.7 Discusión de resultados</w:t>
        </w:r>
        <w:r>
          <w:tab/>
        </w:r>
        <w:r>
          <w:fldChar w:fldCharType="begin"/>
        </w:r>
        <w:r>
          <w:instrText xml:space="preserve"> PAGEREF tit144 \h </w:instrText>
        </w:r>
        <w:r>
          <w:fldChar w:fldCharType="separate"/>
        </w:r>
        <w:r>
          <w:t>177</w:t>
        </w:r>
        <w:r>
          <w:fldChar w:fldCharType="end"/>
        </w:r>
      </w:hyperlink>
    </w:p>
    <w:p>
      <w:pPr>
        <w:pStyle w:val="toc1"/>
      </w:pPr>
      <w:hyperlink w:anchor="tit145" w:history="1">
        <w:r>
          <w:t xml:space="preserve">CONCLUSIONES Y RECOMENDACIONES</w:t>
        </w:r>
        <w:r>
          <w:tab/>
        </w:r>
        <w:r>
          <w:fldChar w:fldCharType="begin"/>
        </w:r>
        <w:r>
          <w:instrText xml:space="preserve"> PAGEREF tit145 \h </w:instrText>
        </w:r>
        <w:r>
          <w:fldChar w:fldCharType="separate"/>
        </w:r>
        <w:r>
          <w:t>178</w:t>
        </w:r>
        <w:r>
          <w:fldChar w:fldCharType="end"/>
        </w:r>
      </w:hyperlink>
    </w:p>
    <w:p>
      <w:pPr>
        <w:pStyle w:val="toc2"/>
      </w:pPr>
      <w:hyperlink w:anchor="tit146" w:history="1">
        <w:r>
          <w:t xml:space="preserve">1 Conclusión general</w:t>
        </w:r>
        <w:r>
          <w:tab/>
        </w:r>
        <w:r>
          <w:fldChar w:fldCharType="begin"/>
        </w:r>
        <w:r>
          <w:instrText xml:space="preserve"> PAGEREF tit146 \h </w:instrText>
        </w:r>
        <w:r>
          <w:fldChar w:fldCharType="separate"/>
        </w:r>
        <w:r>
          <w:t>178</w:t>
        </w:r>
        <w:r>
          <w:fldChar w:fldCharType="end"/>
        </w:r>
      </w:hyperlink>
    </w:p>
    <w:p>
      <w:pPr>
        <w:pStyle w:val="toc2"/>
      </w:pPr>
      <w:hyperlink w:anchor="tit147" w:history="1">
        <w:r>
          <w:t xml:space="preserve">2 Conclusiones específicas</w:t>
        </w:r>
        <w:r>
          <w:tab/>
        </w:r>
        <w:r>
          <w:fldChar w:fldCharType="begin"/>
        </w:r>
        <w:r>
          <w:instrText xml:space="preserve"> PAGEREF tit147 \h </w:instrText>
        </w:r>
        <w:r>
          <w:fldChar w:fldCharType="separate"/>
        </w:r>
        <w:r>
          <w:t>178</w:t>
        </w:r>
        <w:r>
          <w:fldChar w:fldCharType="end"/>
        </w:r>
      </w:hyperlink>
    </w:p>
    <w:p>
      <w:pPr>
        <w:pStyle w:val="toc2"/>
      </w:pPr>
      <w:hyperlink w:anchor="tit148" w:history="1">
        <w:r>
          <w:t xml:space="preserve">3 Recomendaciones</w:t>
        </w:r>
        <w:r>
          <w:tab/>
        </w:r>
        <w:r>
          <w:fldChar w:fldCharType="begin"/>
        </w:r>
        <w:r>
          <w:instrText xml:space="preserve"> PAGEREF tit148 \h </w:instrText>
        </w:r>
        <w:r>
          <w:fldChar w:fldCharType="separate"/>
        </w:r>
        <w:r>
          <w:t>178</w:t>
        </w:r>
        <w:r>
          <w:fldChar w:fldCharType="end"/>
        </w:r>
      </w:hyperlink>
    </w:p>
    <w:p>
      <w:pPr>
        <w:pStyle w:val="toc1"/>
      </w:pPr>
      <w:hyperlink w:anchor="tit149" w:history="1">
        <w:r>
          <w:t xml:space="preserve">Bibliografía</w:t>
        </w:r>
        <w:r>
          <w:tab/>
        </w:r>
        <w:r>
          <w:fldChar w:fldCharType="begin"/>
        </w:r>
        <w:r>
          <w:instrText xml:space="preserve"> PAGEREF tit149 \h </w:instrText>
        </w:r>
        <w:r>
          <w:fldChar w:fldCharType="separate"/>
        </w:r>
        <w:r>
          <w:t>179</w:t>
        </w:r>
        <w:r>
          <w:fldChar w:fldCharType="end"/>
        </w:r>
      </w:hyperlink>
    </w:p>
    <w:p>
      <w:pPr>
        <w:pStyle w:val="toc1"/>
      </w:pPr>
      <w:hyperlink w:anchor="tit150" w:history="1">
        <w:r>
          <w:t xml:space="preserve">ANEXOS</w:t>
        </w:r>
        <w:r>
          <w:tab/>
        </w:r>
        <w:r>
          <w:fldChar w:fldCharType="begin"/>
        </w:r>
        <w:r>
          <w:instrText xml:space="preserve"> PAGEREF tit150 \h </w:instrText>
        </w:r>
        <w:r>
          <w:fldChar w:fldCharType="separate"/>
        </w:r>
        <w:r>
          <w:t>190</w:t>
        </w:r>
        <w:r>
          <w:fldChar w:fldCharType="end"/>
        </w:r>
      </w:hyperlink>
    </w:p>
    <w:p>
      <w:pPr>
        <w:pStyle w:val="toc1"/>
      </w:pPr>
      <w:hyperlink w:anchor="tit151" w:history="1">
        <w:r>
          <w:t xml:space="preserve">Anexo A. MATRIZ DE CONSISTENCIA</w:t>
        </w:r>
        <w:r>
          <w:tab/>
        </w:r>
        <w:r>
          <w:fldChar w:fldCharType="begin"/>
        </w:r>
        <w:r>
          <w:instrText xml:space="preserve"> PAGEREF tit151 \h </w:instrText>
        </w:r>
        <w:r>
          <w:fldChar w:fldCharType="separate"/>
        </w:r>
        <w:r>
          <w:t>191</w:t>
        </w:r>
        <w:r>
          <w:fldChar w:fldCharType="end"/>
        </w:r>
      </w:hyperlink>
    </w:p>
    <w:p>
      <w:pPr>
        <w:pStyle w:val="toc1"/>
      </w:pPr>
      <w:hyperlink w:anchor="tit152" w:history="1">
        <w:r>
          <w:t xml:space="preserve">Anexo B. OPERACIONALIZACIÓN DE VARIABLES</w:t>
        </w:r>
        <w:r>
          <w:tab/>
        </w:r>
        <w:r>
          <w:fldChar w:fldCharType="begin"/>
        </w:r>
        <w:r>
          <w:instrText xml:space="preserve"> PAGEREF tit152 \h </w:instrText>
        </w:r>
        <w:r>
          <w:fldChar w:fldCharType="separate"/>
        </w:r>
        <w:r>
          <w:t>193</w:t>
        </w:r>
        <w:r>
          <w:fldChar w:fldCharType="end"/>
        </w:r>
      </w:hyperlink>
    </w:p>
    <w:p>
      <w:pPr>
        <w:pStyle w:val="toc1"/>
      </w:pPr>
      <w:hyperlink w:anchor="tit153" w:history="1">
        <w:r>
          <w:t xml:space="preserve">Anexo C. INSTRUMENTOS DE RECOLECCIÓN DE DATOS Y FORMATOS DEL SGC</w:t>
        </w:r>
        <w:r>
          <w:tab/>
        </w:r>
        <w:r>
          <w:fldChar w:fldCharType="begin"/>
        </w:r>
        <w:r>
          <w:instrText xml:space="preserve"> PAGEREF tit153 \h </w:instrText>
        </w:r>
        <w:r>
          <w:fldChar w:fldCharType="separate"/>
        </w:r>
        <w:r>
          <w:t>194</w:t>
        </w:r>
        <w:r>
          <w:fldChar w:fldCharType="end"/>
        </w:r>
      </w:hyperlink>
    </w:p>
    <w:p>
      <w:pPr>
        <w:pStyle w:val="toc2"/>
      </w:pPr>
      <w:hyperlink w:anchor="tit154" w:history="1">
        <w:r>
          <w:t xml:space="preserve">C.1. Lista de verificación de requisitos de ISO 9001:2026 (primera losa)</w:t>
        </w:r>
        <w:r>
          <w:tab/>
        </w:r>
        <w:r>
          <w:fldChar w:fldCharType="begin"/>
        </w:r>
        <w:r>
          <w:instrText xml:space="preserve"> PAGEREF tit154 \h </w:instrText>
        </w:r>
        <w:r>
          <w:fldChar w:fldCharType="separate"/>
        </w:r>
        <w:r>
          <w:t>194</w:t>
        </w:r>
        <w:r>
          <w:fldChar w:fldCharType="end"/>
        </w:r>
      </w:hyperlink>
    </w:p>
    <w:p>
      <w:pPr>
        <w:pStyle w:val="toc2"/>
      </w:pPr>
      <w:hyperlink w:anchor="tit155" w:history="1">
        <w:r>
          <w:t xml:space="preserve">C.2. Fichas PPI de liberación por paño</w:t>
        </w:r>
        <w:r>
          <w:tab/>
        </w:r>
        <w:r>
          <w:fldChar w:fldCharType="begin"/>
        </w:r>
        <w:r>
          <w:instrText xml:space="preserve"> PAGEREF tit155 \h </w:instrText>
        </w:r>
        <w:r>
          <w:fldChar w:fldCharType="separate"/>
        </w:r>
        <w:r>
          <w:t>206</w:t>
        </w:r>
        <w:r>
          <w:fldChar w:fldCharType="end"/>
        </w:r>
      </w:hyperlink>
    </w:p>
    <w:p>
      <w:pPr>
        <w:pStyle w:val="toc2"/>
      </w:pPr>
      <w:hyperlink w:anchor="tit156" w:history="1">
        <w:r>
          <w:t xml:space="preserve">C.3. Ficha de recepción de materiales</w:t>
        </w:r>
        <w:r>
          <w:tab/>
        </w:r>
        <w:r>
          <w:fldChar w:fldCharType="begin"/>
        </w:r>
        <w:r>
          <w:instrText xml:space="preserve"> PAGEREF tit156 \h </w:instrText>
        </w:r>
        <w:r>
          <w:fldChar w:fldCharType="separate"/>
        </w:r>
        <w:r>
          <w:t>209</w:t>
        </w:r>
        <w:r>
          <w:fldChar w:fldCharType="end"/>
        </w:r>
      </w:hyperlink>
    </w:p>
    <w:p>
      <w:pPr>
        <w:pStyle w:val="toc2"/>
      </w:pPr>
      <w:hyperlink w:anchor="tit157" w:history="1">
        <w:r>
          <w:t xml:space="preserve">C.4. Ficha de control de materiales y conciliación por paño</w:t>
        </w:r>
        <w:r>
          <w:tab/>
        </w:r>
        <w:r>
          <w:fldChar w:fldCharType="begin"/>
        </w:r>
        <w:r>
          <w:instrText xml:space="preserve"> PAGEREF tit157 \h </w:instrText>
        </w:r>
        <w:r>
          <w:fldChar w:fldCharType="separate"/>
        </w:r>
        <w:r>
          <w:t>211</w:t>
        </w:r>
        <w:r>
          <w:fldChar w:fldCharType="end"/>
        </w:r>
      </w:hyperlink>
    </w:p>
    <w:p>
      <w:pPr>
        <w:pStyle w:val="toc2"/>
      </w:pPr>
      <w:hyperlink w:anchor="tit158" w:history="1">
        <w:r>
          <w:t xml:space="preserve">C.5. Registro de no conformidades y acción correctiva</w:t>
        </w:r>
        <w:r>
          <w:tab/>
        </w:r>
        <w:r>
          <w:fldChar w:fldCharType="begin"/>
        </w:r>
        <w:r>
          <w:instrText xml:space="preserve"> PAGEREF tit158 \h </w:instrText>
        </w:r>
        <w:r>
          <w:fldChar w:fldCharType="separate"/>
        </w:r>
        <w:r>
          <w:t>213</w:t>
        </w:r>
        <w:r>
          <w:fldChar w:fldCharType="end"/>
        </w:r>
      </w:hyperlink>
    </w:p>
    <w:p>
      <w:pPr>
        <w:pStyle w:val="toc2"/>
      </w:pPr>
      <w:hyperlink w:anchor="tit159" w:history="1">
        <w:r>
          <w:t xml:space="preserve">C.6. Planilla de costos de la calidad (modelo PAF)</w:t>
        </w:r>
        <w:r>
          <w:tab/>
        </w:r>
        <w:r>
          <w:fldChar w:fldCharType="begin"/>
        </w:r>
        <w:r>
          <w:instrText xml:space="preserve"> PAGEREF tit159 \h </w:instrText>
        </w:r>
        <w:r>
          <w:fldChar w:fldCharType="separate"/>
        </w:r>
        <w:r>
          <w:t>214</w:t>
        </w:r>
        <w:r>
          <w:fldChar w:fldCharType="end"/>
        </w:r>
      </w:hyperlink>
    </w:p>
    <w:p>
      <w:pPr>
        <w:pStyle w:val="toc2"/>
      </w:pPr>
      <w:hyperlink w:anchor="tit160" w:history="1">
        <w:r>
          <w:t xml:space="preserve">C.7. Guía de entrevista semiestructurada</w:t>
        </w:r>
        <w:r>
          <w:tab/>
        </w:r>
        <w:r>
          <w:fldChar w:fldCharType="begin"/>
        </w:r>
        <w:r>
          <w:instrText xml:space="preserve"> PAGEREF tit160 \h </w:instrText>
        </w:r>
        <w:r>
          <w:fldChar w:fldCharType="separate"/>
        </w:r>
        <w:r>
          <w:t>216</w:t>
        </w:r>
        <w:r>
          <w:fldChar w:fldCharType="end"/>
        </w:r>
      </w:hyperlink>
    </w:p>
    <w:p>
      <w:pPr>
        <w:pStyle w:val="toc2"/>
      </w:pPr>
      <w:hyperlink w:anchor="tit161" w:history="1">
        <w:r>
          <w:t xml:space="preserve">C.8. Formato de validación por juicio de expertos</w:t>
        </w:r>
        <w:r>
          <w:tab/>
        </w:r>
        <w:r>
          <w:fldChar w:fldCharType="begin"/>
        </w:r>
        <w:r>
          <w:instrText xml:space="preserve"> PAGEREF tit161 \h </w:instrText>
        </w:r>
        <w:r>
          <w:fldChar w:fldCharType="separate"/>
        </w:r>
        <w:r>
          <w:t>218</w:t>
        </w:r>
        <w:r>
          <w:fldChar w:fldCharType="end"/>
        </w:r>
      </w:hyperlink>
    </w:p>
    <w:p>
      <w:pPr>
        <w:pStyle w:val="toc1"/>
      </w:pPr>
      <w:hyperlink w:anchor="tit162" w:history="1">
        <w:r>
          <w:t xml:space="preserve">Anexo D. VALIDACIÓN DE INSTRUMENTOS POR JUICIO DE EXPERTOS</w:t>
        </w:r>
        <w:r>
          <w:tab/>
        </w:r>
        <w:r>
          <w:fldChar w:fldCharType="begin"/>
        </w:r>
        <w:r>
          <w:instrText xml:space="preserve"> PAGEREF tit162 \h </w:instrText>
        </w:r>
        <w:r>
          <w:fldChar w:fldCharType="separate"/>
        </w:r>
        <w:r>
          <w:t>222</w:t>
        </w:r>
        <w:r>
          <w:fldChar w:fldCharType="end"/>
        </w:r>
      </w:hyperlink>
    </w:p>
    <w:p>
      <w:pPr>
        <w:pStyle w:val="toc1"/>
      </w:pPr>
      <w:hyperlink w:anchor="tit163" w:history="1">
        <w:r>
          <w:t xml:space="preserve">Anexo E. PLANOS DE LA PRIMERA LOSA</w:t>
        </w:r>
        <w:r>
          <w:tab/>
        </w:r>
        <w:r>
          <w:fldChar w:fldCharType="begin"/>
        </w:r>
        <w:r>
          <w:instrText xml:space="preserve"> PAGEREF tit163 \h </w:instrText>
        </w:r>
        <w:r>
          <w:fldChar w:fldCharType="separate"/>
        </w:r>
        <w:r>
          <w:t>223</w:t>
        </w:r>
        <w:r>
          <w:fldChar w:fldCharType="end"/>
        </w:r>
      </w:hyperlink>
    </w:p>
    <w:p>
      <w:pPr>
        <w:pStyle w:val="toc1"/>
      </w:pPr>
      <w:hyperlink w:anchor="tit164" w:history="1">
        <w:r>
          <w:t xml:space="preserve">Anexo F. CÓMPUTOS MÉTRICOS Y PLANILLAS DE AVANCE</w:t>
        </w:r>
        <w:r>
          <w:tab/>
        </w:r>
        <w:r>
          <w:fldChar w:fldCharType="begin"/>
        </w:r>
        <w:r>
          <w:instrText xml:space="preserve"> PAGEREF tit164 \h </w:instrText>
        </w:r>
        <w:r>
          <w:fldChar w:fldCharType="separate"/>
        </w:r>
        <w:r>
          <w:t>227</w:t>
        </w:r>
        <w:r>
          <w:fldChar w:fldCharType="end"/>
        </w:r>
      </w:hyperlink>
    </w:p>
    <w:p>
      <w:pPr>
        <w:pStyle w:val="toc1"/>
      </w:pPr>
      <w:hyperlink w:anchor="tit165" w:history="1">
        <w:r>
          <w:t xml:space="preserve">Anexo G. CERTIFICADOS DE CALIDAD DE MATERIALES</w:t>
        </w:r>
        <w:r>
          <w:tab/>
        </w:r>
        <w:r>
          <w:fldChar w:fldCharType="begin"/>
        </w:r>
        <w:r>
          <w:instrText xml:space="preserve"> PAGEREF tit165 \h </w:instrText>
        </w:r>
        <w:r>
          <w:fldChar w:fldCharType="separate"/>
        </w:r>
        <w:r>
          <w:t>230</w:t>
        </w:r>
        <w:r>
          <w:fldChar w:fldCharType="end"/>
        </w:r>
      </w:hyperlink>
    </w:p>
    <w:p>
      <w:pPr>
        <w:pStyle w:val="toc1"/>
      </w:pPr>
      <w:hyperlink w:anchor="tit166" w:history="1">
        <w:r>
          <w:t xml:space="preserve">Anexo H. RESULTADOS DE ENSAYOS DE LABORATORIO</w:t>
        </w:r>
        <w:r>
          <w:tab/>
        </w:r>
        <w:r>
          <w:fldChar w:fldCharType="begin"/>
        </w:r>
        <w:r>
          <w:instrText xml:space="preserve"> PAGEREF tit166 \h </w:instrText>
        </w:r>
        <w:r>
          <w:fldChar w:fldCharType="separate"/>
        </w:r>
        <w:r>
          <w:t>233</w:t>
        </w:r>
        <w:r>
          <w:fldChar w:fldCharType="end"/>
        </w:r>
      </w:hyperlink>
    </w:p>
    <w:p>
      <w:pPr>
        <w:pStyle w:val="toc1"/>
      </w:pPr>
      <w:hyperlink w:anchor="tit167" w:history="1">
        <w:r>
          <w:t xml:space="preserve">Anexo I. ANÁLISIS DE PRECIOS UNITARIOS DE REFERENCIA</w:t>
        </w:r>
        <w:r>
          <w:tab/>
        </w:r>
        <w:r>
          <w:fldChar w:fldCharType="begin"/>
        </w:r>
        <w:r>
          <w:instrText xml:space="preserve"> PAGEREF tit167 \h </w:instrText>
        </w:r>
        <w:r>
          <w:fldChar w:fldCharType="separate"/>
        </w:r>
        <w:r>
          <w:t>236</w:t>
        </w:r>
        <w:r>
          <w:fldChar w:fldCharType="end"/>
        </w:r>
      </w:hyperlink>
    </w:p>
    <w:p>
      <w:pPr>
        <w:pStyle w:val="toc2"/>
      </w:pPr>
      <w:hyperlink w:anchor="tit168" w:history="1">
        <w:r>
          <w:t xml:space="preserve">I.1. APU de referencia del ítem 13</w:t>
        </w:r>
        <w:r>
          <w:tab/>
        </w:r>
        <w:r>
          <w:fldChar w:fldCharType="begin"/>
        </w:r>
        <w:r>
          <w:instrText xml:space="preserve"> PAGEREF tit168 \h </w:instrText>
        </w:r>
        <w:r>
          <w:fldChar w:fldCharType="separate"/>
        </w:r>
        <w:r>
          <w:t>236</w:t>
        </w:r>
        <w:r>
          <w:fldChar w:fldCharType="end"/>
        </w:r>
      </w:hyperlink>
    </w:p>
    <w:p>
      <w:pPr>
        <w:pStyle w:val="toc2"/>
      </w:pPr>
      <w:hyperlink w:anchor="tit169" w:history="1">
        <w:r>
          <w:t xml:space="preserve">I.2. APU de referencia del acero</w:t>
        </w:r>
        <w:r>
          <w:tab/>
        </w:r>
        <w:r>
          <w:fldChar w:fldCharType="begin"/>
        </w:r>
        <w:r>
          <w:instrText xml:space="preserve"> PAGEREF tit169 \h </w:instrText>
        </w:r>
        <w:r>
          <w:fldChar w:fldCharType="separate"/>
        </w:r>
        <w:r>
          <w:t>237</w:t>
        </w:r>
        <w:r>
          <w:fldChar w:fldCharType="end"/>
        </w:r>
      </w:hyperlink>
    </w:p>
    <w:p>
      <w:pPr>
        <w:pStyle w:val="toc1"/>
      </w:pPr>
      <w:hyperlink w:anchor="tit170" w:history="1">
        <w:r>
          <w:t xml:space="preserve">Anexo J. PANEL FOTOGRÁFICO</w:t>
        </w:r>
        <w:r>
          <w:tab/>
        </w:r>
        <w:r>
          <w:fldChar w:fldCharType="begin"/>
        </w:r>
        <w:r>
          <w:instrText xml:space="preserve"> PAGEREF tit170 \h </w:instrText>
        </w:r>
        <w:r>
          <w:fldChar w:fldCharType="separate"/>
        </w:r>
        <w:r>
          <w:t>239</w:t>
        </w:r>
        <w:r>
          <w:fldChar w:fldCharType="end"/>
        </w:r>
      </w:hyperlink>
    </w:p>
    <w:p>
      <w:pPr>
        <w:pStyle w:val="toc1"/>
      </w:pPr>
      <w:hyperlink w:anchor="tit171" w:history="1">
        <w:r>
          <w:t xml:space="preserve">Anexo K. DOCUMENTOS DE CONTEXTO</w:t>
        </w:r>
        <w:r>
          <w:tab/>
        </w:r>
        <w:r>
          <w:fldChar w:fldCharType="begin"/>
        </w:r>
        <w:r>
          <w:instrText xml:space="preserve"> PAGEREF tit171 \h </w:instrText>
        </w:r>
        <w:r>
          <w:fldChar w:fldCharType="separate"/>
        </w:r>
        <w:r>
          <w:t>244</w:t>
        </w:r>
        <w:r>
          <w:fldChar w:fldCharType="end"/>
        </w:r>
      </w:hyperlink>
    </w:p>
    <w:p>
      <w:pPr>
        <w:pStyle w:val="toc1"/>
      </w:pPr>
      <w:hyperlink w:anchor="tit172" w:history="1">
        <w:r>
          <w:t xml:space="preserve">Anexo L. MODELO DE COSTOS Y SIMULACIÓN DE MONTE CARLO</w:t>
        </w:r>
        <w:r>
          <w:tab/>
        </w:r>
        <w:r>
          <w:fldChar w:fldCharType="begin"/>
        </w:r>
        <w:r>
          <w:instrText xml:space="preserve"> PAGEREF tit172 \h </w:instrText>
        </w:r>
        <w:r>
          <w:fldChar w:fldCharType="separate"/>
        </w:r>
        <w:r>
          <w:t>246</w:t>
        </w:r>
        <w:r>
          <w:fldChar w:fldCharType="end"/>
        </w:r>
      </w:hyperlink>
    </w:p>
    <w:p>
      <w:pPr>
        <w:pStyle w:val="toc2"/>
      </w:pPr>
      <w:hyperlink w:anchor="tit173" w:history="1">
        <w:r>
          <w:t xml:space="preserve">L.1. Parámetros inciertos y sus fuentes</w:t>
        </w:r>
        <w:r>
          <w:tab/>
        </w:r>
        <w:r>
          <w:fldChar w:fldCharType="begin"/>
        </w:r>
        <w:r>
          <w:instrText xml:space="preserve"> PAGEREF tit173 \h </w:instrText>
        </w:r>
        <w:r>
          <w:fldChar w:fldCharType="separate"/>
        </w:r>
        <w:r>
          <w:t>246</w:t>
        </w:r>
        <w:r>
          <w:fldChar w:fldCharType="end"/>
        </w:r>
      </w:hyperlink>
    </w:p>
    <w:p>
      <w:pPr>
        <w:pStyle w:val="toc2"/>
      </w:pPr>
      <w:hyperlink w:anchor="tit174" w:history="1">
        <w:r>
          <w:t xml:space="preserve">L.2. Convergencia de la simulación</w:t>
        </w:r>
        <w:r>
          <w:tab/>
        </w:r>
        <w:r>
          <w:fldChar w:fldCharType="begin"/>
        </w:r>
        <w:r>
          <w:instrText xml:space="preserve"> PAGEREF tit174 \h </w:instrText>
        </w:r>
        <w:r>
          <w:fldChar w:fldCharType="separate"/>
        </w:r>
        <w:r>
          <w:t>248</w:t>
        </w:r>
        <w:r>
          <w:fldChar w:fldCharType="end"/>
        </w:r>
      </w:hyperlink>
    </w:p>
    <w:p>
      <w:pPr>
        <w:pStyle w:val="toc2"/>
      </w:pPr>
      <w:hyperlink w:anchor="tit175" w:history="1">
        <w:r>
          <w:t xml:space="preserve">L.3. Código del modelo</w:t>
        </w:r>
        <w:r>
          <w:tab/>
        </w:r>
        <w:r>
          <w:fldChar w:fldCharType="begin"/>
        </w:r>
        <w:r>
          <w:instrText xml:space="preserve"> PAGEREF tit175 \h </w:instrText>
        </w:r>
        <w:r>
          <w:fldChar w:fldCharType="separate"/>
        </w:r>
        <w:r>
          <w:t>248</w:t>
        </w:r>
        <w:r>
          <w:fldChar w:fldCharType="end"/>
        </w:r>
      </w:hyperlink>
    </w:p>
    <w:p>
      <w:pPr>
        <w:pStyle w:val="TOCHeading"/>
      </w:pPr>
      <w:bookmarkStart w:id="1391" w:name="idxlot"/>
      <w:r>
        <w:t xml:space="preserve">Índice de tablas</w:t>
      </w:r>
      <w:bookmarkEnd w:id="1391"/>
    </w:p>
    <w:p>
      <w:pPr>
        <w:pStyle w:val="tableoffigures"/>
      </w:pPr>
      <w:hyperlink w:anchor="tab1" w:history="1">
        <w:r>
          <w:t xml:space="preserve">Tabla 1. Variación del monto y del plazo del contrato de obra</w:t>
        </w:r>
        <w:r>
          <w:tab/>
        </w:r>
        <w:r>
          <w:fldChar w:fldCharType="begin"/>
        </w:r>
        <w:r>
          <w:instrText xml:space="preserve"> PAGEREF tab1 \h </w:instrText>
        </w:r>
        <w:r>
          <w:fldChar w:fldCharType="separate"/>
        </w:r>
        <w:r>
          <w:t>8</w:t>
        </w:r>
        <w:r>
          <w:fldChar w:fldCharType="end"/>
        </w:r>
      </w:hyperlink>
    </w:p>
    <w:p>
      <w:pPr>
        <w:pStyle w:val="tableoffigures"/>
      </w:pPr>
      <w:hyperlink w:anchor="tab2" w:history="1">
        <w:r>
          <w:t xml:space="preserve">Tabla 2. Cantidades y montos del ítem losa alivianada con viguetas pretensadas</w:t>
        </w:r>
        <w:r>
          <w:tab/>
        </w:r>
        <w:r>
          <w:fldChar w:fldCharType="begin"/>
        </w:r>
        <w:r>
          <w:instrText xml:space="preserve"> PAGEREF tab2 \h </w:instrText>
        </w:r>
        <w:r>
          <w:fldChar w:fldCharType="separate"/>
        </w:r>
        <w:r>
          <w:t>9</w:t>
        </w:r>
        <w:r>
          <w:fldChar w:fldCharType="end"/>
        </w:r>
      </w:hyperlink>
    </w:p>
    <w:p>
      <w:pPr>
        <w:pStyle w:val="tableoffigures"/>
      </w:pPr>
      <w:hyperlink w:anchor="tab3" w:history="1">
        <w:r>
          <w:t xml:space="preserve">Tabla 3. Precios promedio de materiales de construcción en Potosí</w:t>
        </w:r>
        <w:r>
          <w:tab/>
        </w:r>
        <w:r>
          <w:fldChar w:fldCharType="begin"/>
        </w:r>
        <w:r>
          <w:instrText xml:space="preserve"> PAGEREF tab3 \h </w:instrText>
        </w:r>
        <w:r>
          <w:fldChar w:fldCharType="separate"/>
        </w:r>
        <w:r>
          <w:t>10</w:t>
        </w:r>
        <w:r>
          <w:fldChar w:fldCharType="end"/>
        </w:r>
      </w:hyperlink>
    </w:p>
    <w:p>
      <w:pPr>
        <w:pStyle w:val="tableoffigures"/>
      </w:pPr>
      <w:hyperlink w:anchor="tab4" w:history="1">
        <w:r>
          <w:t xml:space="preserve">Tabla 4. Identificación de las variables de investigación</w:t>
        </w:r>
        <w:r>
          <w:tab/>
        </w:r>
        <w:r>
          <w:fldChar w:fldCharType="begin"/>
        </w:r>
        <w:r>
          <w:instrText xml:space="preserve"> PAGEREF tab4 \h </w:instrText>
        </w:r>
        <w:r>
          <w:fldChar w:fldCharType="separate"/>
        </w:r>
        <w:r>
          <w:t>16</w:t>
        </w:r>
        <w:r>
          <w:fldChar w:fldCharType="end"/>
        </w:r>
      </w:hyperlink>
    </w:p>
    <w:p>
      <w:pPr>
        <w:pStyle w:val="tableoffigures"/>
      </w:pPr>
      <w:hyperlink w:anchor="tab5" w:history="1">
        <w:r>
          <w:t xml:space="preserve">Tabla 5. Técnicas e instrumentos de recolección de datos</w:t>
        </w:r>
        <w:r>
          <w:tab/>
        </w:r>
        <w:r>
          <w:fldChar w:fldCharType="begin"/>
        </w:r>
        <w:r>
          <w:instrText xml:space="preserve"> PAGEREF tab5 \h </w:instrText>
        </w:r>
        <w:r>
          <w:fldChar w:fldCharType="separate"/>
        </w:r>
        <w:r>
          <w:t>22</w:t>
        </w:r>
        <w:r>
          <w:fldChar w:fldCharType="end"/>
        </w:r>
      </w:hyperlink>
    </w:p>
    <w:p>
      <w:pPr>
        <w:pStyle w:val="tableoffigures"/>
      </w:pPr>
      <w:hyperlink w:anchor="tab6" w:history="1">
        <w:r>
          <w:t xml:space="preserve">Tabla 6. Antecedentes de la investigación</w:t>
        </w:r>
        <w:r>
          <w:tab/>
        </w:r>
        <w:r>
          <w:fldChar w:fldCharType="begin"/>
        </w:r>
        <w:r>
          <w:instrText xml:space="preserve"> PAGEREF tab6 \h </w:instrText>
        </w:r>
        <w:r>
          <w:fldChar w:fldCharType="separate"/>
        </w:r>
        <w:r>
          <w:t>27</w:t>
        </w:r>
        <w:r>
          <w:fldChar w:fldCharType="end"/>
        </w:r>
      </w:hyperlink>
    </w:p>
    <w:p>
      <w:pPr>
        <w:pStyle w:val="tableoffigures"/>
      </w:pPr>
      <w:hyperlink w:anchor="tab7" w:history="1">
        <w:r>
          <w:t xml:space="preserve">Tabla 7. Principios de la gestión de la calidad y su lectura en la ejecución de una losa</w:t>
        </w:r>
        <w:r>
          <w:tab/>
        </w:r>
        <w:r>
          <w:fldChar w:fldCharType="begin"/>
        </w:r>
        <w:r>
          <w:instrText xml:space="preserve"> PAGEREF tab7 \h </w:instrText>
        </w:r>
        <w:r>
          <w:fldChar w:fldCharType="separate"/>
        </w:r>
        <w:r>
          <w:t>36</w:t>
        </w:r>
        <w:r>
          <w:fldChar w:fldCharType="end"/>
        </w:r>
      </w:hyperlink>
    </w:p>
    <w:p>
      <w:pPr>
        <w:pStyle w:val="tableoffigures"/>
      </w:pPr>
      <w:hyperlink w:anchor="tab8" w:history="1">
        <w:r>
          <w:t xml:space="preserve">Tabla 8. Categorías del modelo de prevención, evaluación y fallas en la ejecución de la losa</w:t>
        </w:r>
        <w:r>
          <w:tab/>
        </w:r>
        <w:r>
          <w:fldChar w:fldCharType="begin"/>
        </w:r>
        <w:r>
          <w:instrText xml:space="preserve"> PAGEREF tab8 \h </w:instrText>
        </w:r>
        <w:r>
          <w:fldChar w:fldCharType="separate"/>
        </w:r>
        <w:r>
          <w:t>43</w:t>
        </w:r>
        <w:r>
          <w:fldChar w:fldCharType="end"/>
        </w:r>
      </w:hyperlink>
    </w:p>
    <w:p>
      <w:pPr>
        <w:pStyle w:val="tableoffigures"/>
      </w:pPr>
      <w:hyperlink w:anchor="tab9" w:history="1">
        <w:r>
          <w:t xml:space="preserve">Tabla 9. Valores de referencia del desperdicio de materiales en la literatura revisada</w:t>
        </w:r>
        <w:r>
          <w:tab/>
        </w:r>
        <w:r>
          <w:fldChar w:fldCharType="begin"/>
        </w:r>
        <w:r>
          <w:instrText xml:space="preserve"> PAGEREF tab9 \h </w:instrText>
        </w:r>
        <w:r>
          <w:fldChar w:fldCharType="separate"/>
        </w:r>
        <w:r>
          <w:t>51</w:t>
        </w:r>
        <w:r>
          <w:fldChar w:fldCharType="end"/>
        </w:r>
      </w:hyperlink>
    </w:p>
    <w:p>
      <w:pPr>
        <w:pStyle w:val="tableoffigures"/>
      </w:pPr>
      <w:hyperlink w:anchor="tab10" w:history="1">
        <w:r>
          <w:t xml:space="preserve">Tabla 10. Proceso constructivo de la losa alivianada y puntos críticos de calidad</w:t>
        </w:r>
        <w:r>
          <w:tab/>
        </w:r>
        <w:r>
          <w:fldChar w:fldCharType="begin"/>
        </w:r>
        <w:r>
          <w:instrText xml:space="preserve"> PAGEREF tab10 \h </w:instrText>
        </w:r>
        <w:r>
          <w:fldChar w:fldCharType="separate"/>
        </w:r>
        <w:r>
          <w:t>55</w:t>
        </w:r>
        <w:r>
          <w:fldChar w:fldCharType="end"/>
        </w:r>
      </w:hyperlink>
    </w:p>
    <w:p>
      <w:pPr>
        <w:pStyle w:val="tableoffigures"/>
      </w:pPr>
      <w:hyperlink w:anchor="tab11" w:history="1">
        <w:r>
          <w:t xml:space="preserve">Tabla 11. Consumos teóricos de referencia por metro cuadrado de losa</w:t>
        </w:r>
        <w:r>
          <w:tab/>
        </w:r>
        <w:r>
          <w:fldChar w:fldCharType="begin"/>
        </w:r>
        <w:r>
          <w:instrText xml:space="preserve"> PAGEREF tab11 \h </w:instrText>
        </w:r>
        <w:r>
          <w:fldChar w:fldCharType="separate"/>
        </w:r>
        <w:r>
          <w:t>57</w:t>
        </w:r>
        <w:r>
          <w:fldChar w:fldCharType="end"/>
        </w:r>
      </w:hyperlink>
    </w:p>
    <w:p>
      <w:pPr>
        <w:pStyle w:val="tableoffigures"/>
      </w:pPr>
      <w:hyperlink w:anchor="tab12" w:history="1">
        <w:r>
          <w:t xml:space="preserve">Tabla 12. Defectos frecuentes de la losa alivianada, causas y prevención</w:t>
        </w:r>
        <w:r>
          <w:tab/>
        </w:r>
        <w:r>
          <w:fldChar w:fldCharType="begin"/>
        </w:r>
        <w:r>
          <w:instrText xml:space="preserve"> PAGEREF tab12 \h </w:instrText>
        </w:r>
        <w:r>
          <w:fldChar w:fldCharType="separate"/>
        </w:r>
        <w:r>
          <w:t>59</w:t>
        </w:r>
        <w:r>
          <w:fldChar w:fldCharType="end"/>
        </w:r>
      </w:hyperlink>
    </w:p>
    <w:p>
      <w:pPr>
        <w:pStyle w:val="tableoffigures"/>
      </w:pPr>
      <w:hyperlink w:anchor="tab13" w:history="1">
        <w:r>
          <w:t xml:space="preserve">Tabla 13. Marco normativo del SGC de la losa alivianada</w:t>
        </w:r>
        <w:r>
          <w:tab/>
        </w:r>
        <w:r>
          <w:fldChar w:fldCharType="begin"/>
        </w:r>
        <w:r>
          <w:instrText xml:space="preserve"> PAGEREF tab13 \h </w:instrText>
        </w:r>
        <w:r>
          <w:fldChar w:fldCharType="separate"/>
        </w:r>
        <w:r>
          <w:t>65</w:t>
        </w:r>
        <w:r>
          <w:fldChar w:fldCharType="end"/>
        </w:r>
      </w:hyperlink>
    </w:p>
    <w:p>
      <w:pPr>
        <w:pStyle w:val="tableoffigures"/>
      </w:pPr>
      <w:hyperlink w:anchor="tab14" w:history="1">
        <w:r>
          <w:t xml:space="preserve">Tabla 14. Herramientas de la calidad y su uso en esta tesis</w:t>
        </w:r>
        <w:r>
          <w:tab/>
        </w:r>
        <w:r>
          <w:fldChar w:fldCharType="begin"/>
        </w:r>
        <w:r>
          <w:instrText xml:space="preserve"> PAGEREF tab14 \h </w:instrText>
        </w:r>
        <w:r>
          <w:fldChar w:fldCharType="separate"/>
        </w:r>
        <w:r>
          <w:t>70</w:t>
        </w:r>
        <w:r>
          <w:fldChar w:fldCharType="end"/>
        </w:r>
      </w:hyperlink>
    </w:p>
    <w:p>
      <w:pPr>
        <w:pStyle w:val="tableoffigures"/>
      </w:pPr>
      <w:hyperlink w:anchor="tab15" w:history="1">
        <w:r>
          <w:t xml:space="preserve">Tabla 15. Definición de términos básicos</w:t>
        </w:r>
        <w:r>
          <w:tab/>
        </w:r>
        <w:r>
          <w:fldChar w:fldCharType="begin"/>
        </w:r>
        <w:r>
          <w:instrText xml:space="preserve"> PAGEREF tab15 \h </w:instrText>
        </w:r>
        <w:r>
          <w:fldChar w:fldCharType="separate"/>
        </w:r>
        <w:r>
          <w:t>75</w:t>
        </w:r>
        <w:r>
          <w:fldChar w:fldCharType="end"/>
        </w:r>
      </w:hyperlink>
    </w:p>
    <w:p>
      <w:pPr>
        <w:pStyle w:val="tableoffigures"/>
      </w:pPr>
      <w:hyperlink w:anchor="tab16" w:history="1">
        <w:r>
          <w:t xml:space="preserve">Tabla 16. Fases del modelo de investigación</w:t>
        </w:r>
        <w:r>
          <w:tab/>
        </w:r>
        <w:r>
          <w:fldChar w:fldCharType="begin"/>
        </w:r>
        <w:r>
          <w:instrText xml:space="preserve"> PAGEREF tab16 \h </w:instrText>
        </w:r>
        <w:r>
          <w:fldChar w:fldCharType="separate"/>
        </w:r>
        <w:r>
          <w:t>82</w:t>
        </w:r>
        <w:r>
          <w:fldChar w:fldCharType="end"/>
        </w:r>
      </w:hyperlink>
    </w:p>
    <w:p>
      <w:pPr>
        <w:pStyle w:val="tableoffigures"/>
      </w:pPr>
      <w:hyperlink w:anchor="tab17" w:history="1">
        <w:r>
          <w:t xml:space="preserve">Tabla 17. Datos del contrato de obra y de sus modificaciones</w:t>
        </w:r>
        <w:r>
          <w:tab/>
        </w:r>
        <w:r>
          <w:fldChar w:fldCharType="begin"/>
        </w:r>
        <w:r>
          <w:instrText xml:space="preserve"> PAGEREF tab17 \h </w:instrText>
        </w:r>
        <w:r>
          <w:fldChar w:fldCharType="separate"/>
        </w:r>
        <w:r>
          <w:t>84</w:t>
        </w:r>
        <w:r>
          <w:fldChar w:fldCharType="end"/>
        </w:r>
      </w:hyperlink>
    </w:p>
    <w:p>
      <w:pPr>
        <w:pStyle w:val="tableoffigures"/>
      </w:pPr>
      <w:hyperlink w:anchor="tab18" w:history="1">
        <w:r>
          <w:t xml:space="preserve">Tabla 18. Cláusulas del contrato relacionadas con la calidad y el control de materiales</w:t>
        </w:r>
        <w:r>
          <w:tab/>
        </w:r>
        <w:r>
          <w:fldChar w:fldCharType="begin"/>
        </w:r>
        <w:r>
          <w:instrText xml:space="preserve"> PAGEREF tab18 \h </w:instrText>
        </w:r>
        <w:r>
          <w:fldChar w:fldCharType="separate"/>
        </w:r>
        <w:r>
          <w:t>85</w:t>
        </w:r>
        <w:r>
          <w:fldChar w:fldCharType="end"/>
        </w:r>
      </w:hyperlink>
    </w:p>
    <w:p>
      <w:pPr>
        <w:pStyle w:val="tableoffigures"/>
      </w:pPr>
      <w:hyperlink w:anchor="tab19" w:history="1">
        <w:r>
          <w:t xml:space="preserve">Tabla 19. Cronología de la ejecución del proyecto y de la primera losa</w:t>
        </w:r>
        <w:r>
          <w:tab/>
        </w:r>
        <w:r>
          <w:fldChar w:fldCharType="begin"/>
        </w:r>
        <w:r>
          <w:instrText xml:space="preserve"> PAGEREF tab19 \h </w:instrText>
        </w:r>
        <w:r>
          <w:fldChar w:fldCharType="separate"/>
        </w:r>
        <w:r>
          <w:t>87</w:t>
        </w:r>
        <w:r>
          <w:fldChar w:fldCharType="end"/>
        </w:r>
      </w:hyperlink>
    </w:p>
    <w:p>
      <w:pPr>
        <w:pStyle w:val="tableoffigures"/>
      </w:pPr>
      <w:hyperlink w:anchor="tab20" w:history="1">
        <w:r>
          <w:t xml:space="preserve">Tabla 20. Características de la losa alivianada según los documentos del proyecto</w:t>
        </w:r>
        <w:r>
          <w:tab/>
        </w:r>
        <w:r>
          <w:fldChar w:fldCharType="begin"/>
        </w:r>
        <w:r>
          <w:instrText xml:space="preserve"> PAGEREF tab20 \h </w:instrText>
        </w:r>
        <w:r>
          <w:fldChar w:fldCharType="separate"/>
        </w:r>
        <w:r>
          <w:t>91</w:t>
        </w:r>
        <w:r>
          <w:fldChar w:fldCharType="end"/>
        </w:r>
      </w:hyperlink>
    </w:p>
    <w:p>
      <w:pPr>
        <w:pStyle w:val="tableoffigures"/>
      </w:pPr>
      <w:hyperlink w:anchor="tab21" w:history="1">
        <w:r>
          <w:t xml:space="preserve">Tabla 21. Factores, variables e indicadores del modelo</w:t>
        </w:r>
        <w:r>
          <w:tab/>
        </w:r>
        <w:r>
          <w:fldChar w:fldCharType="begin"/>
        </w:r>
        <w:r>
          <w:instrText xml:space="preserve"> PAGEREF tab21 \h </w:instrText>
        </w:r>
        <w:r>
          <w:fldChar w:fldCharType="separate"/>
        </w:r>
        <w:r>
          <w:t>92</w:t>
        </w:r>
        <w:r>
          <w:fldChar w:fldCharType="end"/>
        </w:r>
      </w:hyperlink>
    </w:p>
    <w:p>
      <w:pPr>
        <w:pStyle w:val="tableoffigures"/>
      </w:pPr>
      <w:hyperlink w:anchor="tab22" w:history="1">
        <w:r>
          <w:t xml:space="preserve">Tabla 22. Cumplimiento de los requisitos de ISO 9001 por cláusula: primera losa y diagnósticos de referencia</w:t>
        </w:r>
        <w:r>
          <w:tab/>
        </w:r>
        <w:r>
          <w:fldChar w:fldCharType="begin"/>
        </w:r>
        <w:r>
          <w:instrText xml:space="preserve"> PAGEREF tab22 \h </w:instrText>
        </w:r>
        <w:r>
          <w:fldChar w:fldCharType="separate"/>
        </w:r>
        <w:r>
          <w:t>96</w:t>
        </w:r>
        <w:r>
          <w:fldChar w:fldCharType="end"/>
        </w:r>
      </w:hyperlink>
    </w:p>
    <w:p>
      <w:pPr>
        <w:pStyle w:val="tableoffigures"/>
      </w:pPr>
      <w:hyperlink w:anchor="tab23" w:history="1">
        <w:r>
          <w:t xml:space="preserve">Tabla 23. Resultados del certificado de laboratorio N.</w:t>
        </w:r>
        <w:r>
          <w:rPr>
            <w:vertAlign w:val="superscript"/>
          </w:rPr>
          <w:t xml:space="preserve">o</w:t>
        </w:r>
        <w:r>
          <w:t xml:space="preserve"> 000293 por probeta</w:t>
        </w:r>
        <w:r>
          <w:tab/>
        </w:r>
        <w:r>
          <w:fldChar w:fldCharType="begin"/>
        </w:r>
        <w:r>
          <w:instrText xml:space="preserve"> PAGEREF tab23 \h </w:instrText>
        </w:r>
        <w:r>
          <w:fldChar w:fldCharType="separate"/>
        </w:r>
        <w:r>
          <w:t>99</w:t>
        </w:r>
        <w:r>
          <w:fldChar w:fldCharType="end"/>
        </w:r>
      </w:hyperlink>
    </w:p>
    <w:p>
      <w:pPr>
        <w:pStyle w:val="tableoffigures"/>
      </w:pPr>
      <w:hyperlink w:anchor="tab24" w:history="1">
        <w:r>
          <w:t xml:space="preserve">Tabla 24. Síntesis del Libro de Órdenes del periodo de ejecución de la primera losa</w:t>
        </w:r>
        <w:r>
          <w:tab/>
        </w:r>
        <w:r>
          <w:fldChar w:fldCharType="begin"/>
        </w:r>
        <w:r>
          <w:instrText xml:space="preserve"> PAGEREF tab24 \h </w:instrText>
        </w:r>
        <w:r>
          <w:fldChar w:fldCharType="separate"/>
        </w:r>
        <w:r>
          <w:t>102</w:t>
        </w:r>
        <w:r>
          <w:fldChar w:fldCharType="end"/>
        </w:r>
      </w:hyperlink>
    </w:p>
    <w:p>
      <w:pPr>
        <w:pStyle w:val="tableoffigures"/>
      </w:pPr>
      <w:hyperlink w:anchor="tab25" w:history="1">
        <w:r>
          <w:t xml:space="preserve">Tabla 25. Conciliación del acero acumulado entre la Planilla N.</w:t>
        </w:r>
        <w:r>
          <w:rPr>
            <w:vertAlign w:val="superscript"/>
          </w:rPr>
          <w:t xml:space="preserve">o</w:t>
        </w:r>
        <w:r>
          <w:t xml:space="preserve"> 2 y el cómputo de cierre, por grupos de elementos</w:t>
        </w:r>
        <w:r>
          <w:tab/>
        </w:r>
        <w:r>
          <w:fldChar w:fldCharType="begin"/>
        </w:r>
        <w:r>
          <w:instrText xml:space="preserve"> PAGEREF tab25 \h </w:instrText>
        </w:r>
        <w:r>
          <w:fldChar w:fldCharType="separate"/>
        </w:r>
        <w:r>
          <w:t>105</w:t>
        </w:r>
        <w:r>
          <w:fldChar w:fldCharType="end"/>
        </w:r>
      </w:hyperlink>
    </w:p>
    <w:p>
      <w:pPr>
        <w:pStyle w:val="tableoffigures"/>
      </w:pPr>
      <w:hyperlink w:anchor="tab26" w:history="1">
        <w:r>
          <w:t xml:space="preserve">Tabla 26. No conformidades identificadas en la ejecución de la primera losa</w:t>
        </w:r>
        <w:r>
          <w:tab/>
        </w:r>
        <w:r>
          <w:fldChar w:fldCharType="begin"/>
        </w:r>
        <w:r>
          <w:instrText xml:space="preserve"> PAGEREF tab26 \h </w:instrText>
        </w:r>
        <w:r>
          <w:fldChar w:fldCharType="separate"/>
        </w:r>
        <w:r>
          <w:t>110</w:t>
        </w:r>
        <w:r>
          <w:fldChar w:fldCharType="end"/>
        </w:r>
      </w:hyperlink>
    </w:p>
    <w:p>
      <w:pPr>
        <w:pStyle w:val="tableoffigures"/>
      </w:pPr>
      <w:hyperlink w:anchor="tab27" w:history="1">
        <w:r>
          <w:t xml:space="preserve">Tabla 27. Cantidades teóricas de materiales de la primera losa y del saldo</w:t>
        </w:r>
        <w:r>
          <w:tab/>
        </w:r>
        <w:r>
          <w:fldChar w:fldCharType="begin"/>
        </w:r>
        <w:r>
          <w:instrText xml:space="preserve"> PAGEREF tab27 \h </w:instrText>
        </w:r>
        <w:r>
          <w:fldChar w:fldCharType="separate"/>
        </w:r>
        <w:r>
          <w:t>117</w:t>
        </w:r>
        <w:r>
          <w:fldChar w:fldCharType="end"/>
        </w:r>
      </w:hyperlink>
    </w:p>
    <w:p>
      <w:pPr>
        <w:pStyle w:val="tableoffigures"/>
      </w:pPr>
      <w:hyperlink w:anchor="tab28" w:history="1">
        <w:r>
          <w:t xml:space="preserve">Tabla 28. Cantidades teóricas, entregadas y pagadas de la primera losa e índices de la línea base</w:t>
        </w:r>
        <w:r>
          <w:tab/>
        </w:r>
        <w:r>
          <w:fldChar w:fldCharType="begin"/>
        </w:r>
        <w:r>
          <w:instrText xml:space="preserve"> PAGEREF tab28 \h </w:instrText>
        </w:r>
        <w:r>
          <w:fldChar w:fldCharType="separate"/>
        </w:r>
        <w:r>
          <w:t>118</w:t>
        </w:r>
        <w:r>
          <w:fldChar w:fldCharType="end"/>
        </w:r>
      </w:hyperlink>
    </w:p>
    <w:p>
      <w:pPr>
        <w:pStyle w:val="tableoffigures"/>
      </w:pPr>
      <w:hyperlink w:anchor="tab29" w:history="1">
        <w:r>
          <w:t xml:space="preserve">Tabla 29. Parámetros de la línea base (escenario de control) del modelo de costos</w:t>
        </w:r>
        <w:r>
          <w:tab/>
        </w:r>
        <w:r>
          <w:fldChar w:fldCharType="begin"/>
        </w:r>
        <w:r>
          <w:instrText xml:space="preserve"> PAGEREF tab29 \h </w:instrText>
        </w:r>
        <w:r>
          <w:fldChar w:fldCharType="separate"/>
        </w:r>
        <w:r>
          <w:t>120</w:t>
        </w:r>
        <w:r>
          <w:fldChar w:fldCharType="end"/>
        </w:r>
      </w:hyperlink>
    </w:p>
    <w:p>
      <w:pPr>
        <w:pStyle w:val="tableoffigures"/>
      </w:pPr>
      <w:hyperlink w:anchor="tab30" w:history="1">
        <w:r>
          <w:t xml:space="preserve">Tabla 30. Partes interesadas, necesidades y requisitos para el SGC</w:t>
        </w:r>
        <w:r>
          <w:tab/>
        </w:r>
        <w:r>
          <w:fldChar w:fldCharType="begin"/>
        </w:r>
        <w:r>
          <w:instrText xml:space="preserve"> PAGEREF tab30 \h </w:instrText>
        </w:r>
        <w:r>
          <w:fldChar w:fldCharType="separate"/>
        </w:r>
        <w:r>
          <w:t>127</w:t>
        </w:r>
        <w:r>
          <w:fldChar w:fldCharType="end"/>
        </w:r>
      </w:hyperlink>
    </w:p>
    <w:p>
      <w:pPr>
        <w:pStyle w:val="tableoffigures"/>
      </w:pPr>
      <w:hyperlink w:anchor="tab31" w:history="1">
        <w:r>
          <w:t xml:space="preserve">Tabla 31. Matriz de responsabilidades (RACI) del SGC del ítem losa alivianada</w:t>
        </w:r>
        <w:r>
          <w:tab/>
        </w:r>
        <w:r>
          <w:fldChar w:fldCharType="begin"/>
        </w:r>
        <w:r>
          <w:instrText xml:space="preserve"> PAGEREF tab31 \h </w:instrText>
        </w:r>
        <w:r>
          <w:fldChar w:fldCharType="separate"/>
        </w:r>
        <w:r>
          <w:t>129</w:t>
        </w:r>
        <w:r>
          <w:fldChar w:fldCharType="end"/>
        </w:r>
      </w:hyperlink>
    </w:p>
    <w:p>
      <w:pPr>
        <w:pStyle w:val="tableoffigures"/>
      </w:pPr>
      <w:hyperlink w:anchor="tab32" w:history="1">
        <w:r>
          <w:t xml:space="preserve">Tabla 32. Matriz de riesgos del proceso constructivo de la losa alivianada</w:t>
        </w:r>
        <w:r>
          <w:tab/>
        </w:r>
        <w:r>
          <w:fldChar w:fldCharType="begin"/>
        </w:r>
        <w:r>
          <w:instrText xml:space="preserve"> PAGEREF tab32 \h </w:instrText>
        </w:r>
        <w:r>
          <w:fldChar w:fldCharType="separate"/>
        </w:r>
        <w:r>
          <w:t>131</w:t>
        </w:r>
        <w:r>
          <w:fldChar w:fldCharType="end"/>
        </w:r>
      </w:hyperlink>
    </w:p>
    <w:p>
      <w:pPr>
        <w:pStyle w:val="tableoffigures"/>
      </w:pPr>
      <w:hyperlink w:anchor="tab33" w:history="1">
        <w:r>
          <w:t xml:space="preserve">Tabla 33. Objetivos de la calidad, indicadores y metas del SGC</w:t>
        </w:r>
        <w:r>
          <w:tab/>
        </w:r>
        <w:r>
          <w:fldChar w:fldCharType="begin"/>
        </w:r>
        <w:r>
          <w:instrText xml:space="preserve"> PAGEREF tab33 \h </w:instrText>
        </w:r>
        <w:r>
          <w:fldChar w:fldCharType="separate"/>
        </w:r>
        <w:r>
          <w:t>134</w:t>
        </w:r>
        <w:r>
          <w:fldChar w:fldCharType="end"/>
        </w:r>
      </w:hyperlink>
    </w:p>
    <w:p>
      <w:pPr>
        <w:pStyle w:val="tableoffigures"/>
      </w:pPr>
      <w:hyperlink w:anchor="tab34" w:history="1">
        <w:r>
          <w:t xml:space="preserve">Tabla 34. Lista maestra de documentos del SGC del ítem losa alivianada</w:t>
        </w:r>
        <w:r>
          <w:tab/>
        </w:r>
        <w:r>
          <w:fldChar w:fldCharType="begin"/>
        </w:r>
        <w:r>
          <w:instrText xml:space="preserve"> PAGEREF tab34 \h </w:instrText>
        </w:r>
        <w:r>
          <w:fldChar w:fldCharType="separate"/>
        </w:r>
        <w:r>
          <w:t>137</w:t>
        </w:r>
        <w:r>
          <w:fldChar w:fldCharType="end"/>
        </w:r>
      </w:hyperlink>
    </w:p>
    <w:p>
      <w:pPr>
        <w:pStyle w:val="tableoffigures"/>
      </w:pPr>
      <w:hyperlink w:anchor="tab35" w:history="1">
        <w:r>
          <w:t xml:space="preserve">Tabla 35. Estructura del plan de la calidad del ítem según la norma ISO 10005:2018</w:t>
        </w:r>
        <w:r>
          <w:tab/>
        </w:r>
        <w:r>
          <w:fldChar w:fldCharType="begin"/>
        </w:r>
        <w:r>
          <w:instrText xml:space="preserve"> PAGEREF tab35 \h </w:instrText>
        </w:r>
        <w:r>
          <w:fldChar w:fldCharType="separate"/>
        </w:r>
        <w:r>
          <w:t>141</w:t>
        </w:r>
        <w:r>
          <w:fldChar w:fldCharType="end"/>
        </w:r>
      </w:hyperlink>
    </w:p>
    <w:p>
      <w:pPr>
        <w:pStyle w:val="tableoffigures"/>
      </w:pPr>
      <w:hyperlink w:anchor="tab36" w:history="1">
        <w:r>
          <w:t xml:space="preserve">Tabla 36. Plan de puntos de inspección y ensayo (PPI) de la losa alivianada</w:t>
        </w:r>
        <w:r>
          <w:tab/>
        </w:r>
        <w:r>
          <w:fldChar w:fldCharType="begin"/>
        </w:r>
        <w:r>
          <w:instrText xml:space="preserve"> PAGEREF tab36 \h </w:instrText>
        </w:r>
        <w:r>
          <w:fldChar w:fldCharType="separate"/>
        </w:r>
        <w:r>
          <w:t>143</w:t>
        </w:r>
        <w:r>
          <w:fldChar w:fldCharType="end"/>
        </w:r>
      </w:hyperlink>
    </w:p>
    <w:p>
      <w:pPr>
        <w:pStyle w:val="tableoffigures"/>
      </w:pPr>
      <w:hyperlink w:anchor="tab37" w:history="1">
        <w:r>
          <w:t xml:space="preserve">Tabla 37. Criterios de recepción y aceptación de materiales (PCM-01)</w:t>
        </w:r>
        <w:r>
          <w:tab/>
        </w:r>
        <w:r>
          <w:fldChar w:fldCharType="begin"/>
        </w:r>
        <w:r>
          <w:instrText xml:space="preserve"> PAGEREF tab37 \h </w:instrText>
        </w:r>
        <w:r>
          <w:fldChar w:fldCharType="separate"/>
        </w:r>
        <w:r>
          <w:t>149</w:t>
        </w:r>
        <w:r>
          <w:fldChar w:fldCharType="end"/>
        </w:r>
      </w:hyperlink>
    </w:p>
    <w:p>
      <w:pPr>
        <w:pStyle w:val="tableoffigures"/>
      </w:pPr>
      <w:hyperlink w:anchor="tab38" w:history="1">
        <w:r>
          <w:t xml:space="preserve">Tabla 38. Controles de conciliación de cantidades y umbrales de alerta (PCM-04)</w:t>
        </w:r>
        <w:r>
          <w:tab/>
        </w:r>
        <w:r>
          <w:fldChar w:fldCharType="begin"/>
        </w:r>
        <w:r>
          <w:instrText xml:space="preserve"> PAGEREF tab38 \h </w:instrText>
        </w:r>
        <w:r>
          <w:fldChar w:fldCharType="separate"/>
        </w:r>
        <w:r>
          <w:t>153</w:t>
        </w:r>
        <w:r>
          <w:fldChar w:fldCharType="end"/>
        </w:r>
      </w:hyperlink>
    </w:p>
    <w:p>
      <w:pPr>
        <w:pStyle w:val="tableoffigures"/>
      </w:pPr>
      <w:hyperlink w:anchor="tab39" w:history="1">
        <w:r>
          <w:t xml:space="preserve">Tabla 39. Aplicación retrospectiva de la conciliación al acero de la primera losa</w:t>
        </w:r>
        <w:r>
          <w:tab/>
        </w:r>
        <w:r>
          <w:fldChar w:fldCharType="begin"/>
        </w:r>
        <w:r>
          <w:instrText xml:space="preserve"> PAGEREF tab39 \h </w:instrText>
        </w:r>
        <w:r>
          <w:fldChar w:fldCharType="separate"/>
        </w:r>
        <w:r>
          <w:t>154</w:t>
        </w:r>
        <w:r>
          <w:fldChar w:fldCharType="end"/>
        </w:r>
      </w:hyperlink>
    </w:p>
    <w:p>
      <w:pPr>
        <w:pStyle w:val="tableoffigures"/>
      </w:pPr>
      <w:hyperlink w:anchor="tab40" w:history="1">
        <w:r>
          <w:t xml:space="preserve">Tabla 40. Número mínimo de ensayos de resistencia para una losa de 1.117,30 m</w:t>
        </w:r>
        <w:r>
          <w:rPr>
            <w:vertAlign w:val="superscript"/>
          </w:rPr>
          <w:t xml:space="preserve">2</w:t>
        </w:r>
        <w:r>
          <w:tab/>
        </w:r>
        <w:r>
          <w:fldChar w:fldCharType="begin"/>
        </w:r>
        <w:r>
          <w:instrText xml:space="preserve"> PAGEREF tab40 \h </w:instrText>
        </w:r>
        <w:r>
          <w:fldChar w:fldCharType="separate"/>
        </w:r>
        <w:r>
          <w:t>157</w:t>
        </w:r>
        <w:r>
          <w:fldChar w:fldCharType="end"/>
        </w:r>
      </w:hyperlink>
    </w:p>
    <w:p>
      <w:pPr>
        <w:pStyle w:val="tableoffigures"/>
      </w:pPr>
      <w:hyperlink w:anchor="tab41" w:history="1">
        <w:r>
          <w:t xml:space="preserve">Tabla 41. Seguimiento de los indicadores: registros, umbrales de reacción y respuesta</w:t>
        </w:r>
        <w:r>
          <w:tab/>
        </w:r>
        <w:r>
          <w:fldChar w:fldCharType="begin"/>
        </w:r>
        <w:r>
          <w:instrText xml:space="preserve"> PAGEREF tab41 \h </w:instrText>
        </w:r>
        <w:r>
          <w:fldChar w:fldCharType="separate"/>
        </w:r>
        <w:r>
          <w:t>160</w:t>
        </w:r>
        <w:r>
          <w:fldChar w:fldCharType="end"/>
        </w:r>
      </w:hyperlink>
    </w:p>
    <w:p>
      <w:pPr>
        <w:pStyle w:val="tableoffigures"/>
      </w:pPr>
      <w:hyperlink w:anchor="tab42" w:history="1">
        <w:r>
          <w:t xml:space="preserve">Tabla 42. Conceptos de costos de la calidad de la losa y su valoración (modelo PAF)</w:t>
        </w:r>
        <w:r>
          <w:tab/>
        </w:r>
        <w:r>
          <w:fldChar w:fldCharType="begin"/>
        </w:r>
        <w:r>
          <w:instrText xml:space="preserve"> PAGEREF tab42 \h </w:instrText>
        </w:r>
        <w:r>
          <w:fldChar w:fldCharType="separate"/>
        </w:r>
        <w:r>
          <w:t>165</w:t>
        </w:r>
        <w:r>
          <w:fldChar w:fldCharType="end"/>
        </w:r>
      </w:hyperlink>
    </w:p>
    <w:p>
      <w:pPr>
        <w:pStyle w:val="tableoffigures"/>
      </w:pPr>
      <w:hyperlink w:anchor="tab43" w:history="1">
        <w:r>
          <w:t xml:space="preserve">Tabla 43. Matriz de trazabilidad: brecha, requisito ISO 9001, componente del SGC e indicador</w:t>
        </w:r>
        <w:r>
          <w:tab/>
        </w:r>
        <w:r>
          <w:fldChar w:fldCharType="begin"/>
        </w:r>
        <w:r>
          <w:instrText xml:space="preserve"> PAGEREF tab43 \h </w:instrText>
        </w:r>
        <w:r>
          <w:fldChar w:fldCharType="separate"/>
        </w:r>
        <w:r>
          <w:t>167</w:t>
        </w:r>
        <w:r>
          <w:fldChar w:fldCharType="end"/>
        </w:r>
      </w:hyperlink>
    </w:p>
    <w:p>
      <w:pPr>
        <w:pStyle w:val="tableoffigures"/>
      </w:pPr>
      <w:hyperlink w:anchor="tab44" w:history="1">
        <w:r>
          <w:t xml:space="preserve">Tabla 44. Secuencia de implementación del SGC en una losa</w:t>
        </w:r>
        <w:r>
          <w:tab/>
        </w:r>
        <w:r>
          <w:fldChar w:fldCharType="begin"/>
        </w:r>
        <w:r>
          <w:instrText xml:space="preserve"> PAGEREF tab44 \h </w:instrText>
        </w:r>
        <w:r>
          <w:fldChar w:fldCharType="separate"/>
        </w:r>
        <w:r>
          <w:t>170</w:t>
        </w:r>
        <w:r>
          <w:fldChar w:fldCharType="end"/>
        </w:r>
      </w:hyperlink>
    </w:p>
    <w:p>
      <w:pPr>
        <w:pStyle w:val="tableoffigures"/>
      </w:pPr>
      <w:hyperlink w:anchor="tab45" w:history="1">
        <w:r>
          <w:t xml:space="preserve">Tabla 45. Reglas de decisión para el contraste de hipótesis</w:t>
        </w:r>
        <w:r>
          <w:tab/>
        </w:r>
        <w:r>
          <w:fldChar w:fldCharType="begin"/>
        </w:r>
        <w:r>
          <w:instrText xml:space="preserve"> PAGEREF tab45 \h </w:instrText>
        </w:r>
        <w:r>
          <w:fldChar w:fldCharType="separate"/>
        </w:r>
        <w:r>
          <w:t>175</w:t>
        </w:r>
        <w:r>
          <w:fldChar w:fldCharType="end"/>
        </w:r>
      </w:hyperlink>
    </w:p>
    <w:p>
      <w:pPr>
        <w:pStyle w:val="tableoffigures"/>
      </w:pPr>
      <w:hyperlink w:anchor="tab48" w:history="1">
        <w:r>
          <w:t xml:space="preserve">Tabla 48. Lista de verificación C.1 aplicada a la ejecución de la primera losa</w:t>
        </w:r>
        <w:r>
          <w:tab/>
        </w:r>
        <w:r>
          <w:fldChar w:fldCharType="begin"/>
        </w:r>
        <w:r>
          <w:instrText xml:space="preserve"> PAGEREF tab48 \h </w:instrText>
        </w:r>
        <w:r>
          <w:fldChar w:fldCharType="separate"/>
        </w:r>
        <w:r>
          <w:t>196</w:t>
        </w:r>
        <w:r>
          <w:fldChar w:fldCharType="end"/>
        </w:r>
      </w:hyperlink>
    </w:p>
    <w:p>
      <w:pPr>
        <w:pStyle w:val="tableoffigures"/>
      </w:pPr>
      <w:hyperlink w:anchor="tab49" w:history="1">
        <w:r>
          <w:t xml:space="preserve">Tabla 49. Resumen de la lista de verificación C.1 por cláusula</w:t>
        </w:r>
        <w:r>
          <w:tab/>
        </w:r>
        <w:r>
          <w:fldChar w:fldCharType="begin"/>
        </w:r>
        <w:r>
          <w:instrText xml:space="preserve"> PAGEREF tab49 \h </w:instrText>
        </w:r>
        <w:r>
          <w:fldChar w:fldCharType="separate"/>
        </w:r>
        <w:r>
          <w:t>206</w:t>
        </w:r>
        <w:r>
          <w:fldChar w:fldCharType="end"/>
        </w:r>
      </w:hyperlink>
    </w:p>
    <w:p>
      <w:pPr>
        <w:pStyle w:val="TOCHeading"/>
      </w:pPr>
      <w:bookmarkStart w:id="1392" w:name="idxlof"/>
      <w:r>
        <w:t xml:space="preserve">Índice de figuras</w:t>
      </w:r>
      <w:bookmarkEnd w:id="1392"/>
    </w:p>
    <w:p>
      <w:pPr>
        <w:pStyle w:val="tableoffigures"/>
      </w:pPr>
      <w:hyperlink w:anchor="fig1" w:history="1">
        <w:r>
          <w:t xml:space="preserve">Figura 1. Estructura de la norma ISO 9001 representada en el ciclo PHVA</w:t>
        </w:r>
        <w:r>
          <w:tab/>
        </w:r>
        <w:r>
          <w:fldChar w:fldCharType="begin"/>
        </w:r>
        <w:r>
          <w:instrText xml:space="preserve"> PAGEREF fig1 \h </w:instrText>
        </w:r>
        <w:r>
          <w:fldChar w:fldCharType="separate"/>
        </w:r>
        <w:r>
          <w:t>38</w:t>
        </w:r>
        <w:r>
          <w:fldChar w:fldCharType="end"/>
        </w:r>
      </w:hyperlink>
    </w:p>
    <w:p>
      <w:pPr>
        <w:pStyle w:val="tableoffigures"/>
      </w:pPr>
      <w:hyperlink w:anchor="fig2" w:history="1">
        <w:r>
          <w:t xml:space="preserve">Figura 2. Curvas de los costos de la calidad y punto óptimo operativo provisional</w:t>
        </w:r>
        <w:r>
          <w:tab/>
        </w:r>
        <w:r>
          <w:fldChar w:fldCharType="begin"/>
        </w:r>
        <w:r>
          <w:instrText xml:space="preserve"> PAGEREF fig2 \h </w:instrText>
        </w:r>
        <w:r>
          <w:fldChar w:fldCharType="separate"/>
        </w:r>
        <w:r>
          <w:t>45</w:t>
        </w:r>
        <w:r>
          <w:fldChar w:fldCharType="end"/>
        </w:r>
      </w:hyperlink>
    </w:p>
    <w:p>
      <w:pPr>
        <w:pStyle w:val="tableoffigures"/>
      </w:pPr>
      <w:hyperlink w:anchor="fig3" w:history="1">
        <w:r>
          <w:t xml:space="preserve">Figura 3. Sección típica de la losa alivianada con viguetas pretensadas</w:t>
        </w:r>
        <w:r>
          <w:tab/>
        </w:r>
        <w:r>
          <w:fldChar w:fldCharType="begin"/>
        </w:r>
        <w:r>
          <w:instrText xml:space="preserve"> PAGEREF fig3 \h </w:instrText>
        </w:r>
        <w:r>
          <w:fldChar w:fldCharType="separate"/>
        </w:r>
        <w:r>
          <w:t>54</w:t>
        </w:r>
        <w:r>
          <w:fldChar w:fldCharType="end"/>
        </w:r>
      </w:hyperlink>
    </w:p>
    <w:p>
      <w:pPr>
        <w:pStyle w:val="tableoffigures"/>
      </w:pPr>
      <w:hyperlink w:anchor="fig4" w:history="1">
        <w:r>
          <w:t xml:space="preserve">Figura 4. Corte transversal de la losa con la carpeta de compresión y la armadura de distribución</w:t>
        </w:r>
        <w:r>
          <w:tab/>
        </w:r>
        <w:r>
          <w:fldChar w:fldCharType="begin"/>
        </w:r>
        <w:r>
          <w:instrText xml:space="preserve"> PAGEREF fig4 \h </w:instrText>
        </w:r>
        <w:r>
          <w:fldChar w:fldCharType="separate"/>
        </w:r>
        <w:r>
          <w:t>54</w:t>
        </w:r>
        <w:r>
          <w:fldChar w:fldCharType="end"/>
        </w:r>
      </w:hyperlink>
    </w:p>
    <w:p>
      <w:pPr>
        <w:pStyle w:val="tableoffigures"/>
      </w:pPr>
      <w:hyperlink w:anchor="fig5" w:history="1">
        <w:r>
          <w:t xml:space="preserve">Figura 5. Esquema del modelo de investigación con posprueba simulada</w:t>
        </w:r>
        <w:r>
          <w:tab/>
        </w:r>
        <w:r>
          <w:fldChar w:fldCharType="begin"/>
        </w:r>
        <w:r>
          <w:instrText xml:space="preserve"> PAGEREF fig5 \h </w:instrText>
        </w:r>
        <w:r>
          <w:fldChar w:fldCharType="separate"/>
        </w:r>
        <w:r>
          <w:t>81</w:t>
        </w:r>
        <w:r>
          <w:fldChar w:fldCharType="end"/>
        </w:r>
      </w:hyperlink>
    </w:p>
    <w:p>
      <w:pPr>
        <w:pStyle w:val="tableoffigures"/>
      </w:pPr>
      <w:hyperlink w:anchor="fig6" w:history="1">
        <w:r>
          <w:t xml:space="preserve">Figura 6. Geometría y paños de la primera losa del Edificio de Posgrado</w:t>
        </w:r>
        <w:r>
          <w:tab/>
        </w:r>
        <w:r>
          <w:fldChar w:fldCharType="begin"/>
        </w:r>
        <w:r>
          <w:instrText xml:space="preserve"> PAGEREF fig6 \h </w:instrText>
        </w:r>
        <w:r>
          <w:fldChar w:fldCharType="separate"/>
        </w:r>
        <w:r>
          <w:t>90</w:t>
        </w:r>
        <w:r>
          <w:fldChar w:fldCharType="end"/>
        </w:r>
      </w:hyperlink>
    </w:p>
    <w:p>
      <w:pPr>
        <w:pStyle w:val="tableoffigures"/>
      </w:pPr>
      <w:hyperlink w:anchor="fig7" w:history="1">
        <w:r>
          <w:t xml:space="preserve">Figura 7. Cumplimiento de los requisitos de ISO 9001 por cláusula en la primera losa y en dos diagnósticos de referencia</w:t>
        </w:r>
        <w:r>
          <w:tab/>
        </w:r>
        <w:r>
          <w:fldChar w:fldCharType="begin"/>
        </w:r>
        <w:r>
          <w:instrText xml:space="preserve"> PAGEREF fig7 \h </w:instrText>
        </w:r>
        <w:r>
          <w:fldChar w:fldCharType="separate"/>
        </w:r>
        <w:r>
          <w:t>97</w:t>
        </w:r>
        <w:r>
          <w:fldChar w:fldCharType="end"/>
        </w:r>
      </w:hyperlink>
    </w:p>
    <w:p>
      <w:pPr>
        <w:pStyle w:val="tableoffigures"/>
      </w:pPr>
      <w:hyperlink w:anchor="fig8" w:history="1">
        <w:r>
          <w:t xml:space="preserve">Figura 8. Diagrama de Pareto de las no conformidades de la primera losa por categoría</w:t>
        </w:r>
        <w:r>
          <w:tab/>
        </w:r>
        <w:r>
          <w:fldChar w:fldCharType="begin"/>
        </w:r>
        <w:r>
          <w:instrText xml:space="preserve"> PAGEREF fig8 \h </w:instrText>
        </w:r>
        <w:r>
          <w:fldChar w:fldCharType="separate"/>
        </w:r>
        <w:r>
          <w:t>114</w:t>
        </w:r>
        <w:r>
          <w:fldChar w:fldCharType="end"/>
        </w:r>
      </w:hyperlink>
    </w:p>
    <w:p>
      <w:pPr>
        <w:pStyle w:val="tableoffigures"/>
      </w:pPr>
      <w:hyperlink w:anchor="fig9" w:history="1">
        <w:r>
          <w:t xml:space="preserve">Figura 9. Diagrama de Ishikawa del desperdicio de materiales y los sobrecostos de la primera losa</w:t>
        </w:r>
        <w:r>
          <w:tab/>
        </w:r>
        <w:r>
          <w:fldChar w:fldCharType="begin"/>
        </w:r>
        <w:r>
          <w:instrText xml:space="preserve"> PAGEREF fig9 \h </w:instrText>
        </w:r>
        <w:r>
          <w:fldChar w:fldCharType="separate"/>
        </w:r>
        <w:r>
          <w:t>115</w:t>
        </w:r>
        <w:r>
          <w:fldChar w:fldCharType="end"/>
        </w:r>
      </w:hyperlink>
    </w:p>
    <w:p>
      <w:pPr>
        <w:pStyle w:val="tableoffigures"/>
      </w:pPr>
      <w:hyperlink w:anchor="fig10" w:history="1">
        <w:r>
          <w:t xml:space="preserve">Figura 10. Ciclo PHVA aplicado a la ejecución de la losa alivianada</w:t>
        </w:r>
        <w:r>
          <w:tab/>
        </w:r>
        <w:r>
          <w:fldChar w:fldCharType="begin"/>
        </w:r>
        <w:r>
          <w:instrText xml:space="preserve"> PAGEREF fig10 \h </w:instrText>
        </w:r>
        <w:r>
          <w:fldChar w:fldCharType="separate"/>
        </w:r>
        <w:r>
          <w:t>125</w:t>
        </w:r>
        <w:r>
          <w:fldChar w:fldCharType="end"/>
        </w:r>
      </w:hyperlink>
    </w:p>
    <w:p>
      <w:pPr>
        <w:pStyle w:val="tableoffigures"/>
      </w:pPr>
      <w:hyperlink w:anchor="fig11" w:history="1">
        <w:r>
          <w:t xml:space="preserve">Figura 11. Mapa de procesos del ítem losa alivianada</w:t>
        </w:r>
        <w:r>
          <w:tab/>
        </w:r>
        <w:r>
          <w:fldChar w:fldCharType="begin"/>
        </w:r>
        <w:r>
          <w:instrText xml:space="preserve"> PAGEREF fig11 \h </w:instrText>
        </w:r>
        <w:r>
          <w:fldChar w:fldCharType="separate"/>
        </w:r>
        <w:r>
          <w:t>141</w:t>
        </w:r>
        <w:r>
          <w:fldChar w:fldCharType="end"/>
        </w:r>
      </w:hyperlink>
    </w:p>
    <w:p>
      <w:pPr>
        <w:pStyle w:val="tableoffigures"/>
      </w:pPr>
      <w:hyperlink w:anchor="fig12" w:history="1">
        <w:r>
          <w:t xml:space="preserve">Figura 12. Flujo del procedimiento de no conformidades y acción correctiva</w:t>
        </w:r>
        <w:r>
          <w:tab/>
        </w:r>
        <w:r>
          <w:fldChar w:fldCharType="begin"/>
        </w:r>
        <w:r>
          <w:instrText xml:space="preserve"> PAGEREF fig12 \h </w:instrText>
        </w:r>
        <w:r>
          <w:fldChar w:fldCharType="separate"/>
        </w:r>
        <w:r>
          <w:t>163</w:t>
        </w:r>
        <w:r>
          <w:fldChar w:fldCharType="end"/>
        </w:r>
      </w:hyperlink>
    </w:p>
    <w:p>
      <w:pPr>
        <w:pStyle w:val="tableoffigures"/>
      </w:pPr>
      <w:hyperlink w:anchor="fig13" w:history="1">
        <w:r>
          <w:t xml:space="preserve">Figura 13. Media acumulada de la reducción del costo unitario según el número de iteraciones</w:t>
        </w:r>
        <w:r>
          <w:tab/>
        </w:r>
        <w:r>
          <w:fldChar w:fldCharType="begin"/>
        </w:r>
        <w:r>
          <w:instrText xml:space="preserve"> PAGEREF fig13 \h </w:instrText>
        </w:r>
        <w:r>
          <w:fldChar w:fldCharType="separate"/>
        </w:r>
        <w:r>
          <w:t>248</w:t>
        </w:r>
        <w:r>
          <w:fldChar w:fldCharType="end"/>
        </w:r>
      </w:hyperlink>
    </w:p>
    <w:p>
      <w:pPr>
        <w:pStyle w:val="Heading1"/>
      </w:pPr>
      <w:bookmarkStart w:id="24" w:name="tit5"/>
      <w:r>
        <w:t xml:space="preserve">Lista de abreviaturas y siglas</w:t>
      </w:r>
      <w:bookmarkEnd w:id="24"/>
    </w:p>
    <w:tbl>
      <w:tblPr>
        <w:tblStyle w:val="Table"/>
        <w:tblW w:w="9360" w:type="dxa"/>
        <w:jc w:val="left"/>
        <w:tblLayout w:type="fixed"/>
        <w:tblCellMar>
          <w:top w:w="0" w:type="dxa"/>
          <w:left w:w="85" w:type="dxa"/>
          <w:bottom w:w="0" w:type="dxa"/>
          <w:right w:w="85" w:type="dxa"/>
        </w:tblCellMar>
        <w:tblLook w:firstRow="0" w:lastRow="0" w:firstColumn="0" w:lastColumn="0" w:noHBand="0" w:noVBand="0" w:val="0000"/>
      </w:tblPr>
      <w:tblGrid>
        <w:gridCol w:w="2075"/>
        <w:gridCol w:w="7285"/>
      </w:tblGrid>
      <w:tr>
        <w:tc>
          <w:tcPr>
            <w:tcW w:w="2075" w:type="dxa"/>
          </w:tcPr>
          <w:p>
            <w:pPr>
              <w:pStyle w:val="CeldaAPA"/>
              <w:jc w:val="left"/>
            </w:pPr>
            <w:r>
              <w:rPr>
                <w:bCs/>
                <w:b/>
              </w:rPr>
              <w:t xml:space="preserve">ACI</w:t>
            </w:r>
          </w:p>
        </w:tc>
        <w:tc>
          <w:tcPr>
            <w:tcW w:w="7285" w:type="dxa"/>
          </w:tcPr>
          <w:p>
            <w:pPr>
              <w:pStyle w:val="CeldaAPA"/>
              <w:jc w:val="left"/>
            </w:pPr>
            <w:r>
              <w:rPr/>
              <w:t xml:space="preserve">American Concrete Institute</w:t>
            </w:r>
          </w:p>
        </w:tc>
      </w:tr>
      <w:tr>
        <w:tc>
          <w:tcPr>
            <w:tcW w:w="2075" w:type="dxa"/>
          </w:tcPr>
          <w:p>
            <w:pPr>
              <w:pStyle w:val="CeldaAPA"/>
              <w:jc w:val="left"/>
            </w:pPr>
            <w:r>
              <w:rPr>
                <w:bCs/>
                <w:b/>
              </w:rPr>
              <w:t xml:space="preserve">APU</w:t>
            </w:r>
          </w:p>
        </w:tc>
        <w:tc>
          <w:tcPr>
            <w:tcW w:w="7285" w:type="dxa"/>
          </w:tcPr>
          <w:p>
            <w:pPr>
              <w:pStyle w:val="CeldaAPA"/>
              <w:jc w:val="left"/>
            </w:pPr>
            <w:r>
              <w:rPr/>
              <w:t xml:space="preserve">Análisis de precios unitarios</w:t>
            </w:r>
          </w:p>
        </w:tc>
      </w:tr>
      <w:tr>
        <w:tc>
          <w:tcPr>
            <w:tcW w:w="2075" w:type="dxa"/>
          </w:tcPr>
          <w:p>
            <w:pPr>
              <w:pStyle w:val="CeldaAPA"/>
              <w:jc w:val="left"/>
            </w:pPr>
            <w:r>
              <w:rPr>
                <w:bCs/>
                <w:b/>
              </w:rPr>
              <w:t xml:space="preserve">ASTM</w:t>
            </w:r>
          </w:p>
        </w:tc>
        <w:tc>
          <w:tcPr>
            <w:tcW w:w="7285" w:type="dxa"/>
          </w:tcPr>
          <w:p>
            <w:pPr>
              <w:pStyle w:val="CeldaAPA"/>
              <w:jc w:val="left"/>
            </w:pPr>
            <w:r>
              <w:rPr/>
              <w:t xml:space="preserve">ASTM International (antes American Society for Testing and Materials)</w:t>
            </w:r>
          </w:p>
        </w:tc>
      </w:tr>
      <w:tr>
        <w:tc>
          <w:tcPr>
            <w:tcW w:w="2075" w:type="dxa"/>
          </w:tcPr>
          <w:p>
            <w:pPr>
              <w:pStyle w:val="CeldaAPA"/>
              <w:jc w:val="left"/>
            </w:pPr>
            <w:r>
              <w:rPr>
                <w:bCs/>
                <w:b/>
              </w:rPr>
              <w:t xml:space="preserve">CADECO</w:t>
            </w:r>
          </w:p>
        </w:tc>
        <w:tc>
          <w:tcPr>
            <w:tcW w:w="7285" w:type="dxa"/>
          </w:tcPr>
          <w:p>
            <w:pPr>
              <w:pStyle w:val="CeldaAPA"/>
              <w:jc w:val="left"/>
            </w:pPr>
            <w:r>
              <w:rPr/>
              <w:t xml:space="preserve">Cámara Departamental de la Construcción</w:t>
            </w:r>
          </w:p>
        </w:tc>
      </w:tr>
      <w:tr>
        <w:tc>
          <w:tcPr>
            <w:tcW w:w="2075" w:type="dxa"/>
          </w:tcPr>
          <w:p>
            <w:pPr>
              <w:pStyle w:val="CeldaAPA"/>
              <w:jc w:val="left"/>
            </w:pPr>
            <w:r>
              <w:rPr>
                <w:bCs/>
                <w:b/>
              </w:rPr>
              <w:t xml:space="preserve">CBH-87</w:t>
            </w:r>
          </w:p>
        </w:tc>
        <w:tc>
          <w:tcPr>
            <w:tcW w:w="7285" w:type="dxa"/>
          </w:tcPr>
          <w:p>
            <w:pPr>
              <w:pStyle w:val="CeldaAPA"/>
              <w:jc w:val="left"/>
            </w:pPr>
            <w:r>
              <w:rPr/>
              <w:t xml:space="preserve">Código Boliviano del Hormigón Armado de 1987</w:t>
            </w:r>
          </w:p>
        </w:tc>
      </w:tr>
      <w:tr>
        <w:tc>
          <w:tcPr>
            <w:tcW w:w="2075" w:type="dxa"/>
          </w:tcPr>
          <w:p>
            <w:pPr>
              <w:pStyle w:val="CeldaAPA"/>
              <w:jc w:val="left"/>
            </w:pPr>
            <w:r>
              <w:rPr>
                <w:bCs/>
                <w:b/>
              </w:rPr>
              <w:t xml:space="preserve">CC</w:t>
            </w:r>
          </w:p>
        </w:tc>
        <w:tc>
          <w:tcPr>
            <w:tcW w:w="7285" w:type="dxa"/>
          </w:tcPr>
          <w:p>
            <w:pPr>
              <w:pStyle w:val="CeldaAPA"/>
              <w:jc w:val="left"/>
            </w:pPr>
            <w:r>
              <w:rPr/>
              <w:t xml:space="preserve">Costo de la calidad (prevención y evaluación)</w:t>
            </w:r>
          </w:p>
        </w:tc>
      </w:tr>
      <w:tr>
        <w:tc>
          <w:tcPr>
            <w:tcW w:w="2075" w:type="dxa"/>
          </w:tcPr>
          <w:p>
            <w:pPr>
              <w:pStyle w:val="CeldaAPA"/>
              <w:jc w:val="left"/>
            </w:pPr>
            <w:r>
              <w:rPr>
                <w:bCs/>
                <w:b/>
              </w:rPr>
              <w:t xml:space="preserve">CD</w:t>
            </w:r>
          </w:p>
        </w:tc>
        <w:tc>
          <w:tcPr>
            <w:tcW w:w="7285" w:type="dxa"/>
          </w:tcPr>
          <w:p>
            <w:pPr>
              <w:pStyle w:val="CeldaAPA"/>
              <w:jc w:val="left"/>
            </w:pPr>
            <w:r>
              <w:rPr/>
              <w:t xml:space="preserve">Costo directo</w:t>
            </w:r>
          </w:p>
        </w:tc>
      </w:tr>
      <w:tr>
        <w:tc>
          <w:tcPr>
            <w:tcW w:w="2075" w:type="dxa"/>
          </w:tcPr>
          <w:p>
            <w:pPr>
              <w:pStyle w:val="CeldaAPA"/>
              <w:jc w:val="left"/>
            </w:pPr>
            <w:r>
              <w:rPr>
                <w:bCs/>
                <w:b/>
              </w:rPr>
              <w:t xml:space="preserve">CNC</w:t>
            </w:r>
          </w:p>
        </w:tc>
        <w:tc>
          <w:tcPr>
            <w:tcW w:w="7285" w:type="dxa"/>
          </w:tcPr>
          <w:p>
            <w:pPr>
              <w:pStyle w:val="CeldaAPA"/>
              <w:jc w:val="left"/>
            </w:pPr>
            <w:r>
              <w:rPr/>
              <w:t xml:space="preserve">Costo de no calidad (fallas internas y externas)</w:t>
            </w:r>
          </w:p>
        </w:tc>
      </w:tr>
      <w:tr>
        <w:tc>
          <w:tcPr>
            <w:tcW w:w="2075" w:type="dxa"/>
          </w:tcPr>
          <w:p>
            <w:pPr>
              <w:pStyle w:val="CeldaAPA"/>
              <w:jc w:val="left"/>
            </w:pPr>
            <w:r>
              <w:rPr>
                <w:bCs/>
                <w:b/>
              </w:rPr>
              <w:t xml:space="preserve">CU</w:t>
            </w:r>
          </w:p>
        </w:tc>
        <w:tc>
          <w:tcPr>
            <w:tcW w:w="7285" w:type="dxa"/>
          </w:tcPr>
          <w:p>
            <w:pPr>
              <w:pStyle w:val="CeldaAPA"/>
              <w:jc w:val="left"/>
            </w:pPr>
            <w:r>
              <w:rPr/>
              <w:t xml:space="preserve">Costo unitario de ejecución (Bs/m</w:t>
            </w:r>
            <w:r>
              <w:rPr>
                <w:vertAlign w:val="superscript"/>
              </w:rPr>
              <w:t xml:space="preserve">2</w:t>
            </w:r>
            <w:r>
              <w:rPr/>
              <w:t xml:space="preserve">)</w:t>
            </w:r>
          </w:p>
        </w:tc>
      </w:tr>
      <w:tr>
        <w:tc>
          <w:tcPr>
            <w:tcW w:w="2075" w:type="dxa"/>
          </w:tcPr>
          <w:p>
            <w:pPr>
              <w:pStyle w:val="CeldaAPA"/>
              <w:jc w:val="left"/>
            </w:pPr>
            <w:r>
              <w:rPr>
                <w:bCs/>
                <w:b/>
              </w:rPr>
              <w:t xml:space="preserve">CUCE</w:t>
            </w:r>
          </w:p>
        </w:tc>
        <w:tc>
          <w:tcPr>
            <w:tcW w:w="7285" w:type="dxa"/>
          </w:tcPr>
          <w:p>
            <w:pPr>
              <w:pStyle w:val="CeldaAPA"/>
              <w:jc w:val="left"/>
            </w:pPr>
            <w:r>
              <w:rPr/>
              <w:t xml:space="preserve">Código Único de Contrataciones Estatales</w:t>
            </w:r>
          </w:p>
        </w:tc>
      </w:tr>
      <w:tr>
        <w:tc>
          <w:tcPr>
            <w:tcW w:w="2075" w:type="dxa"/>
          </w:tcPr>
          <w:p>
            <w:pPr>
              <w:pStyle w:val="CeldaAPA"/>
              <w:jc w:val="left"/>
            </w:pPr>
            <w:r>
              <w:rPr>
                <w:bCs/>
                <w:b/>
              </w:rPr>
              <w:t xml:space="preserve">CV</w:t>
            </w:r>
          </w:p>
        </w:tc>
        <w:tc>
          <w:tcPr>
            <w:tcW w:w="7285" w:type="dxa"/>
          </w:tcPr>
          <w:p>
            <w:pPr>
              <w:pStyle w:val="CeldaAPA"/>
              <w:jc w:val="left"/>
            </w:pPr>
            <w:r>
              <w:rPr/>
              <w:t xml:space="preserve">Coeficiente de variación</w:t>
            </w:r>
          </w:p>
        </w:tc>
      </w:tr>
      <w:tr>
        <w:tc>
          <w:tcPr>
            <w:tcW w:w="2075" w:type="dxa"/>
          </w:tcPr>
          <w:p>
            <w:pPr>
              <w:pStyle w:val="CeldaAPA"/>
              <w:jc w:val="left"/>
            </w:pPr>
            <w:r>
              <w:rPr>
                <w:bCs/>
                <w:b/>
              </w:rPr>
              <w:t xml:space="preserve">DBC</w:t>
            </w:r>
          </w:p>
        </w:tc>
        <w:tc>
          <w:tcPr>
            <w:tcW w:w="7285" w:type="dxa"/>
          </w:tcPr>
          <w:p>
            <w:pPr>
              <w:pStyle w:val="CeldaAPA"/>
              <w:jc w:val="left"/>
            </w:pPr>
            <w:r>
              <w:rPr/>
              <w:t xml:space="preserve">Documento Base de Contratación</w:t>
            </w:r>
          </w:p>
        </w:tc>
      </w:tr>
      <w:tr>
        <w:tc>
          <w:tcPr>
            <w:tcW w:w="2075" w:type="dxa"/>
          </w:tcPr>
          <w:p>
            <w:pPr>
              <w:pStyle w:val="CeldaAPA"/>
              <w:jc w:val="left"/>
            </w:pPr>
            <w:r>
              <w:rPr>
                <w:bCs/>
                <w:b/>
              </w:rPr>
              <w:t xml:space="preserve">D. S.</w:t>
            </w:r>
          </w:p>
        </w:tc>
        <w:tc>
          <w:tcPr>
            <w:tcW w:w="7285" w:type="dxa"/>
          </w:tcPr>
          <w:p>
            <w:pPr>
              <w:pStyle w:val="CeldaAPA"/>
              <w:jc w:val="left"/>
            </w:pPr>
            <w:r>
              <w:rPr/>
              <w:t xml:space="preserve">Decreto Supremo</w:t>
            </w:r>
          </w:p>
        </w:tc>
      </w:tr>
      <w:tr>
        <w:tc>
          <w:tcPr>
            <w:tcW w:w="2075" w:type="dxa"/>
          </w:tcPr>
          <w:p>
            <w:pPr>
              <w:pStyle w:val="CeldaAPA"/>
              <w:jc w:val="left"/>
            </w:pPr>
            <w:r>
              <w:rPr>
                <w:bCs/>
                <w:b/>
              </w:rPr>
              <w:t xml:space="preserve">EPS</w:t>
            </w:r>
          </w:p>
        </w:tc>
        <w:tc>
          <w:tcPr>
            <w:tcW w:w="7285" w:type="dxa"/>
          </w:tcPr>
          <w:p>
            <w:pPr>
              <w:pStyle w:val="CeldaAPA"/>
              <w:jc w:val="left"/>
            </w:pPr>
            <w:r>
              <w:rPr/>
              <w:t xml:space="preserve">Poliestireno expandido (plastoformo)</w:t>
            </w:r>
          </w:p>
        </w:tc>
      </w:tr>
      <w:tr>
        <w:tc>
          <w:tcPr>
            <w:tcW w:w="2075" w:type="dxa"/>
          </w:tcPr>
          <w:p>
            <w:pPr>
              <w:pStyle w:val="CeldaAPA"/>
              <w:jc w:val="left"/>
            </w:pPr>
            <w:r>
              <w:rPr>
                <w:bCs/>
                <w:b/>
              </w:rPr>
              <w:t xml:space="preserve">ET</w:t>
            </w:r>
          </w:p>
        </w:tc>
        <w:tc>
          <w:tcPr>
            <w:tcW w:w="7285" w:type="dxa"/>
          </w:tcPr>
          <w:p>
            <w:pPr>
              <w:pStyle w:val="CeldaAPA"/>
              <w:jc w:val="left"/>
            </w:pPr>
            <w:r>
              <w:rPr/>
              <w:t xml:space="preserve">Especificaciones técnicas</w:t>
            </w:r>
          </w:p>
        </w:tc>
      </w:tr>
      <w:tr>
        <w:tc>
          <w:tcPr>
            <w:tcW w:w="2075" w:type="dxa"/>
          </w:tcPr>
          <w:p>
            <w:pPr>
              <w:pStyle w:val="CeldaAPA"/>
              <w:jc w:val="left"/>
            </w:pPr>
            <w:r>
              <w:rPr>
                <w:bCs/>
                <w:b/>
              </w:rPr>
              <w:t xml:space="preserve">FANCESA</w:t>
            </w:r>
          </w:p>
        </w:tc>
        <w:tc>
          <w:tcPr>
            <w:tcW w:w="7285" w:type="dxa"/>
          </w:tcPr>
          <w:p>
            <w:pPr>
              <w:pStyle w:val="CeldaAPA"/>
              <w:jc w:val="left"/>
            </w:pPr>
            <w:r>
              <w:rPr/>
              <w:t xml:space="preserve">Fábrica Nacional de Cemento S. A.</w:t>
            </w:r>
          </w:p>
        </w:tc>
      </w:tr>
      <w:tr>
        <w:tc>
          <w:tcPr>
            <w:tcW w:w="2075" w:type="dxa"/>
          </w:tcPr>
          <w:p>
            <w:pPr>
              <w:pStyle w:val="CeldaAPA"/>
              <w:jc w:val="left"/>
            </w:pPr>
            <w:r>
              <w:rPr>
                <w:bCs/>
                <w:b/>
              </w:rPr>
              <w:t xml:space="preserve">f’c</w:t>
            </w:r>
          </w:p>
        </w:tc>
        <w:tc>
          <w:tcPr>
            <w:tcW w:w="7285" w:type="dxa"/>
          </w:tcPr>
          <w:p>
            <w:pPr>
              <w:pStyle w:val="CeldaAPA"/>
              <w:jc w:val="left"/>
            </w:pPr>
            <w:r>
              <w:rPr/>
              <w:t xml:space="preserve">Resistencia especificada a la compresión del hormigón</w:t>
            </w:r>
          </w:p>
        </w:tc>
      </w:tr>
      <w:tr>
        <w:tc>
          <w:tcPr>
            <w:tcW w:w="2075" w:type="dxa"/>
          </w:tcPr>
          <w:p>
            <w:pPr>
              <w:pStyle w:val="CeldaAPA"/>
              <w:jc w:val="left"/>
            </w:pPr>
            <w:r>
              <w:rPr>
                <w:bCs/>
                <w:b/>
              </w:rPr>
              <w:t xml:space="preserve">GG</w:t>
            </w:r>
          </w:p>
        </w:tc>
        <w:tc>
          <w:tcPr>
            <w:tcW w:w="7285" w:type="dxa"/>
          </w:tcPr>
          <w:p>
            <w:pPr>
              <w:pStyle w:val="CeldaAPA"/>
              <w:jc w:val="left"/>
            </w:pPr>
            <w:r>
              <w:rPr/>
              <w:t xml:space="preserve">Gastos generales</w:t>
            </w:r>
          </w:p>
        </w:tc>
      </w:tr>
      <w:tr>
        <w:tc>
          <w:tcPr>
            <w:tcW w:w="2075" w:type="dxa"/>
          </w:tcPr>
          <w:p>
            <w:pPr>
              <w:pStyle w:val="CeldaAPA"/>
              <w:jc w:val="left"/>
            </w:pPr>
            <w:r>
              <w:rPr>
                <w:bCs/>
                <w:b/>
              </w:rPr>
              <w:t xml:space="preserve">H</w:t>
            </w:r>
            <w:r>
              <w:rPr>
                <w:vertAlign w:val="superscript"/>
                <w:bCs/>
                <w:b/>
              </w:rPr>
              <w:t xml:space="preserve">o</w:t>
            </w:r>
            <w:r>
              <w:rPr>
                <w:bCs/>
                <w:b/>
              </w:rPr>
              <w:t xml:space="preserve">A</w:t>
            </w:r>
            <w:r>
              <w:rPr>
                <w:vertAlign w:val="superscript"/>
                <w:bCs/>
                <w:b/>
              </w:rPr>
              <w:t xml:space="preserve">o</w:t>
            </w:r>
          </w:p>
        </w:tc>
        <w:tc>
          <w:tcPr>
            <w:tcW w:w="7285" w:type="dxa"/>
          </w:tcPr>
          <w:p>
            <w:pPr>
              <w:pStyle w:val="CeldaAPA"/>
              <w:jc w:val="left"/>
            </w:pPr>
            <w:r>
              <w:rPr/>
              <w:t xml:space="preserve">Hormigón armado</w:t>
            </w:r>
          </w:p>
        </w:tc>
      </w:tr>
      <w:tr>
        <w:tc>
          <w:tcPr>
            <w:tcW w:w="2075" w:type="dxa"/>
          </w:tcPr>
          <w:p>
            <w:pPr>
              <w:pStyle w:val="CeldaAPA"/>
              <w:jc w:val="left"/>
            </w:pPr>
            <w:r>
              <w:rPr>
                <w:bCs/>
                <w:b/>
              </w:rPr>
              <w:t xml:space="preserve">H</w:t>
            </w:r>
            <w:r>
              <w:rPr>
                <w:vertAlign w:val="superscript"/>
                <w:bCs/>
                <w:b/>
              </w:rPr>
              <w:t xml:space="preserve">o</w:t>
            </w:r>
            <w:r>
              <w:rPr>
                <w:bCs/>
                <w:b/>
              </w:rPr>
              <w:t xml:space="preserve">S</w:t>
            </w:r>
            <w:r>
              <w:rPr>
                <w:vertAlign w:val="superscript"/>
                <w:bCs/>
                <w:b/>
              </w:rPr>
              <w:t xml:space="preserve">o</w:t>
            </w:r>
          </w:p>
        </w:tc>
        <w:tc>
          <w:tcPr>
            <w:tcW w:w="7285" w:type="dxa"/>
          </w:tcPr>
          <w:p>
            <w:pPr>
              <w:pStyle w:val="CeldaAPA"/>
              <w:jc w:val="left"/>
            </w:pPr>
            <w:r>
              <w:rPr/>
              <w:t xml:space="preserve">Hormigón simple</w:t>
            </w:r>
          </w:p>
        </w:tc>
      </w:tr>
      <w:tr>
        <w:tc>
          <w:tcPr>
            <w:tcW w:w="2075" w:type="dxa"/>
          </w:tcPr>
          <w:p>
            <w:pPr>
              <w:pStyle w:val="CeldaAPA"/>
              <w:jc w:val="left"/>
            </w:pPr>
            <w:r>
              <w:rPr>
                <w:bCs/>
                <w:b/>
              </w:rPr>
              <w:t xml:space="preserve">IBNORCA</w:t>
            </w:r>
          </w:p>
        </w:tc>
        <w:tc>
          <w:tcPr>
            <w:tcW w:w="7285" w:type="dxa"/>
          </w:tcPr>
          <w:p>
            <w:pPr>
              <w:pStyle w:val="CeldaAPA"/>
              <w:jc w:val="left"/>
            </w:pPr>
            <w:r>
              <w:rPr/>
              <w:t xml:space="preserve">Instituto Boliviano de Normalización y Calidad</w:t>
            </w:r>
          </w:p>
        </w:tc>
      </w:tr>
      <w:tr>
        <w:tc>
          <w:tcPr>
            <w:tcW w:w="2075" w:type="dxa"/>
          </w:tcPr>
          <w:p>
            <w:pPr>
              <w:pStyle w:val="CeldaAPA"/>
              <w:jc w:val="left"/>
            </w:pPr>
            <w:r>
              <w:rPr>
                <w:bCs/>
                <w:b/>
              </w:rPr>
              <w:t xml:space="preserve">IDH</w:t>
            </w:r>
          </w:p>
        </w:tc>
        <w:tc>
          <w:tcPr>
            <w:tcW w:w="7285" w:type="dxa"/>
          </w:tcPr>
          <w:p>
            <w:pPr>
              <w:pStyle w:val="CeldaAPA"/>
              <w:jc w:val="left"/>
            </w:pPr>
            <w:r>
              <w:rPr/>
              <w:t xml:space="preserve">Impuesto Directo a los Hidrocarburos</w:t>
            </w:r>
          </w:p>
        </w:tc>
      </w:tr>
      <w:tr>
        <w:tc>
          <w:tcPr>
            <w:tcW w:w="2075" w:type="dxa"/>
          </w:tcPr>
          <w:p>
            <w:pPr>
              <w:pStyle w:val="CeldaAPA"/>
              <w:jc w:val="left"/>
            </w:pPr>
            <w:r>
              <w:rPr>
                <w:bCs/>
                <w:b/>
              </w:rPr>
              <w:t xml:space="preserve">IDM</w:t>
            </w:r>
          </w:p>
        </w:tc>
        <w:tc>
          <w:tcPr>
            <w:tcW w:w="7285" w:type="dxa"/>
          </w:tcPr>
          <w:p>
            <w:pPr>
              <w:pStyle w:val="CeldaAPA"/>
              <w:jc w:val="left"/>
            </w:pPr>
            <w:r>
              <w:rPr/>
              <w:t xml:space="preserve">Índice de desperdicio de materiales</w:t>
            </w:r>
          </w:p>
        </w:tc>
      </w:tr>
      <w:tr>
        <w:tc>
          <w:tcPr>
            <w:tcW w:w="2075" w:type="dxa"/>
          </w:tcPr>
          <w:p>
            <w:pPr>
              <w:pStyle w:val="CeldaAPA"/>
              <w:jc w:val="left"/>
            </w:pPr>
            <w:r>
              <w:rPr>
                <w:bCs/>
                <w:b/>
              </w:rPr>
              <w:t xml:space="preserve">INE</w:t>
            </w:r>
          </w:p>
        </w:tc>
        <w:tc>
          <w:tcPr>
            <w:tcW w:w="7285" w:type="dxa"/>
          </w:tcPr>
          <w:p>
            <w:pPr>
              <w:pStyle w:val="CeldaAPA"/>
              <w:jc w:val="left"/>
            </w:pPr>
            <w:r>
              <w:rPr/>
              <w:t xml:space="preserve">Instituto Nacional de Estadística</w:t>
            </w:r>
          </w:p>
        </w:tc>
      </w:tr>
      <w:tr>
        <w:tc>
          <w:tcPr>
            <w:tcW w:w="2075" w:type="dxa"/>
          </w:tcPr>
          <w:p>
            <w:pPr>
              <w:pStyle w:val="CeldaAPA"/>
              <w:jc w:val="left"/>
            </w:pPr>
            <w:r>
              <w:rPr>
                <w:bCs/>
                <w:b/>
              </w:rPr>
              <w:t xml:space="preserve">ISO</w:t>
            </w:r>
          </w:p>
        </w:tc>
        <w:tc>
          <w:tcPr>
            <w:tcW w:w="7285" w:type="dxa"/>
          </w:tcPr>
          <w:p>
            <w:pPr>
              <w:pStyle w:val="CeldaAPA"/>
              <w:jc w:val="left"/>
            </w:pPr>
            <w:r>
              <w:rPr/>
              <w:t xml:space="preserve">Organización Internacional de Normalización</w:t>
            </w:r>
          </w:p>
        </w:tc>
      </w:tr>
      <w:tr>
        <w:tc>
          <w:tcPr>
            <w:tcW w:w="2075" w:type="dxa"/>
          </w:tcPr>
          <w:p>
            <w:pPr>
              <w:pStyle w:val="CeldaAPA"/>
              <w:jc w:val="left"/>
            </w:pPr>
            <w:r>
              <w:rPr>
                <w:bCs/>
                <w:b/>
              </w:rPr>
              <w:t xml:space="preserve">IT</w:t>
            </w:r>
          </w:p>
        </w:tc>
        <w:tc>
          <w:tcPr>
            <w:tcW w:w="7285" w:type="dxa"/>
          </w:tcPr>
          <w:p>
            <w:pPr>
              <w:pStyle w:val="CeldaAPA"/>
              <w:jc w:val="left"/>
            </w:pPr>
            <w:r>
              <w:rPr/>
              <w:t xml:space="preserve">Impuesto a las Transacciones</w:t>
            </w:r>
          </w:p>
        </w:tc>
      </w:tr>
      <w:tr>
        <w:tc>
          <w:tcPr>
            <w:tcW w:w="2075" w:type="dxa"/>
          </w:tcPr>
          <w:p>
            <w:pPr>
              <w:pStyle w:val="CeldaAPA"/>
              <w:jc w:val="left"/>
            </w:pPr>
            <w:r>
              <w:rPr>
                <w:bCs/>
                <w:b/>
              </w:rPr>
              <w:t xml:space="preserve">IVA</w:t>
            </w:r>
          </w:p>
        </w:tc>
        <w:tc>
          <w:tcPr>
            <w:tcW w:w="7285" w:type="dxa"/>
          </w:tcPr>
          <w:p>
            <w:pPr>
              <w:pStyle w:val="CeldaAPA"/>
              <w:jc w:val="left"/>
            </w:pPr>
            <w:r>
              <w:rPr/>
              <w:t xml:space="preserve">Impuesto al Valor Agregado</w:t>
            </w:r>
          </w:p>
        </w:tc>
      </w:tr>
      <w:tr>
        <w:tc>
          <w:tcPr>
            <w:tcW w:w="2075" w:type="dxa"/>
          </w:tcPr>
          <w:p>
            <w:pPr>
              <w:pStyle w:val="CeldaAPA"/>
              <w:jc w:val="left"/>
            </w:pPr>
            <w:r>
              <w:rPr>
                <w:bCs/>
                <w:b/>
              </w:rPr>
              <w:t xml:space="preserve">MAE</w:t>
            </w:r>
          </w:p>
        </w:tc>
        <w:tc>
          <w:tcPr>
            <w:tcW w:w="7285" w:type="dxa"/>
          </w:tcPr>
          <w:p>
            <w:pPr>
              <w:pStyle w:val="CeldaAPA"/>
              <w:jc w:val="left"/>
            </w:pPr>
            <w:r>
              <w:rPr/>
              <w:t xml:space="preserve">Máxima Autoridad Ejecutiva</w:t>
            </w:r>
          </w:p>
        </w:tc>
      </w:tr>
      <w:tr>
        <w:tc>
          <w:tcPr>
            <w:tcW w:w="2075" w:type="dxa"/>
          </w:tcPr>
          <w:p>
            <w:pPr>
              <w:pStyle w:val="CeldaAPA"/>
              <w:jc w:val="left"/>
            </w:pPr>
            <w:r>
              <w:rPr>
                <w:bCs/>
                <w:b/>
              </w:rPr>
              <w:t xml:space="preserve">MEFP</w:t>
            </w:r>
          </w:p>
        </w:tc>
        <w:tc>
          <w:tcPr>
            <w:tcW w:w="7285" w:type="dxa"/>
          </w:tcPr>
          <w:p>
            <w:pPr>
              <w:pStyle w:val="CeldaAPA"/>
              <w:jc w:val="left"/>
            </w:pPr>
            <w:r>
              <w:rPr/>
              <w:t xml:space="preserve">Ministerio de Economía y Finanzas Públicas</w:t>
            </w:r>
          </w:p>
        </w:tc>
      </w:tr>
      <w:tr>
        <w:tc>
          <w:tcPr>
            <w:tcW w:w="2075" w:type="dxa"/>
          </w:tcPr>
          <w:p>
            <w:pPr>
              <w:pStyle w:val="CeldaAPA"/>
              <w:jc w:val="left"/>
            </w:pPr>
            <w:r>
              <w:rPr>
                <w:bCs/>
                <w:b/>
              </w:rPr>
              <w:t xml:space="preserve">MOPSV</w:t>
            </w:r>
          </w:p>
        </w:tc>
        <w:tc>
          <w:tcPr>
            <w:tcW w:w="7285" w:type="dxa"/>
          </w:tcPr>
          <w:p>
            <w:pPr>
              <w:pStyle w:val="CeldaAPA"/>
              <w:jc w:val="left"/>
            </w:pPr>
            <w:r>
              <w:rPr/>
              <w:t xml:space="preserve">Ministerio de Obras Públicas, Servicios y Vivienda</w:t>
            </w:r>
          </w:p>
        </w:tc>
      </w:tr>
      <w:tr>
        <w:tc>
          <w:tcPr>
            <w:tcW w:w="2075" w:type="dxa"/>
          </w:tcPr>
          <w:p>
            <w:pPr>
              <w:pStyle w:val="CeldaAPA"/>
              <w:jc w:val="left"/>
            </w:pPr>
            <w:r>
              <w:rPr>
                <w:bCs/>
                <w:b/>
              </w:rPr>
              <w:t xml:space="preserve">NB</w:t>
            </w:r>
          </w:p>
        </w:tc>
        <w:tc>
          <w:tcPr>
            <w:tcW w:w="7285" w:type="dxa"/>
          </w:tcPr>
          <w:p>
            <w:pPr>
              <w:pStyle w:val="CeldaAPA"/>
              <w:jc w:val="left"/>
            </w:pPr>
            <w:r>
              <w:rPr/>
              <w:t xml:space="preserve">Norma Boliviana</w:t>
            </w:r>
          </w:p>
        </w:tc>
      </w:tr>
      <w:tr>
        <w:tc>
          <w:tcPr>
            <w:tcW w:w="2075" w:type="dxa"/>
          </w:tcPr>
          <w:p>
            <w:pPr>
              <w:pStyle w:val="CeldaAPA"/>
              <w:jc w:val="left"/>
            </w:pPr>
            <w:r>
              <w:rPr>
                <w:bCs/>
                <w:b/>
              </w:rPr>
              <w:t xml:space="preserve">NB-SABS</w:t>
            </w:r>
          </w:p>
        </w:tc>
        <w:tc>
          <w:tcPr>
            <w:tcW w:w="7285" w:type="dxa"/>
          </w:tcPr>
          <w:p>
            <w:pPr>
              <w:pStyle w:val="CeldaAPA"/>
              <w:jc w:val="left"/>
            </w:pPr>
            <w:r>
              <w:rPr/>
              <w:t xml:space="preserve">Normas Básicas del Sistema de Administración de Bienes y Servicios</w:t>
            </w:r>
          </w:p>
        </w:tc>
      </w:tr>
      <w:tr>
        <w:tc>
          <w:tcPr>
            <w:tcW w:w="2075" w:type="dxa"/>
          </w:tcPr>
          <w:p>
            <w:pPr>
              <w:pStyle w:val="CeldaAPA"/>
              <w:jc w:val="left"/>
            </w:pPr>
            <w:r>
              <w:rPr>
                <w:bCs/>
                <w:b/>
              </w:rPr>
              <w:t xml:space="preserve">NC</w:t>
            </w:r>
          </w:p>
        </w:tc>
        <w:tc>
          <w:tcPr>
            <w:tcW w:w="7285" w:type="dxa"/>
          </w:tcPr>
          <w:p>
            <w:pPr>
              <w:pStyle w:val="CeldaAPA"/>
              <w:jc w:val="left"/>
            </w:pPr>
            <w:r>
              <w:rPr/>
              <w:t xml:space="preserve">No conformidad</w:t>
            </w:r>
          </w:p>
        </w:tc>
      </w:tr>
      <w:tr>
        <w:tc>
          <w:tcPr>
            <w:tcW w:w="2075" w:type="dxa"/>
          </w:tcPr>
          <w:p>
            <w:pPr>
              <w:pStyle w:val="CeldaAPA"/>
              <w:jc w:val="left"/>
            </w:pPr>
            <w:r>
              <w:rPr>
                <w:bCs/>
                <w:b/>
              </w:rPr>
              <w:t xml:space="preserve">PAF</w:t>
            </w:r>
          </w:p>
        </w:tc>
        <w:tc>
          <w:tcPr>
            <w:tcW w:w="7285" w:type="dxa"/>
          </w:tcPr>
          <w:p>
            <w:pPr>
              <w:pStyle w:val="CeldaAPA"/>
              <w:jc w:val="left"/>
            </w:pPr>
            <w:r>
              <w:rPr/>
              <w:t xml:space="preserve">Modelo de costos de la calidad: prevención, evaluación y fallas</w:t>
            </w:r>
          </w:p>
        </w:tc>
      </w:tr>
      <w:tr>
        <w:tc>
          <w:tcPr>
            <w:tcW w:w="2075" w:type="dxa"/>
          </w:tcPr>
          <w:p>
            <w:pPr>
              <w:pStyle w:val="CeldaAPA"/>
              <w:jc w:val="left"/>
            </w:pPr>
            <w:r>
              <w:rPr>
                <w:bCs/>
                <w:b/>
              </w:rPr>
              <w:t xml:space="preserve">PAO</w:t>
            </w:r>
          </w:p>
        </w:tc>
        <w:tc>
          <w:tcPr>
            <w:tcW w:w="7285" w:type="dxa"/>
          </w:tcPr>
          <w:p>
            <w:pPr>
              <w:pStyle w:val="CeldaAPA"/>
              <w:jc w:val="left"/>
            </w:pPr>
            <w:r>
              <w:rPr/>
              <w:t xml:space="preserve">Planilla de avance de obra</w:t>
            </w:r>
          </w:p>
        </w:tc>
      </w:tr>
      <w:tr>
        <w:tc>
          <w:tcPr>
            <w:tcW w:w="2075" w:type="dxa"/>
          </w:tcPr>
          <w:p>
            <w:pPr>
              <w:pStyle w:val="CeldaAPA"/>
              <w:jc w:val="left"/>
            </w:pPr>
            <w:r>
              <w:rPr>
                <w:bCs/>
                <w:b/>
              </w:rPr>
              <w:t xml:space="preserve">PCM</w:t>
            </w:r>
          </w:p>
        </w:tc>
        <w:tc>
          <w:tcPr>
            <w:tcW w:w="7285" w:type="dxa"/>
          </w:tcPr>
          <w:p>
            <w:pPr>
              <w:pStyle w:val="CeldaAPA"/>
              <w:jc w:val="left"/>
            </w:pPr>
            <w:r>
              <w:rPr/>
              <w:t xml:space="preserve">Procedimiento de control de materiales</w:t>
            </w:r>
          </w:p>
        </w:tc>
      </w:tr>
      <w:tr>
        <w:tc>
          <w:tcPr>
            <w:tcW w:w="2075" w:type="dxa"/>
          </w:tcPr>
          <w:p>
            <w:pPr>
              <w:pStyle w:val="CeldaAPA"/>
              <w:jc w:val="left"/>
            </w:pPr>
            <w:r>
              <w:rPr>
                <w:bCs/>
                <w:b/>
              </w:rPr>
              <w:t xml:space="preserve">PHVA</w:t>
            </w:r>
          </w:p>
        </w:tc>
        <w:tc>
          <w:tcPr>
            <w:tcW w:w="7285" w:type="dxa"/>
          </w:tcPr>
          <w:p>
            <w:pPr>
              <w:pStyle w:val="CeldaAPA"/>
              <w:jc w:val="left"/>
            </w:pPr>
            <w:r>
              <w:rPr/>
              <w:t xml:space="preserve">Ciclo Planificar–Hacer–Verificar–Actuar</w:t>
            </w:r>
          </w:p>
        </w:tc>
      </w:tr>
      <w:tr>
        <w:tc>
          <w:tcPr>
            <w:tcW w:w="2075" w:type="dxa"/>
          </w:tcPr>
          <w:p>
            <w:pPr>
              <w:pStyle w:val="CeldaAPA"/>
              <w:jc w:val="left"/>
            </w:pPr>
            <w:r>
              <w:rPr>
                <w:bCs/>
                <w:b/>
              </w:rPr>
              <w:t xml:space="preserve">PPI</w:t>
            </w:r>
          </w:p>
        </w:tc>
        <w:tc>
          <w:tcPr>
            <w:tcW w:w="7285" w:type="dxa"/>
          </w:tcPr>
          <w:p>
            <w:pPr>
              <w:pStyle w:val="CeldaAPA"/>
              <w:jc w:val="left"/>
            </w:pPr>
            <w:r>
              <w:rPr/>
              <w:t xml:space="preserve">Plan de puntos de inspección y ensayo</w:t>
            </w:r>
          </w:p>
        </w:tc>
      </w:tr>
      <w:tr>
        <w:tc>
          <w:tcPr>
            <w:tcW w:w="2075" w:type="dxa"/>
          </w:tcPr>
          <w:p>
            <w:pPr>
              <w:pStyle w:val="CeldaAPA"/>
              <w:jc w:val="left"/>
            </w:pPr>
            <w:r>
              <w:rPr>
                <w:bCs/>
                <w:b/>
              </w:rPr>
              <w:t xml:space="preserve">PU</w:t>
            </w:r>
          </w:p>
        </w:tc>
        <w:tc>
          <w:tcPr>
            <w:tcW w:w="7285" w:type="dxa"/>
          </w:tcPr>
          <w:p>
            <w:pPr>
              <w:pStyle w:val="CeldaAPA"/>
              <w:jc w:val="left"/>
            </w:pPr>
            <w:r>
              <w:rPr/>
              <w:t xml:space="preserve">Precio unitario</w:t>
            </w:r>
          </w:p>
        </w:tc>
      </w:tr>
      <w:tr>
        <w:tc>
          <w:tcPr>
            <w:tcW w:w="2075" w:type="dxa"/>
          </w:tcPr>
          <w:p>
            <w:pPr>
              <w:pStyle w:val="CeldaAPA"/>
              <w:jc w:val="left"/>
            </w:pPr>
            <w:r>
              <w:rPr>
                <w:bCs/>
                <w:b/>
              </w:rPr>
              <w:t xml:space="preserve">RACI</w:t>
            </w:r>
          </w:p>
        </w:tc>
        <w:tc>
          <w:tcPr>
            <w:tcW w:w="7285" w:type="dxa"/>
          </w:tcPr>
          <w:p>
            <w:pPr>
              <w:pStyle w:val="CeldaAPA"/>
              <w:jc w:val="left"/>
            </w:pPr>
            <w:r>
              <w:rPr/>
              <w:t xml:space="preserve">Matriz de responsabilidades: responsable, aprueba, consultado e informado</w:t>
            </w:r>
          </w:p>
        </w:tc>
      </w:tr>
      <w:tr>
        <w:tc>
          <w:tcPr>
            <w:tcW w:w="2075" w:type="dxa"/>
          </w:tcPr>
          <w:p>
            <w:pPr>
              <w:pStyle w:val="CeldaAPA"/>
              <w:jc w:val="left"/>
            </w:pPr>
            <w:r>
              <w:rPr>
                <w:bCs/>
                <w:b/>
              </w:rPr>
              <w:t xml:space="preserve">SAFCO</w:t>
            </w:r>
          </w:p>
        </w:tc>
        <w:tc>
          <w:tcPr>
            <w:tcW w:w="7285" w:type="dxa"/>
          </w:tcPr>
          <w:p>
            <w:pPr>
              <w:pStyle w:val="CeldaAPA"/>
              <w:jc w:val="left"/>
            </w:pPr>
            <w:r>
              <w:rPr/>
              <w:t xml:space="preserve">Sistema de Administración Financiera y Control Gubernamentales (Ley 1178)</w:t>
            </w:r>
          </w:p>
        </w:tc>
      </w:tr>
      <w:tr>
        <w:tc>
          <w:tcPr>
            <w:tcW w:w="2075" w:type="dxa"/>
          </w:tcPr>
          <w:p>
            <w:pPr>
              <w:pStyle w:val="CeldaAPA"/>
              <w:jc w:val="left"/>
            </w:pPr>
            <w:r>
              <w:rPr>
                <w:bCs/>
                <w:b/>
              </w:rPr>
              <w:t xml:space="preserve">SENAMHI</w:t>
            </w:r>
          </w:p>
        </w:tc>
        <w:tc>
          <w:tcPr>
            <w:tcW w:w="7285" w:type="dxa"/>
          </w:tcPr>
          <w:p>
            <w:pPr>
              <w:pStyle w:val="CeldaAPA"/>
              <w:jc w:val="left"/>
            </w:pPr>
            <w:r>
              <w:rPr/>
              <w:t xml:space="preserve">Servicio Nacional de Meteorología e Hidrología</w:t>
            </w:r>
          </w:p>
        </w:tc>
      </w:tr>
      <w:tr>
        <w:tc>
          <w:tcPr>
            <w:tcW w:w="2075" w:type="dxa"/>
          </w:tcPr>
          <w:p>
            <w:pPr>
              <w:pStyle w:val="CeldaAPA"/>
              <w:jc w:val="left"/>
            </w:pPr>
            <w:r>
              <w:rPr>
                <w:bCs/>
                <w:b/>
              </w:rPr>
              <w:t xml:space="preserve">SGC</w:t>
            </w:r>
          </w:p>
        </w:tc>
        <w:tc>
          <w:tcPr>
            <w:tcW w:w="7285" w:type="dxa"/>
          </w:tcPr>
          <w:p>
            <w:pPr>
              <w:pStyle w:val="CeldaAPA"/>
              <w:jc w:val="left"/>
            </w:pPr>
            <w:r>
              <w:rPr/>
              <w:t xml:space="preserve">Sistema de Gestión de la Calidad</w:t>
            </w:r>
          </w:p>
        </w:tc>
      </w:tr>
      <w:tr>
        <w:tc>
          <w:tcPr>
            <w:tcW w:w="2075" w:type="dxa"/>
          </w:tcPr>
          <w:p>
            <w:pPr>
              <w:pStyle w:val="CeldaAPA"/>
              <w:jc w:val="left"/>
            </w:pPr>
            <w:r>
              <w:rPr>
                <w:bCs/>
                <w:b/>
              </w:rPr>
              <w:t xml:space="preserve">UATF</w:t>
            </w:r>
          </w:p>
        </w:tc>
        <w:tc>
          <w:tcPr>
            <w:tcW w:w="7285" w:type="dxa"/>
          </w:tcPr>
          <w:p>
            <w:pPr>
              <w:pStyle w:val="CeldaAPA"/>
              <w:jc w:val="left"/>
            </w:pPr>
            <w:r>
              <w:rPr/>
              <w:t xml:space="preserve">Universidad Autónoma Tomás Frías</w:t>
            </w:r>
          </w:p>
        </w:tc>
      </w:tr>
    </w:tbl>
    <w:p>
      <w:pPr>
        <w:pStyle w:val="BodyText"/>
        <w:spacing w:before="0" w:after="0" w:line="20" w:lineRule="exact"/>
        <w:sectPr>
          <w:headerReference r:id="rId9" w:type="default"/>
          <w:pgSz w:h="15840" w:w="12240"/>
          <w:pgMar w:bottom="1440" w:footer="720" w:gutter="0" w:header="720" w:left="1440" w:right="1440" w:top="1440"/>
          <w:pgNumType w:fmt="lowerRoman" w:start="1"/>
        </w:sectPr>
      </w:pPr>
    </w:p>
    <w:p>
      <w:pPr>
        <w:pStyle w:val="Heading1"/>
        <w:pageBreakBefore w:val="0"/>
      </w:pPr>
      <w:bookmarkStart w:id="61" w:name="tit6"/>
      <w:r>
        <w:t xml:space="preserve">Introducción</w:t>
      </w:r>
      <w:bookmarkEnd w:id="61"/>
    </w:p>
    <w:p>
      <w:pPr>
        <w:pStyle w:val="Heading2"/>
      </w:pPr>
      <w:bookmarkStart w:id="28" w:name="tit7"/>
      <w:r>
        <w:t xml:space="preserve">1. Antecedentes</w:t>
      </w:r>
      <w:bookmarkEnd w:id="28"/>
    </w:p>
    <w:p>
      <w:pPr>
        <w:pStyle w:val="Heading3"/>
      </w:pPr>
      <w:bookmarkStart w:id="25" w:name="tit8"/>
      <w:r>
        <w:t xml:space="preserve">1.1. Antecedentes generales</w:t>
      </w:r>
      <w:bookmarkEnd w:id="25"/>
    </w:p>
    <w:p>
      <w:pPr>
        <w:pStyle w:val="FirstParagraph"/>
      </w:pPr>
      <w:r>
        <w:t xml:space="preserve">La construcción de edificaciones es una actividad de alta variabilidad: cada obra es un proyecto único, se ejecuta en condiciones cambiantes, emplea mucha mano de obra y depende del suministro oportuno de materiales. En ese contexto, los reprocesos o retrabajos, el desperdicio de materiales y el incumplimiento de las especificaciones técnicas son fuentes frecuentes de sobrecostos y de retrasos. A partir de una revisión crítica de estudios internacionales,</w:t>
      </w:r>
      <w:r>
        <w:t xml:space="preserve"> </w:t>
      </w:r>
      <w:r>
        <w:t xml:space="preserve">Álvarez Quintero (2014, p. 5)</w:t>
      </w:r>
      <w:r>
        <w:t xml:space="preserve"> </w:t>
      </w:r>
      <w:r>
        <w:t xml:space="preserve">reporta que los costos por reprocesos llegan hasta el 12,4 % del costo de los proyectos de construcción, con un promedio de 6,59 %. El mismo autor estima que un sistema de gestión de la calidad implementado de forma efectiva podría reducirlos en 84,82 %, al llevarlos a cerca del 1 % del costo del proyecto; esa cifra es un cálculo del autor a partir de promedios publicados, no una medición en obra</w:t>
      </w:r>
      <w:r>
        <w:t xml:space="preserve"> </w:t>
      </w:r>
      <w:r>
        <w:t xml:space="preserve">(Álvarez Quintero, 2014, pp. 5, 20)</w:t>
      </w:r>
      <w:r>
        <w:t xml:space="preserve">.</w:t>
      </w:r>
    </w:p>
    <w:p>
      <w:pPr>
        <w:pStyle w:val="BodyText"/>
      </w:pPr>
      <w:r>
        <w:t xml:space="preserve">Para controlar estas pérdidas, la industria ha adoptado progresivamente los sistemas de gestión de la calidad (SGC) basados en la familia de normas ISO 9000. La norma ISO 9001 establece los requisitos de un SGC con enfoque a procesos, estructurado según el ciclo Planificar–Hacer–Verificar–Actuar (PHVA) y el pensamiento basado en riesgos. Su edición vigente es la ISO 9001:2026, publicada el 16 de septiembre de 2026, que sustituyó a la edición de 2015 y fue adoptada en Bolivia como NB/ISO 9001:2026</w:t>
      </w:r>
      <w:r>
        <w:t xml:space="preserve"> </w:t>
      </w:r>
      <w:r>
        <w:t xml:space="preserve">(Instituto Boliviano de Normalización y Calidad [IBNORCA], 2026; Organización Internacional de Normalización [ISO], 2026b)</w:t>
      </w:r>
      <w:r>
        <w:t xml:space="preserve">. En el ámbito de un proyecto o contrato específico, la norma ISO 10005:2018 orienta la elaboración de</w:t>
      </w:r>
      <w:r>
        <w:t xml:space="preserve"> </w:t>
      </w:r>
      <w:r>
        <w:rPr>
          <w:iCs/>
          <w:i/>
        </w:rPr>
        <w:t xml:space="preserve">planes de la calidad</w:t>
      </w:r>
      <w:r>
        <w:t xml:space="preserve">, que definen los controles, las inspecciones y los registros necesarios para cumplir los requisitos</w:t>
      </w:r>
      <w:r>
        <w:t xml:space="preserve"> </w:t>
      </w:r>
      <w:r>
        <w:t xml:space="preserve">(ISO, 2018)</w:t>
      </w:r>
      <w:r>
        <w:t xml:space="preserve">.</w:t>
      </w:r>
    </w:p>
    <w:p>
      <w:pPr>
        <w:pStyle w:val="Heading3"/>
      </w:pPr>
      <w:bookmarkStart w:id="26" w:name="tit9"/>
      <w:r>
        <w:t xml:space="preserve">1.2. Antecedentes de investigación</w:t>
      </w:r>
      <w:bookmarkEnd w:id="26"/>
    </w:p>
    <w:p>
      <w:pPr>
        <w:pStyle w:val="FirstParagraph"/>
      </w:pPr>
      <w:r>
        <w:t xml:space="preserve">Se revisaron catorce investigaciones sobre costos de la calidad, sistemas de gestión de la calidad en la construcción y control de materiales, agrupadas en internacionales, latinoamericanas y nacionales. De cada una se indican el método y los resultados que se relacionan con esta tesis.</w:t>
      </w:r>
    </w:p>
    <w:p>
      <w:pPr>
        <w:pStyle w:val="BodyText"/>
      </w:pPr>
      <w:r>
        <w:rPr>
          <w:bCs/>
          <w:b/>
        </w:rPr>
        <w:t xml:space="preserve">Internacionales.</w:t>
      </w:r>
      <w:r>
        <w:t xml:space="preserve"> </w:t>
      </w:r>
      <w:r>
        <w:t xml:space="preserve">Forcada et al. (2017)</w:t>
      </w:r>
      <w:r>
        <w:t xml:space="preserve"> </w:t>
      </w:r>
      <w:r>
        <w:t xml:space="preserve">estudiaron los factores que influyen en el costo de los retrabajos a partir de 788 incidencias registradas en 40 proyectos de una constructora española que documentaba sus no conformidades conforme a su certificación ISO 9001:2008; el 72,5 % de los proyectos fue de infraestructura civil y el 27,5 % de edificación</w:t>
      </w:r>
      <w:r>
        <w:t xml:space="preserve"> </w:t>
      </w:r>
      <w:r>
        <w:t xml:space="preserve">(Forcada et al., 2017, pp. 1, 4, 6)</w:t>
      </w:r>
      <w:r>
        <w:t xml:space="preserve">. El costo de los retrabajos equivalió al 2,75 % del valor original del contrato y se debió a errores y defectos asumidos por el contratista, mientras que el crecimiento medio del costo de los proyectos, del 11 %, se explicó sobre todo por ampliaciones de alcance pedidas por el cliente; los proyectos de edificación presentaron costos de retrabajo mayores que los de obra civil</w:t>
      </w:r>
      <w:r>
        <w:t xml:space="preserve"> </w:t>
      </w:r>
      <w:r>
        <w:t xml:space="preserve">(Forcada et al., 2017, pp. 8, 10, 16)</w:t>
      </w:r>
      <w:r>
        <w:t xml:space="preserve">.</w:t>
      </w:r>
    </w:p>
    <w:p>
      <w:pPr>
        <w:pStyle w:val="BodyText"/>
      </w:pPr>
      <w:r>
        <w:t xml:space="preserve">Khadim et al. (2023)</w:t>
      </w:r>
      <w:r>
        <w:t xml:space="preserve"> </w:t>
      </w:r>
      <w:r>
        <w:t xml:space="preserve">aplicaron en Pakistán un modelo de prevención, evaluación y fallas ampliado con los costos ocultos de la mala calidad a 25 proyectos de edificación. El costo de la calidad promedio fue el 12,76 % del costo total de los proyectos</w:t>
      </w:r>
      <w:r>
        <w:t xml:space="preserve"> </w:t>
      </w:r>
      <w:r>
        <w:t xml:space="preserve">(Khadim et al., 2023, p. 5423)</w:t>
      </w:r>
      <w:r>
        <w:t xml:space="preserve">; las fallas visibles representaron el 2,34 % y las ocultas el 8,59 %, y la inversión en prevención y evaluación (1,83 %) fue menor que el costo de las fallas visibles</w:t>
      </w:r>
      <w:r>
        <w:t xml:space="preserve"> </w:t>
      </w:r>
      <w:r>
        <w:t xml:space="preserve">(Khadim et al., 2023, pp. 5420–5421)</w:t>
      </w:r>
      <w:r>
        <w:t xml:space="preserve">.</w:t>
      </w:r>
    </w:p>
    <w:p>
      <w:pPr>
        <w:pStyle w:val="BodyText"/>
      </w:pPr>
      <w:r>
        <w:t xml:space="preserve">Prado-Román et al. (2018)</w:t>
      </w:r>
      <w:r>
        <w:t xml:space="preserve"> </w:t>
      </w:r>
      <w:r>
        <w:t xml:space="preserve">encuestaron a los responsables de calidad de 302 constructoras españolas de ingeniería civil y obtuvieron 126 respuestas válidas, una tasa de respuesta del 41,72 %</w:t>
      </w:r>
      <w:r>
        <w:t xml:space="preserve"> </w:t>
      </w:r>
      <w:r>
        <w:t xml:space="preserve">(Prado-Román et al., 2018, pp. 150, 157)</w:t>
      </w:r>
      <w:r>
        <w:t xml:space="preserve">. El 74,4 % de las empresas calificó la certificación ISO 9001 como muy o extremadamente relevante para mejorar sus procesos organizativos y el 53,7 % para mejorar sus operaciones</w:t>
      </w:r>
      <w:r>
        <w:t xml:space="preserve"> </w:t>
      </w:r>
      <w:r>
        <w:t xml:space="preserve">(Prado-Román et al., 2018, p. 163)</w:t>
      </w:r>
      <w:r>
        <w:t xml:space="preserve">. El análisis de varianza mostró que el tamaño de la empresa no condiciona esos beneficios y que la antigüedad de la certificación sí: las diferencias entre las empresas con más y con menos de cinco años de certificación fueron significativas en todos los efectos internos, de modo que las mejoras aparecen de forma gradual</w:t>
      </w:r>
      <w:r>
        <w:t xml:space="preserve"> </w:t>
      </w:r>
      <w:r>
        <w:t xml:space="preserve">(Prado-Román et al., 2018, pp. 161–162, 164)</w:t>
      </w:r>
      <w:r>
        <w:t xml:space="preserve">.</w:t>
      </w:r>
    </w:p>
    <w:p>
      <w:pPr>
        <w:pStyle w:val="BodyText"/>
      </w:pPr>
      <w:r>
        <w:t xml:space="preserve">Shaikh y Sohu (2020)</w:t>
      </w:r>
      <w:r>
        <w:t xml:space="preserve"> </w:t>
      </w:r>
      <w:r>
        <w:t xml:space="preserve">midieron, mediante un cuestionario a profesionales de empresas certificadas del sector de la construcción de Pakistán y con el índice de importancia relativa (RII), el grado de implementación de 34 elementos de la ISO 9001</w:t>
      </w:r>
      <w:r>
        <w:t xml:space="preserve"> </w:t>
      </w:r>
      <w:r>
        <w:t xml:space="preserve">(Shaikh y Sohu, 2020, p. 1138)</w:t>
      </w:r>
      <w:r>
        <w:t xml:space="preserve">. La inspección del material antes de su uso alcanzó un RII de 0,83, mientras que el rechazo de los materiales que no cumplen los requisitos y especificaciones fue el elemento menos implementado, con un RII de 0,66, el último de 34</w:t>
      </w:r>
      <w:r>
        <w:t xml:space="preserve"> </w:t>
      </w:r>
      <w:r>
        <w:t xml:space="preserve">(Shaikh y Sohu, 2020, p. 1139)</w:t>
      </w:r>
      <w:r>
        <w:t xml:space="preserve">. A la vez, la disminución del desperdicio de material resultó la segunda ventaja más importante de implantar la norma</w:t>
      </w:r>
      <w:r>
        <w:t xml:space="preserve"> </w:t>
      </w:r>
      <w:r>
        <w:t xml:space="preserve">(Shaikh y Sohu, 2020, p. 1140)</w:t>
      </w:r>
      <w:r>
        <w:t xml:space="preserve">.</w:t>
      </w:r>
    </w:p>
    <w:p>
      <w:pPr>
        <w:pStyle w:val="BodyText"/>
      </w:pPr>
      <w:r>
        <w:rPr>
          <w:bCs/>
          <w:b/>
        </w:rPr>
        <w:t xml:space="preserve">Latinoamericanos.</w:t>
      </w:r>
      <w:r>
        <w:t xml:space="preserve"> </w:t>
      </w:r>
      <w:r>
        <w:t xml:space="preserve">En Chile,</w:t>
      </w:r>
      <w:r>
        <w:t xml:space="preserve"> </w:t>
      </w:r>
      <w:r>
        <w:t xml:space="preserve">Romero y Serpell (2007)</w:t>
      </w:r>
      <w:r>
        <w:t xml:space="preserve"> </w:t>
      </w:r>
      <w:r>
        <w:t xml:space="preserve">encuestaron mediante entrevista personal a 118 personas de 11 constructoras habitacionales certificadas con ISO 9001:2000</w:t>
      </w:r>
      <w:r>
        <w:t xml:space="preserve"> </w:t>
      </w:r>
      <w:r>
        <w:t xml:space="preserve">(Romero y Serpell, 2007, p. 197)</w:t>
      </w:r>
      <w:r>
        <w:t xml:space="preserve">. Cerca del 39 % de los profesionales cree que las no conformidades se entienden como un castigo, otro 39 % que se usan para «cubrir sus espaldas» y solo el 23 % que sirven para mejorar los procesos</w:t>
      </w:r>
      <w:r>
        <w:t xml:space="preserve"> </w:t>
      </w:r>
      <w:r>
        <w:t xml:space="preserve">(Romero y Serpell, 2007, p. 202)</w:t>
      </w:r>
      <w:r>
        <w:t xml:space="preserve">. Los autores concluyen que esas empresas cumplen solo parcialmente los principios de la gestión de la calidad y que sus sistemas «funcionan en el papel perfectamente», pero en la práctica presentan varias falencias</w:t>
      </w:r>
      <w:r>
        <w:t xml:space="preserve"> </w:t>
      </w:r>
      <w:r>
        <w:t xml:space="preserve">(Romero y Serpell, 2007, pp. 208–209)</w:t>
      </w:r>
      <w:r>
        <w:t xml:space="preserve">.</w:t>
      </w:r>
    </w:p>
    <w:p>
      <w:pPr>
        <w:pStyle w:val="BodyText"/>
      </w:pPr>
      <w:r>
        <w:t xml:space="preserve">En el Perú,</w:t>
      </w:r>
      <w:r>
        <w:t xml:space="preserve"> </w:t>
      </w:r>
      <w:r>
        <w:t xml:space="preserve">Salazar Retuerto (2018)</w:t>
      </w:r>
      <w:r>
        <w:t xml:space="preserve"> </w:t>
      </w:r>
      <w:r>
        <w:t xml:space="preserve">evaluó, en una tesis de Ingeniería Industrial, el efecto de la guía del PMBOK en los costos de una empresa de construcción metalmecánica de Talara. Con un diseño cuasiexperimental comparó dos proyectos homólogos, uno ejecutado sin la guía (control) y otro con ella (tratamiento), con 13 observaciones mensuales de costos cada uno</w:t>
      </w:r>
      <w:r>
        <w:t xml:space="preserve"> </w:t>
      </w:r>
      <w:r>
        <w:t xml:space="preserve">(Salazar Retuerto, 2018, p. 22)</w:t>
      </w:r>
      <w:r>
        <w:t xml:space="preserve">. La razón entre el costo real y el planificado promedió 103,43 % sin la guía y 94,50 % con ella</w:t>
      </w:r>
      <w:r>
        <w:t xml:space="preserve"> </w:t>
      </w:r>
      <w:r>
        <w:t xml:space="preserve">(Salazar Retuerto, 2018, p. 40)</w:t>
      </w:r>
      <w:r>
        <w:t xml:space="preserve">; con la prueba</w:t>
      </w:r>
      <w:r>
        <w:t xml:space="preserve"> </w:t>
      </w:r>
      <w:r>
        <w:rPr>
          <w:iCs/>
          <w:i/>
        </w:rPr>
        <w:t xml:space="preserve">t</w:t>
      </w:r>
      <w:r>
        <w:t xml:space="preserve"> </w:t>
      </w:r>
      <w:r>
        <w:t xml:space="preserve">para muestras relacionadas (</w:t>
      </w:r>
      <m:oMath>
        <m:r>
          <m:t>p</m:t>
        </m:r>
        <m:r>
          <m:rPr>
            <m:sty m:val="p"/>
          </m:rPr>
          <m:t>=</m:t>
        </m:r>
        <m:r>
          <m:t>0</m:t>
        </m:r>
        <m:r>
          <m:rPr>
            <m:sty m:val="p"/>
          </m:rPr>
          <m:t>,</m:t>
        </m:r>
        <m:r>
          <m:t>011</m:t>
        </m:r>
      </m:oMath>
      <w:r>
        <w:t xml:space="preserve">) el autor aceptó la hipótesis y cuantificó la reducción en 8,93 % respecto del costo planificado</w:t>
      </w:r>
      <w:r>
        <w:t xml:space="preserve"> </w:t>
      </w:r>
      <w:r>
        <w:t xml:space="preserve">(Salazar Retuerto, 2018, p. 41)</w:t>
      </w:r>
      <w:r>
        <w:t xml:space="preserve">. Su comparación entre un escenario de control y uno de tratamiento es análoga a la que plantea esta tesis.</w:t>
      </w:r>
    </w:p>
    <w:p>
      <w:pPr>
        <w:pStyle w:val="BodyText"/>
      </w:pPr>
      <w:r>
        <w:t xml:space="preserve">Gudiel Cairampoma y Solis Puente (2020)</w:t>
      </w:r>
      <w:r>
        <w:t xml:space="preserve"> </w:t>
      </w:r>
      <w:r>
        <w:t xml:space="preserve">analizaron proyectos de edificación de pequeñas y medianas empresas de Lima. En seis edificios, el costo de la no calidad de la partida de concreto armado varió entre el 2,7 % y el 5,1 % del costo de la partida</w:t>
      </w:r>
      <w:r>
        <w:t xml:space="preserve"> </w:t>
      </w:r>
      <w:r>
        <w:t xml:space="preserve">(Gudiel Cairampoma y Solis Puente, 2020, p. 1)</w:t>
      </w:r>
      <w:r>
        <w:t xml:space="preserve">; de los cinco proyectos analizados en detalle, solo uno contaba con un plan de calidad</w:t>
      </w:r>
      <w:r>
        <w:t xml:space="preserve"> </w:t>
      </w:r>
      <w:r>
        <w:t xml:space="preserve">(Gudiel Cairampoma y Solis Puente, 2020, p. 80)</w:t>
      </w:r>
      <w:r>
        <w:t xml:space="preserve">, y el costo medio de la no calidad por obra, de S/ 54.986,53, superó el costo estimado de implementar un área de calidad, de S/ 50.600,00</w:t>
      </w:r>
      <w:r>
        <w:t xml:space="preserve"> </w:t>
      </w:r>
      <w:r>
        <w:t xml:space="preserve">(Gudiel Cairampoma y Solis Puente, 2020, p. 95)</w:t>
      </w:r>
      <w:r>
        <w:t xml:space="preserve">.</w:t>
      </w:r>
    </w:p>
    <w:p>
      <w:pPr>
        <w:pStyle w:val="BodyText"/>
      </w:pPr>
      <w:r>
        <w:t xml:space="preserve">En el control de materiales,</w:t>
      </w:r>
      <w:r>
        <w:t xml:space="preserve"> </w:t>
      </w:r>
      <w:r>
        <w:t xml:space="preserve">Galarza Meza (2011)</w:t>
      </w:r>
      <w:r>
        <w:t xml:space="preserve"> </w:t>
      </w:r>
      <w:r>
        <w:t xml:space="preserve">propuso un sistema de medición y control del desperdicio en cinco etapas —identificación, medición, evaluación, intervención y control—</w:t>
      </w:r>
      <w:r>
        <w:t xml:space="preserve"> </w:t>
      </w:r>
      <w:r>
        <w:t xml:space="preserve">(Galarza Meza, 2011, pp. 39–40)</w:t>
      </w:r>
      <w:r>
        <w:t xml:space="preserve"> </w:t>
      </w:r>
      <w:r>
        <w:t xml:space="preserve">y lo aplicó en dos edificios de Lima. En una obra sin muestreo de campo estimó un desperdicio de hormigón del orden del 22 % al comparar los 4.796 m</w:t>
      </w:r>
      <w:r>
        <w:rPr>
          <w:vertAlign w:val="superscript"/>
        </w:rPr>
        <w:t xml:space="preserve">3</w:t>
      </w:r>
      <w:r>
        <w:t xml:space="preserve"> </w:t>
      </w:r>
      <w:r>
        <w:t xml:space="preserve">de las guías de compra con los 3.918 m</w:t>
      </w:r>
      <w:r>
        <w:rPr>
          <w:vertAlign w:val="superscript"/>
        </w:rPr>
        <w:t xml:space="preserve">3</w:t>
      </w:r>
      <w:r>
        <w:t xml:space="preserve"> </w:t>
      </w:r>
      <w:r>
        <w:t xml:space="preserve">del metrado del presupuesto</w:t>
      </w:r>
      <w:r>
        <w:t xml:space="preserve"> </w:t>
      </w:r>
      <w:r>
        <w:t xml:space="preserve">(Galarza Meza, 2011, p. 53)</w:t>
      </w:r>
      <w:r>
        <w:t xml:space="preserve">, procedimiento análogo a la reconstrucción documental de una línea base. Con el prearmado en banco y el uso parcial de acero dimensionado, el desperdicio de acero fue de 4,04 %, frente al 7 % previsto en el presupuesto, y con pedidos de hormigón limitados a un 2 % sobre el metrado, el desperdicio de hormigón fue de 2,8 %</w:t>
      </w:r>
      <w:r>
        <w:t xml:space="preserve"> </w:t>
      </w:r>
      <w:r>
        <w:t xml:space="preserve">(Galarza Meza, 2011, pp. 60, 73, 75)</w:t>
      </w:r>
      <w:r>
        <w:t xml:space="preserve">.</w:t>
      </w:r>
    </w:p>
    <w:p>
      <w:pPr>
        <w:pStyle w:val="BodyText"/>
      </w:pPr>
      <w:r>
        <w:t xml:space="preserve">Chino Quispe y Zarate Chilqquetuma (2024)</w:t>
      </w:r>
      <w:r>
        <w:t xml:space="preserve"> </w:t>
      </w:r>
      <w:r>
        <w:t xml:space="preserve">midieron, en dos edificios multifamiliares del Cusco, desperdicios de acero de refuerzo de 14,58 % y 17,09 % con el método convencional y de 3,15 % y 3,19 % en los niveles en que aplicaron el despiece previo a la ejecución</w:t>
      </w:r>
      <w:r>
        <w:t xml:space="preserve"> </w:t>
      </w:r>
      <w:r>
        <w:t xml:space="preserve">(Chino Quispe y Zarate Chilqquetuma, 2024, pp. 147, 169)</w:t>
      </w:r>
      <w:r>
        <w:t xml:space="preserve">; para los niveles ya construidos con el método convencional estimaron en forma teórica que, con el despiece, el desperdicio habría sido de 8,94 % y 6,71 %</w:t>
      </w:r>
      <w:r>
        <w:t xml:space="preserve"> </w:t>
      </w:r>
      <w:r>
        <w:t xml:space="preserve">(Chino Quispe y Zarate Chilqquetuma, 2024, pp. 148, 192)</w:t>
      </w:r>
      <w:r>
        <w:t xml:space="preserve">, un precedente de evaluación</w:t>
      </w:r>
      <w:r>
        <w:t xml:space="preserve"> </w:t>
      </w:r>
      <w:r>
        <w:rPr>
          <w:iCs/>
          <w:i/>
        </w:rPr>
        <w:t xml:space="preserve">ex ante</w:t>
      </w:r>
      <w:r>
        <w:t xml:space="preserve"> </w:t>
      </w:r>
      <w:r>
        <w:t xml:space="preserve">como la de esta tesis.</w:t>
      </w:r>
    </w:p>
    <w:p>
      <w:pPr>
        <w:pStyle w:val="BodyText"/>
      </w:pPr>
      <w:r>
        <w:t xml:space="preserve">En Colombia,</w:t>
      </w:r>
      <w:r>
        <w:t xml:space="preserve"> </w:t>
      </w:r>
      <w:r>
        <w:t xml:space="preserve">Ruiz Muñoz y Rojas Bonilla (2018)</w:t>
      </w:r>
      <w:r>
        <w:t xml:space="preserve"> </w:t>
      </w:r>
      <w:r>
        <w:t xml:space="preserve">compararon la cubicación teórica del hormigón con las mediciones de campo en una torre de vivienda de Cajicá. Frente a un desperdicio previsto de 3 % a 6 % por el bombeo</w:t>
      </w:r>
      <w:r>
        <w:t xml:space="preserve"> </w:t>
      </w:r>
      <w:r>
        <w:t xml:space="preserve">(Ruiz Muñoz y Rojas Bonilla, 2018, p. 33)</w:t>
      </w:r>
      <w:r>
        <w:t xml:space="preserve">, las pérdidas reales promediaron 9 % en las placas y 23 % en los muros, y el costo final del hormigón de las placas superó en 15 % lo presupuestado</w:t>
      </w:r>
      <w:r>
        <w:t xml:space="preserve"> </w:t>
      </w:r>
      <w:r>
        <w:t xml:space="preserve">(Ruiz Muñoz y Rojas Bonilla, 2018, pp. 63–64, 69)</w:t>
      </w:r>
      <w:r>
        <w:t xml:space="preserve">. Los autores concluyen que, sin una supervisión que controle las actividades de mayor desperdicio, los presupuestos aumentan</w:t>
      </w:r>
      <w:r>
        <w:t xml:space="preserve"> </w:t>
      </w:r>
      <w:r>
        <w:t xml:space="preserve">(Ruiz Muñoz y Rojas Bonilla, 2018, p. 69)</w:t>
      </w:r>
      <w:r>
        <w:t xml:space="preserve">.</w:t>
      </w:r>
    </w:p>
    <w:p>
      <w:pPr>
        <w:pStyle w:val="BodyText"/>
      </w:pPr>
      <w:r>
        <w:rPr>
          <w:bCs/>
          <w:b/>
        </w:rPr>
        <w:t xml:space="preserve">Nacionales.</w:t>
      </w:r>
      <w:r>
        <w:t xml:space="preserve"> </w:t>
      </w:r>
      <w:r>
        <w:t xml:space="preserve">En Bolivia, los antecedentes más cercanos corresponden a los fabricantes del mismo sistema de losa.</w:t>
      </w:r>
      <w:r>
        <w:t xml:space="preserve"> </w:t>
      </w:r>
      <w:r>
        <w:t xml:space="preserve">Capcha Canaza (2016)</w:t>
      </w:r>
      <w:r>
        <w:t xml:space="preserve"> </w:t>
      </w:r>
      <w:r>
        <w:t xml:space="preserve">diagnosticó en la empresa PREVITEC S.R.L. un incumplimiento del 88 % de la NB 997</w:t>
      </w:r>
      <w:r>
        <w:t xml:space="preserve"> </w:t>
      </w:r>
      <w:r>
        <w:t xml:space="preserve">(Capcha Canaza, 2016, p. 132)</w:t>
      </w:r>
      <w:r>
        <w:t xml:space="preserve"> </w:t>
      </w:r>
      <w:r>
        <w:t xml:space="preserve">y estimó costos de calidad y de no calidad de Bs 292.851 en 2016, de los cuales Bs 91.000 correspondían a fallas externas; con el SGC y la certificación proyectó un costo de Bs 540.431 el primer año, que incluía la implementación, y de Bs 161.323 a Bs 193.550 anuales entre 2017 y 2020, frente a Bs 295.290 a Bs 391.294 sin el proyecto</w:t>
      </w:r>
      <w:r>
        <w:t xml:space="preserve"> </w:t>
      </w:r>
      <w:r>
        <w:t xml:space="preserve">(Capcha Canaza, 2016, p. 128)</w:t>
      </w:r>
      <w:r>
        <w:t xml:space="preserve">.</w:t>
      </w:r>
    </w:p>
    <w:p>
      <w:pPr>
        <w:pStyle w:val="BodyText"/>
      </w:pPr>
      <w:r>
        <w:t xml:space="preserve">Mamani Calsina (2025)</w:t>
      </w:r>
      <w:r>
        <w:t xml:space="preserve"> </w:t>
      </w:r>
      <w:r>
        <w:t xml:space="preserve">diseñó un SGC basado en la NB ISO 9001:2015 para PRENSOCRET, fabricante de viguetas pretensadas y plastoformo de El Alto. El diagnóstico inicial arrojó un cumplimiento global del 24 %</w:t>
      </w:r>
      <w:r>
        <w:t xml:space="preserve"> </w:t>
      </w:r>
      <w:r>
        <w:t xml:space="preserve">(Mamani Calsina, 2025, pp. 47–49)</w:t>
      </w:r>
      <w:r>
        <w:t xml:space="preserve">; los costos de no calidad percibidos se aproximaron a Bs 89.000 al año, y la relación beneficio/costo del sistema fue de 1,11</w:t>
      </w:r>
      <w:r>
        <w:t xml:space="preserve"> </w:t>
      </w:r>
      <w:r>
        <w:t xml:space="preserve">(Mamani Calsina, 2025, pp. 98–99, 117)</w:t>
      </w:r>
      <w:r>
        <w:t xml:space="preserve">.</w:t>
      </w:r>
      <w:r>
        <w:t xml:space="preserve"> </w:t>
      </w:r>
      <w:r>
        <w:t xml:space="preserve">Peña Callisaya (2024)</w:t>
      </w:r>
      <w:r>
        <w:t xml:space="preserve"> </w:t>
      </w:r>
      <w:r>
        <w:t xml:space="preserve">diagnosticó un cumplimiento del 43 % de la NB/ISO 9001:2015 en el área de producción de ISOCRET, otra fabricante de viguetas pretensadas y de poliestireno expandido de El Alto, y vinculó la liberación de las viguetas con los requisitos de la NB 997</w:t>
      </w:r>
      <w:r>
        <w:t xml:space="preserve"> </w:t>
      </w:r>
      <w:r>
        <w:t xml:space="preserve">(Peña Callisaya, 2024, pp. 71, 74)</w:t>
      </w:r>
      <w:r>
        <w:t xml:space="preserve">.</w:t>
      </w:r>
    </w:p>
    <w:p>
      <w:pPr>
        <w:pStyle w:val="BodyText"/>
      </w:pPr>
      <w:r>
        <w:t xml:space="preserve">Finalmente,</w:t>
      </w:r>
      <w:r>
        <w:t xml:space="preserve"> </w:t>
      </w:r>
      <w:r>
        <w:t xml:space="preserve">Alcón Aranda (2009)</w:t>
      </w:r>
      <w:r>
        <w:t xml:space="preserve"> </w:t>
      </w:r>
      <w:r>
        <w:t xml:space="preserve">evaluó la fabricación y la aplicación de viguetas pretensadas en estructuras. En la planta observó que, con una supervisión adecuada, el producto alcanza una calidad óptima o buena y, sin ella, mala o regular</w:t>
      </w:r>
      <w:r>
        <w:t xml:space="preserve"> </w:t>
      </w:r>
      <w:r>
        <w:t xml:space="preserve">(Alcón Aranda, 2009, p. 150)</w:t>
      </w:r>
      <w:r>
        <w:t xml:space="preserve">; en la obra, señaló la recepción de las viguetas como uno de los aspectos más importantes para que la obra sea de calidad</w:t>
      </w:r>
      <w:r>
        <w:t xml:space="preserve"> </w:t>
      </w:r>
      <w:r>
        <w:t xml:space="preserve">(Alcón Aranda, 2009, p. 115)</w:t>
      </w:r>
      <w:r>
        <w:t xml:space="preserve">.</w:t>
      </w:r>
    </w:p>
    <w:p>
      <w:pPr>
        <w:pStyle w:val="BodyText"/>
      </w:pPr>
      <w:r>
        <w:rPr>
          <w:rStyle w:val="Pendiente"/>
          <w:bCs/>
          <w:b/>
        </w:rPr>
        <w:t xml:space="preserve">[Pendiente:</w:t>
      </w:r>
      <w:r>
        <w:rPr>
          <w:rStyle w:val="Pendiente"/>
        </w:rPr>
        <w:t xml:space="preserve"> </w:t>
      </w:r>
      <w:r>
        <w:rPr>
          <w:rStyle w:val="Pendiente"/>
        </w:rPr>
        <w:t xml:space="preserve">revisar el repositorio de tesis de la Carrera de Ingeniería Civil de la UATF e incorporar los antecedentes locales que correspondan.</w:t>
      </w:r>
      <w:r>
        <w:rPr>
          <w:rStyle w:val="Pendiente"/>
          <w:bCs/>
          <w:b/>
        </w:rPr>
        <w:t xml:space="preserve">]</w:t>
      </w:r>
    </w:p>
    <w:p>
      <w:pPr>
        <w:pStyle w:val="BodyText"/>
      </w:pPr>
      <w:r>
        <w:rPr>
          <w:bCs/>
          <w:b/>
        </w:rPr>
        <w:t xml:space="preserve">Vacío de conocimiento.</w:t>
      </w:r>
      <w:r>
        <w:t xml:space="preserve"> </w:t>
      </w:r>
      <w:r>
        <w:t xml:space="preserve">Los antecedentes revisados cuantifican el retrabajo, los costos de la calidad y el desperdicio de materiales en obras en ejecución, evalúan los efectos y el grado de aplicación de la ISO 9001 en empresas constructoras, o diseñan sistemas de gestión de la calidad para fabricantes de viguetas y complementos. En la bibliografía revisada no se encontraron investigaciones bolivianas que apliquen un SGC a la ejecución en obra de losas alivianadas con viguetas pretensadas ni que estimen su efecto sobre el costo unitario y el desperdicio de materiales a partir de una línea base documentada, con un escenario de control y con el grado de incertidumbre del resultado. Ese es el vacío que aborda esta tesis.</w:t>
      </w:r>
    </w:p>
    <w:p>
      <w:pPr>
        <w:pStyle w:val="Heading3"/>
      </w:pPr>
      <w:bookmarkStart w:id="27" w:name="tit10"/>
      <w:r>
        <w:t xml:space="preserve">1.3. Antecedentes del caso de estudio</w:t>
      </w:r>
      <w:bookmarkEnd w:id="27"/>
    </w:p>
    <w:p>
      <w:pPr>
        <w:pStyle w:val="FirstParagraph"/>
      </w:pPr>
      <w:r>
        <w:t xml:space="preserve">La Universidad Autónoma Tomás Frías ejecuta el proyecto «Construcción Edificio de Posgrado» (CUCE 25-0143-00-1531493-1-1) en la Ciudadela Universitaria de la ciudad de Potosí, sobre la avenida Las Banderas, a 3.650 m s. n. m. El edificio, de seis niveles, está destinado a las actividades académicas y administrativas del área de posgrado. Contará con dos auditorios de 180 personas cada uno, aulas y salas de defensa de tesis, laboratorios, biblioteca, área administrativa, cafetería y espacios de alojamiento para docentes visitantes</w:t>
      </w:r>
      <w:r>
        <w:t xml:space="preserve"> </w:t>
      </w:r>
      <w:r>
        <w:t xml:space="preserve">(Universidad Autónoma Tomás Frías [UATF], s. f.-b, p. 1)</w:t>
      </w:r>
      <w:r>
        <w:t xml:space="preserve">.</w:t>
      </w:r>
    </w:p>
    <w:p>
      <w:pPr>
        <w:pStyle w:val="BodyText"/>
      </w:pPr>
      <w:r>
        <w:t xml:space="preserve">La fase contratada con la empresa Constructora Kodesh comprende la obra gruesa desde las fundaciones hasta la tercera losa</w:t>
      </w:r>
      <w:r>
        <w:t xml:space="preserve"> </w:t>
      </w:r>
      <w:r>
        <w:t xml:space="preserve">(UATF, 2025, p. 8)</w:t>
      </w:r>
      <w:r>
        <w:t xml:space="preserve">. El contrato se firmó el 24 de abril de 2025</w:t>
      </w:r>
      <w:r>
        <w:t xml:space="preserve"> </w:t>
      </w:r>
      <w:r>
        <w:t xml:space="preserve">(UATF, 2025, p. 112)</w:t>
      </w:r>
      <w:r>
        <w:t xml:space="preserve">, por un monto de Bs 3.367.031,95 y un plazo de 270 días calendario computados desde la Orden de Proceder, emitida el 6 de mayo de 2025</w:t>
      </w:r>
      <w:r>
        <w:t xml:space="preserve"> </w:t>
      </w:r>
      <w:r>
        <w:t xml:space="preserve">(UATF, 2025, pp. 127–128)</w:t>
      </w:r>
      <w:r>
        <w:t xml:space="preserve">. No se otorgó anticipo, y los precios unitarios de la propuesta adjudicada incluyen la provisión de «materiales de calidad» y las «reparaciones por trabajos defectuosos»</w:t>
      </w:r>
      <w:r>
        <w:t xml:space="preserve"> </w:t>
      </w:r>
      <w:r>
        <w:t xml:space="preserve">(UATF, 2025, p. 92)</w:t>
      </w:r>
      <w:r>
        <w:t xml:space="preserve">; además, el contrato excluye el reajuste de precios</w:t>
      </w:r>
      <w:r>
        <w:t xml:space="preserve"> </w:t>
      </w:r>
      <w:r>
        <w:t xml:space="preserve">(UATF, 2025, p. 95)</w:t>
      </w:r>
      <w:r>
        <w:t xml:space="preserve">. La garantía adicional de Bs 32.908 equivale a la diferencia entre el 85 % del precio referencial y la propuesta económica</w:t>
      </w:r>
      <w:r>
        <w:t xml:space="preserve"> </w:t>
      </w:r>
      <w:r>
        <w:t xml:space="preserve">(UATF, 2025, p. 92)</w:t>
      </w:r>
      <w:r>
        <w:t xml:space="preserve">; de ella se deduce que el precio referencial fue de Bs 3.999.929,35 y que la oferta adjudicada representó el 84,18 % de ese precio (cálculo propio). La obra cuenta con Supervisión técnica y Fiscalización del Departamento de Infraestructura de la UATF, y se financia con recursos del Impuesto Directo a los Hidrocarburos</w:t>
      </w:r>
      <w:r>
        <w:t xml:space="preserve"> </w:t>
      </w:r>
      <w:r>
        <w:t xml:space="preserve">(UATF, 2025, pp. 3, 5, 91)</w:t>
      </w:r>
      <w:r>
        <w:t xml:space="preserve">.</w:t>
      </w:r>
    </w:p>
    <w:p>
      <w:pPr>
        <w:pStyle w:val="Heading2"/>
      </w:pPr>
      <w:bookmarkStart w:id="29" w:name="tit11"/>
      <w:r>
        <w:t xml:space="preserve">2. Situación problemática</w:t>
      </w:r>
      <w:bookmarkEnd w:id="29"/>
    </w:p>
    <w:p>
      <w:pPr>
        <w:pStyle w:val="FirstParagraph"/>
      </w:pPr>
      <w:r>
        <w:t xml:space="preserve">Durante la ejecución del proyecto se presentaron desviaciones respecto de lo planificado. Mediante un contrato modificatorio y dos ampliaciones de plazo, el monto del contrato aumentó en 7,22 % y el plazo en 33,3 %; al resolverse el contrato, la planilla de cierre firmada registró un avance financiero acumulado del 57,43 % (Tabla 1). Las causas registradas de las modificaciones fueron actividades nuevas por el tipo de suelo, la perforación de anclajes en zapatas, el recálculo de la estructura y el ajuste de los volúmenes a las mediciones de obra</w:t>
      </w:r>
      <w:r>
        <w:t xml:space="preserve"> </w:t>
      </w:r>
      <w:r>
        <w:t xml:space="preserve">(UATF, s. f.-b, p. 1)</w:t>
      </w:r>
      <w:r>
        <w:t xml:space="preserve">.</w:t>
      </w:r>
    </w:p>
    <w:p>
      <w:pPr>
        <w:pStyle w:val="Caption"/>
      </w:pPr>
      <w:bookmarkStart w:id="1393" w:name="tab1"/>
      <w:r>
        <w:t xml:space="preserve"/>
      </w:r>
      <w:r>
        <w:rPr>
          <w:bCs/>
          <w:b/>
        </w:rPr>
        <w:t xml:space="preserve">Tabla 1</w:t>
      </w:r>
      <w:r>
        <w:br/>
      </w:r>
      <w:r>
        <w:rPr>
          <w:iCs/>
          <w:i/>
        </w:rPr>
        <w:t xml:space="preserve">Variación del monto y del plazo del contrato de obra</w:t>
      </w:r>
      <w:bookmarkEnd w:id="1393"/>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4729"/>
        <w:gridCol w:w="1590"/>
        <w:gridCol w:w="1655"/>
        <w:gridCol w:w="1386"/>
      </w:tblGrid>
      <w:tr>
        <w:trPr>
          <w:cantSplit/>
          <w:tblHeader w:val="true"/>
        </w:trPr>
        <w:tc>
          <w:tcPr>
            <w:tcW w:w="4729" w:type="dxa"/>
            <w:tcBorders>
              <w:top w:val="single" w:sz="8" w:space="0" w:color="000000"/>
              <w:bottom w:val="single" w:sz="4" w:space="0" w:color="000000"/>
            </w:tcBorders>
          </w:tcPr>
          <w:p>
            <w:pPr>
              <w:pStyle w:val="CeldaAPA"/>
              <w:jc w:val="center"/>
            </w:pPr>
            <w:r>
              <w:rPr>
                <w:bCs/>
                <w:b/>
              </w:rPr>
              <w:t xml:space="preserve">Indicador</w:t>
            </w:r>
          </w:p>
        </w:tc>
        <w:tc>
          <w:tcPr>
            <w:tcW w:w="1590" w:type="dxa"/>
            <w:tcBorders>
              <w:top w:val="single" w:sz="8" w:space="0" w:color="000000"/>
              <w:bottom w:val="single" w:sz="4" w:space="0" w:color="000000"/>
            </w:tcBorders>
          </w:tcPr>
          <w:p>
            <w:pPr>
              <w:pStyle w:val="CeldaAPA"/>
              <w:jc w:val="center"/>
            </w:pPr>
            <w:r>
              <w:rPr>
                <w:bCs/>
                <w:b/>
              </w:rPr>
              <w:t xml:space="preserve">Original</w:t>
            </w:r>
          </w:p>
        </w:tc>
        <w:tc>
          <w:tcPr>
            <w:tcW w:w="1655" w:type="dxa"/>
            <w:tcBorders>
              <w:top w:val="single" w:sz="8" w:space="0" w:color="000000"/>
              <w:bottom w:val="single" w:sz="4" w:space="0" w:color="000000"/>
            </w:tcBorders>
          </w:tcPr>
          <w:p>
            <w:pPr>
              <w:pStyle w:val="CeldaAPA"/>
              <w:jc w:val="center"/>
            </w:pPr>
            <w:r>
              <w:rPr>
                <w:bCs/>
                <w:b/>
              </w:rPr>
              <w:t xml:space="preserve">Actualizado</w:t>
            </w:r>
          </w:p>
        </w:tc>
        <w:tc>
          <w:tcPr>
            <w:tcW w:w="1386" w:type="dxa"/>
            <w:tcBorders>
              <w:top w:val="single" w:sz="8" w:space="0" w:color="000000"/>
              <w:bottom w:val="single" w:sz="4" w:space="0" w:color="000000"/>
            </w:tcBorders>
          </w:tcPr>
          <w:p>
            <w:pPr>
              <w:pStyle w:val="CeldaAPA"/>
              <w:jc w:val="center"/>
            </w:pPr>
            <w:r>
              <w:rPr>
                <w:bCs/>
                <w:b/>
              </w:rPr>
              <w:t xml:space="preserve">Variación</w:t>
            </w:r>
          </w:p>
        </w:tc>
      </w:tr>
      <w:tr>
        <w:tc>
          <w:tcPr>
            <w:tcW w:w="4729" w:type="dxa"/>
          </w:tcPr>
          <w:p>
            <w:pPr>
              <w:pStyle w:val="CeldaAPA"/>
              <w:jc w:val="left"/>
            </w:pPr>
            <w:r>
              <w:rPr/>
              <w:t xml:space="preserve">Monto del contrato (Bs)</w:t>
            </w:r>
          </w:p>
        </w:tc>
        <w:tc>
          <w:tcPr>
            <w:tcW w:w="1590" w:type="dxa"/>
          </w:tcPr>
          <w:p>
            <w:pPr>
              <w:pStyle w:val="CeldaAPA"/>
              <w:jc w:val="right"/>
            </w:pPr>
            <w:r>
              <w:rPr/>
              <w:t xml:space="preserve">3.367.031,95</w:t>
            </w:r>
          </w:p>
        </w:tc>
        <w:tc>
          <w:tcPr>
            <w:tcW w:w="1655" w:type="dxa"/>
          </w:tcPr>
          <w:p>
            <w:pPr>
              <w:pStyle w:val="CeldaAPA"/>
              <w:jc w:val="right"/>
            </w:pPr>
            <w:r>
              <w:rPr/>
              <w:t xml:space="preserve">3.610.125,43</w:t>
            </w:r>
          </w:p>
        </w:tc>
        <w:tc>
          <w:tcPr>
            <w:tcW w:w="1386" w:type="dxa"/>
          </w:tcPr>
          <w:p>
            <w:pPr>
              <w:pStyle w:val="CeldaAPA"/>
              <w:jc w:val="right"/>
            </w:pPr>
            <w:r>
              <w:rPr/>
              <w:t xml:space="preserve">+7,22 %</w:t>
            </w:r>
          </w:p>
        </w:tc>
      </w:tr>
      <w:tr>
        <w:tc>
          <w:tcPr>
            <w:tcW w:w="4729" w:type="dxa"/>
          </w:tcPr>
          <w:p>
            <w:pPr>
              <w:pStyle w:val="CeldaAPA"/>
              <w:jc w:val="left"/>
            </w:pPr>
            <w:r>
              <w:rPr/>
              <w:t xml:space="preserve">Plazo de ejecución (días calendario)</w:t>
            </w:r>
          </w:p>
        </w:tc>
        <w:tc>
          <w:tcPr>
            <w:tcW w:w="1590" w:type="dxa"/>
          </w:tcPr>
          <w:p>
            <w:pPr>
              <w:pStyle w:val="CeldaAPA"/>
              <w:jc w:val="right"/>
            </w:pPr>
            <w:r>
              <w:rPr/>
              <w:t xml:space="preserve">270</w:t>
            </w:r>
          </w:p>
        </w:tc>
        <w:tc>
          <w:tcPr>
            <w:tcW w:w="1655" w:type="dxa"/>
          </w:tcPr>
          <w:p>
            <w:pPr>
              <w:pStyle w:val="CeldaAPA"/>
              <w:jc w:val="right"/>
            </w:pPr>
            <w:r>
              <w:rPr/>
              <w:t xml:space="preserve">360</w:t>
            </w:r>
          </w:p>
        </w:tc>
        <w:tc>
          <w:tcPr>
            <w:tcW w:w="1386" w:type="dxa"/>
          </w:tcPr>
          <w:p>
            <w:pPr>
              <w:pStyle w:val="CeldaAPA"/>
              <w:jc w:val="right"/>
            </w:pPr>
            <w:r>
              <w:rPr/>
              <w:t xml:space="preserve">+33,3 %</w:t>
            </w:r>
          </w:p>
        </w:tc>
      </w:tr>
      <w:tr>
        <w:tc>
          <w:tcPr>
            <w:tcW w:w="4729" w:type="dxa"/>
          </w:tcPr>
          <w:p>
            <w:pPr>
              <w:pStyle w:val="CeldaAPA"/>
              <w:jc w:val="left"/>
            </w:pPr>
            <w:r>
              <w:rPr/>
              <w:t xml:space="preserve">Entrega provisional prevista</w:t>
            </w:r>
          </w:p>
        </w:tc>
        <w:tc>
          <w:tcPr>
            <w:tcW w:w="1590" w:type="dxa"/>
          </w:tcPr>
          <w:p>
            <w:pPr>
              <w:pStyle w:val="CeldaAPA"/>
              <w:jc w:val="right"/>
            </w:pPr>
            <w:r>
              <w:rPr/>
              <w:t xml:space="preserve">30/01/2026</w:t>
            </w:r>
          </w:p>
        </w:tc>
        <w:tc>
          <w:tcPr>
            <w:tcW w:w="1655" w:type="dxa"/>
          </w:tcPr>
          <w:p>
            <w:pPr>
              <w:pStyle w:val="CeldaAPA"/>
              <w:jc w:val="right"/>
            </w:pPr>
            <w:r>
              <w:rPr/>
              <w:t xml:space="preserve">30/04/2026</w:t>
            </w:r>
          </w:p>
        </w:tc>
        <w:tc>
          <w:tcPr>
            <w:tcW w:w="1386" w:type="dxa"/>
          </w:tcPr>
          <w:p>
            <w:pPr>
              <w:pStyle w:val="CeldaAPA"/>
              <w:jc w:val="right"/>
            </w:pPr>
            <w:r>
              <w:rPr/>
              <w:t xml:space="preserve">+3 meses</w:t>
            </w:r>
          </w:p>
        </w:tc>
      </w:tr>
      <w:tr>
        <w:tc>
          <w:tcPr>
            <w:tcW w:w="4729" w:type="dxa"/>
          </w:tcPr>
          <w:p>
            <w:pPr>
              <w:pStyle w:val="CeldaAPA"/>
              <w:jc w:val="left"/>
            </w:pPr>
            <w:r>
              <w:rPr/>
              <w:t xml:space="preserve">Avance financiero acumulado al 08/12/2025 (Bs)</w:t>
            </w:r>
          </w:p>
        </w:tc>
        <w:tc>
          <w:tcPr>
            <w:tcW w:w="3245" w:type="dxa"/>
            <w:gridSpan w:val="2"/>
          </w:tcPr>
          <w:p>
            <w:pPr>
              <w:pStyle w:val="CeldaAPA"/>
              <w:jc w:val="right"/>
            </w:pPr>
            <w:r>
              <w:rPr/>
              <w:t xml:space="preserve">2.056.555,27</w:t>
            </w:r>
          </w:p>
        </w:tc>
        <w:tc>
          <w:tcPr>
            <w:tcW w:w="1386" w:type="dxa"/>
          </w:tcPr>
          <w:p>
            <w:pPr>
              <w:pStyle w:val="CeldaAPA"/>
              <w:jc w:val="right"/>
            </w:pPr>
            <w:r>
              <w:rPr/>
              <w:t xml:space="preserve">56,97 %</w:t>
            </w:r>
          </w:p>
        </w:tc>
      </w:tr>
      <w:tr>
        <w:tc>
          <w:tcPr>
            <w:tcW w:w="4729" w:type="dxa"/>
            <w:tcBorders>
              <w:bottom w:val="single" w:sz="8" w:space="0" w:color="000000"/>
            </w:tcBorders>
          </w:tcPr>
          <w:p>
            <w:pPr>
              <w:pStyle w:val="CeldaAPA"/>
              <w:jc w:val="left"/>
            </w:pPr>
            <w:r>
              <w:rPr/>
              <w:t xml:space="preserve">Avance financiero acumulado al cierre del contrato (Bs)</w:t>
            </w:r>
          </w:p>
        </w:tc>
        <w:tc>
          <w:tcPr>
            <w:tcW w:w="3245" w:type="dxa"/>
            <w:gridSpan w:val="2"/>
            <w:tcBorders>
              <w:bottom w:val="single" w:sz="8" w:space="0" w:color="000000"/>
            </w:tcBorders>
          </w:tcPr>
          <w:p>
            <w:pPr>
              <w:pStyle w:val="CeldaAPA"/>
              <w:jc w:val="right"/>
            </w:pPr>
            <w:r>
              <w:rPr/>
              <w:t xml:space="preserve">2.073.392,68</w:t>
            </w:r>
          </w:p>
        </w:tc>
        <w:tc>
          <w:tcPr>
            <w:tcW w:w="1386" w:type="dxa"/>
            <w:tcBorders>
              <w:bottom w:val="single" w:sz="8" w:space="0" w:color="000000"/>
            </w:tcBorders>
          </w:tcPr>
          <w:p>
            <w:pPr>
              <w:pStyle w:val="CeldaAPA"/>
              <w:jc w:val="right"/>
            </w:pPr>
            <w:r>
              <w:rPr/>
              <w:t xml:space="preserve">57,43 %</w:t>
            </w:r>
          </w:p>
        </w:tc>
      </w:tr>
    </w:tbl>
    <w:p>
      <w:pPr>
        <w:pStyle w:val="NotaAPA"/>
      </w:pPr>
      <w:r>
        <w:rPr>
          <w:iCs/>
          <w:i/>
        </w:rPr>
        <w:t xml:space="preserve">Nota.</w:t>
      </w:r>
      <w:r>
        <w:t xml:space="preserve"> </w:t>
      </w:r>
      <w:r>
        <w:t xml:space="preserve">Elaborado con base en la Planilla de avance de obra N.</w:t>
      </w:r>
      <w:r>
        <w:rPr>
          <w:vertAlign w:val="superscript"/>
        </w:rPr>
        <w:t xml:space="preserve">o</w:t>
      </w:r>
      <w:r>
        <w:t xml:space="preserve"> 2</w:t>
      </w:r>
      <w:r>
        <w:t xml:space="preserve"> </w:t>
      </w:r>
      <w:r>
        <w:t xml:space="preserve">(UATF, 2025, pp. 3, 7, 14)</w:t>
      </w:r>
      <w:r>
        <w:t xml:space="preserve"> </w:t>
      </w:r>
      <w:r>
        <w:t xml:space="preserve">y en la planilla de cierre por resolución del contrato, versión firmada</w:t>
      </w:r>
      <w:r>
        <w:t xml:space="preserve"> </w:t>
      </w:r>
      <w:r>
        <w:t xml:space="preserve">(UATF, s. f.-b, p. 2)</w:t>
      </w:r>
      <w:r>
        <w:t xml:space="preserve">.</w:t>
      </w:r>
    </w:p>
    <w:p>
      <w:pPr>
        <w:pStyle w:val="BodyText"/>
      </w:pPr>
      <w:r>
        <w:t xml:space="preserve">Las cantidades de varios ítems también variaron entre el contrato original y el modificado (cálculo propio con base en</w:t>
      </w:r>
      <w:r>
        <w:t xml:space="preserve"> </w:t>
      </w:r>
      <w:r>
        <w:t xml:space="preserve">(UATF, 2025, p. 16)</w:t>
      </w:r>
      <w:r>
        <w:t xml:space="preserve">):</w:t>
      </w:r>
    </w:p>
    <w:p>
      <w:pPr>
        <w:numPr>
          <w:ilvl w:val="0"/>
          <w:numId w:val="1001"/>
        </w:numPr>
      </w:pPr>
      <w:r>
        <w:t xml:space="preserve">el acero estructural pasó de 59.029,92 kg a 77.979,51 kg (+32,1 %);</w:t>
      </w:r>
    </w:p>
    <w:p>
      <w:pPr>
        <w:numPr>
          <w:ilvl w:val="0"/>
          <w:numId w:val="1001"/>
        </w:numPr>
      </w:pPr>
      <w:r>
        <w:t xml:space="preserve">el hormigón de zapatas aumentó un 16,0 % y el de escaleras un 46,7 %, mientras que el de columnas disminuyó un 8,5 % y el de vigas un 7,9 %.</w:t>
      </w:r>
    </w:p>
    <w:p>
      <w:pPr>
        <w:pStyle w:val="FirstParagraph"/>
      </w:pPr>
      <w:r>
        <w:t xml:space="preserve">El ítem «H</w:t>
      </w:r>
      <w:r>
        <w:rPr>
          <w:vertAlign w:val="superscript"/>
        </w:rPr>
        <w:t xml:space="preserve">o</w:t>
      </w:r>
      <w:r>
        <w:t xml:space="preserve">S</w:t>
      </w:r>
      <w:r>
        <w:rPr>
          <w:vertAlign w:val="superscript"/>
        </w:rPr>
        <w:t xml:space="preserve">o</w:t>
      </w:r>
      <w:r>
        <w:t xml:space="preserve"> </w:t>
      </w:r>
      <w:r>
        <w:t xml:space="preserve">losa alivianada con vigueta simple pretensada y plastoformo h = 25 cm» representa el 21,45 % del monto original del contrato, con un precio unitario de Bs 215,68/m</w:t>
      </w:r>
      <w:r>
        <w:rPr>
          <w:vertAlign w:val="superscript"/>
        </w:rPr>
        <w:t xml:space="preserve">2</w:t>
      </w:r>
      <w:r>
        <w:t xml:space="preserve"> </w:t>
      </w:r>
      <w:r>
        <w:t xml:space="preserve">(Tabla 2). La primera losa (41 paños; 1.109,84 m</w:t>
      </w:r>
      <w:r>
        <w:rPr>
          <w:vertAlign w:val="superscript"/>
        </w:rPr>
        <w:t xml:space="preserve">2</w:t>
      </w:r>
      <w:r>
        <w:t xml:space="preserve">) se certificó completa en la Planilla N.</w:t>
      </w:r>
      <w:r>
        <w:rPr>
          <w:vertAlign w:val="superscript"/>
        </w:rPr>
        <w:t xml:space="preserve">o</w:t>
      </w:r>
      <w:r>
        <w:t xml:space="preserve"> 2, sin avance anterior</w:t>
      </w:r>
      <w:r>
        <w:t xml:space="preserve"> </w:t>
      </w:r>
      <w:r>
        <w:t xml:space="preserve">(UATF, 2025, pp. 16, 28–29)</w:t>
      </w:r>
      <w:r>
        <w:t xml:space="preserve">, y fue la única que se ejecutó: el 33,18 % de la cantidad modificada</w:t>
      </w:r>
      <w:r>
        <w:t xml:space="preserve"> </w:t>
      </w:r>
      <w:r>
        <w:t xml:space="preserve">(UATF, s. f.-b, p. 2)</w:t>
      </w:r>
      <w:r>
        <w:t xml:space="preserve">. El saldo de 2.234,60 m</w:t>
      </w:r>
      <w:r>
        <w:rPr>
          <w:vertAlign w:val="superscript"/>
        </w:rPr>
        <w:t xml:space="preserve">2</w:t>
      </w:r>
      <w:r>
        <w:t xml:space="preserve"> </w:t>
      </w:r>
      <w:r>
        <w:t xml:space="preserve">corresponde a la segunda y la tercera losa, que el cómputo del contrato modificado calcula con los mismos 41 paños, cinco de ellos algo mayores (paños 1, 2, 34, 35 y 40), de modo que cada una mide 1.117,30 m</w:t>
      </w:r>
      <w:r>
        <w:rPr>
          <w:vertAlign w:val="superscript"/>
        </w:rPr>
        <w:t xml:space="preserve">2</w:t>
      </w:r>
      <w:r>
        <w:t xml:space="preserve"> </w:t>
      </w:r>
      <w:r>
        <w:t xml:space="preserve">(cálculo propio con base en</w:t>
      </w:r>
      <w:r>
        <w:t xml:space="preserve"> </w:t>
      </w:r>
      <w:r>
        <w:t xml:space="preserve">(UATF, s. f.-b, pp. 18–19)</w:t>
      </w:r>
      <w:r>
        <w:t xml:space="preserve">).</w:t>
      </w:r>
    </w:p>
    <w:p>
      <w:pPr>
        <w:pStyle w:val="Caption"/>
      </w:pPr>
      <w:bookmarkStart w:id="1394" w:name="tab2"/>
      <w:r>
        <w:t xml:space="preserve"/>
      </w:r>
      <w:r>
        <w:rPr>
          <w:bCs/>
          <w:b/>
        </w:rPr>
        <w:t xml:space="preserve">Tabla 2</w:t>
      </w:r>
      <w:r>
        <w:br/>
      </w:r>
      <w:r>
        <w:rPr>
          <w:iCs/>
          <w:i/>
        </w:rPr>
        <w:t xml:space="preserve">Cantidades y montos del ítem losa alivianada con viguetas pretensadas</w:t>
      </w:r>
      <w:bookmarkEnd w:id="1394"/>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4478"/>
        <w:gridCol w:w="1302"/>
        <w:gridCol w:w="1400"/>
        <w:gridCol w:w="2180"/>
      </w:tblGrid>
      <w:tr>
        <w:trPr>
          <w:cantSplit/>
          <w:tblHeader w:val="true"/>
        </w:trPr>
        <w:tc>
          <w:tcPr>
            <w:tcW w:w="4478" w:type="dxa"/>
            <w:tcBorders>
              <w:top w:val="single" w:sz="8" w:space="0" w:color="000000"/>
              <w:bottom w:val="single" w:sz="4" w:space="0" w:color="000000"/>
            </w:tcBorders>
          </w:tcPr>
          <w:p>
            <w:pPr>
              <w:pStyle w:val="CeldaAPA"/>
              <w:jc w:val="center"/>
            </w:pPr>
            <w:r>
              <w:rPr>
                <w:bCs/>
                <w:b/>
              </w:rPr>
              <w:t xml:space="preserve">Concepto</w:t>
            </w:r>
          </w:p>
        </w:tc>
        <w:tc>
          <w:tcPr>
            <w:tcW w:w="1302" w:type="dxa"/>
            <w:tcBorders>
              <w:top w:val="single" w:sz="8" w:space="0" w:color="000000"/>
              <w:bottom w:val="single" w:sz="4" w:space="0" w:color="000000"/>
            </w:tcBorders>
          </w:tcPr>
          <w:p>
            <w:pPr>
              <w:pStyle w:val="CeldaAPA"/>
              <w:jc w:val="center"/>
            </w:pPr>
            <w:r>
              <w:rPr>
                <w:bCs/>
                <w:b/>
              </w:rPr>
              <w:t xml:space="preserve">Cantidad (m</w:t>
            </w:r>
            <w:r>
              <w:rPr>
                <w:vertAlign w:val="superscript"/>
                <w:bCs/>
                <w:b/>
              </w:rPr>
              <w:t xml:space="preserve">2</w:t>
            </w:r>
            <w:r>
              <w:rPr>
                <w:bCs/>
                <w:b/>
              </w:rPr>
              <w:t xml:space="preserve">)</w:t>
            </w:r>
          </w:p>
        </w:tc>
        <w:tc>
          <w:tcPr>
            <w:tcW w:w="1400" w:type="dxa"/>
            <w:tcBorders>
              <w:top w:val="single" w:sz="8" w:space="0" w:color="000000"/>
              <w:bottom w:val="single" w:sz="4" w:space="0" w:color="000000"/>
            </w:tcBorders>
          </w:tcPr>
          <w:p>
            <w:pPr>
              <w:pStyle w:val="CeldaAPA"/>
              <w:jc w:val="center"/>
            </w:pPr>
            <w:r>
              <w:rPr>
                <w:bCs/>
                <w:b/>
              </w:rPr>
              <w:t xml:space="preserve">Monto (Bs)</w:t>
            </w:r>
          </w:p>
        </w:tc>
        <w:tc>
          <w:tcPr>
            <w:tcW w:w="2180" w:type="dxa"/>
            <w:tcBorders>
              <w:top w:val="single" w:sz="8" w:space="0" w:color="000000"/>
              <w:bottom w:val="single" w:sz="4" w:space="0" w:color="000000"/>
            </w:tcBorders>
          </w:tcPr>
          <w:p>
            <w:pPr>
              <w:pStyle w:val="CeldaAPA"/>
              <w:jc w:val="center"/>
            </w:pPr>
            <w:r>
              <w:rPr>
                <w:bCs/>
                <w:b/>
              </w:rPr>
              <w:t xml:space="preserve">Porcentaje</w:t>
            </w:r>
          </w:p>
        </w:tc>
      </w:tr>
      <w:tr>
        <w:tc>
          <w:tcPr>
            <w:tcW w:w="4478" w:type="dxa"/>
          </w:tcPr>
          <w:p>
            <w:pPr>
              <w:pStyle w:val="CeldaAPA"/>
              <w:jc w:val="left"/>
            </w:pPr>
            <w:r>
              <w:rPr/>
              <w:t xml:space="preserve">Contrato original</w:t>
            </w:r>
          </w:p>
        </w:tc>
        <w:tc>
          <w:tcPr>
            <w:tcW w:w="1302" w:type="dxa"/>
          </w:tcPr>
          <w:p>
            <w:pPr>
              <w:pStyle w:val="CeldaAPA"/>
              <w:jc w:val="right"/>
            </w:pPr>
            <w:r>
              <w:rPr/>
              <w:t xml:space="preserve">3.348,75</w:t>
            </w:r>
          </w:p>
        </w:tc>
        <w:tc>
          <w:tcPr>
            <w:tcW w:w="1400" w:type="dxa"/>
          </w:tcPr>
          <w:p>
            <w:pPr>
              <w:pStyle w:val="CeldaAPA"/>
              <w:jc w:val="right"/>
            </w:pPr>
            <w:r>
              <w:rPr/>
              <w:t xml:space="preserve">722.242,66</w:t>
            </w:r>
          </w:p>
        </w:tc>
        <w:tc>
          <w:tcPr>
            <w:tcW w:w="2180" w:type="dxa"/>
          </w:tcPr>
          <w:p>
            <w:pPr>
              <w:pStyle w:val="CeldaAPA"/>
              <w:jc w:val="right"/>
            </w:pPr>
            <w:r>
              <w:rPr/>
              <w:t xml:space="preserve">21,45 % del contrato</w:t>
            </w:r>
          </w:p>
        </w:tc>
      </w:tr>
      <w:tr>
        <w:tc>
          <w:tcPr>
            <w:tcW w:w="4478" w:type="dxa"/>
          </w:tcPr>
          <w:p>
            <w:pPr>
              <w:pStyle w:val="CeldaAPA"/>
              <w:jc w:val="left"/>
            </w:pPr>
            <w:r>
              <w:rPr/>
              <w:t xml:space="preserve">Contrato modificado</w:t>
            </w:r>
          </w:p>
        </w:tc>
        <w:tc>
          <w:tcPr>
            <w:tcW w:w="1302" w:type="dxa"/>
          </w:tcPr>
          <w:p>
            <w:pPr>
              <w:pStyle w:val="CeldaAPA"/>
              <w:jc w:val="right"/>
            </w:pPr>
            <w:r>
              <w:rPr/>
              <w:t xml:space="preserve">3.344,44</w:t>
            </w:r>
          </w:p>
        </w:tc>
        <w:tc>
          <w:tcPr>
            <w:tcW w:w="1400" w:type="dxa"/>
          </w:tcPr>
          <w:p>
            <w:pPr>
              <w:pStyle w:val="CeldaAPA"/>
              <w:jc w:val="right"/>
            </w:pPr>
            <w:r>
              <w:rPr/>
              <w:t xml:space="preserve">721.313,10</w:t>
            </w:r>
          </w:p>
        </w:tc>
        <w:tc>
          <w:tcPr>
            <w:tcW w:w="2180" w:type="dxa"/>
          </w:tcPr>
          <w:p>
            <w:pPr>
              <w:pStyle w:val="CeldaAPA"/>
              <w:jc w:val="right"/>
            </w:pPr>
            <w:r>
              <w:rPr/>
              <w:t xml:space="preserve">100,00 % del ítem</w:t>
            </w:r>
          </w:p>
        </w:tc>
      </w:tr>
      <w:tr>
        <w:tc>
          <w:tcPr>
            <w:tcW w:w="4478" w:type="dxa"/>
          </w:tcPr>
          <w:p>
            <w:pPr>
              <w:pStyle w:val="CeldaAPA"/>
              <w:jc w:val="left"/>
            </w:pPr>
            <w:r>
              <w:rPr/>
              <w:t xml:space="preserve">Ejecutado (primera losa, 41 paños)</w:t>
            </w:r>
          </w:p>
        </w:tc>
        <w:tc>
          <w:tcPr>
            <w:tcW w:w="1302" w:type="dxa"/>
          </w:tcPr>
          <w:p>
            <w:pPr>
              <w:pStyle w:val="CeldaAPA"/>
              <w:jc w:val="right"/>
            </w:pPr>
            <w:r>
              <w:rPr/>
              <w:t xml:space="preserve">1.109,84</w:t>
            </w:r>
          </w:p>
        </w:tc>
        <w:tc>
          <w:tcPr>
            <w:tcW w:w="1400" w:type="dxa"/>
          </w:tcPr>
          <w:p>
            <w:pPr>
              <w:pStyle w:val="CeldaAPA"/>
              <w:jc w:val="right"/>
            </w:pPr>
            <w:r>
              <w:rPr/>
              <w:t xml:space="preserve">239.365,07</w:t>
            </w:r>
          </w:p>
        </w:tc>
        <w:tc>
          <w:tcPr>
            <w:tcW w:w="2180" w:type="dxa"/>
          </w:tcPr>
          <w:p>
            <w:pPr>
              <w:pStyle w:val="CeldaAPA"/>
              <w:jc w:val="right"/>
            </w:pPr>
            <w:r>
              <w:rPr/>
              <w:t xml:space="preserve">33,18 %</w:t>
            </w:r>
          </w:p>
        </w:tc>
      </w:tr>
      <w:tr>
        <w:tc>
          <w:tcPr>
            <w:tcW w:w="4478" w:type="dxa"/>
            <w:tcBorders>
              <w:bottom w:val="single" w:sz="8" w:space="0" w:color="000000"/>
            </w:tcBorders>
          </w:tcPr>
          <w:p>
            <w:pPr>
              <w:pStyle w:val="CeldaAPA"/>
              <w:jc w:val="left"/>
            </w:pPr>
            <w:r>
              <w:rPr/>
              <w:t xml:space="preserve">Saldo no ejecutado (segunda y tercera losa)</w:t>
            </w:r>
          </w:p>
        </w:tc>
        <w:tc>
          <w:tcPr>
            <w:tcW w:w="1302" w:type="dxa"/>
            <w:tcBorders>
              <w:bottom w:val="single" w:sz="8" w:space="0" w:color="000000"/>
            </w:tcBorders>
          </w:tcPr>
          <w:p>
            <w:pPr>
              <w:pStyle w:val="CeldaAPA"/>
              <w:jc w:val="right"/>
            </w:pPr>
            <w:r>
              <w:rPr/>
              <w:t xml:space="preserve">2.234,60</w:t>
            </w:r>
          </w:p>
        </w:tc>
        <w:tc>
          <w:tcPr>
            <w:tcW w:w="1400" w:type="dxa"/>
            <w:tcBorders>
              <w:bottom w:val="single" w:sz="8" w:space="0" w:color="000000"/>
            </w:tcBorders>
          </w:tcPr>
          <w:p>
            <w:pPr>
              <w:pStyle w:val="CeldaAPA"/>
              <w:jc w:val="right"/>
            </w:pPr>
            <w:r>
              <w:rPr/>
              <w:t xml:space="preserve">481.948,03</w:t>
            </w:r>
          </w:p>
        </w:tc>
        <w:tc>
          <w:tcPr>
            <w:tcW w:w="2180" w:type="dxa"/>
            <w:tcBorders>
              <w:bottom w:val="single" w:sz="8" w:space="0" w:color="000000"/>
            </w:tcBorders>
          </w:tcPr>
          <w:p>
            <w:pPr>
              <w:pStyle w:val="CeldaAPA"/>
              <w:jc w:val="right"/>
            </w:pPr>
            <w:r>
              <w:rPr/>
              <w:t xml:space="preserve">66,82 %</w:t>
            </w:r>
          </w:p>
        </w:tc>
      </w:tr>
    </w:tbl>
    <w:p>
      <w:pPr>
        <w:pStyle w:val="NotaAPA"/>
      </w:pPr>
      <w:r>
        <w:rPr>
          <w:iCs/>
          <w:i/>
        </w:rPr>
        <w:t xml:space="preserve">Nota.</w:t>
      </w:r>
      <w:r>
        <w:t xml:space="preserve"> </w:t>
      </w:r>
      <w:r>
        <w:t xml:space="preserve">Precio unitario contractual: Bs 215,6753/m</w:t>
      </w:r>
      <w:r>
        <w:rPr>
          <w:vertAlign w:val="superscript"/>
        </w:rPr>
        <w:t xml:space="preserve">2</w:t>
      </w:r>
      <w:r>
        <w:t xml:space="preserve">, redondeado a Bs 215,68/m</w:t>
      </w:r>
      <w:r>
        <w:rPr>
          <w:vertAlign w:val="superscript"/>
        </w:rPr>
        <w:t xml:space="preserve">2</w:t>
      </w:r>
      <w:r>
        <w:t xml:space="preserve">. Cada losa superior mide 1.117,30 m</w:t>
      </w:r>
      <w:r>
        <w:rPr>
          <w:vertAlign w:val="superscript"/>
        </w:rPr>
        <w:t xml:space="preserve">2</w:t>
      </w:r>
      <w:r>
        <w:t xml:space="preserve"> </w:t>
      </w:r>
      <w:r>
        <w:t xml:space="preserve">según el cómputo del contrato modificado (cálculo propio). Elaborado con base en la Planilla de avance de obra N.</w:t>
      </w:r>
      <w:r>
        <w:rPr>
          <w:vertAlign w:val="superscript"/>
        </w:rPr>
        <w:t xml:space="preserve">o</w:t>
      </w:r>
      <w:r>
        <w:t xml:space="preserve"> 2</w:t>
      </w:r>
      <w:r>
        <w:t xml:space="preserve"> </w:t>
      </w:r>
      <w:r>
        <w:t xml:space="preserve">(UATF, 2025, p. 16)</w:t>
      </w:r>
      <w:r>
        <w:t xml:space="preserve"> </w:t>
      </w:r>
      <w:r>
        <w:t xml:space="preserve">y en la planilla de cierre firmada y el cómputo del contrato modificado</w:t>
      </w:r>
      <w:r>
        <w:t xml:space="preserve"> </w:t>
      </w:r>
      <w:r>
        <w:t xml:space="preserve">(UATF, s. f.-b, pp. 2, 18–19)</w:t>
      </w:r>
      <w:r>
        <w:t xml:space="preserve">.</w:t>
      </w:r>
    </w:p>
    <w:p>
      <w:pPr>
        <w:pStyle w:val="BodyText"/>
      </w:pPr>
      <w:r>
        <w:t xml:space="preserve">El abastecimiento y el precio de los materiales se vieron afectados por la escasez de combustibles. En junio de 2025, la Fábrica Nacional de Cemento S. A. comunicó la paralización temporal de su producción por falta de diésel</w:t>
      </w:r>
      <w:r>
        <w:t xml:space="preserve"> </w:t>
      </w:r>
      <w:r>
        <w:t xml:space="preserve">(Fábrica Nacional de Cemento S. A. [FANCESA], 2025)</w:t>
      </w:r>
      <w:r>
        <w:t xml:space="preserve">. El 16 de junio de 2025, el distribuidor del acero informó a la contratista que, de una compra de 20 toneladas de fierro corrugado, solo había entregado el 30 %, debido al desabastecimiento de combustibles y a los bloqueos de carreteras</w:t>
      </w:r>
      <w:r>
        <w:t xml:space="preserve"> </w:t>
      </w:r>
      <w:r>
        <w:t xml:space="preserve">(Import Export Las Lomas Ltda., 2025)</w:t>
      </w:r>
      <w:r>
        <w:t xml:space="preserve">. El 17 de noviembre de 2025, mientras se armaban las vigas y la losa del primer nivel, la contratista registró en el Libro de Órdenes que los materiales demoraban en llegar por la escasez de combustible</w:t>
      </w:r>
      <w:r>
        <w:t xml:space="preserve"> </w:t>
      </w:r>
      <w:r>
        <w:t xml:space="preserve">(UATF, 2025, pp. 122–123)</w:t>
      </w:r>
      <w:r>
        <w:t xml:space="preserve">. El informe de la Supervisión del mismo periodo señala que se realizaron «modificaciones estructurales debido a la inexistencia de viguetas en el mercado de los tamaños requeridos», sin detallar qué se modificó</w:t>
      </w:r>
      <w:r>
        <w:t xml:space="preserve"> </w:t>
      </w:r>
      <w:r>
        <w:t xml:space="preserve">(UATF, 2025, p. 11)</w:t>
      </w:r>
      <w:r>
        <w:t xml:space="preserve">. En octubre de 2025, la Cámara de la Construcción de Tarija se pronunció sobre el incremento del precio del cemento, la escasez de combustibles y la variación del tipo de cambio</w:t>
      </w:r>
      <w:r>
        <w:t xml:space="preserve"> </w:t>
      </w:r>
      <w:r>
        <w:t xml:space="preserve">(Cámara de la Construcción de Tarija [CADECO Tarija], 2025)</w:t>
      </w:r>
      <w:r>
        <w:t xml:space="preserve">. Los precios promedio que publica el Instituto Nacional de Estadística para Potosí muestran la magnitud del alza (Tabla 3), que el Gobierno reconoció con decretos de ajuste excepcional de precios en contratos de obra: el D. S. 5321 de 2025 y el D. S. 5597 de 2026</w:t>
      </w:r>
      <w:r>
        <w:t xml:space="preserve"> </w:t>
      </w:r>
      <w:r>
        <w:t xml:space="preserve">(Estado Plurinacional de Bolivia, 2025c, 2026)</w:t>
      </w:r>
      <w:r>
        <w:t xml:space="preserve">. El contrato de la obra, sin embargo, excluye el reajuste de precios y no considera fuerza mayor las demoras en la entrega de materiales</w:t>
      </w:r>
      <w:r>
        <w:t xml:space="preserve"> </w:t>
      </w:r>
      <w:r>
        <w:t xml:space="preserve">(UATF, 2025, pp. 95–96)</w:t>
      </w:r>
      <w:r>
        <w:t xml:space="preserve">.</w:t>
      </w:r>
    </w:p>
    <w:p>
      <w:pPr>
        <w:pStyle w:val="Caption"/>
      </w:pPr>
      <w:bookmarkStart w:id="1395" w:name="tab3"/>
      <w:r>
        <w:t xml:space="preserve"/>
      </w:r>
      <w:r>
        <w:rPr>
          <w:bCs/>
          <w:b/>
        </w:rPr>
        <w:t xml:space="preserve">Tabla 3</w:t>
      </w:r>
      <w:r>
        <w:br/>
      </w:r>
      <w:r>
        <w:rPr>
          <w:iCs/>
          <w:i/>
        </w:rPr>
        <w:t xml:space="preserve">Precios promedio de materiales de construcción en Potosí</w:t>
      </w:r>
      <w:bookmarkEnd w:id="1395"/>
    </w:p>
    <w:tbl>
      <w:tblPr>
        <w:tblStyle w:val="Table"/>
        <w:tblW w:w="9362" w:type="dxa"/>
        <w:jc w:val="left"/>
        <w:tblLayout w:type="fixed"/>
        <w:tblCellMar>
          <w:top w:w="0" w:type="dxa"/>
          <w:left w:w="85" w:type="dxa"/>
          <w:bottom w:w="0" w:type="dxa"/>
          <w:right w:w="85" w:type="dxa"/>
        </w:tblCellMar>
        <w:tblLook w:firstRow="1" w:lastRow="0" w:firstColumn="0" w:lastColumn="0" w:noHBand="0" w:noVBand="0" w:val="0020"/>
      </w:tblPr>
      <w:tblGrid>
        <w:gridCol w:w="4273"/>
        <w:gridCol w:w="1151"/>
        <w:gridCol w:w="1276"/>
        <w:gridCol w:w="1276"/>
        <w:gridCol w:w="1386"/>
      </w:tblGrid>
      <w:tr>
        <w:trPr>
          <w:cantSplit/>
          <w:tblHeader w:val="true"/>
        </w:trPr>
        <w:tc>
          <w:tcPr>
            <w:tcW w:w="4273" w:type="dxa"/>
            <w:tcBorders>
              <w:top w:val="single" w:sz="8" w:space="0" w:color="000000"/>
              <w:bottom w:val="single" w:sz="4" w:space="0" w:color="000000"/>
            </w:tcBorders>
          </w:tcPr>
          <w:p>
            <w:pPr>
              <w:pStyle w:val="CeldaAPA"/>
              <w:jc w:val="center"/>
            </w:pPr>
            <w:r>
              <w:rPr>
                <w:bCs/>
                <w:b/>
              </w:rPr>
              <w:t xml:space="preserve">Material</w:t>
            </w:r>
          </w:p>
        </w:tc>
        <w:tc>
          <w:tcPr>
            <w:tcW w:w="1151" w:type="dxa"/>
            <w:tcBorders>
              <w:top w:val="single" w:sz="8" w:space="0" w:color="000000"/>
              <w:bottom w:val="single" w:sz="4" w:space="0" w:color="000000"/>
            </w:tcBorders>
          </w:tcPr>
          <w:p>
            <w:pPr>
              <w:pStyle w:val="CeldaAPA"/>
              <w:jc w:val="center"/>
            </w:pPr>
            <w:r>
              <w:rPr>
                <w:bCs/>
                <w:b/>
              </w:rPr>
              <w:t xml:space="preserve">Dic. 2023</w:t>
            </w:r>
          </w:p>
        </w:tc>
        <w:tc>
          <w:tcPr>
            <w:tcW w:w="1276" w:type="dxa"/>
            <w:tcBorders>
              <w:top w:val="single" w:sz="8" w:space="0" w:color="000000"/>
              <w:bottom w:val="single" w:sz="4" w:space="0" w:color="000000"/>
            </w:tcBorders>
          </w:tcPr>
          <w:p>
            <w:pPr>
              <w:pStyle w:val="CeldaAPA"/>
              <w:jc w:val="center"/>
            </w:pPr>
            <w:r>
              <w:rPr>
                <w:bCs/>
                <w:b/>
              </w:rPr>
              <w:t xml:space="preserve">Dic. 2025</w:t>
            </w:r>
          </w:p>
        </w:tc>
        <w:tc>
          <w:tcPr>
            <w:tcW w:w="1276" w:type="dxa"/>
            <w:tcBorders>
              <w:top w:val="single" w:sz="8" w:space="0" w:color="000000"/>
              <w:bottom w:val="single" w:sz="4" w:space="0" w:color="000000"/>
            </w:tcBorders>
          </w:tcPr>
          <w:p>
            <w:pPr>
              <w:pStyle w:val="CeldaAPA"/>
              <w:jc w:val="center"/>
            </w:pPr>
            <w:r>
              <w:rPr>
                <w:bCs/>
                <w:b/>
              </w:rPr>
              <w:t xml:space="preserve">Sep. 2026</w:t>
            </w:r>
          </w:p>
        </w:tc>
        <w:tc>
          <w:tcPr>
            <w:tcW w:w="1386" w:type="dxa"/>
            <w:tcBorders>
              <w:top w:val="single" w:sz="8" w:space="0" w:color="000000"/>
              <w:bottom w:val="single" w:sz="4" w:space="0" w:color="000000"/>
            </w:tcBorders>
          </w:tcPr>
          <w:p>
            <w:pPr>
              <w:pStyle w:val="CeldaAPA"/>
              <w:jc w:val="center"/>
            </w:pPr>
            <w:r>
              <w:rPr>
                <w:bCs/>
                <w:b/>
              </w:rPr>
              <w:t xml:space="preserve">Variación</w:t>
            </w:r>
          </w:p>
        </w:tc>
      </w:tr>
      <w:tr>
        <w:tc>
          <w:tcPr>
            <w:tcW w:w="4273" w:type="dxa"/>
          </w:tcPr>
          <w:p>
            <w:pPr>
              <w:pStyle w:val="CeldaAPA"/>
              <w:jc w:val="left"/>
            </w:pPr>
            <w:r>
              <w:rPr/>
              <w:t xml:space="preserve">Cemento portland gris, bolsa de 50 kg (Bs)</w:t>
            </w:r>
          </w:p>
        </w:tc>
        <w:tc>
          <w:tcPr>
            <w:tcW w:w="1151" w:type="dxa"/>
          </w:tcPr>
          <w:p>
            <w:pPr>
              <w:pStyle w:val="CeldaAPA"/>
              <w:jc w:val="right"/>
            </w:pPr>
            <w:r>
              <w:rPr/>
              <w:t xml:space="preserve">45,00</w:t>
            </w:r>
          </w:p>
        </w:tc>
        <w:tc>
          <w:tcPr>
            <w:tcW w:w="1276" w:type="dxa"/>
          </w:tcPr>
          <w:p>
            <w:pPr>
              <w:pStyle w:val="CeldaAPA"/>
              <w:jc w:val="right"/>
            </w:pPr>
            <w:r>
              <w:rPr/>
              <w:t xml:space="preserve">83,09</w:t>
            </w:r>
          </w:p>
        </w:tc>
        <w:tc>
          <w:tcPr>
            <w:tcW w:w="1276" w:type="dxa"/>
          </w:tcPr>
          <w:p>
            <w:pPr>
              <w:pStyle w:val="CeldaAPA"/>
              <w:jc w:val="right"/>
            </w:pPr>
            <w:r>
              <w:rPr/>
              <w:t xml:space="preserve">78,32</w:t>
            </w:r>
          </w:p>
        </w:tc>
        <w:tc>
          <w:tcPr>
            <w:tcW w:w="1386" w:type="dxa"/>
          </w:tcPr>
          <w:p>
            <w:pPr>
              <w:pStyle w:val="CeldaAPA"/>
              <w:jc w:val="right"/>
            </w:pPr>
            <w:r>
              <w:rPr/>
              <w:t xml:space="preserve">+74,1 %</w:t>
            </w:r>
          </w:p>
        </w:tc>
      </w:tr>
      <w:tr>
        <w:tc>
          <w:tcPr>
            <w:tcW w:w="4273" w:type="dxa"/>
          </w:tcPr>
          <w:p>
            <w:pPr>
              <w:pStyle w:val="CeldaAPA"/>
              <w:jc w:val="left"/>
            </w:pPr>
            <w:r>
              <w:rPr/>
              <w:t xml:space="preserve">Fierro corrugado de 1/2”, tonelada (Bs)</w:t>
            </w:r>
          </w:p>
        </w:tc>
        <w:tc>
          <w:tcPr>
            <w:tcW w:w="1151" w:type="dxa"/>
          </w:tcPr>
          <w:p>
            <w:pPr>
              <w:pStyle w:val="CeldaAPA"/>
              <w:jc w:val="right"/>
            </w:pPr>
            <w:r>
              <w:rPr/>
              <w:t xml:space="preserve">6.885,56</w:t>
            </w:r>
          </w:p>
        </w:tc>
        <w:tc>
          <w:tcPr>
            <w:tcW w:w="1276" w:type="dxa"/>
          </w:tcPr>
          <w:p>
            <w:pPr>
              <w:pStyle w:val="CeldaAPA"/>
              <w:jc w:val="right"/>
            </w:pPr>
            <w:r>
              <w:rPr/>
              <w:t xml:space="preserve">12.733,71</w:t>
            </w:r>
          </w:p>
        </w:tc>
        <w:tc>
          <w:tcPr>
            <w:tcW w:w="1276" w:type="dxa"/>
          </w:tcPr>
          <w:p>
            <w:pPr>
              <w:pStyle w:val="CeldaAPA"/>
              <w:jc w:val="right"/>
            </w:pPr>
            <w:r>
              <w:rPr/>
              <w:t xml:space="preserve">11.412,22</w:t>
            </w:r>
          </w:p>
        </w:tc>
        <w:tc>
          <w:tcPr>
            <w:tcW w:w="1386" w:type="dxa"/>
          </w:tcPr>
          <w:p>
            <w:pPr>
              <w:pStyle w:val="CeldaAPA"/>
              <w:jc w:val="right"/>
            </w:pPr>
            <w:r>
              <w:rPr/>
              <w:t xml:space="preserve">+65,7 %</w:t>
            </w:r>
          </w:p>
        </w:tc>
      </w:tr>
      <w:tr>
        <w:tc>
          <w:tcPr>
            <w:tcW w:w="4273" w:type="dxa"/>
          </w:tcPr>
          <w:p>
            <w:pPr>
              <w:pStyle w:val="CeldaAPA"/>
              <w:jc w:val="left"/>
            </w:pPr>
            <w:r>
              <w:rPr/>
              <w:t xml:space="preserve">Vigueta pretensada con plastoformo, m</w:t>
            </w:r>
            <w:r>
              <w:rPr>
                <w:vertAlign w:val="superscript"/>
              </w:rPr>
              <w:t xml:space="preserve">2</w:t>
            </w:r>
            <w:r>
              <w:rPr/>
              <w:t xml:space="preserve"> </w:t>
            </w:r>
            <w:r>
              <w:rPr/>
              <w:t xml:space="preserve">(Bs)</w:t>
            </w:r>
          </w:p>
        </w:tc>
        <w:tc>
          <w:tcPr>
            <w:tcW w:w="1151" w:type="dxa"/>
          </w:tcPr>
          <w:p>
            <w:pPr>
              <w:pStyle w:val="CeldaAPA"/>
              <w:jc w:val="right"/>
            </w:pPr>
            <w:r>
              <w:rPr/>
              <w:t xml:space="preserve">77,25</w:t>
            </w:r>
          </w:p>
        </w:tc>
        <w:tc>
          <w:tcPr>
            <w:tcW w:w="1276" w:type="dxa"/>
          </w:tcPr>
          <w:p>
            <w:pPr>
              <w:pStyle w:val="CeldaAPA"/>
              <w:jc w:val="right"/>
            </w:pPr>
            <w:r>
              <w:rPr/>
              <w:t xml:space="preserve">112,97</w:t>
            </w:r>
          </w:p>
        </w:tc>
        <w:tc>
          <w:tcPr>
            <w:tcW w:w="1276" w:type="dxa"/>
          </w:tcPr>
          <w:p>
            <w:pPr>
              <w:pStyle w:val="CeldaAPA"/>
              <w:jc w:val="right"/>
            </w:pPr>
            <w:r>
              <w:rPr/>
              <w:t xml:space="preserve">124,84</w:t>
            </w:r>
          </w:p>
        </w:tc>
        <w:tc>
          <w:tcPr>
            <w:tcW w:w="1386" w:type="dxa"/>
          </w:tcPr>
          <w:p>
            <w:pPr>
              <w:pStyle w:val="CeldaAPA"/>
              <w:jc w:val="right"/>
            </w:pPr>
            <w:r>
              <w:rPr/>
              <w:t xml:space="preserve">+61,6 %</w:t>
            </w:r>
          </w:p>
        </w:tc>
      </w:tr>
      <w:tr>
        <w:tc>
          <w:tcPr>
            <w:tcW w:w="4273" w:type="dxa"/>
            <w:tcBorders>
              <w:bottom w:val="single" w:sz="8" w:space="0" w:color="000000"/>
            </w:tcBorders>
          </w:tcPr>
          <w:p>
            <w:pPr>
              <w:pStyle w:val="CeldaAPA"/>
              <w:jc w:val="left"/>
            </w:pPr>
            <w:r>
              <w:rPr/>
              <w:t xml:space="preserve">Alambre de amarre, kg (Bs)</w:t>
            </w:r>
          </w:p>
        </w:tc>
        <w:tc>
          <w:tcPr>
            <w:tcW w:w="1151" w:type="dxa"/>
            <w:tcBorders>
              <w:bottom w:val="single" w:sz="8" w:space="0" w:color="000000"/>
            </w:tcBorders>
          </w:tcPr>
          <w:p>
            <w:pPr>
              <w:pStyle w:val="CeldaAPA"/>
              <w:jc w:val="right"/>
            </w:pPr>
            <w:r>
              <w:rPr/>
              <w:t xml:space="preserve">11,11</w:t>
            </w:r>
          </w:p>
        </w:tc>
        <w:tc>
          <w:tcPr>
            <w:tcW w:w="1276" w:type="dxa"/>
            <w:tcBorders>
              <w:bottom w:val="single" w:sz="8" w:space="0" w:color="000000"/>
            </w:tcBorders>
          </w:tcPr>
          <w:p>
            <w:pPr>
              <w:pStyle w:val="CeldaAPA"/>
              <w:jc w:val="right"/>
            </w:pPr>
            <w:r>
              <w:rPr/>
              <w:t xml:space="preserve">17,41</w:t>
            </w:r>
          </w:p>
        </w:tc>
        <w:tc>
          <w:tcPr>
            <w:tcW w:w="1276" w:type="dxa"/>
            <w:tcBorders>
              <w:bottom w:val="single" w:sz="8" w:space="0" w:color="000000"/>
            </w:tcBorders>
          </w:tcPr>
          <w:p>
            <w:pPr>
              <w:pStyle w:val="CeldaAPA"/>
              <w:jc w:val="right"/>
            </w:pPr>
            <w:r>
              <w:rPr/>
              <w:t xml:space="preserve">19,68</w:t>
            </w:r>
          </w:p>
        </w:tc>
        <w:tc>
          <w:tcPr>
            <w:tcW w:w="1386" w:type="dxa"/>
            <w:tcBorders>
              <w:bottom w:val="single" w:sz="8" w:space="0" w:color="000000"/>
            </w:tcBorders>
          </w:tcPr>
          <w:p>
            <w:pPr>
              <w:pStyle w:val="CeldaAPA"/>
              <w:jc w:val="right"/>
            </w:pPr>
            <w:r>
              <w:rPr/>
              <w:t xml:space="preserve">+77,1 %</w:t>
            </w:r>
          </w:p>
        </w:tc>
      </w:tr>
    </w:tbl>
    <w:p>
      <w:pPr>
        <w:pStyle w:val="NotaAPA"/>
      </w:pPr>
      <w:r>
        <w:rPr>
          <w:iCs/>
          <w:i/>
        </w:rPr>
        <w:t xml:space="preserve">Nota.</w:t>
      </w:r>
      <w:r>
        <w:t xml:space="preserve"> </w:t>
      </w:r>
      <w:r>
        <w:t xml:space="preserve">La variación compara septiembre de 2026 con diciembre de 2023. Elaborado con base en</w:t>
      </w:r>
      <w:r>
        <w:t xml:space="preserve"> </w:t>
      </w:r>
      <w:r>
        <w:t xml:space="preserve">Instituto Nacional de Estadística (INE, 2026)</w:t>
      </w:r>
      <w:r>
        <w:t xml:space="preserve">.</w:t>
      </w:r>
      <w:r>
        <w:t xml:space="preserve"> </w:t>
      </w:r>
      <w:r>
        <w:rPr>
          <w:rStyle w:val="Pendiente"/>
          <w:bCs/>
          <w:b/>
        </w:rPr>
        <w:t xml:space="preserve">[Pendiente:</w:t>
      </w:r>
      <w:r>
        <w:rPr>
          <w:rStyle w:val="Pendiente"/>
        </w:rPr>
        <w:t xml:space="preserve"> </w:t>
      </w:r>
      <w:r>
        <w:rPr>
          <w:rStyle w:val="Pendiente"/>
        </w:rPr>
        <w:t xml:space="preserve">archivar en el repositorio el conjunto de datos del INE del que se tomaron estos precios.</w:t>
      </w:r>
      <w:r>
        <w:rPr>
          <w:rStyle w:val="Pendiente"/>
          <w:bCs/>
          <w:b/>
        </w:rPr>
        <w:t xml:space="preserve">]</w:t>
      </w:r>
    </w:p>
    <w:p>
      <w:pPr>
        <w:pStyle w:val="BodyText"/>
      </w:pPr>
      <w:r>
        <w:t xml:space="preserve">En cuanto a la gestión de la calidad, los documentos de la obra no muestran un sistema de planificación, control y registro de la calidad de la losa:</w:t>
      </w:r>
    </w:p>
    <w:p>
      <w:pPr>
        <w:numPr>
          <w:ilvl w:val="0"/>
          <w:numId w:val="1002"/>
        </w:numPr>
      </w:pPr>
      <w:r>
        <w:rPr>
          <w:bCs/>
          <w:b/>
        </w:rPr>
        <w:t xml:space="preserve">Hormigón de la losa sin ensayos de resistencia.</w:t>
      </w:r>
      <w:r>
        <w:t xml:space="preserve"> </w:t>
      </w:r>
      <w:r>
        <w:t xml:space="preserve">El único certificado de ensayos de compresión adjunto a la Planilla N.</w:t>
      </w:r>
      <w:r>
        <w:rPr>
          <w:vertAlign w:val="superscript"/>
        </w:rPr>
        <w:t xml:space="preserve">o</w:t>
      </w:r>
      <w:r>
        <w:t xml:space="preserve"> 2, del 5 de diciembre de 2025, corresponde a diez probetas de columnas y dos de vigas, ensayadas a edades de 55 a 76 días y con resistencias «proyectadas» a 28 días; las probetas fueron traídas y elaboradas por la propia contratista, y ninguna corresponde a la losa</w:t>
      </w:r>
      <w:r>
        <w:t xml:space="preserve"> </w:t>
      </w:r>
      <w:r>
        <w:t xml:space="preserve">(Laboratorio de Resistencia de Materiales y Tecnología del Hormigón, 2025; UATF, 2025, p. 78)</w:t>
      </w:r>
      <w:r>
        <w:t xml:space="preserve">. La losa se certificó para el pago en esa planilla, cerrada el 8 de diciembre de 2025, sin resultados de resistencia: los 28 días contados desde la autorización del vaciado (28/11/2025) se cumplían el 26 de diciembre de 2025 (cálculo propio con base en</w:t>
      </w:r>
      <w:r>
        <w:t xml:space="preserve"> </w:t>
      </w:r>
      <w:r>
        <w:t xml:space="preserve">(UATF, 2025, pp. 16, 125)</w:t>
      </w:r>
      <w:r>
        <w:t xml:space="preserve">).</w:t>
      </w:r>
    </w:p>
    <w:p>
      <w:pPr>
        <w:numPr>
          <w:ilvl w:val="0"/>
          <w:numId w:val="1002"/>
        </w:numPr>
      </w:pPr>
      <w:r>
        <w:rPr>
          <w:bCs/>
          <w:b/>
        </w:rPr>
        <w:t xml:space="preserve">Libro de Órdenes sin registro de no conformidades.</w:t>
      </w:r>
      <w:r>
        <w:t xml:space="preserve"> </w:t>
      </w:r>
      <w:r>
        <w:t xml:space="preserve">Los 24 asientos del periodo, del 10 de septiembre al 28 de noviembre de 2025, no registran ninguna no conformidad, rechazo de material ni retrabajo, y las ocho solicitudes de vaciado se autorizaron el mismo día en que se presentaron</w:t>
      </w:r>
      <w:r>
        <w:t xml:space="preserve"> </w:t>
      </w:r>
      <w:r>
        <w:t xml:space="preserve">(UATF, 2025, pp. 114–125)</w:t>
      </w:r>
      <w:r>
        <w:t xml:space="preserve">. El 28 de noviembre de 2025, la Supervisión autorizó el vaciado de la losa «desde dos frentes» y recomendó cumplir las especificaciones, las dosificaciones y el curado, sin instruir la toma de probetas</w:t>
      </w:r>
      <w:r>
        <w:t xml:space="preserve"> </w:t>
      </w:r>
      <w:r>
        <w:t xml:space="preserve">(UATF, 2025, p. 125)</w:t>
      </w:r>
      <w:r>
        <w:t xml:space="preserve">, como sí lo había hecho el 31 de octubre para las columnas</w:t>
      </w:r>
      <w:r>
        <w:t xml:space="preserve"> </w:t>
      </w:r>
      <w:r>
        <w:t xml:space="preserve">(UATF, 2025, p. 121)</w:t>
      </w:r>
      <w:r>
        <w:t xml:space="preserve">.</w:t>
      </w:r>
    </w:p>
    <w:p>
      <w:pPr>
        <w:numPr>
          <w:ilvl w:val="0"/>
          <w:numId w:val="1002"/>
        </w:numPr>
      </w:pPr>
      <w:r>
        <w:rPr>
          <w:bCs/>
          <w:b/>
        </w:rPr>
        <w:t xml:space="preserve">Certificados de materiales posteriores al armado.</w:t>
      </w:r>
      <w:r>
        <w:t xml:space="preserve"> </w:t>
      </w:r>
      <w:r>
        <w:t xml:space="preserve">Los certificados de calidad de las viguetas (PRETENSA) y del complemento de poliestireno expandido (UNICON) están fechados el 27 de noviembre de 2025, cuando el armado de la losa estaba en curso al menos desde el 14 de noviembre; ninguno muestra firma ni sello, y el de las viguetas no indica cantidad, lote ni resultados de ensayo</w:t>
      </w:r>
      <w:r>
        <w:t xml:space="preserve"> </w:t>
      </w:r>
      <w:r>
        <w:t xml:space="preserve">(PRETENSA, 2025; UNICON, 2025; UATF, 2025, pp. 80–81, 122)</w:t>
      </w:r>
      <w:r>
        <w:t xml:space="preserve">. El complemento certificado (20 </w:t>
      </w:r>
      <m:oMath>
        <m:r>
          <m:rPr>
            <m:sty m:val="p"/>
          </m:rPr>
          <m:t>×</m:t>
        </m:r>
      </m:oMath>
      <w:r>
        <w:t xml:space="preserve"> 100 </w:t>
      </w:r>
      <m:oMath>
        <m:r>
          <m:rPr>
            <m:sty m:val="p"/>
          </m:rPr>
          <m:t>×</m:t>
        </m:r>
      </m:oMath>
      <w:r>
        <w:t xml:space="preserve"> 44 cm) no coincide con el que fija la especificación técnica (100 </w:t>
      </w:r>
      <m:oMath>
        <m:r>
          <m:rPr>
            <m:sty m:val="p"/>
          </m:rPr>
          <m:t>×</m:t>
        </m:r>
      </m:oMath>
      <w:r>
        <w:t xml:space="preserve"> 50 </w:t>
      </w:r>
      <m:oMath>
        <m:r>
          <m:rPr>
            <m:sty m:val="p"/>
          </m:rPr>
          <m:t>×</m:t>
        </m:r>
      </m:oMath>
      <w:r>
        <w:t xml:space="preserve"> 20 cm)</w:t>
      </w:r>
      <w:r>
        <w:t xml:space="preserve"> </w:t>
      </w:r>
      <w:r>
        <w:t xml:space="preserve">(UATF, s. f.-a, p. 3)</w:t>
      </w:r>
      <w:r>
        <w:t xml:space="preserve">. Los certificados de acero adjuntos solo cubren barras de 8 a 20 mm: no hay certificados de las barras de 6 mm, que forman la parrilla de la losa según el Plano 02 del proyecto, ni de las de 10 mm</w:t>
      </w:r>
      <w:r>
        <w:t xml:space="preserve"> </w:t>
      </w:r>
      <w:r>
        <w:t xml:space="preserve">(UATF, 2025, pp. 82–86)</w:t>
      </w:r>
      <w:r>
        <w:t xml:space="preserve">.</w:t>
      </w:r>
    </w:p>
    <w:p>
      <w:pPr>
        <w:numPr>
          <w:ilvl w:val="0"/>
          <w:numId w:val="1002"/>
        </w:numPr>
      </w:pPr>
      <w:r>
        <w:rPr>
          <w:bCs/>
          <w:b/>
        </w:rPr>
        <w:t xml:space="preserve">Observaciones de la Supervisión.</w:t>
      </w:r>
      <w:r>
        <w:t xml:space="preserve"> </w:t>
      </w:r>
      <w:r>
        <w:t xml:space="preserve">En su informe de la Planilla N.</w:t>
      </w:r>
      <w:r>
        <w:rPr>
          <w:vertAlign w:val="superscript"/>
        </w:rPr>
        <w:t xml:space="preserve">o</w:t>
      </w:r>
      <w:r>
        <w:t xml:space="preserve"> 2, la Supervisión recomendó al constructor presentar las garantías de todos los materiales empleados, realizar la rotura de probetas de los elementos vaciados y presentar las dosificaciones</w:t>
      </w:r>
      <w:r>
        <w:t xml:space="preserve"> </w:t>
      </w:r>
      <w:r>
        <w:t xml:space="preserve">(UATF, 2025, p. 9)</w:t>
      </w:r>
      <w:r>
        <w:t xml:space="preserve">; en el mismo informe afirmó que los trabajos del periodo «presentan buena calidad», sin citar ensayos ni inspecciones</w:t>
      </w:r>
      <w:r>
        <w:t xml:space="preserve"> </w:t>
      </w:r>
      <w:r>
        <w:t xml:space="preserve">(UATF, 2025, p. 11)</w:t>
      </w:r>
      <w:r>
        <w:t xml:space="preserve">.</w:t>
      </w:r>
    </w:p>
    <w:p>
      <w:pPr>
        <w:pStyle w:val="FirstParagraph"/>
      </w:pPr>
      <w:r>
        <w:t xml:space="preserve">Los documentos de pago presentan, además, inconsistencias en las cantidades de acero estructural (ítem 8) que la Supervisión y la Fiscalización deben verificar:</w:t>
      </w:r>
    </w:p>
    <w:p>
      <w:pPr>
        <w:numPr>
          <w:ilvl w:val="0"/>
          <w:numId w:val="1003"/>
        </w:numPr>
      </w:pPr>
      <w:r>
        <w:t xml:space="preserve">La planilla de cierre firmada descuenta 1.862,81 kg (Bs 31.212,95) de los 52.424,65 kg pagados hasta la Planilla N.</w:t>
      </w:r>
      <w:r>
        <w:rPr>
          <w:vertAlign w:val="superscript"/>
        </w:rPr>
        <w:t xml:space="preserve">o</w:t>
      </w:r>
      <w:r>
        <w:t xml:space="preserve"> 2, es decir, el 3,55 % (cálculo propio), y deja un acumulado de 50.561,84 kg</w:t>
      </w:r>
      <w:r>
        <w:t xml:space="preserve"> </w:t>
      </w:r>
      <w:r>
        <w:t xml:space="preserve">(UATF, s. f.-b, p. 2; 2025, p. 16)</w:t>
      </w:r>
      <w:r>
        <w:t xml:space="preserve">, la misma cifra que consigna el detalle de descuento por agua potable del expediente</w:t>
      </w:r>
      <w:r>
        <w:t xml:space="preserve"> </w:t>
      </w:r>
      <w:r>
        <w:t xml:space="preserve">(UATF, s. f.-b, p. 12)</w:t>
      </w:r>
      <w:r>
        <w:t xml:space="preserve">. Una versión en Excel de la misma planilla registra, en cambio, un descuento de 1.915,16 kg (Bs 32.090,11) y un monto del periodo de Bs 18.527,21, frente a los Bs 16.837,41 de la versión firmada</w:t>
      </w:r>
      <w:r>
        <w:t xml:space="preserve"> </w:t>
      </w:r>
      <w:r>
        <w:t xml:space="preserve">(UATF, s. f.-c; s. f.-b, p. 2)</w:t>
      </w:r>
      <w:r>
        <w:t xml:space="preserve">.</w:t>
      </w:r>
    </w:p>
    <w:p>
      <w:pPr>
        <w:numPr>
          <w:ilvl w:val="0"/>
          <w:numId w:val="1003"/>
        </w:numPr>
      </w:pPr>
      <w:r>
        <w:t xml:space="preserve">En la Planilla N.</w:t>
      </w:r>
      <w:r>
        <w:rPr>
          <w:vertAlign w:val="superscript"/>
        </w:rPr>
        <w:t xml:space="preserve">o</w:t>
      </w:r>
      <w:r>
        <w:t xml:space="preserve"> 2, el acero de la losa se computa una sola vez («LOSA ALIVIANADA», 1,00 </w:t>
      </w:r>
      <m:oMath>
        <m:r>
          <m:rPr>
            <m:sty m:val="p"/>
          </m:rPr>
          <m:t>×</m:t>
        </m:r>
      </m:oMath>
      <w:r>
        <w:t xml:space="preserve"> 4.171,18 kg) y sin planilla de armado</w:t>
      </w:r>
      <w:r>
        <w:t xml:space="preserve"> </w:t>
      </w:r>
      <w:r>
        <w:t xml:space="preserve">(UATF, 2025, p. 20)</w:t>
      </w:r>
      <w:r>
        <w:t xml:space="preserve">; en el cómputo de cierre que acompaña a la versión en Excel, la misma línea figura como 3 </w:t>
      </w:r>
      <m:oMath>
        <m:r>
          <m:rPr>
            <m:sty m:val="p"/>
          </m:rPr>
          <m:t>×</m:t>
        </m:r>
      </m:oMath>
      <w:r>
        <w:t xml:space="preserve"> 4.171,18 kg = 12.513,54 kg, aunque solo se ejecutó una losa</w:t>
      </w:r>
      <w:r>
        <w:t xml:space="preserve"> </w:t>
      </w:r>
      <w:r>
        <w:t xml:space="preserve">(UATF, s. f.-c)</w:t>
      </w:r>
      <w:r>
        <w:t xml:space="preserve">. Además, la especificación técnica del ítem 13 incluye entre los materiales de ese ítem el «Fierro Corrugado (parrilla de compresión y refuerzo momentos negativos)»</w:t>
      </w:r>
      <w:r>
        <w:t xml:space="preserve"> </w:t>
      </w:r>
      <w:r>
        <w:t xml:space="preserve">(UATF, s. f.-a, p. 3)</w:t>
      </w:r>
      <w:r>
        <w:t xml:space="preserve">, lo que plantea un posible doble cómputo con el ítem 8 que debe verificarse con el análisis de precios unitarios del ítem.</w:t>
      </w:r>
    </w:p>
    <w:p>
      <w:pPr>
        <w:pStyle w:val="FirstParagraph"/>
      </w:pPr>
      <w:r>
        <w:t xml:space="preserve">En esta tesis se adoptan como oficiales las cifras de la planilla de cierre firmada; la conciliación de las demás versiones y cómputos corresponde a la Supervisión y la Fiscalización.</w:t>
      </w:r>
    </w:p>
    <w:p>
      <w:pPr>
        <w:pStyle w:val="BodyText"/>
      </w:pPr>
      <w:r>
        <w:t xml:space="preserve">El 5 de enero de 2026, el Director de Obra registró en el Libro de Órdenes la presentación, a la Máxima Autoridad Ejecutiva de la UATF, de una carta notariada de intención de resolución consensuada del contrato por fuerza mayor o caso fortuito. La contratista invocó el D. S. 5503, que, según su comunicación, quitó la subvención estatal a la gasolina y al diésel e incrementó el costo de los materiales, del transporte y de la mano de obra, y solicitó la paralización de la obra; la Supervisión le instruyó seguir el procedimiento de paralización previsto en el contrato</w:t>
      </w:r>
      <w:r>
        <w:t xml:space="preserve"> </w:t>
      </w:r>
      <w:r>
        <w:t xml:space="preserve">(UATF, s. f.-b, p. 14)</w:t>
      </w:r>
      <w:r>
        <w:t xml:space="preserve">. La UATF respondió favorablemente el 10 de febrero de 2026</w:t>
      </w:r>
      <w:r>
        <w:t xml:space="preserve"> </w:t>
      </w:r>
      <w:r>
        <w:t xml:space="preserve">(UATF, s. f.-b, p. 1)</w:t>
      </w:r>
      <w:r>
        <w:t xml:space="preserve">. Al resolverse el contrato solo se había ejecutado la primera losa, y la segunda no se ejecutó durante esta investigación.</w:t>
      </w:r>
    </w:p>
    <w:p>
      <w:pPr>
        <w:pStyle w:val="BodyText"/>
      </w:pPr>
      <w:r>
        <w:t xml:space="preserve">En síntesis, la primera losa se ejecutó y se pagó sin registros de resistencia del hormigón, de recepción de los materiales, de no conformidades ni de consumos, por lo que su desperdicio y su costo de no calidad no pueden conocerse directamente. Si los 2.234,60 m</w:t>
      </w:r>
      <w:r>
        <w:rPr>
          <w:vertAlign w:val="superscript"/>
        </w:rPr>
        <w:t xml:space="preserve">2</w:t>
      </w:r>
      <w:r>
        <w:t xml:space="preserve"> </w:t>
      </w:r>
      <w:r>
        <w:t xml:space="preserve">de losa restantes se ejecutan sin un sistema que planifique, controle y registre la calidad del proceso constructivo y el uso de los materiales, existe el riesgo de que se repitan las mismas deficiencias.</w:t>
      </w:r>
    </w:p>
    <w:p>
      <w:pPr>
        <w:pStyle w:val="Heading2"/>
      </w:pPr>
      <w:bookmarkStart w:id="32" w:name="tit12"/>
      <w:r>
        <w:t xml:space="preserve">3. Formulación del problema</w:t>
      </w:r>
      <w:bookmarkEnd w:id="32"/>
    </w:p>
    <w:p>
      <w:pPr>
        <w:pStyle w:val="Heading3"/>
      </w:pPr>
      <w:bookmarkStart w:id="30" w:name="tit13"/>
      <w:r>
        <w:t xml:space="preserve">3.1. Problema general</w:t>
      </w:r>
      <w:bookmarkEnd w:id="30"/>
    </w:p>
    <w:p>
      <w:pPr>
        <w:pStyle w:val="FirstParagraph"/>
      </w:pPr>
      <w:r>
        <w:t xml:space="preserve">¿De qué manera un Sistema de Gestión de la Calidad basado en la norma ISO 9001, centrado en el control de materiales, permite reducir los costos de ejecución de las losas alivianadas con viguetas pretensadas del Edificio de Posgrado de la Universidad Autónoma Tomás Frías?</w:t>
      </w:r>
    </w:p>
    <w:p>
      <w:pPr>
        <w:pStyle w:val="Heading3"/>
      </w:pPr>
      <w:bookmarkStart w:id="31" w:name="tit14"/>
      <w:r>
        <w:t xml:space="preserve">3.2. Problemas específicos</w:t>
      </w:r>
      <w:bookmarkEnd w:id="31"/>
    </w:p>
    <w:p>
      <w:pPr>
        <w:pStyle w:val="Listaetiquetada"/>
      </w:pPr>
      <w:r>
        <w:rPr>
          <w:bCs/>
          <w:b/>
        </w:rPr>
        <w:t xml:space="preserve">PE1.</w:t>
      </w:r>
      <w:r>
        <w:t xml:space="preserve"/>
        <w:tab/>
        <w:t xml:space="preserve">¿Cómo se gestionaron la calidad y el control de materiales en la ejecución de la primera losa alivianada del Edificio de Posgrado?</w:t>
      </w:r>
    </w:p>
    <w:p>
      <w:pPr>
        <w:pStyle w:val="Listaetiquetada"/>
      </w:pPr>
      <w:r>
        <w:rPr>
          <w:bCs/>
          <w:b/>
        </w:rPr>
        <w:t xml:space="preserve">PE2.</w:t>
      </w:r>
      <w:r>
        <w:t xml:space="preserve"/>
        <w:tab/>
        <w:t xml:space="preserve">¿Cuál es el nivel de desperdicio de materiales (hormigón, acero, viguetas pretensadas y plastoformo) y cuál es el costo de no calidad de la primera losa?</w:t>
      </w:r>
    </w:p>
    <w:p>
      <w:pPr>
        <w:pStyle w:val="Listaetiquetada"/>
      </w:pPr>
      <w:r>
        <w:rPr>
          <w:bCs/>
          <w:b/>
        </w:rPr>
        <w:t xml:space="preserve">PE3.</w:t>
      </w:r>
      <w:r>
        <w:t xml:space="preserve"/>
        <w:tab/>
        <w:t xml:space="preserve">¿Qué componentes debe tener un SGC para el proceso constructivo de losas alivianadas con viguetas pretensadas?</w:t>
      </w:r>
    </w:p>
    <w:p>
      <w:pPr>
        <w:pStyle w:val="Listaetiquetada"/>
      </w:pPr>
      <w:r>
        <w:rPr>
          <w:bCs/>
          <w:b/>
        </w:rPr>
        <w:t xml:space="preserve">PE4.</w:t>
      </w:r>
      <w:r>
        <w:t xml:space="preserve"/>
        <w:tab/>
        <w:t xml:space="preserve">¿En qué medida el SGC propuesto reduce el costo unitario y el desperdicio de materiales respecto de la línea base?</w:t>
      </w:r>
    </w:p>
    <w:p>
      <w:pPr>
        <w:pStyle w:val="Heading2"/>
      </w:pPr>
      <w:bookmarkStart w:id="33" w:name="tit15"/>
      <w:r>
        <w:t xml:space="preserve">4. Objeto de estudio y campo de acción</w:t>
      </w:r>
      <w:bookmarkEnd w:id="33"/>
    </w:p>
    <w:p>
      <w:pPr>
        <w:pStyle w:val="FirstParagraph"/>
      </w:pPr>
      <w:r>
        <w:rPr>
          <w:bCs/>
          <w:b/>
        </w:rPr>
        <w:t xml:space="preserve">Objeto de estudio:</w:t>
      </w:r>
      <w:r>
        <w:t xml:space="preserve"> </w:t>
      </w:r>
      <w:r>
        <w:t xml:space="preserve">el proceso constructivo de losas alivianadas con viguetas pretensadas y complemento de poliestireno expandido (plastoformo) en edificaciones.</w:t>
      </w:r>
    </w:p>
    <w:p>
      <w:pPr>
        <w:pStyle w:val="BodyText"/>
      </w:pPr>
      <w:r>
        <w:rPr>
          <w:bCs/>
          <w:b/>
        </w:rPr>
        <w:t xml:space="preserve">Campo de acción:</w:t>
      </w:r>
      <w:r>
        <w:t xml:space="preserve"> </w:t>
      </w:r>
      <w:r>
        <w:t xml:space="preserve">la gestión de la calidad, el control de materiales y los costos del ítem «losa alivianada h = 25 cm» del Edificio de Posgrado de la UATF.</w:t>
      </w:r>
    </w:p>
    <w:p>
      <w:pPr>
        <w:pStyle w:val="Heading2"/>
      </w:pPr>
      <w:bookmarkStart w:id="36" w:name="tit16"/>
      <w:r>
        <w:t xml:space="preserve">5. Objetivos</w:t>
      </w:r>
      <w:bookmarkEnd w:id="36"/>
    </w:p>
    <w:p>
      <w:pPr>
        <w:pStyle w:val="Heading3"/>
      </w:pPr>
      <w:bookmarkStart w:id="34" w:name="tit17"/>
      <w:r>
        <w:t xml:space="preserve">5.1. Objetivo general</w:t>
      </w:r>
      <w:bookmarkEnd w:id="34"/>
    </w:p>
    <w:p>
      <w:pPr>
        <w:pStyle w:val="FirstParagraph"/>
      </w:pPr>
      <w:r>
        <w:t xml:space="preserve">Diseñar un Sistema de Gestión de la Calidad basado en la norma ISO 9001, centrado en el control de materiales, para reducir los costos de ejecución de las losas alivianadas con viguetas pretensadas del Edificio de Posgrado de la Universidad Autónoma Tomás Frías.</w:t>
      </w:r>
    </w:p>
    <w:p>
      <w:pPr>
        <w:pStyle w:val="Heading3"/>
      </w:pPr>
      <w:bookmarkStart w:id="35" w:name="tit18"/>
      <w:r>
        <w:t xml:space="preserve">5.2. Objetivos específicos</w:t>
      </w:r>
      <w:bookmarkEnd w:id="35"/>
    </w:p>
    <w:p>
      <w:pPr>
        <w:pStyle w:val="Listaetiquetada"/>
      </w:pPr>
      <w:r>
        <w:rPr>
          <w:bCs/>
          <w:b/>
        </w:rPr>
        <w:t xml:space="preserve">OE1.</w:t>
      </w:r>
      <w:r>
        <w:t xml:space="preserve"/>
        <w:tab/>
        <w:t xml:space="preserve">Caracterizar la gestión de la calidad y el control de materiales aplicados en la ejecución de la primera losa alivianada (1.109,84 m</w:t>
      </w:r>
      <w:r>
        <w:rPr>
          <w:vertAlign w:val="superscript"/>
        </w:rPr>
        <w:t xml:space="preserve">2</w:t>
      </w:r>
      <w:r>
        <w:t xml:space="preserve">) e identificar las no conformidades y sus causas.</w:t>
      </w:r>
    </w:p>
    <w:p>
      <w:pPr>
        <w:pStyle w:val="Listaetiquetada"/>
      </w:pPr>
      <w:r>
        <w:rPr>
          <w:bCs/>
          <w:b/>
        </w:rPr>
        <w:t xml:space="preserve">OE2.</w:t>
      </w:r>
      <w:r>
        <w:t xml:space="preserve"/>
        <w:tab/>
        <w:t xml:space="preserve">Cuantificar la línea base del índice de desperdicio de materiales (hormigón, acero, viguetas pretensadas y plastoformo) y del costo de no calidad de la primera losa. Para ello se compararán las cantidades teóricas, adquiridas y pagadas.</w:t>
      </w:r>
    </w:p>
    <w:p>
      <w:pPr>
        <w:pStyle w:val="Listaetiquetada"/>
      </w:pPr>
      <w:r>
        <w:rPr>
          <w:bCs/>
          <w:b/>
        </w:rPr>
        <w:t xml:space="preserve">OE3.</w:t>
      </w:r>
      <w:r>
        <w:t xml:space="preserve"/>
        <w:tab/>
        <w:t xml:space="preserve">Establecer los componentes del SGC: plan de la calidad, plan de puntos de inspección y ensayo (PPI), procedimientos de control de materiales, gestión de no conformidades y registro de costos de la calidad. Se basarán en las normas ISO 9001:2026 e ISO 10005:2018, en la normativa de hormigón estructural y en los ensayos ASTM.</w:t>
      </w:r>
    </w:p>
    <w:p>
      <w:pPr>
        <w:pStyle w:val="Listaetiquetada"/>
      </w:pPr>
      <w:r>
        <w:rPr>
          <w:bCs/>
          <w:b/>
        </w:rPr>
        <w:t xml:space="preserve">OE4.</w:t>
      </w:r>
      <w:r>
        <w:t xml:space="preserve"/>
        <w:tab/>
        <w:t xml:space="preserve">Evaluar</w:t>
      </w:r>
      <w:r>
        <w:t xml:space="preserve"> </w:t>
      </w:r>
      <w:r>
        <w:rPr>
          <w:iCs/>
          <w:i/>
        </w:rPr>
        <w:t xml:space="preserve">ex ante</w:t>
      </w:r>
      <w:r>
        <w:t xml:space="preserve">, mediante un modelo de costos y simulación de Monte Carlo, el efecto del SGC sobre el costo unitario (Bs/m</w:t>
      </w:r>
      <w:r>
        <w:rPr>
          <w:vertAlign w:val="superscript"/>
        </w:rPr>
        <w:t xml:space="preserve">2</w:t>
      </w:r>
      <w:r>
        <w:t xml:space="preserve">) y el desperdicio de materiales de los 2.234,60 m</w:t>
      </w:r>
      <w:r>
        <w:rPr>
          <w:vertAlign w:val="superscript"/>
        </w:rPr>
        <w:t xml:space="preserve">2</w:t>
      </w:r>
      <w:r>
        <w:t xml:space="preserve"> </w:t>
      </w:r>
      <w:r>
        <w:t xml:space="preserve">de losa restantes, respecto de la línea base.</w:t>
      </w:r>
    </w:p>
    <w:p>
      <w:pPr>
        <w:pStyle w:val="Listaetiquetada"/>
      </w:pPr>
      <w:r>
        <w:rPr>
          <w:bCs/>
          <w:b/>
        </w:rPr>
        <w:t xml:space="preserve">OE5.</w:t>
      </w:r>
      <w:r>
        <w:t xml:space="preserve"/>
        <w:tab/>
        <w:t xml:space="preserve">Contrastar la hipótesis mediante reglas de decisión probabilísticas con</w:t>
      </w:r>
      <w:r>
        <w:t xml:space="preserve"> </w:t>
      </w:r>
      <m:oMath>
        <m:r>
          <m:t>α</m:t>
        </m:r>
        <m:r>
          <m:rPr>
            <m:sty m:val="p"/>
          </m:rPr>
          <m:t>=</m:t>
        </m:r>
        <m:r>
          <m:t>0</m:t>
        </m:r>
        <m:r>
          <m:rPr>
            <m:sty m:val="p"/>
          </m:rPr>
          <m:t>,</m:t>
        </m:r>
        <m:r>
          <m:t>05</m:t>
        </m:r>
      </m:oMath>
      <w:r>
        <w:t xml:space="preserve"> </w:t>
      </w:r>
      <w:r>
        <w:t xml:space="preserve">y validar el SGC mediante juicio de expertos.</w:t>
      </w:r>
    </w:p>
    <w:p>
      <w:pPr>
        <w:pStyle w:val="Heading2"/>
      </w:pPr>
      <w:bookmarkStart w:id="39" w:name="tit19"/>
      <w:r>
        <w:t xml:space="preserve">6. Hipótesis</w:t>
      </w:r>
      <w:bookmarkEnd w:id="39"/>
    </w:p>
    <w:p>
      <w:pPr>
        <w:pStyle w:val="Heading3"/>
      </w:pPr>
      <w:bookmarkStart w:id="37" w:name="tit20"/>
      <w:r>
        <w:t xml:space="preserve">6.1. Hipótesis general</w:t>
      </w:r>
      <w:bookmarkEnd w:id="37"/>
    </w:p>
    <w:p>
      <w:pPr>
        <w:pStyle w:val="FirstParagraph"/>
      </w:pPr>
      <w:r>
        <w:t xml:space="preserve">La aplicación de un Sistema de Gestión de la Calidad basado en la norma ISO 9001, centrado en el control de materiales, reduce en al menos un 5 % el costo unitario de ejecución (Bs/m</w:t>
      </w:r>
      <w:r>
        <w:rPr>
          <w:vertAlign w:val="superscript"/>
        </w:rPr>
        <w:t xml:space="preserve">2</w:t>
      </w:r>
      <w:r>
        <w:t xml:space="preserve">, a precios constantes del contrato) de las losas alivianadas con viguetas pretensadas del Edificio de Posgrado de la UATF, respecto de la línea base de la primera losa.</w:t>
      </w:r>
    </w:p>
    <w:p>
      <w:pPr>
        <w:pStyle w:val="BodyText"/>
      </w:pPr>
      <w:r>
        <w:t xml:space="preserve">La hipótesis nula correspondiente (</w:t>
      </w:r>
      <m:oMath>
        <m:sSub>
          <m:e>
            <m:r>
              <m:t>H</m:t>
            </m:r>
          </m:e>
          <m:sub>
            <m:r>
              <m:t>0</m:t>
            </m:r>
          </m:sub>
        </m:sSub>
      </m:oMath>
      <w:r>
        <w:t xml:space="preserve">) sostiene que el SGC no reduce el costo unitario o lo reduce en menos del 5 %, es decir, que niega lo que afirma la hipótesis de investigación</w:t>
      </w:r>
      <w:r>
        <w:t xml:space="preserve"> </w:t>
      </w:r>
      <w:r>
        <w:t xml:space="preserve">(Hernández-Sampieri y Mendoza Torres, 2018, p. 133)</w:t>
      </w:r>
      <w:r>
        <w:t xml:space="preserve">. Las hipótesis nulas de las hipótesis específicas y las reglas de decisión se presentan en la Sección 2.9.</w:t>
      </w:r>
    </w:p>
    <w:p>
      <w:pPr>
        <w:pStyle w:val="Heading3"/>
      </w:pPr>
      <w:bookmarkStart w:id="38" w:name="tit21"/>
      <w:r>
        <w:t xml:space="preserve">6.2. Hipótesis específicas</w:t>
      </w:r>
      <w:bookmarkEnd w:id="38"/>
    </w:p>
    <w:p>
      <w:pPr>
        <w:pStyle w:val="Listaetiquetada"/>
      </w:pPr>
      <w:r>
        <w:rPr>
          <w:bCs/>
          <w:b/>
        </w:rPr>
        <w:t xml:space="preserve">HE1.</w:t>
      </w:r>
      <w:r>
        <w:t xml:space="preserve"/>
        <w:tab/>
        <w:t xml:space="preserve">El SGC reduce el índice de desperdicio de materiales de la losa con respecto a la línea base.</w:t>
      </w:r>
    </w:p>
    <w:p>
      <w:pPr>
        <w:pStyle w:val="Listaetiquetada"/>
      </w:pPr>
      <w:r>
        <w:rPr>
          <w:bCs/>
          <w:b/>
        </w:rPr>
        <w:t xml:space="preserve">HE2.</w:t>
      </w:r>
      <w:r>
        <w:t xml:space="preserve"/>
        <w:tab/>
        <w:t xml:space="preserve">El SGC reduce el costo de no calidad (fallas internas y externas) del ítem con respecto a la línea base.</w:t>
      </w:r>
    </w:p>
    <w:p>
      <w:pPr>
        <w:pStyle w:val="Heading2"/>
      </w:pPr>
      <w:bookmarkStart w:id="42" w:name="tit22"/>
      <w:r>
        <w:t xml:space="preserve">7. Variables</w:t>
      </w:r>
      <w:bookmarkEnd w:id="42"/>
    </w:p>
    <w:p>
      <w:pPr>
        <w:pStyle w:val="Heading3"/>
      </w:pPr>
      <w:bookmarkStart w:id="40" w:name="tit23"/>
      <w:r>
        <w:t xml:space="preserve">7.1. Identificación de variables</w:t>
      </w:r>
      <w:bookmarkEnd w:id="40"/>
    </w:p>
    <w:p>
      <w:pPr>
        <w:pStyle w:val="Caption"/>
      </w:pPr>
      <w:bookmarkStart w:id="1396" w:name="tab4"/>
      <w:r>
        <w:t xml:space="preserve"/>
      </w:r>
      <w:r>
        <w:rPr>
          <w:bCs/>
          <w:b/>
        </w:rPr>
        <w:t xml:space="preserve">Tabla 4</w:t>
      </w:r>
      <w:r>
        <w:br/>
      </w:r>
      <w:r>
        <w:rPr>
          <w:iCs/>
          <w:i/>
        </w:rPr>
        <w:t xml:space="preserve">Identificación de las variables de investigación</w:t>
      </w:r>
      <w:bookmarkEnd w:id="1396"/>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1770"/>
        <w:gridCol w:w="1954"/>
        <w:gridCol w:w="3452"/>
        <w:gridCol w:w="2184"/>
      </w:tblGrid>
      <w:tr>
        <w:trPr>
          <w:cantSplit/>
          <w:tblHeader w:val="true"/>
        </w:trPr>
        <w:tc>
          <w:tcPr>
            <w:tcW w:w="1770" w:type="dxa"/>
            <w:tcBorders>
              <w:top w:val="single" w:sz="8" w:space="0" w:color="000000"/>
              <w:bottom w:val="single" w:sz="4" w:space="0" w:color="000000"/>
            </w:tcBorders>
          </w:tcPr>
          <w:p>
            <w:pPr>
              <w:pStyle w:val="CeldaAPA"/>
              <w:jc w:val="center"/>
            </w:pPr>
            <w:r>
              <w:rPr>
                <w:bCs/>
                <w:b/>
              </w:rPr>
              <w:t xml:space="preserve">Tipo</w:t>
            </w:r>
          </w:p>
        </w:tc>
        <w:tc>
          <w:tcPr>
            <w:tcW w:w="1954" w:type="dxa"/>
            <w:tcBorders>
              <w:top w:val="single" w:sz="8" w:space="0" w:color="000000"/>
              <w:bottom w:val="single" w:sz="4" w:space="0" w:color="000000"/>
            </w:tcBorders>
          </w:tcPr>
          <w:p>
            <w:pPr>
              <w:pStyle w:val="CeldaAPA"/>
              <w:jc w:val="center"/>
            </w:pPr>
            <w:r>
              <w:rPr>
                <w:bCs/>
                <w:b/>
              </w:rPr>
              <w:t xml:space="preserve">Variable</w:t>
            </w:r>
          </w:p>
        </w:tc>
        <w:tc>
          <w:tcPr>
            <w:tcW w:w="3452" w:type="dxa"/>
            <w:tcBorders>
              <w:top w:val="single" w:sz="8" w:space="0" w:color="000000"/>
              <w:bottom w:val="single" w:sz="4" w:space="0" w:color="000000"/>
            </w:tcBorders>
          </w:tcPr>
          <w:p>
            <w:pPr>
              <w:pStyle w:val="CeldaAPA"/>
              <w:jc w:val="center"/>
            </w:pPr>
            <w:r>
              <w:rPr>
                <w:bCs/>
                <w:b/>
              </w:rPr>
              <w:t xml:space="preserve">Definición conceptual</w:t>
            </w:r>
          </w:p>
        </w:tc>
        <w:tc>
          <w:tcPr>
            <w:tcW w:w="2184" w:type="dxa"/>
            <w:tcBorders>
              <w:top w:val="single" w:sz="8" w:space="0" w:color="000000"/>
              <w:bottom w:val="single" w:sz="4" w:space="0" w:color="000000"/>
            </w:tcBorders>
          </w:tcPr>
          <w:p>
            <w:pPr>
              <w:pStyle w:val="CeldaAPA"/>
              <w:jc w:val="center"/>
            </w:pPr>
            <w:r>
              <w:rPr>
                <w:bCs/>
                <w:b/>
              </w:rPr>
              <w:t xml:space="preserve">Dimensiones</w:t>
            </w:r>
          </w:p>
        </w:tc>
      </w:tr>
      <w:tr>
        <w:tc>
          <w:tcPr>
            <w:tcW w:w="1770" w:type="dxa"/>
          </w:tcPr>
          <w:p>
            <w:pPr>
              <w:pStyle w:val="CeldaAPA"/>
              <w:jc w:val="left"/>
            </w:pPr>
            <w:r>
              <w:rPr/>
              <w:t xml:space="preserve">Independiente (X)</w:t>
            </w:r>
          </w:p>
        </w:tc>
        <w:tc>
          <w:tcPr>
            <w:tcW w:w="1954" w:type="dxa"/>
          </w:tcPr>
          <w:p>
            <w:pPr>
              <w:pStyle w:val="CeldaAPA"/>
              <w:jc w:val="left"/>
            </w:pPr>
            <w:r>
              <w:rPr/>
              <w:t xml:space="preserve">Sistema de Gestión de la Calidad (SGC)</w:t>
            </w:r>
          </w:p>
        </w:tc>
        <w:tc>
          <w:tcPr>
            <w:tcW w:w="3452" w:type="dxa"/>
          </w:tcPr>
          <w:p>
            <w:pPr>
              <w:pStyle w:val="CeldaAPA"/>
              <w:jc w:val="left"/>
            </w:pPr>
            <w:r>
              <w:rPr/>
              <w:t xml:space="preserve">Conjunto de políticas, objetivos, procesos, controles y registros (ISO 9000:2026; ISO 9001:2026) aplicados al proceso constructivo de la losa, con énfasis en el control de materiales.</w:t>
            </w:r>
          </w:p>
        </w:tc>
        <w:tc>
          <w:tcPr>
            <w:tcW w:w="2184" w:type="dxa"/>
          </w:tcPr>
          <w:p>
            <w:pPr>
              <w:pStyle w:val="CeldaAPA"/>
              <w:jc w:val="left"/>
            </w:pPr>
            <w:r>
              <w:rPr/>
              <w:t xml:space="preserve">Planificación de la calidad; control de materiales; control del proceso (PPI); seguimiento y mejora.</w:t>
            </w:r>
          </w:p>
        </w:tc>
      </w:tr>
      <w:tr>
        <w:tc>
          <w:tcPr>
            <w:tcW w:w="1770" w:type="dxa"/>
          </w:tcPr>
          <w:p>
            <w:pPr>
              <w:pStyle w:val="CeldaAPA"/>
              <w:jc w:val="left"/>
            </w:pPr>
            <w:r>
              <w:rPr/>
              <w:t xml:space="preserve">Dependiente (Y)</w:t>
            </w:r>
          </w:p>
        </w:tc>
        <w:tc>
          <w:tcPr>
            <w:tcW w:w="1954" w:type="dxa"/>
          </w:tcPr>
          <w:p>
            <w:pPr>
              <w:pStyle w:val="CeldaAPA"/>
              <w:jc w:val="left"/>
            </w:pPr>
            <w:r>
              <w:rPr/>
              <w:t xml:space="preserve">Costo de ejecución de la losa alivianada</w:t>
            </w:r>
          </w:p>
        </w:tc>
        <w:tc>
          <w:tcPr>
            <w:tcW w:w="3452" w:type="dxa"/>
          </w:tcPr>
          <w:p>
            <w:pPr>
              <w:pStyle w:val="CeldaAPA"/>
              <w:jc w:val="left"/>
            </w:pPr>
            <w:r>
              <w:rPr/>
              <w:t xml:space="preserve">Costo por m</w:t>
            </w:r>
            <w:r>
              <w:rPr>
                <w:vertAlign w:val="superscript"/>
              </w:rPr>
              <w:t xml:space="preserve">2</w:t>
            </w:r>
            <w:r>
              <w:rPr/>
              <w:t xml:space="preserve"> </w:t>
            </w:r>
            <w:r>
              <w:rPr/>
              <w:t xml:space="preserve">para ejecutar la losa conforme a las especificaciones. Incluye los costos de la calidad (prevención y evaluación) y de la no calidad (fallas internas y externas).</w:t>
            </w:r>
          </w:p>
        </w:tc>
        <w:tc>
          <w:tcPr>
            <w:tcW w:w="2184" w:type="dxa"/>
          </w:tcPr>
          <w:p>
            <w:pPr>
              <w:pStyle w:val="CeldaAPA"/>
              <w:jc w:val="left"/>
            </w:pPr>
            <w:r>
              <w:rPr/>
              <w:t xml:space="preserve">Costo directo; desperdicio de materiales; costo de no calidad; costo de la calidad; conformidad del hormigón.</w:t>
            </w:r>
          </w:p>
        </w:tc>
      </w:tr>
      <w:tr>
        <w:tc>
          <w:tcPr>
            <w:tcW w:w="1770" w:type="dxa"/>
            <w:tcBorders>
              <w:bottom w:val="single" w:sz="8" w:space="0" w:color="000000"/>
            </w:tcBorders>
          </w:tcPr>
          <w:p>
            <w:pPr>
              <w:pStyle w:val="CeldaAPA"/>
              <w:jc w:val="left"/>
            </w:pPr>
            <w:r>
              <w:rPr/>
              <w:t xml:space="preserve">Interviniente (controlada)</w:t>
            </w:r>
          </w:p>
        </w:tc>
        <w:tc>
          <w:tcPr>
            <w:tcW w:w="1954" w:type="dxa"/>
            <w:tcBorders>
              <w:bottom w:val="single" w:sz="8" w:space="0" w:color="000000"/>
            </w:tcBorders>
          </w:tcPr>
          <w:p>
            <w:pPr>
              <w:pStyle w:val="CeldaAPA"/>
              <w:jc w:val="left"/>
            </w:pPr>
            <w:r>
              <w:rPr/>
              <w:t xml:space="preserve">Precios de los materiales</w:t>
            </w:r>
          </w:p>
        </w:tc>
        <w:tc>
          <w:tcPr>
            <w:tcW w:w="3452" w:type="dxa"/>
            <w:tcBorders>
              <w:bottom w:val="single" w:sz="8" w:space="0" w:color="000000"/>
            </w:tcBorders>
          </w:tcPr>
          <w:p>
            <w:pPr>
              <w:pStyle w:val="CeldaAPA"/>
              <w:jc w:val="left"/>
            </w:pPr>
            <w:r>
              <w:rPr/>
              <w:t xml:space="preserve">Variación de precios de insumos en 2025–2026. Se controla calculando los costos a precios constantes del contrato.</w:t>
            </w:r>
          </w:p>
        </w:tc>
        <w:tc>
          <w:tcPr>
            <w:tcW w:w="2184" w:type="dxa"/>
            <w:tcBorders>
              <w:bottom w:val="single" w:sz="8" w:space="0" w:color="000000"/>
            </w:tcBorders>
          </w:tcPr>
          <w:p>
            <w:pPr>
              <w:pStyle w:val="CeldaAPA"/>
              <w:jc w:val="left"/>
            </w:pPr>
            <w:r>
              <w:rPr/>
              <w:t xml:space="preserve">—</w:t>
            </w:r>
          </w:p>
        </w:tc>
      </w:tr>
    </w:tbl>
    <w:p>
      <w:pPr>
        <w:pStyle w:val="NotaAPA"/>
      </w:pPr>
      <w:r>
        <w:rPr>
          <w:iCs/>
          <w:i/>
        </w:rPr>
        <w:t xml:space="preserve">Nota.</w:t>
      </w:r>
      <w:r>
        <w:t xml:space="preserve"> </w:t>
      </w:r>
      <w:r>
        <w:t xml:space="preserve">Elaboración propia.</w:t>
      </w:r>
    </w:p>
    <w:p>
      <w:pPr>
        <w:pStyle w:val="Heading3"/>
      </w:pPr>
      <w:bookmarkStart w:id="41" w:name="tit24"/>
      <w:r>
        <w:t xml:space="preserve">7.2. Operacionalización de variables</w:t>
      </w:r>
      <w:bookmarkEnd w:id="41"/>
    </w:p>
    <w:p>
      <w:pPr>
        <w:pStyle w:val="FirstParagraph"/>
      </w:pPr>
      <w:r>
        <w:t xml:space="preserve">La operacionalización completa (dimensiones, indicadores, fórmulas e instrumentos) se presenta en el Anexo B, y la matriz de consistencia de la investigación en el Anexo A.</w:t>
      </w:r>
    </w:p>
    <w:p>
      <w:pPr>
        <w:pStyle w:val="Heading2"/>
      </w:pPr>
      <w:bookmarkStart w:id="47" w:name="tit25"/>
      <w:r>
        <w:t xml:space="preserve">8. Justificación</w:t>
      </w:r>
      <w:bookmarkEnd w:id="47"/>
    </w:p>
    <w:p>
      <w:pPr>
        <w:pStyle w:val="Heading3"/>
      </w:pPr>
      <w:bookmarkStart w:id="43" w:name="tit26"/>
      <w:r>
        <w:t xml:space="preserve">8.1. Justificación técnica</w:t>
      </w:r>
      <w:bookmarkEnd w:id="43"/>
    </w:p>
    <w:p>
      <w:pPr>
        <w:pStyle w:val="FirstParagraph"/>
      </w:pPr>
      <w:r>
        <w:t xml:space="preserve">La investigación dará un procedimiento sistemático para planificar, inspeccionar y aceptar los materiales y las actividades del proceso constructivo de losas alivianadas con viguetas pretensadas. Ese procedimiento será coherente con la norma ISO 9001:2026, con las especificaciones técnicas del proyecto y con los criterios de evaluación y aceptación del hormigón del código ACI 318-25</w:t>
      </w:r>
      <w:r>
        <w:t xml:space="preserve"> </w:t>
      </w:r>
      <w:r>
        <w:t xml:space="preserve">(ACI Committee 318, 2025, pp. 601–603)</w:t>
      </w:r>
      <w:r>
        <w:t xml:space="preserve">, y usará ensayos normalizados ASTM. Ese código exige, en losas, al menos una muestra de hormigón por cada 5.000 ft</w:t>
      </w:r>
      <w:r>
        <w:rPr>
          <w:vertAlign w:val="superscript"/>
        </w:rPr>
        <w:t xml:space="preserve">2</w:t>
      </w:r>
      <w:r>
        <w:t xml:space="preserve"> </w:t>
      </w:r>
      <w:r>
        <w:t xml:space="preserve">(</w:t>
      </w:r>
      <m:oMath>
        <m:r>
          <m:rPr>
            <m:sty m:val="p"/>
          </m:rPr>
          <m:t>≈</m:t>
        </m:r>
      </m:oMath>
      <w:r>
        <w:t xml:space="preserve"> 464,5 m</w:t>
      </w:r>
      <w:r>
        <w:rPr>
          <w:vertAlign w:val="superscript"/>
        </w:rPr>
        <w:t xml:space="preserve">2</w:t>
      </w:r>
      <w:r>
        <w:t xml:space="preserve">) de superficie</w:t>
      </w:r>
      <w:r>
        <w:t xml:space="preserve"> </w:t>
      </w:r>
      <w:r>
        <w:t xml:space="preserve">(ACI Committee 318, 2025, p. 603)</w:t>
      </w:r>
      <w:r>
        <w:t xml:space="preserve">; para los 1.109,84 m</w:t>
      </w:r>
      <w:r>
        <w:rPr>
          <w:vertAlign w:val="superscript"/>
        </w:rPr>
        <w:t xml:space="preserve">2</w:t>
      </w:r>
      <w:r>
        <w:t xml:space="preserve"> </w:t>
      </w:r>
      <w:r>
        <w:t xml:space="preserve">de la primera losa corresponderían al menos tres muestras (cálculo propio), y no se registró ninguna. El control del hormigón de la carpeta de compresión y de los nervios es determinante para el comportamiento estructural de la losa.</w:t>
      </w:r>
    </w:p>
    <w:p>
      <w:pPr>
        <w:pStyle w:val="Heading3"/>
      </w:pPr>
      <w:bookmarkStart w:id="44" w:name="tit27"/>
      <w:r>
        <w:t xml:space="preserve">8.2. Justificación económica</w:t>
      </w:r>
      <w:bookmarkEnd w:id="44"/>
    </w:p>
    <w:p>
      <w:pPr>
        <w:pStyle w:val="FirstParagraph"/>
      </w:pPr>
      <w:r>
        <w:t xml:space="preserve">Las losas alivianadas representan el 21,45 % del monto original del contrato, y quedan por ejecutar 2.234,60 m</w:t>
      </w:r>
      <w:r>
        <w:rPr>
          <w:vertAlign w:val="superscript"/>
        </w:rPr>
        <w:t xml:space="preserve">2</w:t>
      </w:r>
      <w:r>
        <w:t xml:space="preserve"> </w:t>
      </w:r>
      <w:r>
        <w:t xml:space="preserve">(Bs 481.948,03 a precios del contrato). Como referencia, si el SGC alcanzara el umbral de la hipótesis general —una reducción del 5 % del costo unitario—, el ahorro en ese saldo sería de aproximadamente Bs 24.097 (0,05 </w:t>
      </w:r>
      <m:oMath>
        <m:r>
          <m:rPr>
            <m:sty m:val="p"/>
          </m:rPr>
          <m:t>×</m:t>
        </m:r>
      </m:oMath>
      <w:r>
        <w:t xml:space="preserve"> Bs 481.948,03). Este cálculo es ilustrativo: indica el ahorro que implicaría alcanzar el umbral, no el que se espera obtener; el ahorro estimado con el modelo de costos y la simulación se presenta en el Capítulo 3. Tampoco incluye los posibles beneficios en otros ítems de hormigón armado, que esta investigación no cuantifica.</w:t>
      </w:r>
    </w:p>
    <w:p>
      <w:pPr>
        <w:pStyle w:val="BodyText"/>
      </w:pPr>
      <w:r>
        <w:t xml:space="preserve">Por otra parte, el contrato excluye el reajuste de precios y sus precios unitarios incluyen las reparaciones por trabajos defectuosos</w:t>
      </w:r>
      <w:r>
        <w:t xml:space="preserve"> </w:t>
      </w:r>
      <w:r>
        <w:t xml:space="preserve">(UATF, 2025, pp. 92, 95)</w:t>
      </w:r>
      <w:r>
        <w:t xml:space="preserve">, y la oferta adjudicada fue un 15,8 % inferior al precio referencial (cálculo propio). En esas condiciones, el costo del desperdicio y de los retrabajos lo asume el contratista; con los precios de los materiales en alza, reducirlos protege la ejecución de la obra y los recursos públicos invertidos en ella.</w:t>
      </w:r>
    </w:p>
    <w:p>
      <w:pPr>
        <w:pStyle w:val="Heading3"/>
      </w:pPr>
      <w:bookmarkStart w:id="45" w:name="tit28"/>
      <w:r>
        <w:t xml:space="preserve">8.3. Justificación social e institucional</w:t>
      </w:r>
      <w:bookmarkEnd w:id="45"/>
    </w:p>
    <w:p>
      <w:pPr>
        <w:pStyle w:val="FirstParagraph"/>
      </w:pPr>
      <w:r>
        <w:t xml:space="preserve">El Edificio de Posgrado beneficiará a la comunidad universitaria de la UATF y a la región, con espacios para la formación posgradual. Interesa a la institución que la obra concluya a tiempo y con la calidad especificada. El Departamento de Infraestructura de la UATF podrá adoptar el SGC propuesto en otras obras.</w:t>
      </w:r>
    </w:p>
    <w:p>
      <w:pPr>
        <w:pStyle w:val="Heading3"/>
      </w:pPr>
      <w:bookmarkStart w:id="46" w:name="tit29"/>
      <w:r>
        <w:t xml:space="preserve">8.4. Justificación metodológica</w:t>
      </w:r>
      <w:bookmarkEnd w:id="46"/>
    </w:p>
    <w:p>
      <w:pPr>
        <w:pStyle w:val="FirstParagraph"/>
      </w:pPr>
      <w:r>
        <w:t xml:space="preserve">La investigación propone indicadores e instrumentos reutilizables en otras obras y en investigaciones posteriores sobre gestión de la calidad en la construcción: lista de verificación ISO 9001:2026, plan de puntos de inspección, fichas de control de materiales y planilla de costos de la calidad. Además, aplica un procedimiento de evaluación</w:t>
      </w:r>
      <w:r>
        <w:t xml:space="preserve"> </w:t>
      </w:r>
      <w:r>
        <w:rPr>
          <w:iCs/>
          <w:i/>
        </w:rPr>
        <w:t xml:space="preserve">ex ante</w:t>
      </w:r>
      <w:r>
        <w:t xml:space="preserve"> </w:t>
      </w:r>
      <w:r>
        <w:t xml:space="preserve">—un modelo de costos a precios constantes del contrato con un escenario de control y una simulación de Monte Carlo— que permite estimar, con su grado de incertidumbre, el efecto de un SGC cuando no es posible medirlo en obra, como ocurrió en este caso.</w:t>
      </w:r>
    </w:p>
    <w:p>
      <w:pPr>
        <w:pStyle w:val="Heading2"/>
      </w:pPr>
      <w:bookmarkStart w:id="52" w:name="tit30"/>
      <w:r>
        <w:t xml:space="preserve">9. Alcances y delimitación</w:t>
      </w:r>
      <w:bookmarkEnd w:id="52"/>
    </w:p>
    <w:p>
      <w:pPr>
        <w:pStyle w:val="Heading3"/>
      </w:pPr>
      <w:bookmarkStart w:id="48" w:name="tit31"/>
      <w:r>
        <w:t xml:space="preserve">9.1. Alcance</w:t>
      </w:r>
      <w:bookmarkEnd w:id="48"/>
    </w:p>
    <w:p>
      <w:pPr>
        <w:pStyle w:val="FirstParagraph"/>
      </w:pPr>
      <w:r>
        <w:t xml:space="preserve">El SGC se diseña para el proceso constructivo del ítem losa alivianada con viguetas pretensadas, desde la compra y la recepción de los materiales hasta la medición y el pago, y su efecto se evalúa</w:t>
      </w:r>
      <w:r>
        <w:t xml:space="preserve"> </w:t>
      </w:r>
      <w:r>
        <w:rPr>
          <w:iCs/>
          <w:i/>
        </w:rPr>
        <w:t xml:space="preserve">ex ante</w:t>
      </w:r>
      <w:r>
        <w:t xml:space="preserve"> </w:t>
      </w:r>
      <w:r>
        <w:t xml:space="preserve">sobre el saldo de 2.234,60 m</w:t>
      </w:r>
      <w:r>
        <w:rPr>
          <w:vertAlign w:val="superscript"/>
        </w:rPr>
        <w:t xml:space="preserve">2</w:t>
      </w:r>
      <w:r>
        <w:t xml:space="preserve">. No comprende el diseño estructural de la losa, los demás ítems de la obra, la certificación del SGC de la empresa constructora ni la implementación del sistema en obra, que queda planteada como protocolo para la ejecución del saldo (Sección 2.7).</w:t>
      </w:r>
    </w:p>
    <w:p>
      <w:pPr>
        <w:pStyle w:val="Heading3"/>
      </w:pPr>
      <w:bookmarkStart w:id="49" w:name="tit32"/>
      <w:r>
        <w:t xml:space="preserve">9.2. Delimitación espacial</w:t>
      </w:r>
      <w:bookmarkEnd w:id="49"/>
    </w:p>
    <w:p>
      <w:pPr>
        <w:pStyle w:val="FirstParagraph"/>
      </w:pPr>
      <w:r>
        <w:t xml:space="preserve">Edificio de Posgrado, Ciudadela Universitaria de la UATF, avenida Las Banderas, ciudad de Potosí (19</w:t>
      </w:r>
      <m:oMath>
        <m:sSup>
          <m:e>
            <m:r>
              <m:t>​</m:t>
            </m:r>
          </m:e>
          <m:sup>
            <m:r>
              <m:rPr>
                <m:sty m:val="p"/>
              </m:rPr>
              <m:t>∘</m:t>
            </m:r>
          </m:sup>
        </m:sSup>
      </m:oMath>
      <w:r>
        <w:t xml:space="preserve">33’21,84” S; 65</w:t>
      </w:r>
      <m:oMath>
        <m:sSup>
          <m:e>
            <m:r>
              <m:t>​</m:t>
            </m:r>
          </m:e>
          <m:sup>
            <m:r>
              <m:rPr>
                <m:sty m:val="p"/>
              </m:rPr>
              <m:t>∘</m:t>
            </m:r>
          </m:sup>
        </m:sSup>
      </m:oMath>
      <w:r>
        <w:t xml:space="preserve">45’47,73” O; 3.650 m s. n. m.).</w:t>
      </w:r>
    </w:p>
    <w:p>
      <w:pPr>
        <w:pStyle w:val="Heading3"/>
      </w:pPr>
      <w:bookmarkStart w:id="50" w:name="tit33"/>
      <w:r>
        <w:t xml:space="preserve">9.3. Delimitación temporal</w:t>
      </w:r>
      <w:bookmarkEnd w:id="50"/>
    </w:p>
    <w:p>
      <w:pPr>
        <w:pStyle w:val="FirstParagraph"/>
      </w:pPr>
      <w:r>
        <w:t xml:space="preserve">La línea base se construye con documentos de obra de mayo a diciembre de 2025, desde la Orden de Proceder (6 de mayo de 2025) hasta el cierre de la Planilla N.</w:t>
      </w:r>
      <w:r>
        <w:rPr>
          <w:vertAlign w:val="superscript"/>
        </w:rPr>
        <w:t xml:space="preserve">o</w:t>
      </w:r>
      <w:r>
        <w:t xml:space="preserve"> 2 (8 de diciembre de 2025); en ese periodo se ejecutó la primera losa, cuyo armado estaba en curso el 14 de noviembre y cuyo vaciado se autorizó el 28 de noviembre de 2025. La evaluación</w:t>
      </w:r>
      <w:r>
        <w:t xml:space="preserve"> </w:t>
      </w:r>
      <w:r>
        <w:rPr>
          <w:iCs/>
          <w:i/>
        </w:rPr>
        <w:t xml:space="preserve">ex ante</w:t>
      </w:r>
      <w:r>
        <w:t xml:space="preserve"> </w:t>
      </w:r>
      <w:r>
        <w:t xml:space="preserve">del SGC se realiza con la información disponible hasta octubre de 2026, que incluye la paralización de la obra y la resolución del contrato.</w:t>
      </w:r>
    </w:p>
    <w:p>
      <w:pPr>
        <w:pStyle w:val="Heading3"/>
      </w:pPr>
      <w:bookmarkStart w:id="51" w:name="tit34"/>
      <w:r>
        <w:t xml:space="preserve">9.4. Delimitación temática</w:t>
      </w:r>
      <w:bookmarkEnd w:id="51"/>
    </w:p>
    <w:p>
      <w:pPr>
        <w:pStyle w:val="FirstParagraph"/>
      </w:pPr>
      <w:r>
        <w:t xml:space="preserve">Gestión de la calidad (ISO 9001:2026 e ISO 10005:2018), control de materiales (hormigón, acero de refuerzo de la losa, viguetas pretensadas y complementos de poliestireno expandido), costos de la calidad (modelo de prevención, evaluación y fallas) y evaluación</w:t>
      </w:r>
      <w:r>
        <w:t xml:space="preserve"> </w:t>
      </w:r>
      <w:r>
        <w:rPr>
          <w:iCs/>
          <w:i/>
        </w:rPr>
        <w:t xml:space="preserve">ex ante</w:t>
      </w:r>
      <w:r>
        <w:t xml:space="preserve"> </w:t>
      </w:r>
      <w:r>
        <w:t xml:space="preserve">mediante modelación de costos y simulación de Monte Carlo.</w:t>
      </w:r>
    </w:p>
    <w:p>
      <w:pPr>
        <w:pStyle w:val="Heading2"/>
      </w:pPr>
      <w:bookmarkStart w:id="59" w:name="tit35"/>
      <w:r>
        <w:t xml:space="preserve">10. Metodología de la investigación</w:t>
      </w:r>
      <w:bookmarkEnd w:id="59"/>
    </w:p>
    <w:p>
      <w:pPr>
        <w:pStyle w:val="Heading3"/>
      </w:pPr>
      <w:bookmarkStart w:id="53" w:name="tit36"/>
      <w:r>
        <w:t xml:space="preserve">10.1. Tipo, enfoque y nivel de investigación</w:t>
      </w:r>
      <w:bookmarkEnd w:id="53"/>
    </w:p>
    <w:p>
      <w:pPr>
        <w:pStyle w:val="FirstParagraph"/>
      </w:pPr>
      <w:r>
        <w:t xml:space="preserve">La investigación es</w:t>
      </w:r>
      <w:r>
        <w:t xml:space="preserve"> </w:t>
      </w:r>
      <w:r>
        <w:rPr>
          <w:bCs/>
          <w:b/>
        </w:rPr>
        <w:t xml:space="preserve">aplicada</w:t>
      </w:r>
      <w:r>
        <w:t xml:space="preserve">, porque busca resolver un problema práctico de una obra pública. Tiene</w:t>
      </w:r>
      <w:r>
        <w:t xml:space="preserve"> </w:t>
      </w:r>
      <w:r>
        <w:rPr>
          <w:bCs/>
          <w:b/>
        </w:rPr>
        <w:t xml:space="preserve">enfoque cuantitativo</w:t>
      </w:r>
      <w:r>
        <w:t xml:space="preserve">, porque estima magnitudes —costo unitario, índices de desperdicio y costo de no calidad— y somete hipótesis a prueba</w:t>
      </w:r>
      <w:r>
        <w:t xml:space="preserve"> </w:t>
      </w:r>
      <w:r>
        <w:t xml:space="preserve">(Hernández-Sampieri y Mendoza Torres, 2018, p. 6)</w:t>
      </w:r>
      <w:r>
        <w:t xml:space="preserve">. Su</w:t>
      </w:r>
      <w:r>
        <w:t xml:space="preserve"> </w:t>
      </w:r>
      <w:r>
        <w:rPr>
          <w:bCs/>
          <w:b/>
        </w:rPr>
        <w:t xml:space="preserve">nivel es explicativo</w:t>
      </w:r>
      <w:r>
        <w:t xml:space="preserve">, porque busca establecer el efecto del SGC sobre el costo de la losa</w:t>
      </w:r>
      <w:r>
        <w:t xml:space="preserve"> </w:t>
      </w:r>
      <w:r>
        <w:t xml:space="preserve">(Hernández-Sampieri y Mendoza Torres, 2018, p. 110)</w:t>
      </w:r>
      <w:r>
        <w:t xml:space="preserve">, con una</w:t>
      </w:r>
      <w:r>
        <w:t xml:space="preserve"> </w:t>
      </w:r>
      <w:r>
        <w:rPr>
          <w:bCs/>
          <w:b/>
        </w:rPr>
        <w:t xml:space="preserve">fase descriptiva</w:t>
      </w:r>
      <w:r>
        <w:t xml:space="preserve">, la caracterización documental de la primera losa</w:t>
      </w:r>
      <w:r>
        <w:t xml:space="preserve"> </w:t>
      </w:r>
      <w:r>
        <w:t xml:space="preserve">(Hernández-Sampieri y Mendoza Torres, 2018, p. 108)</w:t>
      </w:r>
      <w:r>
        <w:t xml:space="preserve">, y un</w:t>
      </w:r>
      <w:r>
        <w:t xml:space="preserve"> </w:t>
      </w:r>
      <w:r>
        <w:rPr>
          <w:bCs/>
          <w:b/>
        </w:rPr>
        <w:t xml:space="preserve">componente propositivo</w:t>
      </w:r>
      <w:r>
        <w:t xml:space="preserve">, el diseño del SGC; un estudio puede tener un alcance principal y contener elementos de otros</w:t>
      </w:r>
      <w:r>
        <w:t xml:space="preserve"> </w:t>
      </w:r>
      <w:r>
        <w:t xml:space="preserve">(Hernández-Sampieri y Mendoza Torres, 2018, p. 113)</w:t>
      </w:r>
      <w:r>
        <w:t xml:space="preserve">. Esta clasificación sigue los tipos de investigación del Seminario de Grado: exploratoria, descriptiva, explicativa y propositiva</w:t>
      </w:r>
      <w:r>
        <w:t xml:space="preserve"> </w:t>
      </w:r>
      <w:r>
        <w:t xml:space="preserve">(Barrios C., 2021a, diapositiva 12)</w:t>
      </w:r>
      <w:r>
        <w:t xml:space="preserve">.</w:t>
      </w:r>
    </w:p>
    <w:p>
      <w:pPr>
        <w:pStyle w:val="Heading3"/>
      </w:pPr>
      <w:bookmarkStart w:id="54" w:name="tit37"/>
      <w:r>
        <w:t xml:space="preserve">10.2. Diseño de investigación</w:t>
      </w:r>
      <w:bookmarkEnd w:id="54"/>
    </w:p>
    <w:p>
      <w:pPr>
        <w:pStyle w:val="FirstParagraph"/>
      </w:pPr>
      <w:r>
        <w:t xml:space="preserve">El diseño previsto en el perfil fue cuasiexperimental, de preprueba y posprueba con un solo grupo: la primera losa como preprueba y la segunda como posprueba. Para el caso de que la segunda losa no se ejecutara durante la investigación, el perfil previó como alternativa un diseño no experimental con evaluación</w:t>
      </w:r>
      <w:r>
        <w:t xml:space="preserve"> </w:t>
      </w:r>
      <w:r>
        <w:rPr>
          <w:iCs/>
          <w:i/>
        </w:rPr>
        <w:t xml:space="preserve">ex ante</w:t>
      </w:r>
      <w:r>
        <w:t xml:space="preserve">, mediante simulación de costos, y validación por juicio de expertos. Esa alternativa fue la que se aplicó: el 5 de enero de 2026 la contratista solicitó la paralización de la obra y la resolución del contrato, y la UATF respondió favorablemente el 10 de febrero de 2026</w:t>
      </w:r>
      <w:r>
        <w:t xml:space="preserve"> </w:t>
      </w:r>
      <w:r>
        <w:t xml:space="preserve">(UATF, s. f.-b, pp. 1, 14)</w:t>
      </w:r>
      <w:r>
        <w:t xml:space="preserve">, de modo que no hubo una segunda losa sobre la cual medir la posprueba en obra.</w:t>
      </w:r>
    </w:p>
    <w:p>
      <w:pPr>
        <w:pStyle w:val="BodyText"/>
      </w:pPr>
      <w:r>
        <w:t xml:space="preserve">En consecuencia, el diseño es</w:t>
      </w:r>
      <w:r>
        <w:t xml:space="preserve"> </w:t>
      </w:r>
      <w:r>
        <w:rPr>
          <w:bCs/>
          <w:b/>
        </w:rPr>
        <w:t xml:space="preserve">no experimental</w:t>
      </w:r>
      <w:r>
        <w:t xml:space="preserve">, porque el SGC no se aplicó ni se manipuló en obra</w:t>
      </w:r>
      <w:r>
        <w:t xml:space="preserve"> </w:t>
      </w:r>
      <w:r>
        <w:t xml:space="preserve">(Hernández-Sampieri y Mendoza Torres, 2018, pp. 151, 175)</w:t>
      </w:r>
      <w:r>
        <w:t xml:space="preserve">, y tiene dos componentes:</w:t>
      </w:r>
    </w:p>
    <w:p>
      <w:pPr>
        <w:pStyle w:val="EcuacionAPA"/>
      </w:pPr>
      <m:oMathPara>
        <m:oMathParaPr>
          <m:jc m:val="center"/>
        </m:oMathParaPr>
        <m:oMath>
          <m:sSub>
            <m:e>
              <m:r>
                <m:t>O</m:t>
              </m:r>
            </m:e>
            <m:sub>
              <m:r>
                <m:t>1</m:t>
              </m:r>
            </m:sub>
          </m:sSub>
          <m:r>
            <m:rPr>
              <m:sty m:val="p"/>
            </m:rPr>
            <m:t>→</m:t>
          </m:r>
          <m:r>
            <m:t>X</m:t>
          </m:r>
          <m:r>
            <m:rPr>
              <m:sty m:val="p"/>
            </m:rPr>
            <m:t>→</m:t>
          </m:r>
          <m:sSubSup>
            <m:e>
              <m:r>
                <m:t>O</m:t>
              </m:r>
            </m:e>
            <m:sub>
              <m:r>
                <m:t>2</m:t>
              </m:r>
            </m:sub>
            <m:sup>
              <m:r>
                <m:t> </m:t>
              </m:r>
              <m:r>
                <m:rPr>
                  <m:nor/>
                  <m:sty m:val="p"/>
                </m:rPr>
                <m:t>sim</m:t>
              </m:r>
            </m:sup>
          </m:sSubSup>
        </m:oMath>
      </m:oMathPara>
    </w:p>
    <w:p>
      <w:pPr>
        <w:pStyle w:val="FirstParagraph"/>
        <w:ind w:firstLine="0"/>
      </w:pPr>
      <w:r>
        <w:t xml:space="preserve"/>
      </w:r>
      <w:r>
        <w:t xml:space="preserve"/>
      </w:r>
      <w:r>
        <w:t xml:space="preserve">donde</w:t>
      </w:r>
      <w:r>
        <w:t xml:space="preserve"> </w:t>
      </w:r>
      <m:oMath>
        <m:sSub>
          <m:e>
            <m:r>
              <m:t>O</m:t>
            </m:r>
          </m:e>
          <m:sub>
            <m:r>
              <m:t>1</m:t>
            </m:r>
          </m:sub>
        </m:sSub>
      </m:oMath>
      <w:r>
        <w:t xml:space="preserve"> </w:t>
      </w:r>
      <w:r>
        <w:t xml:space="preserve">es la</w:t>
      </w:r>
      <w:r>
        <w:t xml:space="preserve"> </w:t>
      </w:r>
      <w:r>
        <w:rPr>
          <w:bCs/>
          <w:b/>
        </w:rPr>
        <w:t xml:space="preserve">línea base retrospectiva y documental</w:t>
      </w:r>
      <w:r>
        <w:t xml:space="preserve">: la primera losa (41 paños; 1.109,84 m</w:t>
      </w:r>
      <w:r>
        <w:rPr>
          <w:vertAlign w:val="superscript"/>
        </w:rPr>
        <w:t xml:space="preserve">2</w:t>
      </w:r>
      <w:r>
        <w:t xml:space="preserve">), ejecutada sin SGC, se reconstruye a partir de planillas, cómputos métricos, certificados y el Libro de Órdenes, con un diseño longitudinal retrospectivo</w:t>
      </w:r>
      <w:r>
        <w:t xml:space="preserve"> </w:t>
      </w:r>
      <w:r>
        <w:t xml:space="preserve">(Hernández-Sampieri y Mendoza Torres, 2018, p. 180)</w:t>
      </w:r>
      <w:r>
        <w:t xml:space="preserve">;</w:t>
      </w:r>
      <w:r>
        <w:t xml:space="preserve"> </w:t>
      </w:r>
      <m:oMath>
        <m:r>
          <m:t>X</m:t>
        </m:r>
      </m:oMath>
      <w:r>
        <w:t xml:space="preserve"> </w:t>
      </w:r>
      <w:r>
        <w:t xml:space="preserve">es el SGC diseñado (plan de la calidad, plan de puntos de inspección y ensayo, procedimientos de control de materiales, gestión de no conformidades y registro de costos de la calidad), y</w:t>
      </w:r>
      <w:r>
        <w:t xml:space="preserve"> </w:t>
      </w:r>
      <m:oMath>
        <m:sSubSup>
          <m:e>
            <m:r>
              <m:t>O</m:t>
            </m:r>
          </m:e>
          <m:sub>
            <m:r>
              <m:t>2</m:t>
            </m:r>
          </m:sub>
          <m:sup>
            <m:r>
              <m:t> </m:t>
            </m:r>
            <m:r>
              <m:rPr>
                <m:nor/>
                <m:sty m:val="p"/>
              </m:rPr>
              <m:t>sim</m:t>
            </m:r>
          </m:sup>
        </m:sSubSup>
      </m:oMath>
      <w:r>
        <w:t xml:space="preserve"> </w:t>
      </w:r>
      <w:r>
        <w:t xml:space="preserve">es la</w:t>
      </w:r>
      <w:r>
        <w:t xml:space="preserve"> </w:t>
      </w:r>
      <w:r>
        <w:rPr>
          <w:bCs/>
          <w:b/>
        </w:rPr>
        <w:t xml:space="preserve">evaluación</w:t>
      </w:r>
      <w:r>
        <w:rPr>
          <w:bCs/>
          <w:b/>
        </w:rPr>
        <w:t xml:space="preserve"> </w:t>
      </w:r>
      <w:r>
        <w:rPr>
          <w:iCs/>
          <w:i/>
          <w:bCs/>
          <w:b/>
        </w:rPr>
        <w:t xml:space="preserve">ex ante</w:t>
      </w:r>
      <w:r>
        <w:rPr>
          <w:bCs/>
          <w:b/>
        </w:rPr>
        <w:t xml:space="preserve"> </w:t>
      </w:r>
      <w:r>
        <w:rPr>
          <w:bCs/>
          <w:b/>
        </w:rPr>
        <w:t xml:space="preserve">del tratamiento</w:t>
      </w:r>
      <w:r>
        <w:t xml:space="preserve">: un modelo de costos a precios constantes del contrato y una simulación de Monte Carlo estiman el costo de ejecutar los 2.234,60 m</w:t>
      </w:r>
      <w:r>
        <w:rPr>
          <w:vertAlign w:val="superscript"/>
        </w:rPr>
        <w:t xml:space="preserve">2</w:t>
      </w:r>
      <w:r>
        <w:t xml:space="preserve"> </w:t>
      </w:r>
      <w:r>
        <w:t xml:space="preserve">restantes sin SGC (control) y con SGC (tratamiento).</w:t>
      </w:r>
    </w:p>
    <w:p>
      <w:pPr>
        <w:pStyle w:val="BodyText"/>
      </w:pPr>
      <w:r>
        <w:t xml:space="preserve">La guía del Seminario de Grado reconoce la modelación de simulación teórica como un tipo de modelo de investigación, y exige que el modelo incluya un tratamiento de control y permita calcular el grado de incertidumbre de los resultados</w:t>
      </w:r>
      <w:r>
        <w:t xml:space="preserve"> </w:t>
      </w:r>
      <w:r>
        <w:t xml:space="preserve">(Barrios C., 2021b, diapositivas 4, 8 y 9)</w:t>
      </w:r>
      <w:r>
        <w:t xml:space="preserve">. El modelo de esta tesis cumple ambas condiciones: el escenario sin SGC actúa como control y la simulación expresa el resultado como una distribución de probabilidad. El procedimiento, la validación y el plan de contraste se detallan en las Secciones 2.7 a 2.9.</w:t>
      </w:r>
    </w:p>
    <w:p>
      <w:pPr>
        <w:pStyle w:val="Heading3"/>
      </w:pPr>
      <w:bookmarkStart w:id="55" w:name="tit38"/>
      <w:r>
        <w:t xml:space="preserve">10.3. Población, unidad de análisis y muestra</w:t>
      </w:r>
      <w:bookmarkEnd w:id="55"/>
    </w:p>
    <w:p>
      <w:pPr>
        <w:pStyle w:val="FirstParagraph"/>
      </w:pPr>
      <w:r>
        <w:t xml:space="preserve">La</w:t>
      </w:r>
      <w:r>
        <w:t xml:space="preserve"> </w:t>
      </w:r>
      <w:r>
        <w:rPr>
          <w:bCs/>
          <w:b/>
        </w:rPr>
        <w:t xml:space="preserve">población</w:t>
      </w:r>
      <w:r>
        <w:t xml:space="preserve"> </w:t>
      </w:r>
      <w:r>
        <w:t xml:space="preserve">está constituida por las losas alivianadas de la fase contratada: tres losas con 3.344,44 m</w:t>
      </w:r>
      <w:r>
        <w:rPr>
          <w:vertAlign w:val="superscript"/>
        </w:rPr>
        <w:t xml:space="preserve">2</w:t>
      </w:r>
      <w:r>
        <w:t xml:space="preserve"> </w:t>
      </w:r>
      <w:r>
        <w:t xml:space="preserve">según el contrato modificado</w:t>
      </w:r>
      <w:r>
        <w:t xml:space="preserve"> </w:t>
      </w:r>
      <w:r>
        <w:t xml:space="preserve">(UATF, 2025, pp. 8, 16)</w:t>
      </w:r>
      <w:r>
        <w:t xml:space="preserve">. La</w:t>
      </w:r>
      <w:r>
        <w:t xml:space="preserve"> </w:t>
      </w:r>
      <w:r>
        <w:rPr>
          <w:bCs/>
          <w:b/>
        </w:rPr>
        <w:t xml:space="preserve">unidad de análisis</w:t>
      </w:r>
      <w:r>
        <w:t xml:space="preserve"> </w:t>
      </w:r>
      <w:r>
        <w:t xml:space="preserve">es el paño de losa. La línea base comprende todos los paños de la primera losa —41 paños, de 1,40 a 52,38 m</w:t>
      </w:r>
      <w:r>
        <w:rPr>
          <w:vertAlign w:val="superscript"/>
        </w:rPr>
        <w:t xml:space="preserve">2</w:t>
      </w:r>
      <w:r>
        <w:t xml:space="preserve">, que suman 1.109,84 m</w:t>
      </w:r>
      <w:r>
        <w:rPr>
          <w:vertAlign w:val="superscript"/>
        </w:rPr>
        <w:t xml:space="preserve">2</w:t>
      </w:r>
      <w:r>
        <w:t xml:space="preserve"> </w:t>
      </w:r>
      <w:r>
        <w:t xml:space="preserve">(UATF, 2025, pp. 28–29, 60)</w:t>
      </w:r>
      <w:r>
        <w:t xml:space="preserve">—, por lo que constituye un censo de esa losa y no una muestra</w:t>
      </w:r>
      <w:r>
        <w:t xml:space="preserve"> </w:t>
      </w:r>
      <w:r>
        <w:t xml:space="preserve">(Hernández-Sampieri y Mendoza Torres, 2018, p. 196)</w:t>
      </w:r>
      <w:r>
        <w:t xml:space="preserve">; el caso se eligió de forma no probabilística, por sus características y por el acceso a sus documentos</w:t>
      </w:r>
      <w:r>
        <w:t xml:space="preserve"> </w:t>
      </w:r>
      <w:r>
        <w:t xml:space="preserve">(Hernández-Sampieri y Mendoza Torres, 2018, p. 200)</w:t>
      </w:r>
      <w:r>
        <w:t xml:space="preserve">. La evaluación</w:t>
      </w:r>
      <w:r>
        <w:t xml:space="preserve"> </w:t>
      </w:r>
      <w:r>
        <w:rPr>
          <w:iCs/>
          <w:i/>
        </w:rPr>
        <w:t xml:space="preserve">ex ante</w:t>
      </w:r>
      <w:r>
        <w:t xml:space="preserve"> </w:t>
      </w:r>
      <w:r>
        <w:t xml:space="preserve">se aplica al saldo de 2.234,60 m</w:t>
      </w:r>
      <w:r>
        <w:rPr>
          <w:vertAlign w:val="superscript"/>
        </w:rPr>
        <w:t xml:space="preserve">2</w:t>
      </w:r>
      <w:r>
        <w:t xml:space="preserve">, correspondiente a la segunda y la tercera losa, de 1.117,30 m</w:t>
      </w:r>
      <w:r>
        <w:rPr>
          <w:vertAlign w:val="superscript"/>
        </w:rPr>
        <w:t xml:space="preserve">2</w:t>
      </w:r>
      <w:r>
        <w:t xml:space="preserve"> </w:t>
      </w:r>
      <w:r>
        <w:t xml:space="preserve">cada una, cuyos paños son homólogos a los de la primera, con áreas ligeramente mayores en cinco de ellos (cálculo propio con base en</w:t>
      </w:r>
      <w:r>
        <w:t xml:space="preserve"> </w:t>
      </w:r>
      <w:r>
        <w:t xml:space="preserve">(UATF, s. f.-b, pp. 18–19)</w:t>
      </w:r>
      <w:r>
        <w:t xml:space="preserve">).</w:t>
      </w:r>
    </w:p>
    <w:p>
      <w:pPr>
        <w:pStyle w:val="Heading3"/>
      </w:pPr>
      <w:bookmarkStart w:id="56" w:name="tit39"/>
      <w:r>
        <w:t xml:space="preserve">10.4. Métodos</w:t>
      </w:r>
      <w:bookmarkEnd w:id="56"/>
    </w:p>
    <w:p>
      <w:pPr>
        <w:pStyle w:val="FirstParagraph"/>
      </w:pPr>
      <w:r>
        <w:t xml:space="preserve">Se emplean los métodos analítico-sintético (descomposición del proceso constructivo en actividades y controles), inductivo-deductivo (de los datos por paño a conclusiones sobre el ítem), estadístico (descripción de los datos y contraste de hipótesis) y de modelación y simulación (representación del costo de la losa con un modelo de costos y propagación de la incertidumbre de sus parámetros mediante la simulación de Monte Carlo).</w:t>
      </w:r>
    </w:p>
    <w:p>
      <w:pPr>
        <w:pStyle w:val="Heading3"/>
      </w:pPr>
      <w:bookmarkStart w:id="57" w:name="tit40"/>
      <w:r>
        <w:t xml:space="preserve">10.5. Técnicas e instrumentos de recolección de datos</w:t>
      </w:r>
      <w:bookmarkEnd w:id="57"/>
    </w:p>
    <w:p>
      <w:pPr>
        <w:pStyle w:val="Caption"/>
      </w:pPr>
      <w:bookmarkStart w:id="1397" w:name="tab5"/>
      <w:r>
        <w:t xml:space="preserve"/>
      </w:r>
      <w:r>
        <w:rPr>
          <w:bCs/>
          <w:b/>
        </w:rPr>
        <w:t xml:space="preserve">Tabla 5</w:t>
      </w:r>
      <w:r>
        <w:br/>
      </w:r>
      <w:r>
        <w:rPr>
          <w:iCs/>
          <w:i/>
        </w:rPr>
        <w:t xml:space="preserve">Técnicas e instrumentos de recolección de datos</w:t>
      </w:r>
      <w:bookmarkEnd w:id="1397"/>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2229"/>
        <w:gridCol w:w="3819"/>
        <w:gridCol w:w="2061"/>
        <w:gridCol w:w="1251"/>
      </w:tblGrid>
      <w:tr>
        <w:trPr>
          <w:cantSplit/>
          <w:tblHeader w:val="true"/>
        </w:trPr>
        <w:tc>
          <w:tcPr>
            <w:tcW w:w="2229" w:type="dxa"/>
            <w:tcBorders>
              <w:top w:val="single" w:sz="8" w:space="0" w:color="000000"/>
              <w:bottom w:val="single" w:sz="4" w:space="0" w:color="000000"/>
            </w:tcBorders>
          </w:tcPr>
          <w:p>
            <w:pPr>
              <w:pStyle w:val="CeldaAPA"/>
              <w:jc w:val="center"/>
            </w:pPr>
            <w:r>
              <w:rPr>
                <w:bCs/>
                <w:b/>
              </w:rPr>
              <w:t xml:space="preserve">Técnica</w:t>
            </w:r>
          </w:p>
        </w:tc>
        <w:tc>
          <w:tcPr>
            <w:tcW w:w="3819" w:type="dxa"/>
            <w:tcBorders>
              <w:top w:val="single" w:sz="8" w:space="0" w:color="000000"/>
              <w:bottom w:val="single" w:sz="4" w:space="0" w:color="000000"/>
            </w:tcBorders>
          </w:tcPr>
          <w:p>
            <w:pPr>
              <w:pStyle w:val="CeldaAPA"/>
              <w:jc w:val="center"/>
            </w:pPr>
            <w:r>
              <w:rPr>
                <w:bCs/>
                <w:b/>
              </w:rPr>
              <w:t xml:space="preserve">Instrumento</w:t>
            </w:r>
          </w:p>
        </w:tc>
        <w:tc>
          <w:tcPr>
            <w:tcW w:w="2061" w:type="dxa"/>
            <w:tcBorders>
              <w:top w:val="single" w:sz="8" w:space="0" w:color="000000"/>
              <w:bottom w:val="single" w:sz="4" w:space="0" w:color="000000"/>
            </w:tcBorders>
          </w:tcPr>
          <w:p>
            <w:pPr>
              <w:pStyle w:val="CeldaAPA"/>
              <w:jc w:val="center"/>
            </w:pPr>
            <w:r>
              <w:rPr>
                <w:bCs/>
                <w:b/>
              </w:rPr>
              <w:t xml:space="preserve">Fuente o informante</w:t>
            </w:r>
          </w:p>
        </w:tc>
        <w:tc>
          <w:tcPr>
            <w:tcW w:w="1251" w:type="dxa"/>
            <w:tcBorders>
              <w:top w:val="single" w:sz="8" w:space="0" w:color="000000"/>
              <w:bottom w:val="single" w:sz="4" w:space="0" w:color="000000"/>
            </w:tcBorders>
          </w:tcPr>
          <w:p>
            <w:pPr>
              <w:pStyle w:val="CeldaAPA"/>
              <w:jc w:val="center"/>
            </w:pPr>
            <w:r>
              <w:rPr>
                <w:bCs/>
                <w:b/>
              </w:rPr>
              <w:t xml:space="preserve">Objetivo</w:t>
            </w:r>
          </w:p>
        </w:tc>
      </w:tr>
      <w:tr>
        <w:tc>
          <w:tcPr>
            <w:tcW w:w="2229" w:type="dxa"/>
          </w:tcPr>
          <w:p>
            <w:pPr>
              <w:pStyle w:val="CeldaAPA"/>
              <w:jc w:val="left"/>
            </w:pPr>
            <w:r>
              <w:rPr/>
              <w:t xml:space="preserve">Análisis documental</w:t>
            </w:r>
          </w:p>
        </w:tc>
        <w:tc>
          <w:tcPr>
            <w:tcW w:w="3819" w:type="dxa"/>
          </w:tcPr>
          <w:p>
            <w:pPr>
              <w:pStyle w:val="CeldaAPA"/>
              <w:jc w:val="left"/>
            </w:pPr>
            <w:r>
              <w:rPr/>
              <w:t xml:space="preserve">Ficha de registro documental: planillas de avance, cómputos métricos, Libro de Órdenes, certificados, contrato, planos y especificaciones técnicas</w:t>
            </w:r>
          </w:p>
        </w:tc>
        <w:tc>
          <w:tcPr>
            <w:tcW w:w="2061" w:type="dxa"/>
          </w:tcPr>
          <w:p>
            <w:pPr>
              <w:pStyle w:val="CeldaAPA"/>
              <w:jc w:val="left"/>
            </w:pPr>
            <w:r>
              <w:rPr/>
              <w:t xml:space="preserve">Expediente de la obra (Departamento de Infraestructura, Supervisión y Fiscalización)</w:t>
            </w:r>
          </w:p>
        </w:tc>
        <w:tc>
          <w:tcPr>
            <w:tcW w:w="1251" w:type="dxa"/>
          </w:tcPr>
          <w:p>
            <w:pPr>
              <w:pStyle w:val="CeldaAPA"/>
              <w:jc w:val="left"/>
            </w:pPr>
            <w:r>
              <w:rPr/>
              <w:t xml:space="preserve">OE1, OE2</w:t>
            </w:r>
          </w:p>
        </w:tc>
      </w:tr>
      <w:tr>
        <w:tc>
          <w:tcPr>
            <w:tcW w:w="2229" w:type="dxa"/>
          </w:tcPr>
          <w:p>
            <w:pPr>
              <w:pStyle w:val="CeldaAPA"/>
              <w:jc w:val="left"/>
            </w:pPr>
            <w:r>
              <w:rPr/>
              <w:t xml:space="preserve">Diagnóstico documental de brechas</w:t>
            </w:r>
          </w:p>
        </w:tc>
        <w:tc>
          <w:tcPr>
            <w:tcW w:w="3819" w:type="dxa"/>
          </w:tcPr>
          <w:p>
            <w:pPr>
              <w:pStyle w:val="CeldaAPA"/>
              <w:jc w:val="left"/>
            </w:pPr>
            <w:r>
              <w:rPr/>
              <w:t xml:space="preserve">Lista de verificación de requisitos de la ISO 9001:2026, aplicada sobre la evidencia documental</w:t>
            </w:r>
          </w:p>
        </w:tc>
        <w:tc>
          <w:tcPr>
            <w:tcW w:w="2061" w:type="dxa"/>
          </w:tcPr>
          <w:p>
            <w:pPr>
              <w:pStyle w:val="CeldaAPA"/>
              <w:jc w:val="left"/>
            </w:pPr>
            <w:r>
              <w:rPr/>
              <w:t xml:space="preserve">Documentos de la obra</w:t>
            </w:r>
          </w:p>
        </w:tc>
        <w:tc>
          <w:tcPr>
            <w:tcW w:w="1251" w:type="dxa"/>
          </w:tcPr>
          <w:p>
            <w:pPr>
              <w:pStyle w:val="CeldaAPA"/>
              <w:jc w:val="left"/>
            </w:pPr>
            <w:r>
              <w:rPr/>
              <w:t xml:space="preserve">OE1, OE3</w:t>
            </w:r>
          </w:p>
        </w:tc>
      </w:tr>
      <w:tr>
        <w:tc>
          <w:tcPr>
            <w:tcW w:w="2229" w:type="dxa"/>
          </w:tcPr>
          <w:p>
            <w:pPr>
              <w:pStyle w:val="CeldaAPA"/>
              <w:jc w:val="left"/>
            </w:pPr>
            <w:r>
              <w:rPr/>
              <w:t xml:space="preserve">Modelación y simulación</w:t>
            </w:r>
          </w:p>
        </w:tc>
        <w:tc>
          <w:tcPr>
            <w:tcW w:w="3819" w:type="dxa"/>
          </w:tcPr>
          <w:p>
            <w:pPr>
              <w:pStyle w:val="CeldaAPA"/>
              <w:jc w:val="left"/>
            </w:pPr>
            <w:r>
              <w:rPr/>
              <w:t xml:space="preserve">Modelo de costos a precios constantes del contrato y simulación de Monte Carlo programada en Python</w:t>
            </w:r>
          </w:p>
        </w:tc>
        <w:tc>
          <w:tcPr>
            <w:tcW w:w="2061" w:type="dxa"/>
          </w:tcPr>
          <w:p>
            <w:pPr>
              <w:pStyle w:val="CeldaAPA"/>
              <w:jc w:val="left"/>
            </w:pPr>
            <w:r>
              <w:rPr/>
              <w:t xml:space="preserve">Línea base, análisis de precios unitarios de referencia y antecedentes</w:t>
            </w:r>
          </w:p>
        </w:tc>
        <w:tc>
          <w:tcPr>
            <w:tcW w:w="1251" w:type="dxa"/>
          </w:tcPr>
          <w:p>
            <w:pPr>
              <w:pStyle w:val="CeldaAPA"/>
              <w:jc w:val="left"/>
            </w:pPr>
            <w:r>
              <w:rPr/>
              <w:t xml:space="preserve">OE4, OE5</w:t>
            </w:r>
          </w:p>
        </w:tc>
      </w:tr>
      <w:tr>
        <w:tc>
          <w:tcPr>
            <w:tcW w:w="2229" w:type="dxa"/>
          </w:tcPr>
          <w:p>
            <w:pPr>
              <w:pStyle w:val="CeldaAPA"/>
              <w:jc w:val="left"/>
            </w:pPr>
            <w:r>
              <w:rPr/>
              <w:t xml:space="preserve">Juicio de expertos (pendiente)</w:t>
            </w:r>
          </w:p>
        </w:tc>
        <w:tc>
          <w:tcPr>
            <w:tcW w:w="3819" w:type="dxa"/>
          </w:tcPr>
          <w:p>
            <w:pPr>
              <w:pStyle w:val="CeldaAPA"/>
              <w:jc w:val="left"/>
            </w:pPr>
            <w:r>
              <w:rPr/>
              <w:t xml:space="preserve">Formato de validación con el coeficiente V de Aiken</w:t>
            </w:r>
          </w:p>
        </w:tc>
        <w:tc>
          <w:tcPr>
            <w:tcW w:w="2061" w:type="dxa"/>
          </w:tcPr>
          <w:p>
            <w:pPr>
              <w:pStyle w:val="CeldaAPA"/>
              <w:jc w:val="left"/>
            </w:pPr>
            <w:r>
              <w:rPr/>
              <w:t xml:space="preserve">Ingenieros civiles con experiencia en supervisión, control del hormigón o gestión de la calidad</w:t>
            </w:r>
          </w:p>
        </w:tc>
        <w:tc>
          <w:tcPr>
            <w:tcW w:w="1251" w:type="dxa"/>
          </w:tcPr>
          <w:p>
            <w:pPr>
              <w:pStyle w:val="CeldaAPA"/>
              <w:jc w:val="left"/>
            </w:pPr>
            <w:r>
              <w:rPr/>
              <w:t xml:space="preserve">OE5</w:t>
            </w:r>
          </w:p>
        </w:tc>
      </w:tr>
      <w:tr>
        <w:tc>
          <w:tcPr>
            <w:tcW w:w="2229" w:type="dxa"/>
            <w:tcBorders>
              <w:bottom w:val="single" w:sz="8" w:space="0" w:color="000000"/>
            </w:tcBorders>
          </w:tcPr>
          <w:p>
            <w:pPr>
              <w:pStyle w:val="CeldaAPA"/>
              <w:jc w:val="left"/>
            </w:pPr>
            <w:r>
              <w:rPr/>
              <w:t xml:space="preserve">Entrevista (complementaria)</w:t>
            </w:r>
          </w:p>
        </w:tc>
        <w:tc>
          <w:tcPr>
            <w:tcW w:w="3819" w:type="dxa"/>
            <w:tcBorders>
              <w:bottom w:val="single" w:sz="8" w:space="0" w:color="000000"/>
            </w:tcBorders>
          </w:tcPr>
          <w:p>
            <w:pPr>
              <w:pStyle w:val="CeldaAPA"/>
              <w:jc w:val="left"/>
            </w:pPr>
            <w:r>
              <w:rPr/>
              <w:t xml:space="preserve">Guía de entrevista semiestructurada</w:t>
            </w:r>
          </w:p>
        </w:tc>
        <w:tc>
          <w:tcPr>
            <w:tcW w:w="2061" w:type="dxa"/>
            <w:tcBorders>
              <w:bottom w:val="single" w:sz="8" w:space="0" w:color="000000"/>
            </w:tcBorders>
          </w:tcPr>
          <w:p>
            <w:pPr>
              <w:pStyle w:val="CeldaAPA"/>
              <w:jc w:val="left"/>
            </w:pPr>
            <w:r>
              <w:rPr/>
              <w:t xml:space="preserve">Director de obra, Supervisión y Fiscalización</w:t>
            </w:r>
          </w:p>
        </w:tc>
        <w:tc>
          <w:tcPr>
            <w:tcW w:w="1251" w:type="dxa"/>
            <w:tcBorders>
              <w:bottom w:val="single" w:sz="8" w:space="0" w:color="000000"/>
            </w:tcBorders>
          </w:tcPr>
          <w:p>
            <w:pPr>
              <w:pStyle w:val="CeldaAPA"/>
              <w:jc w:val="left"/>
            </w:pPr>
            <w:r>
              <w:rPr/>
              <w:t xml:space="preserve">OE1</w:t>
            </w:r>
          </w:p>
        </w:tc>
      </w:tr>
    </w:tbl>
    <w:p>
      <w:pPr>
        <w:pStyle w:val="NotaAPA"/>
      </w:pPr>
      <w:r>
        <w:rPr>
          <w:iCs/>
          <w:i/>
        </w:rPr>
        <w:t xml:space="preserve">Nota.</w:t>
      </w:r>
      <w:r>
        <w:t xml:space="preserve"> </w:t>
      </w:r>
      <w:r>
        <w:t xml:space="preserve">El juicio de expertos queda pendiente de aplicación, y las entrevistas complementan la evidencia documental sin sustituirla. Los formatos de recepción de materiales, de inspección y de control de consumos del SGC (Anexo C) no se aplicaron en obra; se emplearán en la verificación futura con datos de obra (Sección 2.9.1). Elaboración propia.</w:t>
      </w:r>
    </w:p>
    <w:p>
      <w:pPr>
        <w:pStyle w:val="Heading3"/>
      </w:pPr>
      <w:bookmarkStart w:id="58" w:name="tit41"/>
      <w:r>
        <w:t xml:space="preserve">10.6. Procesamiento y análisis de datos</w:t>
      </w:r>
      <w:bookmarkEnd w:id="58"/>
    </w:p>
    <w:p>
      <w:pPr>
        <w:pStyle w:val="FirstParagraph"/>
      </w:pPr>
      <w:r>
        <w:t xml:space="preserve">Los datos se procesan con hoja de cálculo y con un programa en Python (bibliotecas NumPy y SciPy):</w:t>
      </w:r>
    </w:p>
    <w:p>
      <w:pPr>
        <w:numPr>
          <w:ilvl w:val="0"/>
          <w:numId w:val="1004"/>
        </w:numPr>
      </w:pPr>
      <w:r>
        <w:t xml:space="preserve">Estadística descriptiva: media, desviación estándar y coeficiente de variación.</w:t>
      </w:r>
    </w:p>
    <w:p>
      <w:pPr>
        <w:numPr>
          <w:ilvl w:val="0"/>
          <w:numId w:val="1004"/>
        </w:numPr>
      </w:pPr>
      <w:r>
        <w:t xml:space="preserve">Análisis de causas: diagramas de Pareto e Ishikawa.</w:t>
      </w:r>
    </w:p>
    <w:p>
      <w:pPr>
        <w:numPr>
          <w:ilvl w:val="0"/>
          <w:numId w:val="1004"/>
        </w:numPr>
      </w:pPr>
      <w:r>
        <w:t xml:space="preserve">Simulación de Monte Carlo con 20.000 iteraciones y semilla fija, con distribuciones triangulares para los parámetros inciertos (Sección 2.7.2).</w:t>
      </w:r>
    </w:p>
    <w:p>
      <w:pPr>
        <w:numPr>
          <w:ilvl w:val="0"/>
          <w:numId w:val="1004"/>
        </w:numPr>
      </w:pPr>
      <w:r>
        <w:t xml:space="preserve">Contraste de hipótesis con reglas de decisión probabilísticas: se acepta la hipótesis alterna si la probabilidad de que se cumpla su condición es de al menos 0,95, lo que equivale a un nivel de significancia</w:t>
      </w:r>
      <w:r>
        <w:t xml:space="preserve"> </w:t>
      </w:r>
      <m:oMath>
        <m:r>
          <m:t>α</m:t>
        </m:r>
        <m:r>
          <m:rPr>
            <m:sty m:val="p"/>
          </m:rPr>
          <m:t>=</m:t>
        </m:r>
        <m:r>
          <m:t>0</m:t>
        </m:r>
        <m:r>
          <m:rPr>
            <m:sty m:val="p"/>
          </m:rPr>
          <m:t>,</m:t>
        </m:r>
        <m:r>
          <m:t>05</m:t>
        </m:r>
      </m:oMath>
      <w:r>
        <w:t xml:space="preserve"> </w:t>
      </w:r>
      <w:r>
        <w:t xml:space="preserve">en un contraste unilateral</w:t>
      </w:r>
      <w:r>
        <w:t xml:space="preserve"> </w:t>
      </w:r>
      <w:r>
        <w:t xml:space="preserve">(Hernández-Sampieri y Mendoza Torres, 2018, p. 342)</w:t>
      </w:r>
      <w:r>
        <w:t xml:space="preserve">.</w:t>
      </w:r>
    </w:p>
    <w:p>
      <w:pPr>
        <w:numPr>
          <w:ilvl w:val="0"/>
          <w:numId w:val="1004"/>
        </w:numPr>
      </w:pPr>
      <w:r>
        <w:t xml:space="preserve">Análisis de sensibilidad: variación de un factor a la vez (diagrama de tornado) y correlación de rangos de Spearman.</w:t>
      </w:r>
    </w:p>
    <w:p>
      <w:pPr>
        <w:pStyle w:val="FirstParagraph"/>
      </w:pPr>
      <w:r>
        <w:t xml:space="preserve">La prueba</w:t>
      </w:r>
      <w:r>
        <w:t xml:space="preserve"> </w:t>
      </w:r>
      <w:r>
        <w:rPr>
          <w:iCs/>
          <w:i/>
        </w:rPr>
        <w:t xml:space="preserve">t</w:t>
      </w:r>
      <w:r>
        <w:t xml:space="preserve"> </w:t>
      </w:r>
      <w:r>
        <w:t xml:space="preserve">de Student para muestras relacionadas, o la prueba de Wilcoxon si las diferencias no siguen una distribución normal</w:t>
      </w:r>
      <w:r>
        <w:t xml:space="preserve"> </w:t>
      </w:r>
      <w:r>
        <w:t xml:space="preserve">(Hernández-Sampieri y Mendoza Torres, 2018, p. 372)</w:t>
      </w:r>
      <w:r>
        <w:t xml:space="preserve">, queda reservada para la verificación futura con datos de obra (Sección 2.9.1). Los costos se expresan a precios constantes del contrato, para aislar el efecto de la inflación.</w:t>
      </w:r>
    </w:p>
    <w:p>
      <w:pPr>
        <w:pStyle w:val="Heading2"/>
      </w:pPr>
      <w:bookmarkStart w:id="60" w:name="tit42"/>
      <w:r>
        <w:t xml:space="preserve">11. Estructura del documento</w:t>
      </w:r>
      <w:bookmarkEnd w:id="60"/>
    </w:p>
    <w:p>
      <w:pPr>
        <w:numPr>
          <w:ilvl w:val="0"/>
          <w:numId w:val="1005"/>
        </w:numPr>
      </w:pPr>
      <w:r>
        <w:t xml:space="preserve">El</w:t>
      </w:r>
      <w:r>
        <w:t xml:space="preserve"> </w:t>
      </w:r>
      <w:r>
        <w:rPr>
          <w:bCs/>
          <w:b/>
        </w:rPr>
        <w:t xml:space="preserve">Capítulo 1</w:t>
      </w:r>
      <w:r>
        <w:t xml:space="preserve"> </w:t>
      </w:r>
      <w:r>
        <w:t xml:space="preserve">presenta el marco teórico: la gestión de la calidad y la norma ISO 9001:2026, los planes de la calidad, los costos de la calidad, las pérdidas y el desperdicio de materiales en la construcción, el sistema de losas alivianadas con viguetas pretensadas, el marco normativo aplicable y los fundamentos de la evaluación</w:t>
      </w:r>
      <w:r>
        <w:t xml:space="preserve"> </w:t>
      </w:r>
      <w:r>
        <w:rPr>
          <w:iCs/>
          <w:i/>
        </w:rPr>
        <w:t xml:space="preserve">ex ante</w:t>
      </w:r>
      <w:r>
        <w:t xml:space="preserve"> </w:t>
      </w:r>
      <w:r>
        <w:t xml:space="preserve">mediante simulación.</w:t>
      </w:r>
    </w:p>
    <w:p>
      <w:pPr>
        <w:numPr>
          <w:ilvl w:val="0"/>
          <w:numId w:val="1005"/>
        </w:numPr>
      </w:pPr>
      <w:r>
        <w:t xml:space="preserve">El</w:t>
      </w:r>
      <w:r>
        <w:t xml:space="preserve"> </w:t>
      </w:r>
      <w:r>
        <w:rPr>
          <w:bCs/>
          <w:b/>
        </w:rPr>
        <w:t xml:space="preserve">Capítulo 2</w:t>
      </w:r>
      <w:r>
        <w:t xml:space="preserve"> </w:t>
      </w:r>
      <w:r>
        <w:t xml:space="preserve">describe el modelo de investigación, caracteriza el caso de estudio, define las variables, la población y la muestra, establece la línea base mediante el diagnóstico documental de la primera losa y desarrolla el diseño del SGC (Sección 2.6). Luego expone el procedimiento de implementación previsto y la evaluación</w:t>
      </w:r>
      <w:r>
        <w:t xml:space="preserve"> </w:t>
      </w:r>
      <w:r>
        <w:rPr>
          <w:iCs/>
          <w:i/>
        </w:rPr>
        <w:t xml:space="preserve">ex ante</w:t>
      </w:r>
      <w:r>
        <w:t xml:space="preserve"> </w:t>
      </w:r>
      <w:r>
        <w:t xml:space="preserve">mediante el modelo de costos y la simulación (Sección 2.7), la validación de las observaciones, del modelo y de los instrumentos (Sección 2.8) y el plan de contraste de hipótesis (Sección 2.9).</w:t>
      </w:r>
    </w:p>
    <w:p>
      <w:pPr>
        <w:numPr>
          <w:ilvl w:val="0"/>
          <w:numId w:val="1005"/>
        </w:numPr>
      </w:pPr>
      <w:r>
        <w:t xml:space="preserve">El</w:t>
      </w:r>
      <w:r>
        <w:t xml:space="preserve"> </w:t>
      </w:r>
      <w:r>
        <w:rPr>
          <w:bCs/>
          <w:b/>
        </w:rPr>
        <w:t xml:space="preserve">Capítulo 3</w:t>
      </w:r>
      <w:r>
        <w:t xml:space="preserve"> </w:t>
      </w:r>
      <w:r>
        <w:t xml:space="preserve">presenta los resultados del diagnóstico y de la línea base, los resultados del modelo de costos y de la simulación de Monte Carlo, el contraste de las hipótesis, el análisis de sensibilidad y la discusión con los antecedentes; la validación por juicio de expertos queda pendiente de aplicación.</w:t>
      </w:r>
    </w:p>
    <w:p>
      <w:pPr>
        <w:numPr>
          <w:ilvl w:val="0"/>
          <w:numId w:val="1005"/>
        </w:numPr>
      </w:pPr>
      <w:r>
        <w:t xml:space="preserve">Finalmente se exponen las conclusiones y recomendaciones, la bibliografía y los anexos, entre ellos la matriz de consistencia, la operacionalización de variables, los instrumentos del SGC, los planos y cómputos de la primera losa, los certificados de materiales, el análisis de precios unitarios de referencia y el código del modelo de costos y de la simulación.</w:t>
      </w:r>
    </w:p>
    <w:p>
      <w:pPr>
        <w:pStyle w:val="Heading1"/>
      </w:pPr>
      <w:bookmarkStart w:id="117" w:name="tit43"/>
      <w:r>
        <w:t xml:space="preserve">CAPÍTULO 1</w:t>
      </w:r>
      <w:r>
        <w:br/>
      </w:r>
      <w:r>
        <w:t xml:space="preserve">MARCO TEÓRICO DE LA GESTIÓN DE LA CALIDAD Y DEL CONTROL DE MATERIALES EN LOSAS ALIVIANADAS CON VIGUETAS PRETENSADAS</w:t>
      </w:r>
      <w:bookmarkEnd w:id="117"/>
    </w:p>
    <w:p>
      <w:pPr>
        <w:pStyle w:val="FirstParagraph"/>
      </w:pPr>
      <w:r>
        <w:t xml:space="preserve">Este capítulo reúne el conocimiento existente sobre el problema y lo integra con la investigación, como pide la guía del Seminario de Grado</w:t>
      </w:r>
      <w:r>
        <w:t xml:space="preserve"> </w:t>
      </w:r>
      <w:r>
        <w:t xml:space="preserve">(Barrios C., 2021c, diapositiva 8)</w:t>
      </w:r>
      <w:r>
        <w:t xml:space="preserve">. Parte del estado del arte y del vacío de conocimiento; sigue con la gestión de la calidad, la norma ISO 9001:2026, los costos de la calidad y las pérdidas de materiales; describe el sistema de losa, el marco normativo y el control de costos en las obras públicas; y termina con las herramientas de la calidad, los fundamentos de la evaluación</w:t>
      </w:r>
      <w:r>
        <w:t xml:space="preserve"> </w:t>
      </w:r>
      <w:r>
        <w:rPr>
          <w:iCs/>
          <w:i/>
        </w:rPr>
        <w:t xml:space="preserve">ex ante</w:t>
      </w:r>
      <w:r>
        <w:t xml:space="preserve"> </w:t>
      </w:r>
      <w:r>
        <w:t xml:space="preserve">y los términos básicos. Solo se citan documentos consultados directamente: cuando una fuente reporta datos de otros autores, se cita la fuente consultada y se advierte el origen del dato, porque la guía del docente prohíbe las citas de cita</w:t>
      </w:r>
      <w:r>
        <w:t xml:space="preserve"> </w:t>
      </w:r>
      <w:r>
        <w:t xml:space="preserve">(Barrios C., 2021c, diapositiva 18)</w:t>
      </w:r>
      <w:r>
        <w:t xml:space="preserve">.</w:t>
      </w:r>
    </w:p>
    <w:p>
      <w:pPr>
        <w:pStyle w:val="Heading2"/>
      </w:pPr>
      <w:bookmarkStart w:id="67" w:name="tit44"/>
      <w:r>
        <w:t xml:space="preserve">1.1. Estado del arte</w:t>
      </w:r>
      <w:bookmarkEnd w:id="67"/>
    </w:p>
    <w:p>
      <w:pPr>
        <w:pStyle w:val="FirstParagraph"/>
      </w:pPr>
      <w:r>
        <w:t xml:space="preserve">La revisión abarcó los documentos del repositorio de la tesis: 14 artículos científicos, 26 trabajos de grado de Bolivia, Perú, Colombia y Ecuador, y documentos técnicos y normativos. Conforme a la jerarquía de fuentes del docente</w:t>
      </w:r>
      <w:r>
        <w:t xml:space="preserve"> </w:t>
      </w:r>
      <w:r>
        <w:t xml:space="preserve">(Barrios C., 2021a, diapositiva 24)</w:t>
      </w:r>
      <w:r>
        <w:t xml:space="preserve">, se dio prioridad a los artículos y a las tesis. Los resultados se organizan en cuatro ejes: (a) calidad, retrabajo y costos de la calidad en la construcción; (b) desperdicio de materiales y su medición; (c) sistemas y planes de gestión de la calidad en obras y en fabricantes bolivianos de viguetas; y (d) losas con viguetas pretensadas. La Tabla 6 resume los antecedentes principales, y los apartados siguientes los contrastan.</w:t>
      </w:r>
    </w:p>
    <w:p>
      <w:pPr>
        <w:pStyle w:val="Caption"/>
      </w:pPr>
      <w:bookmarkStart w:id="1398" w:name="tab6"/>
      <w:r>
        <w:t xml:space="preserve"/>
      </w:r>
      <w:r>
        <w:rPr>
          <w:bCs/>
          <w:b/>
        </w:rPr>
        <w:t xml:space="preserve">Tabla 6</w:t>
      </w:r>
      <w:r>
        <w:br/>
      </w:r>
      <w:r>
        <w:rPr>
          <w:iCs/>
          <w:i/>
        </w:rPr>
        <w:t xml:space="preserve">Antecedentes de la investigación</w:t>
      </w:r>
      <w:bookmarkEnd w:id="1398"/>
    </w:p>
    <w:tbl>
      <w:tblPr>
        <w:tblStyle w:val="Table"/>
        <w:tblW w:w="9539" w:type="dxa"/>
        <w:jc w:val="left"/>
        <w:tblLayout w:type="fixed"/>
        <w:tblCellMar>
          <w:top w:w="0" w:type="dxa"/>
          <w:left w:w="85" w:type="dxa"/>
          <w:bottom w:w="0" w:type="dxa"/>
          <w:right w:w="85" w:type="dxa"/>
        </w:tblCellMar>
        <w:tblLook w:firstRow="1" w:lastRow="0" w:firstColumn="0" w:lastColumn="0" w:noHBand="0" w:noVBand="0" w:val="0020"/>
      </w:tblPr>
      <w:tblGrid>
        <w:gridCol w:w="2540"/>
        <w:gridCol w:w="1288"/>
        <w:gridCol w:w="2019"/>
        <w:gridCol w:w="1925"/>
        <w:gridCol w:w="1767"/>
      </w:tblGrid>
      <w:tr>
        <w:trPr>
          <w:cantSplit/>
          <w:tblHeader w:val="true"/>
        </w:trPr>
        <w:tc>
          <w:tcPr>
            <w:tcW w:w="2540" w:type="dxa"/>
            <w:tcBorders>
              <w:top w:val="single" w:sz="8" w:space="0" w:color="000000"/>
              <w:bottom w:val="single" w:sz="4" w:space="0" w:color="000000"/>
            </w:tcBorders>
          </w:tcPr>
          <w:p>
            <w:pPr>
              <w:pStyle w:val="CeldaAPA"/>
              <w:jc w:val="center"/>
            </w:pPr>
            <w:r>
              <w:rPr>
                <w:bCs/>
                <w:b/>
              </w:rPr>
              <w:t xml:space="preserve">Autor y año</w:t>
            </w:r>
          </w:p>
        </w:tc>
        <w:tc>
          <w:tcPr>
            <w:tcW w:w="1288" w:type="dxa"/>
            <w:tcBorders>
              <w:top w:val="single" w:sz="8" w:space="0" w:color="000000"/>
              <w:bottom w:val="single" w:sz="4" w:space="0" w:color="000000"/>
            </w:tcBorders>
          </w:tcPr>
          <w:p>
            <w:pPr>
              <w:pStyle w:val="CeldaAPA"/>
              <w:jc w:val="center"/>
            </w:pPr>
            <w:r>
              <w:rPr>
                <w:bCs/>
                <w:b/>
              </w:rPr>
              <w:t xml:space="preserve">País</w:t>
            </w:r>
          </w:p>
        </w:tc>
        <w:tc>
          <w:tcPr>
            <w:tcW w:w="2019" w:type="dxa"/>
            <w:tcBorders>
              <w:top w:val="single" w:sz="8" w:space="0" w:color="000000"/>
              <w:bottom w:val="single" w:sz="4" w:space="0" w:color="000000"/>
            </w:tcBorders>
          </w:tcPr>
          <w:p>
            <w:pPr>
              <w:pStyle w:val="CeldaAPA"/>
              <w:jc w:val="center"/>
            </w:pPr>
            <w:r>
              <w:rPr>
                <w:bCs/>
                <w:b/>
              </w:rPr>
              <w:t xml:space="preserve">Diseño y muestra</w:t>
            </w:r>
          </w:p>
        </w:tc>
        <w:tc>
          <w:tcPr>
            <w:tcW w:w="1925" w:type="dxa"/>
            <w:tcBorders>
              <w:top w:val="single" w:sz="8" w:space="0" w:color="000000"/>
              <w:bottom w:val="single" w:sz="4" w:space="0" w:color="000000"/>
            </w:tcBorders>
          </w:tcPr>
          <w:p>
            <w:pPr>
              <w:pStyle w:val="CeldaAPA"/>
              <w:jc w:val="center"/>
            </w:pPr>
            <w:r>
              <w:rPr>
                <w:bCs/>
                <w:b/>
              </w:rPr>
              <w:t xml:space="preserve">Resultado principal</w:t>
            </w:r>
          </w:p>
        </w:tc>
        <w:tc>
          <w:tcPr>
            <w:tcW w:w="1767" w:type="dxa"/>
            <w:tcBorders>
              <w:top w:val="single" w:sz="8" w:space="0" w:color="000000"/>
              <w:bottom w:val="single" w:sz="4" w:space="0" w:color="000000"/>
            </w:tcBorders>
          </w:tcPr>
          <w:p>
            <w:pPr>
              <w:pStyle w:val="CeldaAPA"/>
              <w:jc w:val="center"/>
            </w:pPr>
            <w:r>
              <w:rPr>
                <w:bCs/>
                <w:b/>
              </w:rPr>
              <w:t xml:space="preserve">Aporte a esta tesis</w:t>
            </w:r>
          </w:p>
        </w:tc>
      </w:tr>
      <w:tr>
        <w:tc>
          <w:tcPr>
            <w:tcW w:w="9539" w:type="dxa"/>
            <w:gridSpan w:val="5"/>
          </w:tcPr>
          <w:p>
            <w:pPr>
              <w:pStyle w:val="CeldaAPA"/>
              <w:jc w:val="left"/>
            </w:pPr>
            <w:r>
              <w:rPr>
                <w:iCs/>
                <w:i/>
              </w:rPr>
              <w:t xml:space="preserve">(a) Calidad, retrabajo y costos de la calidad</w:t>
            </w:r>
          </w:p>
        </w:tc>
      </w:tr>
      <w:tr>
        <w:tc>
          <w:tcPr>
            <w:tcW w:w="2540" w:type="dxa"/>
          </w:tcPr>
          <w:p>
            <w:pPr>
              <w:pStyle w:val="CeldaAPA"/>
              <w:jc w:val="left"/>
            </w:pPr>
            <w:r>
              <w:rPr/>
              <w:t xml:space="preserve">Forcada et al. (2017)</w:t>
            </w:r>
          </w:p>
        </w:tc>
        <w:tc>
          <w:tcPr>
            <w:tcW w:w="1288" w:type="dxa"/>
          </w:tcPr>
          <w:p>
            <w:pPr>
              <w:pStyle w:val="CeldaAPA"/>
              <w:jc w:val="left"/>
            </w:pPr>
            <w:r>
              <w:rPr/>
              <w:t xml:space="preserve">España</w:t>
            </w:r>
          </w:p>
        </w:tc>
        <w:tc>
          <w:tcPr>
            <w:tcW w:w="2019" w:type="dxa"/>
          </w:tcPr>
          <w:p>
            <w:pPr>
              <w:pStyle w:val="CeldaAPA"/>
              <w:jc w:val="left"/>
            </w:pPr>
            <w:r>
              <w:rPr/>
              <w:t xml:space="preserve">788 incidencias de 40 proyectos de una constructora certificada</w:t>
            </w:r>
          </w:p>
        </w:tc>
        <w:tc>
          <w:tcPr>
            <w:tcW w:w="1925" w:type="dxa"/>
          </w:tcPr>
          <w:p>
            <w:pPr>
              <w:pStyle w:val="CeldaAPA"/>
              <w:jc w:val="left"/>
            </w:pPr>
            <w:r>
              <w:rPr/>
              <w:t xml:space="preserve">Retrabajo: 2,75 % del valor del contrato</w:t>
            </w:r>
          </w:p>
        </w:tc>
        <w:tc>
          <w:tcPr>
            <w:tcW w:w="1767" w:type="dxa"/>
          </w:tcPr>
          <w:p>
            <w:pPr>
              <w:pStyle w:val="CeldaAPA"/>
              <w:jc w:val="left"/>
            </w:pPr>
            <w:r>
              <w:rPr/>
              <w:t xml:space="preserve">Registro estructurado de no conformidades</w:t>
            </w:r>
          </w:p>
        </w:tc>
      </w:tr>
      <w:tr>
        <w:tc>
          <w:tcPr>
            <w:tcW w:w="2540" w:type="dxa"/>
          </w:tcPr>
          <w:p>
            <w:pPr>
              <w:pStyle w:val="CeldaAPA"/>
              <w:jc w:val="left"/>
            </w:pPr>
            <w:r>
              <w:rPr/>
              <w:t xml:space="preserve">Khadim et al. (2023)</w:t>
            </w:r>
          </w:p>
        </w:tc>
        <w:tc>
          <w:tcPr>
            <w:tcW w:w="1288" w:type="dxa"/>
          </w:tcPr>
          <w:p>
            <w:pPr>
              <w:pStyle w:val="CeldaAPA"/>
              <w:jc w:val="left"/>
            </w:pPr>
            <w:r>
              <w:rPr/>
              <w:t xml:space="preserve">Pakistán</w:t>
            </w:r>
          </w:p>
        </w:tc>
        <w:tc>
          <w:tcPr>
            <w:tcW w:w="2019" w:type="dxa"/>
          </w:tcPr>
          <w:p>
            <w:pPr>
              <w:pStyle w:val="CeldaAPA"/>
              <w:jc w:val="left"/>
            </w:pPr>
            <w:r>
              <w:rPr/>
              <w:t xml:space="preserve">Modelo PAF con fallas ocultas; 102 expertos y 25 edificios</w:t>
            </w:r>
          </w:p>
        </w:tc>
        <w:tc>
          <w:tcPr>
            <w:tcW w:w="1925" w:type="dxa"/>
          </w:tcPr>
          <w:p>
            <w:pPr>
              <w:pStyle w:val="CeldaAPA"/>
              <w:jc w:val="left"/>
            </w:pPr>
            <w:r>
              <w:rPr/>
              <w:t xml:space="preserve">Costo de la calidad: 12,76 %; fallas visibles 2,34 % y ocultas 8,59 %; conformidad 1,83 %</w:t>
            </w:r>
          </w:p>
        </w:tc>
        <w:tc>
          <w:tcPr>
            <w:tcW w:w="1767" w:type="dxa"/>
          </w:tcPr>
          <w:p>
            <w:pPr>
              <w:pStyle w:val="CeldaAPA"/>
              <w:jc w:val="left"/>
            </w:pPr>
            <w:r>
              <w:rPr/>
              <w:t xml:space="preserve">Rubros PAF y costos ocultos</w:t>
            </w:r>
          </w:p>
        </w:tc>
      </w:tr>
      <w:tr>
        <w:tc>
          <w:tcPr>
            <w:tcW w:w="2540" w:type="dxa"/>
          </w:tcPr>
          <w:p>
            <w:pPr>
              <w:pStyle w:val="CeldaAPA"/>
              <w:jc w:val="left"/>
            </w:pPr>
            <w:r>
              <w:rPr/>
              <w:t xml:space="preserve">Álvarez Quintero (2014)</w:t>
            </w:r>
          </w:p>
        </w:tc>
        <w:tc>
          <w:tcPr>
            <w:tcW w:w="1288" w:type="dxa"/>
          </w:tcPr>
          <w:p>
            <w:pPr>
              <w:pStyle w:val="CeldaAPA"/>
              <w:jc w:val="left"/>
            </w:pPr>
            <w:r>
              <w:rPr/>
              <w:t xml:space="preserve">Colombia</w:t>
            </w:r>
          </w:p>
        </w:tc>
        <w:tc>
          <w:tcPr>
            <w:tcW w:w="2019" w:type="dxa"/>
          </w:tcPr>
          <w:p>
            <w:pPr>
              <w:pStyle w:val="CeldaAPA"/>
              <w:jc w:val="left"/>
            </w:pPr>
            <w:r>
              <w:rPr/>
              <w:t xml:space="preserve">Revisión de estudios internacionales (2000–2014)</w:t>
            </w:r>
          </w:p>
        </w:tc>
        <w:tc>
          <w:tcPr>
            <w:tcW w:w="1925" w:type="dxa"/>
          </w:tcPr>
          <w:p>
            <w:pPr>
              <w:pStyle w:val="CeldaAPA"/>
              <w:jc w:val="left"/>
            </w:pPr>
            <w:r>
              <w:rPr/>
              <w:t xml:space="preserve">Reprocesos: 6,59 % en promedio; 0,72 % con SGC</w:t>
            </w:r>
          </w:p>
        </w:tc>
        <w:tc>
          <w:tcPr>
            <w:tcW w:w="1767" w:type="dxa"/>
          </w:tcPr>
          <w:p>
            <w:pPr>
              <w:pStyle w:val="CeldaAPA"/>
              <w:jc w:val="left"/>
            </w:pPr>
            <w:r>
              <w:rPr/>
              <w:t xml:space="preserve">Reducción esperable; datos compilados</w:t>
            </w:r>
          </w:p>
        </w:tc>
      </w:tr>
      <w:tr>
        <w:tc>
          <w:tcPr>
            <w:tcW w:w="2540" w:type="dxa"/>
          </w:tcPr>
          <w:p>
            <w:pPr>
              <w:pStyle w:val="CeldaAPA"/>
              <w:jc w:val="left"/>
            </w:pPr>
            <w:r>
              <w:rPr/>
              <w:t xml:space="preserve">Gudiel Cairampoma y Solis Puente (2020)</w:t>
            </w:r>
          </w:p>
        </w:tc>
        <w:tc>
          <w:tcPr>
            <w:tcW w:w="1288" w:type="dxa"/>
          </w:tcPr>
          <w:p>
            <w:pPr>
              <w:pStyle w:val="CeldaAPA"/>
              <w:jc w:val="left"/>
            </w:pPr>
            <w:r>
              <w:rPr/>
              <w:t xml:space="preserve">Perú</w:t>
            </w:r>
          </w:p>
        </w:tc>
        <w:tc>
          <w:tcPr>
            <w:tcW w:w="2019" w:type="dxa"/>
          </w:tcPr>
          <w:p>
            <w:pPr>
              <w:pStyle w:val="CeldaAPA"/>
              <w:jc w:val="left"/>
            </w:pPr>
            <w:r>
              <w:rPr/>
              <w:t xml:space="preserve">Edificios de Lima; Pareto, Ishikawa y 10 expertos</w:t>
            </w:r>
          </w:p>
        </w:tc>
        <w:tc>
          <w:tcPr>
            <w:tcW w:w="1925" w:type="dxa"/>
          </w:tcPr>
          <w:p>
            <w:pPr>
              <w:pStyle w:val="CeldaAPA"/>
              <w:jc w:val="left"/>
            </w:pPr>
            <w:r>
              <w:rPr/>
              <w:t xml:space="preserve">No calidad: 2,7 % a 5,1 % del concreto armado; 80 % sin plan de calidad</w:t>
            </w:r>
          </w:p>
        </w:tc>
        <w:tc>
          <w:tcPr>
            <w:tcW w:w="1767" w:type="dxa"/>
          </w:tcPr>
          <w:p>
            <w:pPr>
              <w:pStyle w:val="CeldaAPA"/>
              <w:jc w:val="left"/>
            </w:pPr>
            <w:r>
              <w:rPr/>
              <w:t xml:space="preserve">Herramientas de la calidad</w:t>
            </w:r>
          </w:p>
        </w:tc>
      </w:tr>
      <w:tr>
        <w:tc>
          <w:tcPr>
            <w:tcW w:w="9539" w:type="dxa"/>
            <w:gridSpan w:val="5"/>
          </w:tcPr>
          <w:p>
            <w:pPr>
              <w:pStyle w:val="CeldaAPA"/>
              <w:jc w:val="left"/>
            </w:pPr>
            <w:r>
              <w:rPr>
                <w:iCs/>
                <w:i/>
              </w:rPr>
              <w:t xml:space="preserve">(b) Desperdicio de materiales y su medición</w:t>
            </w:r>
          </w:p>
        </w:tc>
      </w:tr>
      <w:tr>
        <w:tc>
          <w:tcPr>
            <w:tcW w:w="2540" w:type="dxa"/>
          </w:tcPr>
          <w:p>
            <w:pPr>
              <w:pStyle w:val="CeldaAPA"/>
              <w:jc w:val="left"/>
            </w:pPr>
            <w:r>
              <w:rPr/>
              <w:t xml:space="preserve">Galarza Meza (2011)</w:t>
            </w:r>
          </w:p>
        </w:tc>
        <w:tc>
          <w:tcPr>
            <w:tcW w:w="1288" w:type="dxa"/>
          </w:tcPr>
          <w:p>
            <w:pPr>
              <w:pStyle w:val="CeldaAPA"/>
              <w:jc w:val="left"/>
            </w:pPr>
            <w:r>
              <w:rPr/>
              <w:t xml:space="preserve">Perú</w:t>
            </w:r>
          </w:p>
        </w:tc>
        <w:tc>
          <w:tcPr>
            <w:tcW w:w="2019" w:type="dxa"/>
          </w:tcPr>
          <w:p>
            <w:pPr>
              <w:pStyle w:val="CeldaAPA"/>
              <w:jc w:val="left"/>
            </w:pPr>
            <w:r>
              <w:rPr/>
              <w:t xml:space="preserve">Dos edificios de Lima; medición en cinco etapas</w:t>
            </w:r>
          </w:p>
        </w:tc>
        <w:tc>
          <w:tcPr>
            <w:tcW w:w="1925" w:type="dxa"/>
          </w:tcPr>
          <w:p>
            <w:pPr>
              <w:pStyle w:val="CeldaAPA"/>
              <w:jc w:val="left"/>
            </w:pPr>
            <w:r>
              <w:rPr/>
              <w:t xml:space="preserve">Hormigón: 22 % sin control y 2,8 % con pedidos limitados; acero: 4,04 %</w:t>
            </w:r>
          </w:p>
        </w:tc>
        <w:tc>
          <w:tcPr>
            <w:tcW w:w="1767" w:type="dxa"/>
          </w:tcPr>
          <w:p>
            <w:pPr>
              <w:pStyle w:val="CeldaAPA"/>
              <w:jc w:val="left"/>
            </w:pPr>
            <w:r>
              <w:rPr/>
              <w:t xml:space="preserve">Protocolo de medición y control de pedidos</w:t>
            </w:r>
          </w:p>
        </w:tc>
      </w:tr>
      <w:tr>
        <w:tc>
          <w:tcPr>
            <w:tcW w:w="2540" w:type="dxa"/>
          </w:tcPr>
          <w:p>
            <w:pPr>
              <w:pStyle w:val="CeldaAPA"/>
              <w:jc w:val="left"/>
            </w:pPr>
            <w:r>
              <w:rPr/>
              <w:t xml:space="preserve">Chino Quispe y Zarate Chilqquetuma (2024)</w:t>
            </w:r>
          </w:p>
        </w:tc>
        <w:tc>
          <w:tcPr>
            <w:tcW w:w="1288" w:type="dxa"/>
          </w:tcPr>
          <w:p>
            <w:pPr>
              <w:pStyle w:val="CeldaAPA"/>
              <w:jc w:val="left"/>
            </w:pPr>
            <w:r>
              <w:rPr/>
              <w:t xml:space="preserve">Perú</w:t>
            </w:r>
          </w:p>
        </w:tc>
        <w:tc>
          <w:tcPr>
            <w:tcW w:w="2019" w:type="dxa"/>
          </w:tcPr>
          <w:p>
            <w:pPr>
              <w:pStyle w:val="CeldaAPA"/>
              <w:jc w:val="left"/>
            </w:pPr>
            <w:r>
              <w:rPr/>
              <w:t xml:space="preserve">Dos edificios del Cusco; acero ingresado frente al metrado</w:t>
            </w:r>
          </w:p>
        </w:tc>
        <w:tc>
          <w:tcPr>
            <w:tcW w:w="1925" w:type="dxa"/>
          </w:tcPr>
          <w:p>
            <w:pPr>
              <w:pStyle w:val="CeldaAPA"/>
              <w:jc w:val="left"/>
            </w:pPr>
            <w:r>
              <w:rPr/>
              <w:t xml:space="preserve">Acero: 14,58 % y 17,09 % convencional; 3,15 % y 3,19 % con despiece previo</w:t>
            </w:r>
          </w:p>
        </w:tc>
        <w:tc>
          <w:tcPr>
            <w:tcW w:w="1767" w:type="dxa"/>
          </w:tcPr>
          <w:p>
            <w:pPr>
              <w:pStyle w:val="CeldaAPA"/>
              <w:jc w:val="left"/>
            </w:pPr>
            <w:r>
              <w:rPr/>
              <w:t xml:space="preserve">Medición del acero; proyección</w:t>
            </w:r>
            <w:r>
              <w:rPr/>
              <w:t xml:space="preserve"> </w:t>
            </w:r>
            <w:r>
              <w:rPr>
                <w:iCs/>
                <w:i/>
              </w:rPr>
              <w:t xml:space="preserve">ex ante</w:t>
            </w:r>
          </w:p>
        </w:tc>
      </w:tr>
      <w:tr>
        <w:tc>
          <w:tcPr>
            <w:tcW w:w="2540" w:type="dxa"/>
          </w:tcPr>
          <w:p>
            <w:pPr>
              <w:pStyle w:val="CeldaAPA"/>
              <w:jc w:val="left"/>
            </w:pPr>
            <w:r>
              <w:rPr/>
              <w:t xml:space="preserve">Ruiz Muñoz y Rojas Bonilla (2018)</w:t>
            </w:r>
          </w:p>
        </w:tc>
        <w:tc>
          <w:tcPr>
            <w:tcW w:w="1288" w:type="dxa"/>
          </w:tcPr>
          <w:p>
            <w:pPr>
              <w:pStyle w:val="CeldaAPA"/>
              <w:jc w:val="left"/>
            </w:pPr>
            <w:r>
              <w:rPr/>
              <w:t xml:space="preserve">Colombia</w:t>
            </w:r>
          </w:p>
        </w:tc>
        <w:tc>
          <w:tcPr>
            <w:tcW w:w="2019" w:type="dxa"/>
          </w:tcPr>
          <w:p>
            <w:pPr>
              <w:pStyle w:val="CeldaAPA"/>
              <w:jc w:val="left"/>
            </w:pPr>
            <w:r>
              <w:rPr/>
              <w:t xml:space="preserve">Estudio de caso; cubicación teórica frente a metrado</w:t>
            </w:r>
          </w:p>
        </w:tc>
        <w:tc>
          <w:tcPr>
            <w:tcW w:w="1925" w:type="dxa"/>
          </w:tcPr>
          <w:p>
            <w:pPr>
              <w:pStyle w:val="CeldaAPA"/>
              <w:jc w:val="left"/>
            </w:pPr>
            <w:r>
              <w:rPr/>
              <w:t xml:space="preserve">Hormigón: 9 % en placas y 23 % en muros</w:t>
            </w:r>
          </w:p>
        </w:tc>
        <w:tc>
          <w:tcPr>
            <w:tcW w:w="1767" w:type="dxa"/>
          </w:tcPr>
          <w:p>
            <w:pPr>
              <w:pStyle w:val="CeldaAPA"/>
              <w:jc w:val="left"/>
            </w:pPr>
            <w:r>
              <w:rPr/>
              <w:t xml:space="preserve">Brecha entre lo presupuestado y lo real</w:t>
            </w:r>
          </w:p>
        </w:tc>
      </w:tr>
      <w:tr>
        <w:tc>
          <w:tcPr>
            <w:tcW w:w="9539" w:type="dxa"/>
            <w:gridSpan w:val="5"/>
          </w:tcPr>
          <w:p>
            <w:pPr>
              <w:pStyle w:val="CeldaAPA"/>
              <w:jc w:val="left"/>
            </w:pPr>
            <w:r>
              <w:rPr>
                <w:iCs/>
                <w:i/>
              </w:rPr>
              <w:t xml:space="preserve">(c) Sistemas y planes de gestión de la calidad</w:t>
            </w:r>
          </w:p>
        </w:tc>
      </w:tr>
      <w:tr>
        <w:tc>
          <w:tcPr>
            <w:tcW w:w="2540" w:type="dxa"/>
          </w:tcPr>
          <w:p>
            <w:pPr>
              <w:pStyle w:val="CeldaAPA"/>
              <w:jc w:val="left"/>
            </w:pPr>
            <w:r>
              <w:rPr/>
              <w:t xml:space="preserve">Prado-Román et al. (2018)</w:t>
            </w:r>
          </w:p>
        </w:tc>
        <w:tc>
          <w:tcPr>
            <w:tcW w:w="1288" w:type="dxa"/>
          </w:tcPr>
          <w:p>
            <w:pPr>
              <w:pStyle w:val="CeldaAPA"/>
              <w:jc w:val="left"/>
            </w:pPr>
            <w:r>
              <w:rPr/>
              <w:t xml:space="preserve">España</w:t>
            </w:r>
          </w:p>
        </w:tc>
        <w:tc>
          <w:tcPr>
            <w:tcW w:w="2019" w:type="dxa"/>
          </w:tcPr>
          <w:p>
            <w:pPr>
              <w:pStyle w:val="CeldaAPA"/>
              <w:jc w:val="left"/>
            </w:pPr>
            <w:r>
              <w:rPr/>
              <w:t xml:space="preserve">Cuestionario a 302 constructoras (126 respuestas)</w:t>
            </w:r>
          </w:p>
        </w:tc>
        <w:tc>
          <w:tcPr>
            <w:tcW w:w="1925" w:type="dxa"/>
          </w:tcPr>
          <w:p>
            <w:pPr>
              <w:pStyle w:val="CeldaAPA"/>
              <w:jc w:val="left"/>
            </w:pPr>
            <w:r>
              <w:rPr/>
              <w:t xml:space="preserve">ISO 9001 muy relevante para procesos (74,4 %) y operaciones (53,7 %)</w:t>
            </w:r>
          </w:p>
        </w:tc>
        <w:tc>
          <w:tcPr>
            <w:tcW w:w="1767" w:type="dxa"/>
          </w:tcPr>
          <w:p>
            <w:pPr>
              <w:pStyle w:val="CeldaAPA"/>
              <w:jc w:val="left"/>
            </w:pPr>
            <w:r>
              <w:rPr/>
              <w:t xml:space="preserve">Beneficios graduales</w:t>
            </w:r>
          </w:p>
        </w:tc>
      </w:tr>
      <w:tr>
        <w:tc>
          <w:tcPr>
            <w:tcW w:w="2540" w:type="dxa"/>
          </w:tcPr>
          <w:p>
            <w:pPr>
              <w:pStyle w:val="CeldaAPA"/>
              <w:jc w:val="left"/>
            </w:pPr>
            <w:r>
              <w:rPr/>
              <w:t xml:space="preserve">Romero y Serpell (2007)</w:t>
            </w:r>
          </w:p>
        </w:tc>
        <w:tc>
          <w:tcPr>
            <w:tcW w:w="1288" w:type="dxa"/>
          </w:tcPr>
          <w:p>
            <w:pPr>
              <w:pStyle w:val="CeldaAPA"/>
              <w:jc w:val="left"/>
            </w:pPr>
            <w:r>
              <w:rPr/>
              <w:t xml:space="preserve">Chile</w:t>
            </w:r>
          </w:p>
        </w:tc>
        <w:tc>
          <w:tcPr>
            <w:tcW w:w="2019" w:type="dxa"/>
          </w:tcPr>
          <w:p>
            <w:pPr>
              <w:pStyle w:val="CeldaAPA"/>
              <w:jc w:val="left"/>
            </w:pPr>
            <w:r>
              <w:rPr/>
              <w:t xml:space="preserve">Encuesta a 118 personas de 11 constructoras certificadas</w:t>
            </w:r>
          </w:p>
        </w:tc>
        <w:tc>
          <w:tcPr>
            <w:tcW w:w="1925" w:type="dxa"/>
          </w:tcPr>
          <w:p>
            <w:pPr>
              <w:pStyle w:val="CeldaAPA"/>
              <w:jc w:val="left"/>
            </w:pPr>
            <w:r>
              <w:rPr/>
              <w:t xml:space="preserve">Principios cumplidos en parte; 39 % ve las no conformidades como castigo</w:t>
            </w:r>
          </w:p>
        </w:tc>
        <w:tc>
          <w:tcPr>
            <w:tcW w:w="1767" w:type="dxa"/>
          </w:tcPr>
          <w:p>
            <w:pPr>
              <w:pStyle w:val="CeldaAPA"/>
              <w:jc w:val="left"/>
            </w:pPr>
            <w:r>
              <w:rPr/>
              <w:t xml:space="preserve">Riesgo de un SGC «de papel»</w:t>
            </w:r>
          </w:p>
        </w:tc>
      </w:tr>
      <w:tr>
        <w:tc>
          <w:tcPr>
            <w:tcW w:w="2540" w:type="dxa"/>
          </w:tcPr>
          <w:p>
            <w:pPr>
              <w:pStyle w:val="CeldaAPA"/>
              <w:jc w:val="left"/>
            </w:pPr>
            <w:r>
              <w:rPr/>
              <w:t xml:space="preserve">Muro Núñez (2020)</w:t>
            </w:r>
          </w:p>
        </w:tc>
        <w:tc>
          <w:tcPr>
            <w:tcW w:w="1288" w:type="dxa"/>
          </w:tcPr>
          <w:p>
            <w:pPr>
              <w:pStyle w:val="CeldaAPA"/>
              <w:jc w:val="left"/>
            </w:pPr>
            <w:r>
              <w:rPr/>
              <w:t xml:space="preserve">Perú</w:t>
            </w:r>
          </w:p>
        </w:tc>
        <w:tc>
          <w:tcPr>
            <w:tcW w:w="2019" w:type="dxa"/>
          </w:tcPr>
          <w:p>
            <w:pPr>
              <w:pStyle w:val="CeldaAPA"/>
              <w:jc w:val="left"/>
            </w:pPr>
            <w:r>
              <w:rPr/>
              <w:t xml:space="preserve">Plan de calidad con PPI en una estructura; 15 operaciones</w:t>
            </w:r>
          </w:p>
        </w:tc>
        <w:tc>
          <w:tcPr>
            <w:tcW w:w="1925" w:type="dxa"/>
          </w:tcPr>
          <w:p>
            <w:pPr>
              <w:pStyle w:val="CeldaAPA"/>
              <w:jc w:val="left"/>
            </w:pPr>
            <w:r>
              <w:rPr/>
              <w:t xml:space="preserve">96 no conformidades (76 % por mano de obra); costo de la calidad: 0,55 %</w:t>
            </w:r>
          </w:p>
        </w:tc>
        <w:tc>
          <w:tcPr>
            <w:tcW w:w="1767" w:type="dxa"/>
          </w:tcPr>
          <w:p>
            <w:pPr>
              <w:pStyle w:val="CeldaAPA"/>
              <w:jc w:val="left"/>
            </w:pPr>
            <w:r>
              <w:rPr/>
              <w:t xml:space="preserve">PPI con puntos de parada</w:t>
            </w:r>
          </w:p>
        </w:tc>
      </w:tr>
      <w:tr>
        <w:tc>
          <w:tcPr>
            <w:tcW w:w="2540" w:type="dxa"/>
          </w:tcPr>
          <w:p>
            <w:pPr>
              <w:pStyle w:val="CeldaAPA"/>
              <w:jc w:val="left"/>
            </w:pPr>
            <w:r>
              <w:rPr/>
              <w:t xml:space="preserve">Capcha Canaza (2016)</w:t>
            </w:r>
          </w:p>
        </w:tc>
        <w:tc>
          <w:tcPr>
            <w:tcW w:w="1288" w:type="dxa"/>
          </w:tcPr>
          <w:p>
            <w:pPr>
              <w:pStyle w:val="CeldaAPA"/>
              <w:jc w:val="left"/>
            </w:pPr>
            <w:r>
              <w:rPr/>
              <w:t xml:space="preserve">Bolivia</w:t>
            </w:r>
          </w:p>
        </w:tc>
        <w:tc>
          <w:tcPr>
            <w:tcW w:w="2019" w:type="dxa"/>
          </w:tcPr>
          <w:p>
            <w:pPr>
              <w:pStyle w:val="CeldaAPA"/>
              <w:jc w:val="left"/>
            </w:pPr>
            <w:r>
              <w:rPr/>
              <w:t xml:space="preserve">Certificación NB 997 y SGC de PREVITEC</w:t>
            </w:r>
          </w:p>
        </w:tc>
        <w:tc>
          <w:tcPr>
            <w:tcW w:w="1925" w:type="dxa"/>
          </w:tcPr>
          <w:p>
            <w:pPr>
              <w:pStyle w:val="CeldaAPA"/>
              <w:jc w:val="left"/>
            </w:pPr>
            <w:r>
              <w:rPr/>
              <w:t xml:space="preserve">Incumplimiento de la NB 997: 88 %</w:t>
            </w:r>
          </w:p>
        </w:tc>
        <w:tc>
          <w:tcPr>
            <w:tcW w:w="1767" w:type="dxa"/>
          </w:tcPr>
          <w:p>
            <w:pPr>
              <w:pStyle w:val="CeldaAPA"/>
              <w:jc w:val="left"/>
            </w:pPr>
            <w:r>
              <w:rPr/>
              <w:t xml:space="preserve">Recepción de viguetas por lote</w:t>
            </w:r>
          </w:p>
        </w:tc>
      </w:tr>
      <w:tr>
        <w:tc>
          <w:tcPr>
            <w:tcW w:w="2540" w:type="dxa"/>
          </w:tcPr>
          <w:p>
            <w:pPr>
              <w:pStyle w:val="CeldaAPA"/>
              <w:jc w:val="left"/>
            </w:pPr>
            <w:r>
              <w:rPr/>
              <w:t xml:space="preserve">Pajarito Mamani (2015)</w:t>
            </w:r>
          </w:p>
        </w:tc>
        <w:tc>
          <w:tcPr>
            <w:tcW w:w="1288" w:type="dxa"/>
          </w:tcPr>
          <w:p>
            <w:pPr>
              <w:pStyle w:val="CeldaAPA"/>
              <w:jc w:val="left"/>
            </w:pPr>
            <w:r>
              <w:rPr/>
              <w:t xml:space="preserve">Bolivia</w:t>
            </w:r>
          </w:p>
        </w:tc>
        <w:tc>
          <w:tcPr>
            <w:tcW w:w="2019" w:type="dxa"/>
          </w:tcPr>
          <w:p>
            <w:pPr>
              <w:pStyle w:val="CeldaAPA"/>
              <w:jc w:val="left"/>
            </w:pPr>
            <w:r>
              <w:rPr/>
              <w:t xml:space="preserve">Diagnóstico antes y después del SGC de TENSOCRET</w:t>
            </w:r>
          </w:p>
        </w:tc>
        <w:tc>
          <w:tcPr>
            <w:tcW w:w="1925" w:type="dxa"/>
          </w:tcPr>
          <w:p>
            <w:pPr>
              <w:pStyle w:val="CeldaAPA"/>
              <w:jc w:val="left"/>
            </w:pPr>
            <w:r>
              <w:rPr/>
              <w:t xml:space="preserve">Cumplimiento de 33,43 % a 81 %; fallas estimadas de Bs 35.950 a Bs 16.943,75 al año</w:t>
            </w:r>
          </w:p>
        </w:tc>
        <w:tc>
          <w:tcPr>
            <w:tcW w:w="1767" w:type="dxa"/>
          </w:tcPr>
          <w:p>
            <w:pPr>
              <w:pStyle w:val="CeldaAPA"/>
              <w:jc w:val="left"/>
            </w:pPr>
            <w:r>
              <w:rPr/>
              <w:t xml:space="preserve">PAF con y sin SGC</w:t>
            </w:r>
          </w:p>
        </w:tc>
      </w:tr>
      <w:tr>
        <w:tc>
          <w:tcPr>
            <w:tcW w:w="2540" w:type="dxa"/>
          </w:tcPr>
          <w:p>
            <w:pPr>
              <w:pStyle w:val="CeldaAPA"/>
              <w:jc w:val="left"/>
            </w:pPr>
            <w:r>
              <w:rPr/>
              <w:t xml:space="preserve">Mamani Gutiérrez (2017)</w:t>
            </w:r>
          </w:p>
        </w:tc>
        <w:tc>
          <w:tcPr>
            <w:tcW w:w="1288" w:type="dxa"/>
          </w:tcPr>
          <w:p>
            <w:pPr>
              <w:pStyle w:val="CeldaAPA"/>
              <w:jc w:val="left"/>
            </w:pPr>
            <w:r>
              <w:rPr/>
              <w:t xml:space="preserve">Bolivia</w:t>
            </w:r>
          </w:p>
        </w:tc>
        <w:tc>
          <w:tcPr>
            <w:tcW w:w="2019" w:type="dxa"/>
          </w:tcPr>
          <w:p>
            <w:pPr>
              <w:pStyle w:val="CeldaAPA"/>
              <w:jc w:val="left"/>
            </w:pPr>
            <w:r>
              <w:rPr/>
              <w:t xml:space="preserve">Sistema integrado en la línea de viguetas de TECNOPOR</w:t>
            </w:r>
          </w:p>
        </w:tc>
        <w:tc>
          <w:tcPr>
            <w:tcW w:w="1925" w:type="dxa"/>
          </w:tcPr>
          <w:p>
            <w:pPr>
              <w:pStyle w:val="CeldaAPA"/>
              <w:jc w:val="left"/>
            </w:pPr>
            <w:r>
              <w:rPr/>
              <w:t xml:space="preserve">Cumplimiento ISO 9001 de 12 %; de 86 % a 94 % tras implantarlo</w:t>
            </w:r>
          </w:p>
        </w:tc>
        <w:tc>
          <w:tcPr>
            <w:tcW w:w="1767" w:type="dxa"/>
          </w:tcPr>
          <w:p>
            <w:pPr>
              <w:pStyle w:val="CeldaAPA"/>
              <w:jc w:val="left"/>
            </w:pPr>
            <w:r>
              <w:rPr/>
              <w:t xml:space="preserve">Brecha aun con NB 997</w:t>
            </w:r>
          </w:p>
        </w:tc>
      </w:tr>
      <w:tr>
        <w:tc>
          <w:tcPr>
            <w:tcW w:w="2540" w:type="dxa"/>
          </w:tcPr>
          <w:p>
            <w:pPr>
              <w:pStyle w:val="CeldaAPA"/>
              <w:jc w:val="left"/>
            </w:pPr>
            <w:r>
              <w:rPr/>
              <w:t xml:space="preserve">Peña Callisaya (2024)</w:t>
            </w:r>
          </w:p>
        </w:tc>
        <w:tc>
          <w:tcPr>
            <w:tcW w:w="1288" w:type="dxa"/>
          </w:tcPr>
          <w:p>
            <w:pPr>
              <w:pStyle w:val="CeldaAPA"/>
              <w:jc w:val="left"/>
            </w:pPr>
            <w:r>
              <w:rPr/>
              <w:t xml:space="preserve">Bolivia</w:t>
            </w:r>
          </w:p>
        </w:tc>
        <w:tc>
          <w:tcPr>
            <w:tcW w:w="2019" w:type="dxa"/>
          </w:tcPr>
          <w:p>
            <w:pPr>
              <w:pStyle w:val="CeldaAPA"/>
              <w:jc w:val="left"/>
            </w:pPr>
            <w:r>
              <w:rPr/>
              <w:t xml:space="preserve">Diagnóstico y diseño del SGC de ISOCRET</w:t>
            </w:r>
          </w:p>
        </w:tc>
        <w:tc>
          <w:tcPr>
            <w:tcW w:w="1925" w:type="dxa"/>
          </w:tcPr>
          <w:p>
            <w:pPr>
              <w:pStyle w:val="CeldaAPA"/>
              <w:jc w:val="left"/>
            </w:pPr>
            <w:r>
              <w:rPr/>
              <w:t xml:space="preserve">Cumplimiento de 43 %; B/C de 1,24</w:t>
            </w:r>
          </w:p>
        </w:tc>
        <w:tc>
          <w:tcPr>
            <w:tcW w:w="1767" w:type="dxa"/>
          </w:tcPr>
          <w:p>
            <w:pPr>
              <w:pStyle w:val="CeldaAPA"/>
              <w:jc w:val="left"/>
            </w:pPr>
            <w:r>
              <w:rPr/>
              <w:t xml:space="preserve">Liberación de viguetas</w:t>
            </w:r>
          </w:p>
        </w:tc>
      </w:tr>
      <w:tr>
        <w:tc>
          <w:tcPr>
            <w:tcW w:w="2540" w:type="dxa"/>
          </w:tcPr>
          <w:p>
            <w:pPr>
              <w:pStyle w:val="CeldaAPA"/>
              <w:jc w:val="left"/>
            </w:pPr>
            <w:r>
              <w:rPr/>
              <w:t xml:space="preserve">Mamani Calsina (2025)</w:t>
            </w:r>
          </w:p>
        </w:tc>
        <w:tc>
          <w:tcPr>
            <w:tcW w:w="1288" w:type="dxa"/>
          </w:tcPr>
          <w:p>
            <w:pPr>
              <w:pStyle w:val="CeldaAPA"/>
              <w:jc w:val="left"/>
            </w:pPr>
            <w:r>
              <w:rPr/>
              <w:t xml:space="preserve">Bolivia</w:t>
            </w:r>
          </w:p>
        </w:tc>
        <w:tc>
          <w:tcPr>
            <w:tcW w:w="2019" w:type="dxa"/>
          </w:tcPr>
          <w:p>
            <w:pPr>
              <w:pStyle w:val="CeldaAPA"/>
              <w:jc w:val="left"/>
            </w:pPr>
            <w:r>
              <w:rPr/>
              <w:t xml:space="preserve">Lista de verificación y diseño del SGC de PRENSOCRET</w:t>
            </w:r>
          </w:p>
        </w:tc>
        <w:tc>
          <w:tcPr>
            <w:tcW w:w="1925" w:type="dxa"/>
          </w:tcPr>
          <w:p>
            <w:pPr>
              <w:pStyle w:val="CeldaAPA"/>
              <w:jc w:val="left"/>
            </w:pPr>
            <w:r>
              <w:rPr/>
              <w:t xml:space="preserve">Cumplimiento de 24 % (cláusula 9: 11 %); B/C de 1,11</w:t>
            </w:r>
          </w:p>
        </w:tc>
        <w:tc>
          <w:tcPr>
            <w:tcW w:w="1767" w:type="dxa"/>
          </w:tcPr>
          <w:p>
            <w:pPr>
              <w:pStyle w:val="CeldaAPA"/>
              <w:jc w:val="left"/>
            </w:pPr>
            <w:r>
              <w:rPr/>
              <w:t xml:space="preserve">Diagnóstico de brechas</w:t>
            </w:r>
          </w:p>
        </w:tc>
      </w:tr>
      <w:tr>
        <w:tc>
          <w:tcPr>
            <w:tcW w:w="9539" w:type="dxa"/>
            <w:gridSpan w:val="5"/>
          </w:tcPr>
          <w:p>
            <w:pPr>
              <w:pStyle w:val="CeldaAPA"/>
              <w:jc w:val="left"/>
            </w:pPr>
            <w:r>
              <w:rPr>
                <w:iCs/>
                <w:i/>
              </w:rPr>
              <w:t xml:space="preserve">(d) Losas con viguetas pretensadas</w:t>
            </w:r>
          </w:p>
        </w:tc>
      </w:tr>
      <w:tr>
        <w:tc>
          <w:tcPr>
            <w:tcW w:w="2540" w:type="dxa"/>
          </w:tcPr>
          <w:p>
            <w:pPr>
              <w:pStyle w:val="CeldaAPA"/>
              <w:jc w:val="left"/>
            </w:pPr>
            <w:r>
              <w:rPr/>
              <w:t xml:space="preserve">Alcón Aranda (2009)</w:t>
            </w:r>
          </w:p>
        </w:tc>
        <w:tc>
          <w:tcPr>
            <w:tcW w:w="1288" w:type="dxa"/>
          </w:tcPr>
          <w:p>
            <w:pPr>
              <w:pStyle w:val="CeldaAPA"/>
              <w:jc w:val="left"/>
            </w:pPr>
            <w:r>
              <w:rPr/>
              <w:t xml:space="preserve">Bolivia</w:t>
            </w:r>
          </w:p>
        </w:tc>
        <w:tc>
          <w:tcPr>
            <w:tcW w:w="2019" w:type="dxa"/>
          </w:tcPr>
          <w:p>
            <w:pPr>
              <w:pStyle w:val="CeldaAPA"/>
              <w:jc w:val="left"/>
            </w:pPr>
            <w:r>
              <w:rPr/>
              <w:t xml:space="preserve">Fabricación en planta y aplicación en obra</w:t>
            </w:r>
          </w:p>
        </w:tc>
        <w:tc>
          <w:tcPr>
            <w:tcW w:w="1925" w:type="dxa"/>
          </w:tcPr>
          <w:p>
            <w:pPr>
              <w:pStyle w:val="CeldaAPA"/>
              <w:jc w:val="left"/>
            </w:pPr>
            <w:r>
              <w:rPr/>
              <w:t xml:space="preserve">Viguetas:</w:t>
            </w:r>
            <w:r>
              <w:rPr/>
              <w:t xml:space="preserve"> </w:t>
            </w:r>
            <m:oMath>
              <m:sSub>
                <m:e>
                  <m:r>
                    <m:t>f</m:t>
                  </m:r>
                </m:e>
                <m:sub>
                  <m:r>
                    <m:t>m</m:t>
                  </m:r>
                </m:sub>
              </m:sSub>
              <m:r>
                <m:rPr>
                  <m:sty m:val="p"/>
                </m:rPr>
                <m:t>=</m:t>
              </m:r>
              <m:r>
                <m:t>443</m:t>
              </m:r>
              <m:r>
                <m:rPr>
                  <m:sty m:val="p"/>
                </m:rPr>
                <m:t>,</m:t>
              </m:r>
              <m:r>
                <m:t>50</m:t>
              </m:r>
            </m:oMath>
            <w:r>
              <w:rPr/>
              <w:t xml:space="preserve"> kg/cm</w:t>
            </w:r>
            <w:r>
              <w:rPr>
                <w:vertAlign w:val="superscript"/>
              </w:rPr>
              <w:t xml:space="preserve">2</w:t>
            </w:r>
            <w:r>
              <w:rPr/>
              <w:t xml:space="preserve">,</w:t>
            </w:r>
            <w:r>
              <w:rPr/>
              <w:t xml:space="preserve"> </w:t>
            </w:r>
            <m:oMath>
              <m:r>
                <m:t>S</m:t>
              </m:r>
              <m:r>
                <m:rPr>
                  <m:sty m:val="p"/>
                </m:rPr>
                <m:t>=</m:t>
              </m:r>
              <m:r>
                <m:t>25</m:t>
              </m:r>
              <m:r>
                <m:rPr>
                  <m:sty m:val="p"/>
                </m:rPr>
                <m:t>,</m:t>
              </m:r>
              <m:r>
                <m:t>97</m:t>
              </m:r>
            </m:oMath>
            <w:r>
              <w:rPr/>
              <w:t xml:space="preserve"> kg/cm</w:t>
            </w:r>
            <w:r>
              <w:rPr>
                <w:vertAlign w:val="superscript"/>
              </w:rPr>
              <w:t xml:space="preserve">2</w:t>
            </w:r>
          </w:p>
        </w:tc>
        <w:tc>
          <w:tcPr>
            <w:tcW w:w="1767" w:type="dxa"/>
          </w:tcPr>
          <w:p>
            <w:pPr>
              <w:pStyle w:val="CeldaAPA"/>
              <w:jc w:val="left"/>
            </w:pPr>
            <w:r>
              <w:rPr/>
              <w:t xml:space="preserve">Recepción y consumos por m</w:t>
            </w:r>
            <w:r>
              <w:rPr>
                <w:vertAlign w:val="superscript"/>
              </w:rPr>
              <w:t xml:space="preserve">2</w:t>
            </w:r>
          </w:p>
        </w:tc>
      </w:tr>
      <w:tr>
        <w:tc>
          <w:tcPr>
            <w:tcW w:w="2540" w:type="dxa"/>
          </w:tcPr>
          <w:p>
            <w:pPr>
              <w:pStyle w:val="CeldaAPA"/>
              <w:jc w:val="left"/>
            </w:pPr>
            <w:r>
              <w:rPr/>
              <w:t xml:space="preserve">Castañeda Briceño (2017)</w:t>
            </w:r>
          </w:p>
        </w:tc>
        <w:tc>
          <w:tcPr>
            <w:tcW w:w="1288" w:type="dxa"/>
          </w:tcPr>
          <w:p>
            <w:pPr>
              <w:pStyle w:val="CeldaAPA"/>
              <w:jc w:val="left"/>
            </w:pPr>
            <w:r>
              <w:rPr/>
              <w:t xml:space="preserve">Perú</w:t>
            </w:r>
          </w:p>
        </w:tc>
        <w:tc>
          <w:tcPr>
            <w:tcW w:w="2019" w:type="dxa"/>
          </w:tcPr>
          <w:p>
            <w:pPr>
              <w:pStyle w:val="CeldaAPA"/>
              <w:jc w:val="left"/>
            </w:pPr>
            <w:r>
              <w:rPr/>
              <w:t xml:space="preserve">Losa de 271,05 m</w:t>
            </w:r>
            <w:r>
              <w:rPr>
                <w:vertAlign w:val="superscript"/>
              </w:rPr>
              <w:t xml:space="preserve">2</w:t>
            </w:r>
            <w:r>
              <w:rPr/>
              <w:t xml:space="preserve"> </w:t>
            </w:r>
            <w:r>
              <w:rPr/>
              <w:t xml:space="preserve">frente a la aligerada convencional</w:t>
            </w:r>
          </w:p>
        </w:tc>
        <w:tc>
          <w:tcPr>
            <w:tcW w:w="1925" w:type="dxa"/>
          </w:tcPr>
          <w:p>
            <w:pPr>
              <w:pStyle w:val="CeldaAPA"/>
              <w:jc w:val="left"/>
            </w:pPr>
            <w:r>
              <w:rPr/>
              <w:t xml:space="preserve">Costo 27 % menor y tiempo 40 % menor</w:t>
            </w:r>
          </w:p>
        </w:tc>
        <w:tc>
          <w:tcPr>
            <w:tcW w:w="1767" w:type="dxa"/>
          </w:tcPr>
          <w:p>
            <w:pPr>
              <w:pStyle w:val="CeldaAPA"/>
              <w:jc w:val="left"/>
            </w:pPr>
            <w:r>
              <w:rPr/>
              <w:t xml:space="preserve">Ventajas del sistema</w:t>
            </w:r>
          </w:p>
        </w:tc>
      </w:tr>
      <w:tr>
        <w:tc>
          <w:tcPr>
            <w:tcW w:w="2540" w:type="dxa"/>
            <w:tcBorders>
              <w:bottom w:val="single" w:sz="8" w:space="0" w:color="000000"/>
            </w:tcBorders>
          </w:tcPr>
          <w:p>
            <w:pPr>
              <w:pStyle w:val="CeldaAPA"/>
              <w:jc w:val="left"/>
            </w:pPr>
            <w:r>
              <w:rPr/>
              <w:t xml:space="preserve">Cocarico Mamani (2022)</w:t>
            </w:r>
          </w:p>
        </w:tc>
        <w:tc>
          <w:tcPr>
            <w:tcW w:w="1288" w:type="dxa"/>
            <w:tcBorders>
              <w:bottom w:val="single" w:sz="8" w:space="0" w:color="000000"/>
            </w:tcBorders>
          </w:tcPr>
          <w:p>
            <w:pPr>
              <w:pStyle w:val="CeldaAPA"/>
              <w:jc w:val="left"/>
            </w:pPr>
            <w:r>
              <w:rPr/>
              <w:t xml:space="preserve">Bolivia</w:t>
            </w:r>
          </w:p>
        </w:tc>
        <w:tc>
          <w:tcPr>
            <w:tcW w:w="2019" w:type="dxa"/>
            <w:tcBorders>
              <w:bottom w:val="single" w:sz="8" w:space="0" w:color="000000"/>
            </w:tcBorders>
          </w:tcPr>
          <w:p>
            <w:pPr>
              <w:pStyle w:val="CeldaAPA"/>
              <w:jc w:val="left"/>
            </w:pPr>
            <w:r>
              <w:rPr/>
              <w:t xml:space="preserve">Dos modelos del Edificio Ares (25 niveles)</w:t>
            </w:r>
          </w:p>
        </w:tc>
        <w:tc>
          <w:tcPr>
            <w:tcW w:w="1925" w:type="dxa"/>
            <w:tcBorders>
              <w:bottom w:val="single" w:sz="8" w:space="0" w:color="000000"/>
            </w:tcBorders>
          </w:tcPr>
          <w:p>
            <w:pPr>
              <w:pStyle w:val="CeldaAPA"/>
              <w:jc w:val="left"/>
            </w:pPr>
            <w:r>
              <w:rPr/>
              <w:t xml:space="preserve">Losa postensada 2,53 % más económica que la de hormigón armado</w:t>
            </w:r>
          </w:p>
        </w:tc>
        <w:tc>
          <w:tcPr>
            <w:tcW w:w="1767" w:type="dxa"/>
            <w:tcBorders>
              <w:bottom w:val="single" w:sz="8" w:space="0" w:color="000000"/>
            </w:tcBorders>
          </w:tcPr>
          <w:p>
            <w:pPr>
              <w:pStyle w:val="CeldaAPA"/>
              <w:jc w:val="left"/>
            </w:pPr>
            <w:r>
              <w:rPr/>
              <w:t xml:space="preserve">Estructura boliviana del precio unitario</w:t>
            </w:r>
          </w:p>
        </w:tc>
      </w:tr>
    </w:tbl>
    <w:p>
      <w:pPr>
        <w:pStyle w:val="NotaAPA"/>
      </w:pPr>
      <w:r>
        <w:rPr>
          <w:iCs/>
          <w:i/>
        </w:rPr>
        <w:t xml:space="preserve">Nota.</w:t>
      </w:r>
      <w:r>
        <w:t xml:space="preserve"> </w:t>
      </w:r>
      <w:r>
        <w:t xml:space="preserve">Elaborado con base en las fuentes citadas en la tabla. PAF: prevención, evaluación y fallas; PPI: plan de puntos de inspección; B/C: relación beneficio/costo;</w:t>
      </w:r>
      <w:r>
        <w:t xml:space="preserve"> </w:t>
      </w:r>
      <m:oMath>
        <m:sSub>
          <m:e>
            <m:r>
              <m:t>f</m:t>
            </m:r>
          </m:e>
          <m:sub>
            <m:r>
              <m:t>m</m:t>
            </m:r>
          </m:sub>
        </m:sSub>
      </m:oMath>
      <w:r>
        <w:t xml:space="preserve">: resistencia media;</w:t>
      </w:r>
      <w:r>
        <w:t xml:space="preserve"> </w:t>
      </w:r>
      <m:oMath>
        <m:r>
          <m:t>S</m:t>
        </m:r>
      </m:oMath>
      <w:r>
        <w:t xml:space="preserve">: desviación típica.</w:t>
      </w:r>
    </w:p>
    <w:p>
      <w:pPr>
        <w:pStyle w:val="Heading3"/>
      </w:pPr>
      <w:bookmarkStart w:id="62" w:name="tit45"/>
      <w:r>
        <w:t xml:space="preserve">1.1.1. Calidad, retrabajo y costos de la calidad en la construcción</w:t>
      </w:r>
      <w:bookmarkEnd w:id="62"/>
    </w:p>
    <w:p>
      <w:pPr>
        <w:pStyle w:val="FirstParagraph"/>
      </w:pPr>
      <w:r>
        <w:t xml:space="preserve">Las cifras sobre el costo de la mala calidad varían en un orden de magnitud según qué se mide y cómo se mide. El retrabajo registrado en los informes de no conformidad de una constructora certificada fue del 2,75 % del valor original del contrato</w:t>
      </w:r>
      <w:r>
        <w:t xml:space="preserve"> </w:t>
      </w:r>
      <w:r>
        <w:t xml:space="preserve">(Forcada et al., 2017, p. 8)</w:t>
      </w:r>
      <w:r>
        <w:t xml:space="preserve">, mientras que un modelo que añade las fallas ocultas estimó un costo de la calidad del 12,76 % del costo total de 25 edificios</w:t>
      </w:r>
      <w:r>
        <w:t xml:space="preserve"> </w:t>
      </w:r>
      <w:r>
        <w:t xml:space="preserve">(Khadim et al., 2023, pp. 5420–5423)</w:t>
      </w:r>
      <w:r>
        <w:t xml:space="preserve">. Los dos resultados no se contradicen: el primero mide lo que captura un sistema de registro; el segundo muestra que la mayor parte del costo de las fallas nunca llega a registrarse. Sobre el efecto de la prevención, la evidencia es consistente en el signo, pero débil en la magnitud: la reducción de los reprocesos del 6,5 % al 0,72 % del valor del contrato en proyectos con SGC procede de promedios compilados de otros estudios, no de una medición en obra</w:t>
      </w:r>
      <w:r>
        <w:t xml:space="preserve"> </w:t>
      </w:r>
      <w:r>
        <w:t xml:space="preserve">(Álvarez Quintero, 2014, pp. 12, 20)</w:t>
      </w:r>
      <w:r>
        <w:t xml:space="preserve">. De este eje se derivan dos lecciones: los porcentajes no son comparables si no se declaran la base de cálculo y el alcance de las fallas consideradas, y siempre debe distinguirse lo medido de lo estimado (sección 1.4).</w:t>
      </w:r>
    </w:p>
    <w:p>
      <w:pPr>
        <w:pStyle w:val="Heading3"/>
      </w:pPr>
      <w:bookmarkStart w:id="63" w:name="tit46"/>
      <w:r>
        <w:t xml:space="preserve">1.1.2. Desperdicio de materiales y su medición</w:t>
      </w:r>
      <w:bookmarkEnd w:id="63"/>
    </w:p>
    <w:p>
      <w:pPr>
        <w:pStyle w:val="FirstParagraph"/>
      </w:pPr>
      <w:r>
        <w:t xml:space="preserve">Formoso et al. (1999, pp. 326–327)</w:t>
      </w:r>
      <w:r>
        <w:t xml:space="preserve"> </w:t>
      </w:r>
      <w:r>
        <w:t xml:space="preserve">sintetizaron los estudios brasileños previos en tres constataciones que la literatura posterior confirma: el desperdicio real es muy superior a los porcentajes nominales de los presupuestos; varía mucho incluso entre obras similares, lo que indica que en gran parte es evitable; y sus causas están más en el sistema de gestión que en la falta de calificación de los trabajadores. Las mediciones posteriores lo corroboran. Las pérdidas reales de hormigón superaron ampliamente el desperdicio previsto en el presupuesto</w:t>
      </w:r>
      <w:r>
        <w:t xml:space="preserve"> </w:t>
      </w:r>
      <w:r>
        <w:t xml:space="preserve">(Ruiz Muñoz y Rojas Bonilla, 2018, pp. 33, 69)</w:t>
      </w:r>
      <w:r>
        <w:t xml:space="preserve">, y los índices bajaron a una fracción de los obtenidos sin control cuando se limitaron los pedidos de hormigón</w:t>
      </w:r>
      <w:r>
        <w:t xml:space="preserve"> </w:t>
      </w:r>
      <w:r>
        <w:t xml:space="preserve">(Galarza Meza, 2011, pp. 53, 73)</w:t>
      </w:r>
      <w:r>
        <w:t xml:space="preserve"> </w:t>
      </w:r>
      <w:r>
        <w:t xml:space="preserve">o se aplicó el despiece previo del acero</w:t>
      </w:r>
      <w:r>
        <w:t xml:space="preserve"> </w:t>
      </w:r>
      <w:r>
        <w:t xml:space="preserve">(Chino Quispe y Zarate Chilqquetuma, 2024, pp. 147, 169)</w:t>
      </w:r>
      <w:r>
        <w:t xml:space="preserve">. Estos trabajos coinciden en el método —comparar la cantidad consumida, según guías de compra, registros de almacén o vales de salida, con la cantidad teórica de los planos— y en su limitación: los índices dependen de la calidad de los registros y no se pueden extrapolar de una obra a otra</w:t>
      </w:r>
      <w:r>
        <w:t xml:space="preserve"> </w:t>
      </w:r>
      <w:r>
        <w:t xml:space="preserve">(Galarza Meza, 2011, p. 39)</w:t>
      </w:r>
      <w:r>
        <w:t xml:space="preserve">. Ninguno mide el desperdicio de viguetas pretensadas ni de complementos de poliestireno expandido.</w:t>
      </w:r>
    </w:p>
    <w:p>
      <w:pPr>
        <w:pStyle w:val="Heading3"/>
      </w:pPr>
      <w:bookmarkStart w:id="64" w:name="tit47"/>
      <w:r>
        <w:t xml:space="preserve">1.1.3. Sistemas y planes de gestión de la calidad en obras y en fabricantes de viguetas</w:t>
      </w:r>
      <w:bookmarkEnd w:id="64"/>
    </w:p>
    <w:p>
      <w:pPr>
        <w:pStyle w:val="FirstParagraph"/>
      </w:pPr>
      <w:r>
        <w:t xml:space="preserve">En las constructoras, los beneficios de la certificación ISO 9001 son reales, pero graduales y condicionados a una implantación efectiva: dependen de la antigüedad de la certificación y no del tamaño de la empresa</w:t>
      </w:r>
      <w:r>
        <w:t xml:space="preserve"> </w:t>
      </w:r>
      <w:r>
        <w:t xml:space="preserve">(Prado-Román et al., 2018, pp. 161–164)</w:t>
      </w:r>
      <w:r>
        <w:t xml:space="preserve">, y conviven con prácticas débiles, como el escaso rechazo de los materiales no conformes</w:t>
      </w:r>
      <w:r>
        <w:t xml:space="preserve"> </w:t>
      </w:r>
      <w:r>
        <w:t xml:space="preserve">(Shaikh y Sohu, 2020, pp. 1139–1140)</w:t>
      </w:r>
      <w:r>
        <w:t xml:space="preserve"> </w:t>
      </w:r>
      <w:r>
        <w:t xml:space="preserve">o sistemas que «funcionan en el papel»</w:t>
      </w:r>
      <w:r>
        <w:t xml:space="preserve"> </w:t>
      </w:r>
      <w:r>
        <w:t xml:space="preserve">(Romero y Serpell, 2007, pp. 202, 209)</w:t>
      </w:r>
      <w:r>
        <w:t xml:space="preserve">. En las obras, los planes de la calidad con puntos de inspección producen resultados medibles a bajo costo: en la estructura de un centro comercial se registraron 96 no conformidades con un costo total de la calidad del 0,55 % del presupuesto</w:t>
      </w:r>
      <w:r>
        <w:t xml:space="preserve"> </w:t>
      </w:r>
      <w:r>
        <w:t xml:space="preserve">(Muro Núñez, 2020, pp. 16–17, 49)</w:t>
      </w:r>
      <w:r>
        <w:t xml:space="preserve">. En cambio, el 80 % de los proyectos analizados por</w:t>
      </w:r>
      <w:r>
        <w:t xml:space="preserve"> </w:t>
      </w:r>
      <w:r>
        <w:t xml:space="preserve">Gudiel Cairampoma y Solis Puente (2020, p. 80)</w:t>
      </w:r>
      <w:r>
        <w:t xml:space="preserve"> </w:t>
      </w:r>
      <w:r>
        <w:t xml:space="preserve">no tenía plan de calidad.</w:t>
      </w:r>
    </w:p>
    <w:p>
      <w:pPr>
        <w:pStyle w:val="BodyText"/>
      </w:pPr>
      <w:r>
        <w:t xml:space="preserve">En Bolivia, los SGC estudiados corresponden a fabricantes de viguetas y de complementos. Sus diagnósticos iniciales muestran un cumplimiento bajo de la norma (Tabla 6), con la evaluación del desempeño como el requisito más débil</w:t>
      </w:r>
      <w:r>
        <w:t xml:space="preserve"> </w:t>
      </w:r>
      <w:r>
        <w:t xml:space="preserve">(Mamani Calsina, 2025, p. 48)</w:t>
      </w:r>
      <w:r>
        <w:t xml:space="preserve"> </w:t>
      </w:r>
      <w:r>
        <w:t xml:space="preserve">(Pajarito Mamani, 2015, p. 77)</w:t>
      </w:r>
      <w:r>
        <w:t xml:space="preserve">. Solo dos trabajos repitieron el diagnóstico después de implantar el sistema, con mediciones de las propias autoras</w:t>
      </w:r>
      <w:r>
        <w:t xml:space="preserve"> </w:t>
      </w:r>
      <w:r>
        <w:t xml:space="preserve">(Pajarito Mamani, 2015, p. 134)</w:t>
      </w:r>
      <w:r>
        <w:t xml:space="preserve"> </w:t>
      </w:r>
      <w:r>
        <w:t xml:space="preserve">(Mamani Gutiérrez, 2017, p. 130)</w:t>
      </w:r>
      <w:r>
        <w:t xml:space="preserve">, y los efectos económicos son, en su mayoría, proyecciones:</w:t>
      </w:r>
      <w:r>
        <w:t xml:space="preserve"> </w:t>
      </w:r>
      <w:r>
        <w:t xml:space="preserve">Mamani Calsina (2025, p. 110)</w:t>
      </w:r>
      <w:r>
        <w:t xml:space="preserve"> </w:t>
      </w:r>
      <w:r>
        <w:t xml:space="preserve">supone que el SGC elimina por completo las fallas, y</w:t>
      </w:r>
      <w:r>
        <w:t xml:space="preserve"> </w:t>
      </w:r>
      <w:r>
        <w:t xml:space="preserve">Pajarito Mamani (2015, pp. 142–143)</w:t>
      </w:r>
      <w:r>
        <w:t xml:space="preserve"> </w:t>
      </w:r>
      <w:r>
        <w:t xml:space="preserve">estima que los costos de falla bajarían un 52,9 % (cálculo propio), aunque advierte el riesgo de un «sistema de gestión de calidad de papel»</w:t>
      </w:r>
      <w:r>
        <w:t xml:space="preserve"> </w:t>
      </w:r>
      <w:r>
        <w:t xml:space="preserve">(Pajarito Mamani, 2015, p. 148)</w:t>
      </w:r>
      <w:r>
        <w:t xml:space="preserve">.</w:t>
      </w:r>
    </w:p>
    <w:p>
      <w:pPr>
        <w:pStyle w:val="Heading3"/>
      </w:pPr>
      <w:bookmarkStart w:id="65" w:name="tit48"/>
      <w:r>
        <w:t xml:space="preserve">1.1.4. Losas alivianadas con viguetas pretensadas</w:t>
      </w:r>
      <w:bookmarkEnd w:id="65"/>
    </w:p>
    <w:p>
      <w:pPr>
        <w:pStyle w:val="FirstParagraph"/>
      </w:pPr>
      <w:r>
        <w:t xml:space="preserve">Los estudios sobre el sistema se centran en la fabricación de las viguetas y en comparaciones técnico-económicas.</w:t>
      </w:r>
      <w:r>
        <w:t xml:space="preserve"> </w:t>
      </w:r>
      <w:r>
        <w:t xml:space="preserve">Alcón Aranda (2009, pp. 58, 150)</w:t>
      </w:r>
      <w:r>
        <w:t xml:space="preserve"> </w:t>
      </w:r>
      <w:r>
        <w:t xml:space="preserve">encontró un control excelente del hormigón de las viguetas en planta y una calidad del producto en obra que dependió de la supervisión, y destacó la recepción como uno de los aspectos más importantes para la calidad</w:t>
      </w:r>
      <w:r>
        <w:t xml:space="preserve"> </w:t>
      </w:r>
      <w:r>
        <w:t xml:space="preserve">(Alcón Aranda, 2009, p. 115)</w:t>
      </w:r>
      <w:r>
        <w:t xml:space="preserve">.</w:t>
      </w:r>
      <w:r>
        <w:t xml:space="preserve"> </w:t>
      </w:r>
      <w:r>
        <w:t xml:space="preserve">Castañeda Briceño (2017, pp. 48–49)</w:t>
      </w:r>
      <w:r>
        <w:t xml:space="preserve"> </w:t>
      </w:r>
      <w:r>
        <w:t xml:space="preserve">reportó una losa 27 % más económica y 40 % más rápida que la aligerada convencional, aunque su afirmación de que es 14 % más liviana no concuerda con su propia tabla, que da una diferencia cercana al 4,3 % (cálculo propio).</w:t>
      </w:r>
      <w:r>
        <w:t xml:space="preserve"> </w:t>
      </w:r>
      <w:r>
        <w:t xml:space="preserve">Cocarico Mamani (2022, pp. 268–271)</w:t>
      </w:r>
      <w:r>
        <w:t xml:space="preserve"> </w:t>
      </w:r>
      <w:r>
        <w:t xml:space="preserve">comparó losas nervadas postensadas y de hormigón armado, no de viguetas prefabricadas; su aporte a esta tesis es la estructura boliviana del precio unitario (sección 1.8).</w:t>
      </w:r>
    </w:p>
    <w:p>
      <w:pPr>
        <w:pStyle w:val="Heading3"/>
      </w:pPr>
      <w:bookmarkStart w:id="66" w:name="tit49"/>
      <w:r>
        <w:t xml:space="preserve">1.1.5. Vacío de conocimiento</w:t>
      </w:r>
      <w:bookmarkEnd w:id="66"/>
    </w:p>
    <w:p>
      <w:pPr>
        <w:pStyle w:val="FirstParagraph"/>
      </w:pPr>
      <w:r>
        <w:t xml:space="preserve">La síntesis anterior permite delimitar el vacío de conocimiento en cuatro puntos:</w:t>
      </w:r>
    </w:p>
    <w:p>
      <w:pPr>
        <w:numPr>
          <w:ilvl w:val="0"/>
          <w:numId w:val="1006"/>
        </w:numPr>
      </w:pPr>
      <w:r>
        <w:t xml:space="preserve">La literatura sobre costos de la calidad y desperdicio de materiales es internacional y mide sobre todo hormigón, acero y mampostería; no se encontraron mediciones del desperdicio de viguetas ni de complementos de poliestireno expandido.</w:t>
      </w:r>
    </w:p>
    <w:p>
      <w:pPr>
        <w:numPr>
          <w:ilvl w:val="0"/>
          <w:numId w:val="1006"/>
        </w:numPr>
      </w:pPr>
      <w:r>
        <w:t xml:space="preserve">Las investigaciones bolivianas sobre SGC se refieren a plantas de fabricación de viguetas: evalúan el cumplimiento de la norma con listas de verificación y estiman los beneficios económicos con supuestos que no se contrastan.</w:t>
      </w:r>
    </w:p>
    <w:p>
      <w:pPr>
        <w:numPr>
          <w:ilvl w:val="0"/>
          <w:numId w:val="1006"/>
        </w:numPr>
      </w:pPr>
      <w:r>
        <w:t xml:space="preserve">Los estudios bolivianos sobre el sistema de losa tratan la fabricación del producto o comparan sistemas estructurales, sin analizar el control de la calidad durante la ejecución.</w:t>
      </w:r>
    </w:p>
    <w:p>
      <w:pPr>
        <w:numPr>
          <w:ilvl w:val="0"/>
          <w:numId w:val="1006"/>
        </w:numPr>
      </w:pPr>
      <w:r>
        <w:t xml:space="preserve">En el plano metodológico, varios antecedentes aceptan sus hipótesis sin un tratamiento de control ni una medida de la incertidumbre:</w:t>
      </w:r>
      <w:r>
        <w:t xml:space="preserve"> </w:t>
      </w:r>
      <w:r>
        <w:t xml:space="preserve">De la Vega Sernades (2023, p. 57)</w:t>
      </w:r>
      <w:r>
        <w:t xml:space="preserve"> </w:t>
      </w:r>
      <w:r>
        <w:t xml:space="preserve">da por correcta su hipótesis sin una línea base cuantificada, y</w:t>
      </w:r>
      <w:r>
        <w:t xml:space="preserve"> </w:t>
      </w:r>
      <w:r>
        <w:t xml:space="preserve">Mamani Gutiérrez (2017, p. 7)</w:t>
      </w:r>
      <w:r>
        <w:t xml:space="preserve"> </w:t>
      </w:r>
      <w:r>
        <w:t xml:space="preserve">la contrasta solo de forma cualitativa.</w:t>
      </w:r>
    </w:p>
    <w:p>
      <w:pPr>
        <w:pStyle w:val="FirstParagraph"/>
        <w:ind w:firstLine="0"/>
      </w:pPr>
      <w:r>
        <w:t xml:space="preserve"/>
      </w:r>
      <w:r>
        <w:t xml:space="preserve"/>
      </w:r>
      <w:r>
        <w:t xml:space="preserve">En consecuencia, no se encontraron estudios bolivianos que apliquen un SGC a la ejecución en obra de las losas alivianadas con viguetas pretensadas ni que cuantifiquen su efecto en el costo unitario y en el desperdicio de materiales. Esta tesis aborda ese vacío: diseña un SGC basado en la norma ISO 9001:2026 para el proceso constructivo de la losa, centrado en el control de materiales, y evalúa su efecto comparando un escenario de control (sin SGC) con uno de tratamiento (con SGC), con el cálculo explícito de la incertidumbre.</w:t>
      </w:r>
    </w:p>
    <w:p>
      <w:pPr>
        <w:pStyle w:val="Heading2"/>
      </w:pPr>
      <w:bookmarkStart w:id="71" w:name="tit50"/>
      <w:r>
        <w:t xml:space="preserve">1.2. La calidad en la construcción</w:t>
      </w:r>
      <w:bookmarkEnd w:id="71"/>
    </w:p>
    <w:p>
      <w:pPr>
        <w:pStyle w:val="Heading3"/>
      </w:pPr>
      <w:bookmarkStart w:id="68" w:name="tit51"/>
      <w:r>
        <w:t xml:space="preserve">1.2.1. Conceptos de calidad, control, aseguramiento y gestión de la calidad</w:t>
      </w:r>
      <w:bookmarkEnd w:id="68"/>
    </w:p>
    <w:p>
      <w:pPr>
        <w:pStyle w:val="FirstParagraph"/>
      </w:pPr>
      <w:r>
        <w:t xml:space="preserve">En el vocabulario de la familia de normas ISO 9000, la calidad es el grado en que un conjunto de características inherentes de un objeto cumple con los requisitos, y un requisito es una necesidad o expectativa establecida, generalmente implícita u obligatoria</w:t>
      </w:r>
      <w:r>
        <w:t xml:space="preserve"> </w:t>
      </w:r>
      <w:r>
        <w:t xml:space="preserve">(ISO, 2026a)</w:t>
      </w:r>
      <w:r>
        <w:t xml:space="preserve">; las tesis del repositorio recogen estas definiciones en su versión de 2015</w:t>
      </w:r>
      <w:r>
        <w:t xml:space="preserve"> </w:t>
      </w:r>
      <w:r>
        <w:t xml:space="preserve">(Mamani Calsina, 2025, pp. 21–22)</w:t>
      </w:r>
      <w:r>
        <w:t xml:space="preserve">. La definición es relativa: no hay una calidad absoluta, sino conformidad con requisitos definidos, idea más cercana a la de Crosby, «la conformidad con los requisitos», que a la de Juran, «la aptitud para el uso»</w:t>
      </w:r>
      <w:r>
        <w:t xml:space="preserve"> </w:t>
      </w:r>
      <w:r>
        <w:t xml:space="preserve">(Cepeda Godoy, 2017, pp. 24, 31)</w:t>
      </w:r>
      <w:r>
        <w:t xml:space="preserve">. En una obra, los requisitos están en los documentos de construcción, y la inspección consiste en observar, verificar y documentar la conformidad de los materiales y los trabajos con esos documentos</w:t>
      </w:r>
      <w:r>
        <w:t xml:space="preserve"> </w:t>
      </w:r>
      <w:r>
        <w:t xml:space="preserve">(ACI Committee 318, 2025, pp. 39, 43)</w:t>
      </w:r>
      <w:r>
        <w:t xml:space="preserve">. En la losa estudiada son requisitos, por ejemplo, un hormigón de 250 kg/cm</w:t>
      </w:r>
      <w:r>
        <w:rPr>
          <w:vertAlign w:val="superscript"/>
        </w:rPr>
        <w:t xml:space="preserve">2</w:t>
      </w:r>
      <w:r>
        <w:t xml:space="preserve"> </w:t>
      </w:r>
      <w:r>
        <w:t xml:space="preserve">con al menos 400 kg/m</w:t>
      </w:r>
      <w:r>
        <w:rPr>
          <w:vertAlign w:val="superscript"/>
        </w:rPr>
        <w:t xml:space="preserve">3</w:t>
      </w:r>
      <w:r>
        <w:t xml:space="preserve"> </w:t>
      </w:r>
      <w:r>
        <w:t xml:space="preserve">de cemento y viguetas con certificación de IBNORCA e ISO</w:t>
      </w:r>
      <w:r>
        <w:t xml:space="preserve"> </w:t>
      </w:r>
      <w:r>
        <w:t xml:space="preserve">(UATF, s. f.-a, p. 3)</w:t>
      </w:r>
      <w:r>
        <w:t xml:space="preserve">. A partir de esas definiciones se distinguen cuatro conceptos, de lo particular a lo general</w:t>
      </w:r>
      <w:r>
        <w:t xml:space="preserve"> </w:t>
      </w:r>
      <w:r>
        <w:t xml:space="preserve">(ISO, 2026a)</w:t>
      </w:r>
      <w:r>
        <w:t xml:space="preserve">:</w:t>
      </w:r>
    </w:p>
    <w:p>
      <w:pPr>
        <w:numPr>
          <w:ilvl w:val="0"/>
          <w:numId w:val="1007"/>
        </w:numPr>
      </w:pPr>
      <w:r>
        <w:t xml:space="preserve">El</w:t>
      </w:r>
      <w:r>
        <w:t xml:space="preserve"> </w:t>
      </w:r>
      <w:r>
        <w:rPr>
          <w:bCs/>
          <w:b/>
        </w:rPr>
        <w:t xml:space="preserve">control de la calidad</w:t>
      </w:r>
      <w:r>
        <w:t xml:space="preserve"> </w:t>
      </w:r>
      <w:r>
        <w:t xml:space="preserve">es la parte de la gestión de la calidad orientada a cumplir los requisitos: inspección, ensayos y decisión de aceptar o rechazar. Detecta, pero no previene.</w:t>
      </w:r>
    </w:p>
    <w:p>
      <w:pPr>
        <w:numPr>
          <w:ilvl w:val="0"/>
          <w:numId w:val="1007"/>
        </w:numPr>
      </w:pPr>
      <w:r>
        <w:t xml:space="preserve">El</w:t>
      </w:r>
      <w:r>
        <w:t xml:space="preserve"> </w:t>
      </w:r>
      <w:r>
        <w:rPr>
          <w:bCs/>
          <w:b/>
        </w:rPr>
        <w:t xml:space="preserve">aseguramiento de la calidad</w:t>
      </w:r>
      <w:r>
        <w:t xml:space="preserve"> </w:t>
      </w:r>
      <w:r>
        <w:t xml:space="preserve">es la parte orientada a dar confianza en que se cumplirán los requisitos, mediante acciones planificadas, sistemáticas y demostrables</w:t>
      </w:r>
      <w:r>
        <w:t xml:space="preserve"> </w:t>
      </w:r>
      <w:r>
        <w:t xml:space="preserve">(Alfaro Félix, 2011, p. 21)</w:t>
      </w:r>
      <w:r>
        <w:t xml:space="preserve">; es un control preventivo, que busca la certeza anticipada de que los materiales son los indicados</w:t>
      </w:r>
      <w:r>
        <w:t xml:space="preserve"> </w:t>
      </w:r>
      <w:r>
        <w:t xml:space="preserve">(Cajías Luna, 2023, p. 60)</w:t>
      </w:r>
      <w:r>
        <w:t xml:space="preserve">.</w:t>
      </w:r>
    </w:p>
    <w:p>
      <w:pPr>
        <w:numPr>
          <w:ilvl w:val="0"/>
          <w:numId w:val="1007"/>
        </w:numPr>
      </w:pPr>
      <w:r>
        <w:t xml:space="preserve">La</w:t>
      </w:r>
      <w:r>
        <w:t xml:space="preserve"> </w:t>
      </w:r>
      <w:r>
        <w:rPr>
          <w:bCs/>
          <w:b/>
        </w:rPr>
        <w:t xml:space="preserve">gestión de la calidad</w:t>
      </w:r>
      <w:r>
        <w:t xml:space="preserve"> </w:t>
      </w:r>
      <w:r>
        <w:t xml:space="preserve">comprende la política, los objetivos y los procesos para alcanzarlos mediante la planificación, el aseguramiento, el control y la mejora de la calidad.</w:t>
      </w:r>
    </w:p>
    <w:p>
      <w:pPr>
        <w:numPr>
          <w:ilvl w:val="0"/>
          <w:numId w:val="1007"/>
        </w:numPr>
      </w:pPr>
      <w:r>
        <w:t xml:space="preserve">El</w:t>
      </w:r>
      <w:r>
        <w:t xml:space="preserve"> </w:t>
      </w:r>
      <w:r>
        <w:rPr>
          <w:bCs/>
          <w:b/>
        </w:rPr>
        <w:t xml:space="preserve">sistema de gestión de la calidad</w:t>
      </w:r>
      <w:r>
        <w:t xml:space="preserve"> </w:t>
      </w:r>
      <w:r>
        <w:t xml:space="preserve">(SGC) es la parte del sistema de gestión de una organización que establece la política, los objetivos y los procesos para lograr resultados respecto de la calidad.</w:t>
      </w:r>
    </w:p>
    <w:p>
      <w:pPr>
        <w:pStyle w:val="FirstParagraph"/>
        <w:ind w:firstLine="0"/>
      </w:pPr>
      <w:r>
        <w:t xml:space="preserve"/>
      </w:r>
      <w:r>
        <w:t xml:space="preserve"/>
      </w:r>
      <w:r>
        <w:t xml:space="preserve">La diferencia entre control y aseguramiento se aprecia en el hormigón de una losa. Romper probetas a los 28 días es control: confirma o no la resistencia cuando el hormigón ya está colocado. Aprobar la dosificación antes de usarla y no autorizar el vaciado hasta verificar el armado es aseguramiento, porque da confianza antes de que el error ocurra.</w:t>
      </w:r>
    </w:p>
    <w:p>
      <w:pPr>
        <w:pStyle w:val="Heading3"/>
      </w:pPr>
      <w:bookmarkStart w:id="69" w:name="tit52"/>
      <w:r>
        <w:t xml:space="preserve">1.2.2. Evolución del enfoque de la calidad</w:t>
      </w:r>
      <w:bookmarkEnd w:id="69"/>
    </w:p>
    <w:p>
      <w:pPr>
        <w:pStyle w:val="FirstParagraph"/>
      </w:pPr>
      <w:r>
        <w:t xml:space="preserve">La forma de entender la calidad pasó de la inspección del producto terminado a la gestión de todo el sistema. A inicios del siglo XX la calidad se buscaba con la inspección final, que separaba lo aceptable de lo defectuoso a costa de rehacer o desechar</w:t>
      </w:r>
      <w:r>
        <w:t xml:space="preserve"> </w:t>
      </w:r>
      <w:r>
        <w:t xml:space="preserve">(Alfaro Félix, 2011, p. 9)</w:t>
      </w:r>
      <w:r>
        <w:t xml:space="preserve">; en 1924, Shewhart introdujo la carta de control, base del control estadístico de procesos</w:t>
      </w:r>
      <w:r>
        <w:t xml:space="preserve"> </w:t>
      </w:r>
      <w:r>
        <w:t xml:space="preserve">(Aguilar Caseux y Torres Benites, 2016, pp. 11–12)</w:t>
      </w:r>
      <w:r>
        <w:t xml:space="preserve">. En la posguerra, Deming difundió en Japón el ciclo planificar, hacer, verificar y actuar (PHVA) y propuso dejar de depender de la inspección masiva, y Juran organizó la gestión en planificación, control y mejora</w:t>
      </w:r>
      <w:r>
        <w:t xml:space="preserve"> </w:t>
      </w:r>
      <w:r>
        <w:t xml:space="preserve">(Aguilar Caseux y Torres Benites, 2016, pp. 14–19)</w:t>
      </w:r>
      <w:r>
        <w:t xml:space="preserve">. Feigenbaum extendió el control a todas las etapas, desde el diseño hasta la venta</w:t>
      </w:r>
      <w:r>
        <w:t xml:space="preserve"> </w:t>
      </w:r>
      <w:r>
        <w:t xml:space="preserve">(Alfaro Félix, 2011, p. 14)</w:t>
      </w:r>
      <w:r>
        <w:t xml:space="preserve">, y Crosby propuso la meta de cero defectos y el costo de la calidad como medida del desempeño</w:t>
      </w:r>
      <w:r>
        <w:t xml:space="preserve"> </w:t>
      </w:r>
      <w:r>
        <w:t xml:space="preserve">(Cepeda Godoy, 2017, pp. 29–30)</w:t>
      </w:r>
      <w:r>
        <w:t xml:space="preserve">. La serie ISO 9000 de 1987 normalizó modelos contractuales de aseguramiento entre cliente y proveedor</w:t>
      </w:r>
      <w:r>
        <w:t xml:space="preserve"> </w:t>
      </w:r>
      <w:r>
        <w:t xml:space="preserve">(Alfaro Félix, 2011, pp. 15–16)</w:t>
      </w:r>
      <w:r>
        <w:t xml:space="preserve">; la revisión del año 2000 pasó a la gestión basada en principios y en el enfoque a procesos</w:t>
      </w:r>
      <w:r>
        <w:t xml:space="preserve"> </w:t>
      </w:r>
      <w:r>
        <w:t xml:space="preserve">(Alfaro Félix, 2011, pp. 19–20)</w:t>
      </w:r>
      <w:r>
        <w:t xml:space="preserve">, y la de 2015 incorporó el enfoque basado en riesgos y la estructura de alto nivel común a las normas de sistemas de gestión</w:t>
      </w:r>
      <w:r>
        <w:t xml:space="preserve"> </w:t>
      </w:r>
      <w:r>
        <w:t xml:space="preserve">(Mamani Calsina, 2025, p. 20)</w:t>
      </w:r>
      <w:r>
        <w:t xml:space="preserve">. En la ejecución de una losa, ese tránsito equivale a pasar de revisar la losa terminada, cuando el defecto ya está incorporado, a controlar la recepción de los materiales, liberar cada paño antes del vaciado y mejorar de una losa a la siguiente.</w:t>
      </w:r>
    </w:p>
    <w:p>
      <w:pPr>
        <w:pStyle w:val="BodyText"/>
      </w:pPr>
      <w:r>
        <w:t xml:space="preserve">En la construcción esta evolución está incompleta. El modelo tradicional de gestión de proyectos mantiene un control de calidad ineficaz</w:t>
      </w:r>
      <w:r>
        <w:t xml:space="preserve"> </w:t>
      </w:r>
      <w:r>
        <w:t xml:space="preserve">(Pons Achell, 2014, p. 11)</w:t>
      </w:r>
      <w:r>
        <w:t xml:space="preserve">, y la inspección por sí sola no mejora las etapas previas, aunque entre el 60 % y el 70 % de los defectos se originan en fases como el diseño o la selección de proveedores y subcontratistas</w:t>
      </w:r>
      <w:r>
        <w:t xml:space="preserve"> </w:t>
      </w:r>
      <w:r>
        <w:t xml:space="preserve">(Alfaro Félix, 2011, p. 11)</w:t>
      </w:r>
      <w:r>
        <w:t xml:space="preserve">. En la primera losa del Edificio de Posgrado, el control se limitó a la verificación previa al vaciado, sin registros de recepción de materiales ni ensayos del hormigón de la losa (sección 2.5.2), una práctica propia de la etapa de inspección.</w:t>
      </w:r>
    </w:p>
    <w:p>
      <w:pPr>
        <w:pStyle w:val="Heading3"/>
      </w:pPr>
      <w:bookmarkStart w:id="70" w:name="tit53"/>
      <w:r>
        <w:t xml:space="preserve">1.2.3. Principios de la gestión de la calidad</w:t>
      </w:r>
      <w:bookmarkEnd w:id="70"/>
    </w:p>
    <w:p>
      <w:pPr>
        <w:pStyle w:val="FirstParagraph"/>
      </w:pPr>
      <w:r>
        <w:t xml:space="preserve">La gestión de la calidad se fundamenta en principios que orientan a la dirección. La edición 2000 de la norma enunciaba ocho</w:t>
      </w:r>
      <w:r>
        <w:t xml:space="preserve"> </w:t>
      </w:r>
      <w:r>
        <w:t xml:space="preserve">(Romero y Serpell, 2007, p. 199)</w:t>
      </w:r>
      <w:r>
        <w:t xml:space="preserve">, y la de 2015 los redujo a siete: enfoque al cliente, liderazgo, compromiso de las personas, enfoque a procesos, mejora, toma de decisiones basada en la evidencia y gestión de las relaciones</w:t>
      </w:r>
      <w:r>
        <w:t xml:space="preserve"> </w:t>
      </w:r>
      <w:r>
        <w:t xml:space="preserve">(Peña Callisaya, 2024, p. 59)</w:t>
      </w:r>
      <w:r>
        <w:t xml:space="preserve">. Esta tesis adopta esa formulación, que es la que recogen las fuentes del repositorio.</w:t>
      </w:r>
      <w:r>
        <w:t xml:space="preserve"> </w:t>
      </w:r>
      <w:r>
        <w:rPr>
          <w:rStyle w:val="Pendiente"/>
          <w:bCs/>
          <w:b/>
        </w:rPr>
        <w:t xml:space="preserve">[Pendiente:</w:t>
      </w:r>
      <w:r>
        <w:rPr>
          <w:rStyle w:val="Pendiente"/>
        </w:rPr>
        <w:t xml:space="preserve"> </w:t>
      </w:r>
      <w:r>
        <w:rPr>
          <w:rStyle w:val="Pendiente"/>
        </w:rPr>
        <w:t xml:space="preserve">verificar en el texto de la ISO 9000:2026 si se mantienen los siete principios y su denominación</w:t>
      </w:r>
      <w:r>
        <w:rPr>
          <w:rStyle w:val="Pendiente"/>
          <w:bCs/>
          <w:b/>
        </w:rPr>
        <w:t xml:space="preserve">]</w:t>
      </w:r>
    </w:p>
    <w:p>
      <w:pPr>
        <w:pStyle w:val="BodyText"/>
      </w:pPr>
      <w:r>
        <w:t xml:space="preserve">Los principios no son requisitos verificables, sino fundamentos cuyo valor depende de que se apliquen: la norma solo produce beneficios cuando se implanta junto con el desarrollo interno de principios como la sistematización de los procesos, la mejora continua y la participación de toda la empresa</w:t>
      </w:r>
      <w:r>
        <w:t xml:space="preserve"> </w:t>
      </w:r>
      <w:r>
        <w:t xml:space="preserve">(Prado-Román et al., 2018, p. 152)</w:t>
      </w:r>
      <w:r>
        <w:t xml:space="preserve">. La Tabla 7 traduce cada principio a la ejecución de una losa alivianada.</w:t>
      </w:r>
    </w:p>
    <w:p>
      <w:pPr>
        <w:pStyle w:val="Caption"/>
      </w:pPr>
      <w:bookmarkStart w:id="1399" w:name="tab7"/>
      <w:r>
        <w:t xml:space="preserve"/>
      </w:r>
      <w:r>
        <w:rPr>
          <w:bCs/>
          <w:b/>
        </w:rPr>
        <w:t xml:space="preserve">Tabla 7</w:t>
      </w:r>
      <w:r>
        <w:br/>
      </w:r>
      <w:r>
        <w:rPr>
          <w:iCs/>
          <w:i/>
        </w:rPr>
        <w:t xml:space="preserve">Principios de la gestión de la calidad y su lectura en la ejecución de una losa</w:t>
      </w:r>
      <w:bookmarkEnd w:id="1399"/>
    </w:p>
    <w:tbl>
      <w:tblPr>
        <w:tblStyle w:val="Table"/>
        <w:tblW w:w="9359" w:type="dxa"/>
        <w:jc w:val="left"/>
        <w:tblLayout w:type="fixed"/>
        <w:tblCellMar>
          <w:top w:w="0" w:type="dxa"/>
          <w:left w:w="85" w:type="dxa"/>
          <w:bottom w:w="0" w:type="dxa"/>
          <w:right w:w="85" w:type="dxa"/>
        </w:tblCellMar>
        <w:tblLook w:firstRow="1" w:lastRow="0" w:firstColumn="0" w:lastColumn="0" w:noHBand="0" w:noVBand="0" w:val="0020"/>
      </w:tblPr>
      <w:tblGrid>
        <w:gridCol w:w="2086"/>
        <w:gridCol w:w="2823"/>
        <w:gridCol w:w="4450"/>
      </w:tblGrid>
      <w:tr>
        <w:trPr>
          <w:cantSplit/>
          <w:tblHeader w:val="true"/>
        </w:trPr>
        <w:tc>
          <w:tcPr>
            <w:tcW w:w="2086" w:type="dxa"/>
            <w:tcBorders>
              <w:top w:val="single" w:sz="8" w:space="0" w:color="000000"/>
              <w:bottom w:val="single" w:sz="4" w:space="0" w:color="000000"/>
            </w:tcBorders>
          </w:tcPr>
          <w:p>
            <w:pPr>
              <w:pStyle w:val="CeldaAPA"/>
              <w:jc w:val="center"/>
            </w:pPr>
            <w:r>
              <w:rPr>
                <w:bCs/>
                <w:b/>
              </w:rPr>
              <w:t xml:space="preserve">Principio</w:t>
            </w:r>
          </w:p>
        </w:tc>
        <w:tc>
          <w:tcPr>
            <w:tcW w:w="2823" w:type="dxa"/>
            <w:tcBorders>
              <w:top w:val="single" w:sz="8" w:space="0" w:color="000000"/>
              <w:bottom w:val="single" w:sz="4" w:space="0" w:color="000000"/>
            </w:tcBorders>
          </w:tcPr>
          <w:p>
            <w:pPr>
              <w:pStyle w:val="CeldaAPA"/>
              <w:jc w:val="center"/>
            </w:pPr>
            <w:r>
              <w:rPr>
                <w:bCs/>
                <w:b/>
              </w:rPr>
              <w:t xml:space="preserve">Idea central</w:t>
            </w:r>
          </w:p>
        </w:tc>
        <w:tc>
          <w:tcPr>
            <w:tcW w:w="4450" w:type="dxa"/>
            <w:tcBorders>
              <w:top w:val="single" w:sz="8" w:space="0" w:color="000000"/>
              <w:bottom w:val="single" w:sz="4" w:space="0" w:color="000000"/>
            </w:tcBorders>
          </w:tcPr>
          <w:p>
            <w:pPr>
              <w:pStyle w:val="CeldaAPA"/>
              <w:jc w:val="center"/>
            </w:pPr>
            <w:r>
              <w:rPr>
                <w:bCs/>
                <w:b/>
              </w:rPr>
              <w:t xml:space="preserve">Lectura en la ejecución de la losa</w:t>
            </w:r>
          </w:p>
        </w:tc>
      </w:tr>
      <w:tr>
        <w:tc>
          <w:tcPr>
            <w:tcW w:w="2086" w:type="dxa"/>
          </w:tcPr>
          <w:p>
            <w:pPr>
              <w:pStyle w:val="CeldaAPA"/>
              <w:jc w:val="left"/>
            </w:pPr>
            <w:r>
              <w:rPr/>
              <w:t xml:space="preserve">Enfoque al cliente</w:t>
            </w:r>
          </w:p>
        </w:tc>
        <w:tc>
          <w:tcPr>
            <w:tcW w:w="2823" w:type="dxa"/>
          </w:tcPr>
          <w:p>
            <w:pPr>
              <w:pStyle w:val="CeldaAPA"/>
              <w:jc w:val="left"/>
            </w:pPr>
            <w:r>
              <w:rPr/>
              <w:t xml:space="preserve">Comprender y cumplir las necesidades actuales y futuras del cliente</w:t>
            </w:r>
          </w:p>
        </w:tc>
        <w:tc>
          <w:tcPr>
            <w:tcW w:w="4450" w:type="dxa"/>
          </w:tcPr>
          <w:p>
            <w:pPr>
              <w:pStyle w:val="CeldaAPA"/>
              <w:jc w:val="left"/>
            </w:pPr>
            <w:r>
              <w:rPr/>
              <w:t xml:space="preserve">La entidad contratante requiere una losa conforme a los planos y a las especificaciones, pagada según lo realmente ejecutado; sus requisitos se convierten en criterios de aceptación por paño</w:t>
            </w:r>
          </w:p>
        </w:tc>
      </w:tr>
      <w:tr>
        <w:tc>
          <w:tcPr>
            <w:tcW w:w="2086" w:type="dxa"/>
          </w:tcPr>
          <w:p>
            <w:pPr>
              <w:pStyle w:val="CeldaAPA"/>
              <w:jc w:val="left"/>
            </w:pPr>
            <w:r>
              <w:rPr/>
              <w:t xml:space="preserve">Liderazgo</w:t>
            </w:r>
          </w:p>
        </w:tc>
        <w:tc>
          <w:tcPr>
            <w:tcW w:w="2823" w:type="dxa"/>
          </w:tcPr>
          <w:p>
            <w:pPr>
              <w:pStyle w:val="CeldaAPA"/>
              <w:jc w:val="left"/>
            </w:pPr>
            <w:r>
              <w:rPr/>
              <w:t xml:space="preserve">Los líderes establecen la unidad de propósito y la dirección</w:t>
            </w:r>
          </w:p>
        </w:tc>
        <w:tc>
          <w:tcPr>
            <w:tcW w:w="4450" w:type="dxa"/>
          </w:tcPr>
          <w:p>
            <w:pPr>
              <w:pStyle w:val="CeldaAPA"/>
              <w:jc w:val="left"/>
            </w:pPr>
            <w:r>
              <w:rPr/>
              <w:t xml:space="preserve">El director de obra aprueba el plan de la calidad, asigna los recursos y no permite vaciar un paño que no haya sido liberado</w:t>
            </w:r>
          </w:p>
        </w:tc>
      </w:tr>
      <w:tr>
        <w:tc>
          <w:tcPr>
            <w:tcW w:w="2086" w:type="dxa"/>
          </w:tcPr>
          <w:p>
            <w:pPr>
              <w:pStyle w:val="CeldaAPA"/>
              <w:jc w:val="left"/>
            </w:pPr>
            <w:r>
              <w:rPr/>
              <w:t xml:space="preserve">Compromiso de las personas</w:t>
            </w:r>
          </w:p>
        </w:tc>
        <w:tc>
          <w:tcPr>
            <w:tcW w:w="2823" w:type="dxa"/>
          </w:tcPr>
          <w:p>
            <w:pPr>
              <w:pStyle w:val="CeldaAPA"/>
              <w:jc w:val="left"/>
            </w:pPr>
            <w:r>
              <w:rPr/>
              <w:t xml:space="preserve">Personas competentes y comprometidas en todos los niveles</w:t>
            </w:r>
          </w:p>
        </w:tc>
        <w:tc>
          <w:tcPr>
            <w:tcW w:w="4450" w:type="dxa"/>
          </w:tcPr>
          <w:p>
            <w:pPr>
              <w:pStyle w:val="CeldaAPA"/>
              <w:jc w:val="left"/>
            </w:pPr>
            <w:r>
              <w:rPr/>
              <w:t xml:space="preserve">Capacitación de armadores y albañiles en el montaje de viguetas y complementos y en el vibrado; autocontrol del capataz</w:t>
            </w:r>
          </w:p>
        </w:tc>
      </w:tr>
      <w:tr>
        <w:tc>
          <w:tcPr>
            <w:tcW w:w="2086" w:type="dxa"/>
          </w:tcPr>
          <w:p>
            <w:pPr>
              <w:pStyle w:val="CeldaAPA"/>
              <w:jc w:val="left"/>
            </w:pPr>
            <w:r>
              <w:rPr/>
              <w:t xml:space="preserve">Enfoque a procesos</w:t>
            </w:r>
          </w:p>
        </w:tc>
        <w:tc>
          <w:tcPr>
            <w:tcW w:w="2823" w:type="dxa"/>
          </w:tcPr>
          <w:p>
            <w:pPr>
              <w:pStyle w:val="CeldaAPA"/>
              <w:jc w:val="left"/>
            </w:pPr>
            <w:r>
              <w:rPr/>
              <w:t xml:space="preserve">Las actividades se gestionan como procesos interrelacionados</w:t>
            </w:r>
          </w:p>
        </w:tc>
        <w:tc>
          <w:tcPr>
            <w:tcW w:w="4450" w:type="dxa"/>
          </w:tcPr>
          <w:p>
            <w:pPr>
              <w:pStyle w:val="CeldaAPA"/>
              <w:jc w:val="left"/>
            </w:pPr>
            <w:r>
              <w:rPr/>
              <w:t xml:space="preserve">Abastecimiento, apuntalamiento, montaje, armado, hormigonado, curado y desapuntalamiento con entradas, salidas y controles definidos</w:t>
            </w:r>
          </w:p>
        </w:tc>
      </w:tr>
      <w:tr>
        <w:tc>
          <w:tcPr>
            <w:tcW w:w="2086" w:type="dxa"/>
          </w:tcPr>
          <w:p>
            <w:pPr>
              <w:pStyle w:val="CeldaAPA"/>
              <w:jc w:val="left"/>
            </w:pPr>
            <w:r>
              <w:rPr/>
              <w:t xml:space="preserve">Mejora</w:t>
            </w:r>
          </w:p>
        </w:tc>
        <w:tc>
          <w:tcPr>
            <w:tcW w:w="2823" w:type="dxa"/>
          </w:tcPr>
          <w:p>
            <w:pPr>
              <w:pStyle w:val="CeldaAPA"/>
              <w:jc w:val="left"/>
            </w:pPr>
            <w:r>
              <w:rPr/>
              <w:t xml:space="preserve">La mejora del desempeño es un objetivo permanente</w:t>
            </w:r>
          </w:p>
        </w:tc>
        <w:tc>
          <w:tcPr>
            <w:tcW w:w="4450" w:type="dxa"/>
          </w:tcPr>
          <w:p>
            <w:pPr>
              <w:pStyle w:val="CeldaAPA"/>
              <w:jc w:val="left"/>
            </w:pPr>
            <w:r>
              <w:rPr/>
              <w:t xml:space="preserve">Las no conformidades y los desperdicios de una losa ajustan los procedimientos de la siguiente</w:t>
            </w:r>
          </w:p>
        </w:tc>
      </w:tr>
      <w:tr>
        <w:tc>
          <w:tcPr>
            <w:tcW w:w="2086" w:type="dxa"/>
          </w:tcPr>
          <w:p>
            <w:pPr>
              <w:pStyle w:val="CeldaAPA"/>
              <w:jc w:val="left"/>
            </w:pPr>
            <w:r>
              <w:rPr/>
              <w:t xml:space="preserve">Toma de decisiones basada en la evidencia</w:t>
            </w:r>
          </w:p>
        </w:tc>
        <w:tc>
          <w:tcPr>
            <w:tcW w:w="2823" w:type="dxa"/>
          </w:tcPr>
          <w:p>
            <w:pPr>
              <w:pStyle w:val="CeldaAPA"/>
              <w:jc w:val="left"/>
            </w:pPr>
            <w:r>
              <w:rPr/>
              <w:t xml:space="preserve">Las decisiones se basan en el análisis de datos</w:t>
            </w:r>
          </w:p>
        </w:tc>
        <w:tc>
          <w:tcPr>
            <w:tcW w:w="4450" w:type="dxa"/>
          </w:tcPr>
          <w:p>
            <w:pPr>
              <w:pStyle w:val="CeldaAPA"/>
              <w:jc w:val="left"/>
            </w:pPr>
            <w:r>
              <w:rPr/>
              <w:t xml:space="preserve">El hormigón se acepta con ensayos a 28 días y las cantidades se pagan conciliadas con registros, no con estimaciones</w:t>
            </w:r>
          </w:p>
        </w:tc>
      </w:tr>
      <w:tr>
        <w:tc>
          <w:tcPr>
            <w:tcW w:w="2086" w:type="dxa"/>
            <w:tcBorders>
              <w:bottom w:val="single" w:sz="8" w:space="0" w:color="000000"/>
            </w:tcBorders>
          </w:tcPr>
          <w:p>
            <w:pPr>
              <w:pStyle w:val="CeldaAPA"/>
              <w:jc w:val="left"/>
            </w:pPr>
            <w:r>
              <w:rPr/>
              <w:t xml:space="preserve">Gestión de las relaciones</w:t>
            </w:r>
          </w:p>
        </w:tc>
        <w:tc>
          <w:tcPr>
            <w:tcW w:w="2823" w:type="dxa"/>
            <w:tcBorders>
              <w:bottom w:val="single" w:sz="8" w:space="0" w:color="000000"/>
            </w:tcBorders>
          </w:tcPr>
          <w:p>
            <w:pPr>
              <w:pStyle w:val="CeldaAPA"/>
              <w:jc w:val="left"/>
            </w:pPr>
            <w:r>
              <w:rPr/>
              <w:t xml:space="preserve">Relaciones mutuamente beneficiosas con proveedores y partes interesadas</w:t>
            </w:r>
          </w:p>
        </w:tc>
        <w:tc>
          <w:tcPr>
            <w:tcW w:w="4450" w:type="dxa"/>
            <w:tcBorders>
              <w:bottom w:val="single" w:sz="8" w:space="0" w:color="000000"/>
            </w:tcBorders>
          </w:tcPr>
          <w:p>
            <w:pPr>
              <w:pStyle w:val="CeldaAPA"/>
              <w:jc w:val="left"/>
            </w:pPr>
            <w:r>
              <w:rPr/>
              <w:t xml:space="preserve">Pedidos exactos por paño; evaluación de los proveedores de viguetas, complementos, acero y hormigón; comunicación oportuna con la Supervisión</w:t>
            </w:r>
          </w:p>
        </w:tc>
      </w:tr>
    </w:tbl>
    <w:p>
      <w:pPr>
        <w:pStyle w:val="NotaAPA"/>
      </w:pPr>
      <w:r>
        <w:rPr>
          <w:iCs/>
          <w:i/>
        </w:rPr>
        <w:t xml:space="preserve">Nota.</w:t>
      </w:r>
      <w:r>
        <w:t xml:space="preserve"> </w:t>
      </w:r>
      <w:r>
        <w:t xml:space="preserve">Las dos primeras columnas se elaboraron con base en</w:t>
      </w:r>
      <w:r>
        <w:t xml:space="preserve"> </w:t>
      </w:r>
      <w:r>
        <w:t xml:space="preserve">Peña Callisaya (2024, pp. 55, 59)</w:t>
      </w:r>
      <w:r>
        <w:t xml:space="preserve">; la tercera es de elaboración propia.</w:t>
      </w:r>
    </w:p>
    <w:p>
      <w:pPr>
        <w:pStyle w:val="Heading2"/>
      </w:pPr>
      <w:bookmarkStart w:id="81" w:name="tit54"/>
      <w:r>
        <w:t xml:space="preserve">1.3. Sistema de gestión de la calidad según la norma ISO 9001:2026</w:t>
      </w:r>
      <w:bookmarkEnd w:id="81"/>
    </w:p>
    <w:p>
      <w:pPr>
        <w:pStyle w:val="Heading3"/>
      </w:pPr>
      <w:bookmarkStart w:id="75" w:name="tit55"/>
      <w:r>
        <w:t xml:space="preserve">1.3.1. Estructura de la norma y ciclo PHVA</w:t>
      </w:r>
      <w:bookmarkEnd w:id="75"/>
    </w:p>
    <w:p>
      <w:pPr>
        <w:pStyle w:val="FirstParagraph"/>
      </w:pPr>
      <w:r>
        <w:t xml:space="preserve">La norma ISO 9001 especifica los requisitos de un SGC y es la única de la familia ISO 9000 que admite certificación; la ISO 9000 aporta los fundamentos y el vocabulario, la ISO 9004 orienta el éxito sostenido de la organización y la ISO 19011 guía las auditorías</w:t>
      </w:r>
      <w:r>
        <w:t xml:space="preserve"> </w:t>
      </w:r>
      <w:r>
        <w:t xml:space="preserve">(Zurita Ferrel, 2024, p. 17)</w:t>
      </w:r>
      <w:r>
        <w:t xml:space="preserve">. Después de la primera edición de 1987 se publicaron las de 1994, 2000, 2008 y 2015</w:t>
      </w:r>
      <w:r>
        <w:t xml:space="preserve"> </w:t>
      </w:r>
      <w:r>
        <w:t xml:space="preserve">(Zurita Ferrel, 2024, p. 14)</w:t>
      </w:r>
      <w:r>
        <w:t xml:space="preserve">. La sexta edición, ISO 9001:2026, se publicó el 16 de septiembre de 2026, sustituye a la de 2015 y conserva su estructura de cláusulas</w:t>
      </w:r>
      <w:r>
        <w:t xml:space="preserve"> </w:t>
      </w:r>
      <w:r>
        <w:t xml:space="preserve">(ISO, 2026b)</w:t>
      </w:r>
      <w:r>
        <w:t xml:space="preserve">; en Bolivia, el Instituto Boliviano de Normalización y Calidad (IBNORCA) la adoptó como NB/ISO 9001:2026</w:t>
      </w:r>
      <w:r>
        <w:t xml:space="preserve"> </w:t>
      </w:r>
      <w:r>
        <w:t xml:space="preserve">(IBNORCA, 2026)</w:t>
      </w:r>
      <w:r>
        <w:t xml:space="preserve">.</w:t>
      </w:r>
    </w:p>
    <w:p>
      <w:pPr>
        <w:pStyle w:val="BodyText"/>
      </w:pPr>
      <w:r>
        <w:t xml:space="preserve">Las cláusulas 0 a 3 son introductorias, y las cláusulas 4 a 10 contienen los requisitos del sistema</w:t>
      </w:r>
      <w:r>
        <w:t xml:space="preserve"> </w:t>
      </w:r>
      <w:r>
        <w:t xml:space="preserve">(Zurita Ferrel, 2024, p. 15)</w:t>
      </w:r>
      <w:r>
        <w:t xml:space="preserve">. Su contenido general, común a las ediciones de 2015 y 2026, es el siguiente</w:t>
      </w:r>
      <w:r>
        <w:t xml:space="preserve"> </w:t>
      </w:r>
      <w:r>
        <w:t xml:space="preserve">(ISO, 2026b)</w:t>
      </w:r>
      <w:r>
        <w:t xml:space="preserve">: el contexto de la organización (4) comprende las cuestiones externas e internas, las partes interesadas, el alcance y los procesos; el liderazgo (5), el compromiso de la alta dirección, la política de la calidad y los roles; la planificación (6), las acciones ante riesgos y oportunidades, los objetivos de la calidad y la planificación de los cambios; el apoyo (7), los recursos, la competencia, la toma de conciencia, la comunicación y la información documentada; la operación (8), la planificación y el control operacional, los requisitos del producto, el control de los procesos y productos suministrados externamente, la producción, la liberación y el control de las salidas no conformes; la evaluación del desempeño (9), el seguimiento, la medición, la auditoría interna y la revisión por la dirección; y la mejora (10), las no conformidades, las acciones correctivas y la mejora continua.</w:t>
      </w:r>
    </w:p>
    <w:p>
      <w:pPr>
        <w:pStyle w:val="BodyText"/>
      </w:pPr>
      <w:r>
        <w:t xml:space="preserve">Esta estructura sigue el ciclo PHVA de Deming</w:t>
      </w:r>
      <w:r>
        <w:t xml:space="preserve"> </w:t>
      </w:r>
      <w:r>
        <w:t xml:space="preserve">(Zurita Ferrel, 2024, pp. 15–16)</w:t>
      </w:r>
      <w:r>
        <w:t xml:space="preserve">: la planificación (cláusula 6) parte del contexto y del liderazgo, que ocupa el centro del sistema; hacer corresponde al apoyo y a la operación (cláusulas 7 y 8); verificar, a la evaluación del desempeño (cláusula 9); y actuar, a la mejora (cláusula 10). Las entradas del sistema son el contexto, los requisitos del cliente y las necesidades de las partes interesadas, y sus salidas, los productos conformes, la satisfacción del cliente y los resultados del SGC (Figura 1). El ciclo funciona en el sistema completo y en cada proceso; en una obra, cada losa e incluso cada paño puede recorrerlo, como muestra la Figura 10 del capítulo 2.</w:t>
      </w:r>
    </w:p>
    <w:p>
      <w:pPr>
        <w:pStyle w:val="Caption"/>
      </w:pPr>
      <w:bookmarkStart w:id="1400" w:name="fig1"/>
      <w:r>
        <w:t xml:space="preserve"/>
      </w:r>
      <w:r>
        <w:rPr>
          <w:bCs/>
          <w:b/>
        </w:rPr>
        <w:t xml:space="preserve">Figura 1</w:t>
      </w:r>
      <w:r>
        <w:br/>
      </w:r>
      <w:r>
        <w:rPr>
          <w:iCs/>
          <w:i/>
        </w:rPr>
        <w:t xml:space="preserve">Estructura de la norma ISO 9001 representada en el ciclo PHVA</w:t>
      </w:r>
      <w:bookmarkEnd w:id="1400"/>
    </w:p>
    <w:p>
      <w:pPr>
        <w:pStyle w:val="FiguraAPA"/>
      </w:pPr>
      <w:r>
        <w:drawing>
          <wp:inline>
            <wp:extent cx="5701319" cy="2544415"/>
            <wp:effectExtent b="0" l="0" r="0" t="0"/>
            <wp:docPr descr="image" title="" id="73" name="Picture"/>
            <a:graphic>
              <a:graphicData uri="http://schemas.openxmlformats.org/drawingml/2006/picture">
                <pic:pic>
                  <pic:nvPicPr>
                    <pic:cNvPr descr="/home/user/TesisSGC/07_Entregables/scripts/_trabajo/tikz/tikz_e24a2268d0d469a04774.png" id="74" name="Picture"/>
                    <pic:cNvPicPr>
                      <a:picLocks noChangeArrowheads="1" noChangeAspect="1"/>
                    </pic:cNvPicPr>
                  </pic:nvPicPr>
                  <pic:blipFill>
                    <a:blip r:embed="rId72"/>
                    <a:stretch>
                      <a:fillRect/>
                    </a:stretch>
                  </pic:blipFill>
                  <pic:spPr bwMode="auto">
                    <a:xfrm>
                      <a:off x="0" y="0"/>
                      <a:ext cx="5701319" cy="2544415"/>
                    </a:xfrm>
                    <a:prstGeom prst="rect">
                      <a:avLst/>
                    </a:prstGeom>
                    <a:noFill/>
                    <a:ln w="9525">
                      <a:noFill/>
                      <a:headEnd/>
                      <a:tailEnd/>
                    </a:ln>
                  </pic:spPr>
                </pic:pic>
              </a:graphicData>
            </a:graphic>
          </wp:inline>
        </w:drawing>
      </w:r>
    </w:p>
    <w:p>
      <w:pPr>
        <w:pStyle w:val="NotaAPA"/>
      </w:pPr>
      <w:r>
        <w:rPr>
          <w:iCs/>
          <w:i/>
        </w:rPr>
        <w:t xml:space="preserve">Nota.</w:t>
      </w:r>
      <w:r>
        <w:t xml:space="preserve"> </w:t>
      </w:r>
      <w:r>
        <w:t xml:space="preserve">Elaborado con base en la estructura de cláusulas de la norma</w:t>
      </w:r>
      <w:r>
        <w:t xml:space="preserve"> </w:t>
      </w:r>
      <w:r>
        <w:t xml:space="preserve">(ISO, 2026b)</w:t>
      </w:r>
      <w:r>
        <w:t xml:space="preserve"> </w:t>
      </w:r>
      <w:r>
        <w:t xml:space="preserve">y en</w:t>
      </w:r>
      <w:r>
        <w:t xml:space="preserve"> </w:t>
      </w:r>
      <w:r>
        <w:t xml:space="preserve">Zurita Ferrel (2024, pp. 15–16)</w:t>
      </w:r>
      <w:r>
        <w:t xml:space="preserve">. Los números entre paréntesis indican la cláusula correspondiente. La aplicación del ciclo a la losa se presenta en la Figura 10.</w:t>
      </w:r>
    </w:p>
    <w:p>
      <w:pPr>
        <w:pStyle w:val="BodyText"/>
      </w:pPr>
      <w:r>
        <w:t xml:space="preserve">El enfoque a procesos sostiene que los resultados son más coherentes y previsibles cuando las actividades se gestionan como procesos interrelacionados que funcionan como un sistema</w:t>
      </w:r>
      <w:r>
        <w:t xml:space="preserve"> </w:t>
      </w:r>
      <w:r>
        <w:t xml:space="preserve">(Peña Callisaya, 2024, p. 59)</w:t>
      </w:r>
      <w:r>
        <w:t xml:space="preserve">; los procesos se clasifican en estratégicos, operativos y de apoyo, y su mapa es el punto de partida de toda mejora</w:t>
      </w:r>
      <w:r>
        <w:t xml:space="preserve"> </w:t>
      </w:r>
      <w:r>
        <w:t xml:space="preserve">(Zurita Ferrel, 2024, pp. 18, 50)</w:t>
      </w:r>
      <w:r>
        <w:t xml:space="preserve">. En la losa, el proceso operativo es la ejecución; los de apoyo, las compras, el almacén y el laboratorio; y los estratégicos, la dirección de la obra y la gestión de la calidad.</w:t>
      </w:r>
    </w:p>
    <w:p>
      <w:pPr>
        <w:pStyle w:val="Heading3"/>
      </w:pPr>
      <w:bookmarkStart w:id="76" w:name="tit56"/>
      <w:r>
        <w:t xml:space="preserve">1.3.2. Pensamiento basado en riesgos</w:t>
      </w:r>
      <w:bookmarkEnd w:id="76"/>
    </w:p>
    <w:p>
      <w:pPr>
        <w:pStyle w:val="FirstParagraph"/>
      </w:pPr>
      <w:r>
        <w:t xml:space="preserve">La edición de 2015 incorporó el enfoque basado en riesgos como base para prevenir problemas y aprovechar oportunidades</w:t>
      </w:r>
      <w:r>
        <w:t xml:space="preserve"> </w:t>
      </w:r>
      <w:r>
        <w:t xml:space="preserve">(Mamani Calsina, 2025, p. 20)</w:t>
      </w:r>
      <w:r>
        <w:t xml:space="preserve">. El riesgo es el efecto de la incertidumbre sobre los resultados esperados</w:t>
      </w:r>
      <w:r>
        <w:t xml:space="preserve"> </w:t>
      </w:r>
      <w:r>
        <w:t xml:space="preserve">(Mamani Calsina, 2025, p. 22)</w:t>
      </w:r>
      <w:r>
        <w:t xml:space="preserve">, y la norma exige determinar los riesgos y las oportunidades que pueden afectar la conformidad de los productos y la satisfacción del cliente, y planificar acciones proporcionales a su efecto (cláusula 6.1)</w:t>
      </w:r>
      <w:r>
        <w:t xml:space="preserve"> </w:t>
      </w:r>
      <w:r>
        <w:t xml:space="preserve">(ISO, 2026b)</w:t>
      </w:r>
      <w:r>
        <w:t xml:space="preserve">. Así, el SGC se concibe como una herramienta de prevención: se identifican los riesgos y se decide cuáles eliminar, controlar o aceptar, sin perjuicio de actuar sobre las no conformidades que ocurran</w:t>
      </w:r>
      <w:r>
        <w:t xml:space="preserve"> </w:t>
      </w:r>
      <w:r>
        <w:t xml:space="preserve">(Peña Callisaya, 2024, pp. 57–58)</w:t>
      </w:r>
      <w:r>
        <w:t xml:space="preserve">. En la losa, los riesgos principales son conocidos: la rotura de viguetas en el transporte o el montaje</w:t>
      </w:r>
      <w:r>
        <w:t xml:space="preserve"> </w:t>
      </w:r>
      <w:r>
        <w:t xml:space="preserve">(Alcón Aranda, 2009, p. 116)</w:t>
      </w:r>
      <w:r>
        <w:t xml:space="preserve">; la colocación de complementos sobre viguetas sin apuntalar y el pisado de los complementos, que deforma la losa y aumenta el consumo de hormigón</w:t>
      </w:r>
      <w:r>
        <w:t xml:space="preserve"> </w:t>
      </w:r>
      <w:r>
        <w:t xml:space="preserve">(Concretec, 2016, hoja 3)</w:t>
      </w:r>
      <w:r>
        <w:t xml:space="preserve">; la segregación y las cangrejeras por un vaciado deficiente</w:t>
      </w:r>
      <w:r>
        <w:t xml:space="preserve"> </w:t>
      </w:r>
      <w:r>
        <w:t xml:space="preserve">(Muro Núñez, 2020, p. 17)</w:t>
      </w:r>
      <w:r>
        <w:t xml:space="preserve">; el curado insuficiente en el clima frío de Potosí</w:t>
      </w:r>
      <w:r>
        <w:t xml:space="preserve"> </w:t>
      </w:r>
      <w:r>
        <w:t xml:space="preserve">(ACI Committee 318, 2025, Sección 26.5.4.2)</w:t>
      </w:r>
      <w:r>
        <w:t xml:space="preserve">; y el desabastecimiento y el alza de precios de los insumos, como ocurrió con el cemento y el acero en 2025</w:t>
      </w:r>
      <w:r>
        <w:t xml:space="preserve"> </w:t>
      </w:r>
      <w:r>
        <w:t xml:space="preserve">(FANCESA, 2025; Import Export Las Lomas Ltda., 2025)</w:t>
      </w:r>
      <w:r>
        <w:t xml:space="preserve">. La matriz de riesgos del capítulo 2 (Tabla 32) los valora y asigna a cada uno su control.</w:t>
      </w:r>
    </w:p>
    <w:p>
      <w:pPr>
        <w:pStyle w:val="Heading3"/>
      </w:pPr>
      <w:bookmarkStart w:id="77" w:name="tit57"/>
      <w:r>
        <w:t xml:space="preserve">1.3.3. Novedades de la edición 2026</w:t>
      </w:r>
      <w:bookmarkEnd w:id="77"/>
    </w:p>
    <w:p>
      <w:pPr>
        <w:pStyle w:val="FirstParagraph"/>
      </w:pPr>
      <w:r>
        <w:t xml:space="preserve">La ISO 9001:2026 no cambia la lógica del sistema: conserva las cláusulas 4 a 10, el ciclo PHVA, el enfoque a procesos y el pensamiento basado en riesgos. Sus cambios, descritos aquí de forma general, refuerzan cuatro aspectos</w:t>
      </w:r>
      <w:r>
        <w:t xml:space="preserve"> </w:t>
      </w:r>
      <w:r>
        <w:t xml:space="preserve">(ISO, 2026b)</w:t>
      </w:r>
      <w:r>
        <w:t xml:space="preserve">:</w:t>
      </w:r>
    </w:p>
    <w:p>
      <w:pPr>
        <w:numPr>
          <w:ilvl w:val="0"/>
          <w:numId w:val="1008"/>
        </w:numPr>
      </w:pPr>
      <w:r>
        <w:t xml:space="preserve">la cultura de la calidad y el comportamiento ético, como parte del liderazgo;</w:t>
      </w:r>
    </w:p>
    <w:p>
      <w:pPr>
        <w:numPr>
          <w:ilvl w:val="0"/>
          <w:numId w:val="1008"/>
        </w:numPr>
      </w:pPr>
      <w:r>
        <w:t xml:space="preserve">el cambio climático, como cuestión del contexto que la organización debe considerar cuando es pertinente para su sistema;</w:t>
      </w:r>
    </w:p>
    <w:p>
      <w:pPr>
        <w:numPr>
          <w:ilvl w:val="0"/>
          <w:numId w:val="1008"/>
        </w:numPr>
      </w:pPr>
      <w:r>
        <w:t xml:space="preserve">el tratamiento de los riesgos y de las oportunidades;</w:t>
      </w:r>
    </w:p>
    <w:p>
      <w:pPr>
        <w:numPr>
          <w:ilvl w:val="0"/>
          <w:numId w:val="1008"/>
        </w:numPr>
      </w:pPr>
      <w:r>
        <w:t xml:space="preserve">la planificación de los cambios, para que se realicen de forma controlada.</w:t>
      </w:r>
    </w:p>
    <w:p>
      <w:pPr>
        <w:pStyle w:val="FirstParagraph"/>
        <w:ind w:firstLine="0"/>
      </w:pPr>
      <w:r>
        <w:t xml:space="preserve"/>
      </w:r>
      <w:r>
        <w:t xml:space="preserve"/>
      </w:r>
      <w:r>
        <w:t xml:space="preserve">La norma de fundamentos y vocabulario también se actualizó en 2026 como ISO 9000:2026</w:t>
      </w:r>
      <w:r>
        <w:t xml:space="preserve"> </w:t>
      </w:r>
      <w:r>
        <w:t xml:space="preserve">(ISO, 2026a)</w:t>
      </w:r>
      <w:r>
        <w:t xml:space="preserve">. Las organizaciones certificadas con la edición de 2015 tienen un periodo de transición hasta el 30 de septiembre de 2029.</w:t>
      </w:r>
      <w:r>
        <w:t xml:space="preserve"> </w:t>
      </w:r>
      <w:r>
        <w:rPr>
          <w:rStyle w:val="Pendiente"/>
          <w:bCs/>
          <w:b/>
        </w:rPr>
        <w:t xml:space="preserve">[Pendiente:</w:t>
      </w:r>
      <w:r>
        <w:rPr>
          <w:rStyle w:val="Pendiente"/>
        </w:rPr>
        <w:t xml:space="preserve"> </w:t>
      </w:r>
      <w:r>
        <w:rPr>
          <w:rStyle w:val="Pendiente"/>
        </w:rPr>
        <w:t xml:space="preserve">citar la fuente oficial del periodo de transición (organismo de acreditación o de certificación)</w:t>
      </w:r>
      <w:r>
        <w:rPr>
          <w:rStyle w:val="Pendiente"/>
          <w:bCs/>
          <w:b/>
        </w:rPr>
        <w:t xml:space="preserve">]</w:t>
      </w:r>
    </w:p>
    <w:p>
      <w:pPr>
        <w:pStyle w:val="BodyText"/>
      </w:pPr>
      <w:r>
        <w:t xml:space="preserve">Estos cambios tienen una lectura directa en la losa. El comportamiento ético se refleja en medir y pagar solo cantidades conciliadas con registros. La consideración del clima, en la planificación ante las lluvias y las bajas temperaturas de Potosí. La planificación de los cambios, en la gestión documentada de toda sustitución de materiales o de diseño, como las modificaciones estructurales que se hicieron en la obra por la falta de viguetas de los tamaños requeridos</w:t>
      </w:r>
      <w:r>
        <w:t xml:space="preserve"> </w:t>
      </w:r>
      <w:r>
        <w:t xml:space="preserve">(UATF, 2025, p. 11)</w:t>
      </w:r>
      <w:r>
        <w:t xml:space="preserve">.</w:t>
      </w:r>
    </w:p>
    <w:p>
      <w:pPr>
        <w:pStyle w:val="Heading3"/>
      </w:pPr>
      <w:bookmarkStart w:id="78" w:name="tit58"/>
      <w:r>
        <w:t xml:space="preserve">1.3.4. Planes de la calidad según la norma ISO 10005:2018</w:t>
      </w:r>
      <w:bookmarkEnd w:id="78"/>
    </w:p>
    <w:p>
      <w:pPr>
        <w:pStyle w:val="FirstParagraph"/>
      </w:pPr>
      <w:r>
        <w:t xml:space="preserve">Un plan de la calidad especifica qué procesos, procedimientos y recursos se aplicarán, quién los aplicará y cuándo, para cumplir los requisitos de un objeto concreto, como un proyecto o un contrato</w:t>
      </w:r>
      <w:r>
        <w:t xml:space="preserve"> </w:t>
      </w:r>
      <w:r>
        <w:t xml:space="preserve">(ISO, 2018)</w:t>
      </w:r>
      <w:r>
        <w:t xml:space="preserve">. Es el instrumento natural de una obra, porque permite aplicar los principios de la ISO 9001 a un proyecto único aunque la empresa no tenga un SGC certificado. La norma ISO 10005:2018 orienta su contenido: alcance, objetivos de la calidad, responsabilidades, información documentada, recursos, control de los suministros externos, producción, identificación y trazabilidad, control de las salidas no conformes, seguimiento y medición, y auditorías</w:t>
      </w:r>
      <w:r>
        <w:t xml:space="preserve"> </w:t>
      </w:r>
      <w:r>
        <w:t xml:space="preserve">(ISO, 2018)</w:t>
      </w:r>
      <w:r>
        <w:t xml:space="preserve">. En la obra, el plan se concreta en el programa de puntos de inspección (PPI), que define para cada inspección el criterio de aprobación, el lote, la frecuencia y el responsable, y señala los puntos de parada, en los que la actividad no continúa hasta obtener la conformidad</w:t>
      </w:r>
      <w:r>
        <w:t xml:space="preserve"> </w:t>
      </w:r>
      <w:r>
        <w:t xml:space="preserve">(Muro Núñez, 2020, anexo 4)</w:t>
      </w:r>
      <w:r>
        <w:t xml:space="preserve">; también fija las condiciones de suministro, recepción, almacenamiento y manipulación de cada material</w:t>
      </w:r>
      <w:r>
        <w:t xml:space="preserve"> </w:t>
      </w:r>
      <w:r>
        <w:t xml:space="preserve">(Cepeda Godoy, 2017, p. 83)</w:t>
      </w:r>
      <w:r>
        <w:t xml:space="preserve">.</w:t>
      </w:r>
    </w:p>
    <w:p>
      <w:pPr>
        <w:pStyle w:val="Heading3"/>
      </w:pPr>
      <w:bookmarkStart w:id="79" w:name="tit59"/>
      <w:r>
        <w:t xml:space="preserve">1.3.5. Gestión de la calidad en proyectos según la norma ISO 10006:2017</w:t>
      </w:r>
      <w:bookmarkEnd w:id="79"/>
    </w:p>
    <w:p>
      <w:pPr>
        <w:pStyle w:val="FirstParagraph"/>
      </w:pPr>
      <w:r>
        <w:t xml:space="preserve">La norma ISO 10006:2017 orienta la aplicación de los principios y las prácticas de la gestión de la calidad a los procesos de gestión de un proyecto, entendido como un proceso único y temporal con fechas de inicio y fin, sin ser una guía de dirección de proyectos</w:t>
      </w:r>
      <w:r>
        <w:t xml:space="preserve"> </w:t>
      </w:r>
      <w:r>
        <w:t xml:space="preserve">(ISO, 2017)</w:t>
      </w:r>
      <w:r>
        <w:t xml:space="preserve">. Dos de sus ideas son pertinentes para el caso: la calidad depende de varias organizaciones —entidad contratante, contratista, Supervisión, Fiscalización, proveedores y laboratorio—, cuyas responsabilidades deben definirse de antemano; y depende también de procesos de gestión como el control de los cambios, el abastecimiento y la comunicación. En la primera losa del Edificio de Posgrado, las demoras de materiales, las lluvias y las modificaciones del contrato afectaron la ejecución (sección 2.5.2), lo que confirma que el SGC de una obra no puede limitarse a inspeccionar el producto.</w:t>
      </w:r>
    </w:p>
    <w:p>
      <w:pPr>
        <w:pStyle w:val="Heading3"/>
      </w:pPr>
      <w:bookmarkStart w:id="80" w:name="tit60"/>
      <w:r>
        <w:t xml:space="preserve">1.3.6. Evidencia empírica sobre ISO 9001 en la construcción</w:t>
      </w:r>
      <w:bookmarkEnd w:id="80"/>
    </w:p>
    <w:p>
      <w:pPr>
        <w:pStyle w:val="FirstParagraph"/>
      </w:pPr>
      <w:r>
        <w:t xml:space="preserve">Entre los efectos internos de la norma en las constructoras figuran el mejor uso de los recursos, la reducción de los costos de inspección, logística y producción, y la disminución de las no conformidades y de los gastos por mala calidad</w:t>
      </w:r>
      <w:r>
        <w:t xml:space="preserve"> </w:t>
      </w:r>
      <w:r>
        <w:t xml:space="preserve">(Prado-Román et al., 2018, p. 156)</w:t>
      </w:r>
      <w:r>
        <w:t xml:space="preserve">. Esos efectos fueron muy relevantes para el 74,4 % de las empresas en los procesos organizativos y para el 53,7 % en las operaciones, pero solo para el 34,2 % en los resultados financieros, y aparecieron de forma gradual</w:t>
      </w:r>
      <w:r>
        <w:t xml:space="preserve"> </w:t>
      </w:r>
      <w:r>
        <w:t xml:space="preserve">(Prado-Román et al., 2018, pp. 163–164)</w:t>
      </w:r>
      <w:r>
        <w:t xml:space="preserve">; los autores advierten un posible sesgo, porque respondieron los responsables de calidad</w:t>
      </w:r>
      <w:r>
        <w:t xml:space="preserve"> </w:t>
      </w:r>
      <w:r>
        <w:t xml:space="preserve">(Prado-Román et al., 2018, p. 165)</w:t>
      </w:r>
      <w:r>
        <w:t xml:space="preserve">. La inspección del material antes de su uso es uno de los elementos más aplicados de la norma, y el rechazo de los materiales no conformes, el menos aplicado, aunque la disminución del desperdicio de material es la segunda ventaja percibida</w:t>
      </w:r>
      <w:r>
        <w:t xml:space="preserve"> </w:t>
      </w:r>
      <w:r>
        <w:t xml:space="preserve">(Shaikh y Sohu, 2020, pp. 1139–1140)</w:t>
      </w:r>
      <w:r>
        <w:t xml:space="preserve">. En Brasil, el nivel de pérdidas de la construcción disminuyó con la adopción de planes de calidad y de certificaciones ISO desde los años noventa</w:t>
      </w:r>
      <w:r>
        <w:t xml:space="preserve"> </w:t>
      </w:r>
      <w:r>
        <w:t xml:space="preserve">(Maciel et al., 2016, p. 106)</w:t>
      </w:r>
      <w:r>
        <w:t xml:space="preserve">. Según</w:t>
      </w:r>
      <w:r>
        <w:t xml:space="preserve"> </w:t>
      </w:r>
      <w:r>
        <w:t xml:space="preserve">Dzul y Gracia (2009, p. 43)</w:t>
      </w:r>
      <w:r>
        <w:t xml:space="preserve">, el 43 % de las empresas certificadas de la Comunidad Valenciana redujo sus costos totales aun después de descontar los gastos de implantación, dato que toman de un estudio anterior.</w:t>
      </w:r>
    </w:p>
    <w:p>
      <w:pPr>
        <w:pStyle w:val="BodyText"/>
      </w:pPr>
      <w:r>
        <w:t xml:space="preserve">La evidencia también señala los límites: el 40 % del personal de las constructoras chilenas certificadas cree que los indicadores se miden solo para cumplir</w:t>
      </w:r>
      <w:r>
        <w:t xml:space="preserve"> </w:t>
      </w:r>
      <w:r>
        <w:t xml:space="preserve">(Romero y Serpell, 2007, pp. 202, 208)</w:t>
      </w:r>
      <w:r>
        <w:t xml:space="preserve">. Para la tesis, la lección es doble: el SGC de la losa debe concentrarse en controles operativos con registros e indicadores útiles, y su efecto no puede suponerse completo; por eso, en la evaluación</w:t>
      </w:r>
      <w:r>
        <w:t xml:space="preserve"> </w:t>
      </w:r>
      <w:r>
        <w:rPr>
          <w:iCs/>
          <w:i/>
        </w:rPr>
        <w:t xml:space="preserve">ex ante</w:t>
      </w:r>
      <w:r>
        <w:t xml:space="preserve"> </w:t>
      </w:r>
      <w:r>
        <w:t xml:space="preserve">la eficacia del sistema es un parámetro incierto (sección 2.7.2).</w:t>
      </w:r>
    </w:p>
    <w:p>
      <w:pPr>
        <w:pStyle w:val="Heading2"/>
      </w:pPr>
      <w:bookmarkStart w:id="87" w:name="tit61"/>
      <w:r>
        <w:t xml:space="preserve">1.4. Costos de la calidad</w:t>
      </w:r>
      <w:bookmarkEnd w:id="87"/>
    </w:p>
    <w:p>
      <w:pPr>
        <w:pStyle w:val="Heading3"/>
      </w:pPr>
      <w:bookmarkStart w:id="85" w:name="tit62"/>
      <w:r>
        <w:t xml:space="preserve">1.4.1. Modelo de prevención, evaluación y fallas</w:t>
      </w:r>
      <w:bookmarkEnd w:id="85"/>
    </w:p>
    <w:p>
      <w:pPr>
        <w:pStyle w:val="FirstParagraph"/>
      </w:pPr>
      <w:r>
        <w:t xml:space="preserve">Los costos de la calidad son la suma de los costos de conformidad, que son el precio de prevenir la mala calidad, y de no conformidad, que son el costo de no cumplir los requisitos</w:t>
      </w:r>
      <w:r>
        <w:t xml:space="preserve"> </w:t>
      </w:r>
      <w:r>
        <w:t xml:space="preserve">(Gracia Villar y Dzul López, 2007, p. 44)</w:t>
      </w:r>
      <w:r>
        <w:t xml:space="preserve">. El modelo más empleado para clasificarlos, también en las constructoras, es el de prevención, evaluación y fallas (PEF, o PAF por sus siglas en inglés)</w:t>
      </w:r>
      <w:r>
        <w:t xml:space="preserve"> </w:t>
      </w:r>
      <w:r>
        <w:t xml:space="preserve">(Gracia Villar y Dzul López, 2007, p. 43)</w:t>
      </w:r>
      <w:r>
        <w:t xml:space="preserve"> </w:t>
      </w:r>
      <w:r>
        <w:t xml:space="preserve">(Dzul y Gracia, 2009, p. 42)</w:t>
      </w:r>
      <w:r>
        <w:t xml:space="preserve">. La prevención agrupa las actividades que evitan defectos desde el diseño, como la revisión de planos, los planes de aseguramiento y la capacitación</w:t>
      </w:r>
      <w:r>
        <w:t xml:space="preserve"> </w:t>
      </w:r>
      <w:r>
        <w:t xml:space="preserve">(Alfaro Félix, 2011, p. 12)</w:t>
      </w:r>
      <w:r>
        <w:t xml:space="preserve">; la evaluación, las que comprueban que una actividad se hizo bien, como la inspección y los ensayos de los materiales; las fallas internas, los errores detectados antes de que el cliente acepte el producto, como los desperdicios y la repetición del trabajo</w:t>
      </w:r>
      <w:r>
        <w:t xml:space="preserve"> </w:t>
      </w:r>
      <w:r>
        <w:t xml:space="preserve">(Gracia Villar y Dzul López, 2007, p. 49)</w:t>
      </w:r>
      <w:r>
        <w:t xml:space="preserve">; y las fallas externas, las que se detectan después de la entrega, como las garantías y las reparaciones</w:t>
      </w:r>
      <w:r>
        <w:t xml:space="preserve"> </w:t>
      </w:r>
      <w:r>
        <w:t xml:space="preserve">(Alfaro Félix, 2011, p. 13)</w:t>
      </w:r>
      <w:r>
        <w:t xml:space="preserve">. La prevención y la evaluación son costos controlables o de conformidad, y las fallas, costos resultantes o de no conformidad</w:t>
      </w:r>
      <w:r>
        <w:t xml:space="preserve"> </w:t>
      </w:r>
      <w:r>
        <w:t xml:space="preserve">(Gracia Villar y Dzul López, 2007, p. 48)</w:t>
      </w:r>
      <w:r>
        <w:t xml:space="preserve">. El costo total de la calidad (</w:t>
      </w:r>
      <m:oMath>
        <m:r>
          <m:t>C</m:t>
        </m:r>
        <m:r>
          <m:t>T</m:t>
        </m:r>
        <m:r>
          <m:t>C</m:t>
        </m:r>
      </m:oMath>
      <w:r>
        <w:t xml:space="preserve">) se expresa entonces como</w:t>
      </w:r>
    </w:p>
    <w:tbl>
      <w:tblPr>
        <w:tblW w:w="9360" w:type="dxa"/>
        <w:tblLayout w:type="fixed"/>
        <w:tblCellMar>
          <w:left w:w="0" w:type="dxa"/>
          <w:right w:w="0" w:type="dxa"/>
        </w:tblCellMar>
        <w:tblLook w:val="0000" w:firstRow="0" w:lastRow="0" w:firstColumn="0" w:lastColumn="0" w:noHBand="1" w:noVBand="1"/>
        <w:tblCaption w:val="Ecuación"/>
      </w:tblPr>
      <w:tblGrid>
        <w:gridCol w:w="1134"/>
        <w:gridCol w:w="7092"/>
        <w:gridCol w:w="1134"/>
      </w:tblGrid>
      <w:tr>
        <w:trPr>
          <w:cantSplit/>
        </w:trPr>
        <w:tc>
          <w:tcPr>
            <w:tcW w:w="1134" w:type="dxa"/>
            <w:vAlign w:val="center"/>
          </w:tcPr>
          <w:p>
            <w:pPr>
              <w:pStyle w:val="EcuacionAPA"/>
            </w:pPr>
          </w:p>
        </w:tc>
        <w:tc>
          <w:tcPr>
            <w:tcW w:w="7092" w:type="dxa"/>
            <w:vAlign w:val="center"/>
          </w:tcPr>
          <w:p>
            <w:pPr>
              <w:pStyle w:val="EcuacionAPA"/>
            </w:pPr>
            <m:oMathPara>
              <m:oMathParaPr>
                <m:jc m:val="center"/>
              </m:oMathParaPr>
              <m:oMath>
                <m:r>
                  <m:t>C</m:t>
                </m:r>
                <m:r>
                  <m:t>T</m:t>
                </m:r>
                <m:r>
                  <m:t>C</m:t>
                </m:r>
                <m:r>
                  <m:rPr>
                    <m:sty m:val="p"/>
                  </m:rPr>
                  <m:t>=</m:t>
                </m:r>
                <m:limLow>
                  <m:e>
                    <m:limLow>
                      <m:e>
                        <m:sSub>
                          <m:e>
                            <m:r>
                              <m:t>C</m:t>
                            </m:r>
                          </m:e>
                          <m:sub>
                            <m:r>
                              <m:t>P</m:t>
                            </m:r>
                          </m:sub>
                        </m:sSub>
                        <m:r>
                          <m:rPr>
                            <m:sty m:val="p"/>
                          </m:rPr>
                          <m:t>+</m:t>
                        </m:r>
                        <m:sSub>
                          <m:e>
                            <m:r>
                              <m:t>C</m:t>
                            </m:r>
                          </m:e>
                          <m:sub>
                            <m:r>
                              <m:t>E</m:t>
                            </m:r>
                          </m:sub>
                        </m:sSub>
                      </m:e>
                      <m:lim>
                        <m:r>
                          <m:rPr>
                            <m:sty m:val="p"/>
                          </m:rPr>
                          <m:t>⏟</m:t>
                        </m:r>
                      </m:lim>
                    </m:limLow>
                  </m:e>
                  <m:lim>
                    <m:r>
                      <m:t>C</m:t>
                    </m:r>
                    <m:r>
                      <m:t>C</m:t>
                    </m:r>
                  </m:lim>
                </m:limLow>
                <m:r>
                  <m:t> </m:t>
                </m:r>
                <m:r>
                  <m:rPr>
                    <m:sty m:val="p"/>
                  </m:rPr>
                  <m:t>+</m:t>
                </m:r>
                <m:r>
                  <m:t> </m:t>
                </m:r>
                <m:limLow>
                  <m:e>
                    <m:limLow>
                      <m:e>
                        <m:sSub>
                          <m:e>
                            <m:r>
                              <m:t>C</m:t>
                            </m:r>
                          </m:e>
                          <m:sub>
                            <m:r>
                              <m:t>F</m:t>
                            </m:r>
                            <m:r>
                              <m:t>I</m:t>
                            </m:r>
                          </m:sub>
                        </m:sSub>
                        <m:r>
                          <m:rPr>
                            <m:sty m:val="p"/>
                          </m:rPr>
                          <m:t>+</m:t>
                        </m:r>
                        <m:sSub>
                          <m:e>
                            <m:r>
                              <m:t>C</m:t>
                            </m:r>
                          </m:e>
                          <m:sub>
                            <m:r>
                              <m:t>F</m:t>
                            </m:r>
                            <m:r>
                              <m:t>E</m:t>
                            </m:r>
                          </m:sub>
                        </m:sSub>
                      </m:e>
                      <m:lim>
                        <m:r>
                          <m:rPr>
                            <m:sty m:val="p"/>
                          </m:rPr>
                          <m:t>⏟</m:t>
                        </m:r>
                      </m:lim>
                    </m:limLow>
                  </m:e>
                  <m:lim>
                    <m:r>
                      <m:t>C</m:t>
                    </m:r>
                    <m:r>
                      <m:t>N</m:t>
                    </m:r>
                    <m:r>
                      <m:t>C</m:t>
                    </m:r>
                  </m:lim>
                </m:limLow>
              </m:oMath>
            </m:oMathPara>
          </w:p>
        </w:tc>
        <w:tc>
          <w:tcPr>
            <w:tcW w:w="1134" w:type="dxa"/>
            <w:vAlign w:val="center"/>
          </w:tcPr>
          <w:p>
            <w:pPr>
              <w:pStyle w:val="EcuacionAPA"/>
              <w:jc w:val="right"/>
            </w:pPr>
            <w:r>
              <w:t>(1)</w:t>
            </w:r>
          </w:p>
        </w:tc>
      </w:tr>
    </w:tbl>
    <w:p>
      <w:pPr>
        <w:pStyle w:val="FirstParagraph"/>
        <w:ind w:firstLine="0"/>
      </w:pPr>
      <w:r>
        <w:t xml:space="preserve"/>
      </w:r>
      <w:r>
        <w:t xml:space="preserve"/>
      </w:r>
      <w:r>
        <w:t xml:space="preserve">donde</w:t>
      </w:r>
      <w:r>
        <w:t xml:space="preserve"> </w:t>
      </w:r>
      <m:oMath>
        <m:sSub>
          <m:e>
            <m:r>
              <m:t>C</m:t>
            </m:r>
          </m:e>
          <m:sub>
            <m:r>
              <m:t>P</m:t>
            </m:r>
          </m:sub>
        </m:sSub>
      </m:oMath>
      <w:r>
        <w:t xml:space="preserve">,</w:t>
      </w:r>
      <w:r>
        <w:t xml:space="preserve"> </w:t>
      </w:r>
      <m:oMath>
        <m:sSub>
          <m:e>
            <m:r>
              <m:t>C</m:t>
            </m:r>
          </m:e>
          <m:sub>
            <m:r>
              <m:t>E</m:t>
            </m:r>
          </m:sub>
        </m:sSub>
      </m:oMath>
      <w:r>
        <w:t xml:space="preserve">,</w:t>
      </w:r>
      <w:r>
        <w:t xml:space="preserve"> </w:t>
      </w:r>
      <m:oMath>
        <m:sSub>
          <m:e>
            <m:r>
              <m:t>C</m:t>
            </m:r>
          </m:e>
          <m:sub>
            <m:r>
              <m:t>F</m:t>
            </m:r>
            <m:r>
              <m:t>I</m:t>
            </m:r>
          </m:sub>
        </m:sSub>
      </m:oMath>
      <w:r>
        <w:t xml:space="preserve"> </w:t>
      </w:r>
      <w:r>
        <w:t xml:space="preserve">y</w:t>
      </w:r>
      <w:r>
        <w:t xml:space="preserve"> </w:t>
      </w:r>
      <m:oMath>
        <m:sSub>
          <m:e>
            <m:r>
              <m:t>C</m:t>
            </m:r>
          </m:e>
          <m:sub>
            <m:r>
              <m:t>F</m:t>
            </m:r>
            <m:r>
              <m:t>E</m:t>
            </m:r>
          </m:sub>
        </m:sSub>
      </m:oMath>
      <w:r>
        <w:t xml:space="preserve"> </w:t>
      </w:r>
      <w:r>
        <w:t xml:space="preserve">son los costos de prevención, evaluación, fallas internas y fallas externas;</w:t>
      </w:r>
      <w:r>
        <w:t xml:space="preserve"> </w:t>
      </w:r>
      <m:oMath>
        <m:r>
          <m:t>C</m:t>
        </m:r>
        <m:r>
          <m:t>C</m:t>
        </m:r>
      </m:oMath>
      <w:r>
        <w:t xml:space="preserve"> </w:t>
      </w:r>
      <w:r>
        <w:t xml:space="preserve">es el costo de conformidad y</w:t>
      </w:r>
      <w:r>
        <w:t xml:space="preserve"> </w:t>
      </w:r>
      <m:oMath>
        <m:r>
          <m:t>C</m:t>
        </m:r>
        <m:r>
          <m:t>N</m:t>
        </m:r>
        <m:r>
          <m:t>C</m:t>
        </m:r>
      </m:oMath>
      <w:r>
        <w:t xml:space="preserve"> </w:t>
      </w:r>
      <w:r>
        <w:t xml:space="preserve">el costo de no conformidad o de no calidad</w:t>
      </w:r>
      <w:r>
        <w:t xml:space="preserve"> </w:t>
      </w:r>
      <w:r>
        <w:t xml:space="preserve">(Zurita Ferrel, 2024, p. 150)</w:t>
      </w:r>
      <w:r>
        <w:t xml:space="preserve">.</w:t>
      </w:r>
      <w:r>
        <w:t xml:space="preserve"> </w:t>
      </w:r>
      <w:r>
        <w:t xml:space="preserve">Khadim et al. (2023, p. 5416)</w:t>
      </w:r>
      <w:r>
        <w:t xml:space="preserve"> </w:t>
      </w:r>
      <w:r>
        <w:t xml:space="preserve">amplían el modelo: dividen las fallas en visibles (internas y externas) y ocultas, tangibles e intangibles, que no aparecen en la contabilidad. La Tabla 8 aplica las categorías a la ejecución de la losa.</w:t>
      </w:r>
    </w:p>
    <w:p>
      <w:pPr>
        <w:pStyle w:val="Caption"/>
      </w:pPr>
      <w:bookmarkStart w:id="1401" w:name="tab8"/>
      <w:r>
        <w:t xml:space="preserve"/>
      </w:r>
      <w:r>
        <w:rPr>
          <w:bCs/>
          <w:b/>
        </w:rPr>
        <w:t xml:space="preserve">Tabla 8</w:t>
      </w:r>
      <w:r>
        <w:br/>
      </w:r>
      <w:r>
        <w:rPr>
          <w:iCs/>
          <w:i/>
        </w:rPr>
        <w:t xml:space="preserve">Categorías del modelo de prevención, evaluación y fallas en la ejecución de la losa</w:t>
      </w:r>
      <w:bookmarkEnd w:id="1401"/>
    </w:p>
    <w:tbl>
      <w:tblPr>
        <w:tblStyle w:val="Table"/>
        <w:tblW w:w="9361" w:type="dxa"/>
        <w:jc w:val="left"/>
        <w:tblLayout w:type="fixed"/>
        <w:tblCellMar>
          <w:top w:w="0" w:type="dxa"/>
          <w:left w:w="85" w:type="dxa"/>
          <w:bottom w:w="0" w:type="dxa"/>
          <w:right w:w="85" w:type="dxa"/>
        </w:tblCellMar>
        <w:tblLook w:firstRow="1" w:lastRow="0" w:firstColumn="0" w:lastColumn="0" w:noHBand="0" w:noVBand="0" w:val="0020"/>
      </w:tblPr>
      <w:tblGrid>
        <w:gridCol w:w="1555"/>
        <w:gridCol w:w="2673"/>
        <w:gridCol w:w="5133"/>
      </w:tblGrid>
      <w:tr>
        <w:trPr>
          <w:cantSplit/>
          <w:tblHeader w:val="true"/>
        </w:trPr>
        <w:tc>
          <w:tcPr>
            <w:tcW w:w="1555" w:type="dxa"/>
            <w:tcBorders>
              <w:top w:val="single" w:sz="8" w:space="0" w:color="000000"/>
              <w:bottom w:val="single" w:sz="4" w:space="0" w:color="000000"/>
            </w:tcBorders>
          </w:tcPr>
          <w:p>
            <w:pPr>
              <w:pStyle w:val="CeldaAPA"/>
              <w:jc w:val="center"/>
            </w:pPr>
            <w:r>
              <w:rPr>
                <w:bCs/>
                <w:b/>
              </w:rPr>
              <w:t xml:space="preserve">Categoría</w:t>
            </w:r>
          </w:p>
        </w:tc>
        <w:tc>
          <w:tcPr>
            <w:tcW w:w="2673" w:type="dxa"/>
            <w:tcBorders>
              <w:top w:val="single" w:sz="8" w:space="0" w:color="000000"/>
              <w:bottom w:val="single" w:sz="4" w:space="0" w:color="000000"/>
            </w:tcBorders>
          </w:tcPr>
          <w:p>
            <w:pPr>
              <w:pStyle w:val="CeldaAPA"/>
              <w:jc w:val="center"/>
            </w:pPr>
            <w:r>
              <w:rPr>
                <w:bCs/>
                <w:b/>
              </w:rPr>
              <w:t xml:space="preserve">Definición</w:t>
            </w:r>
          </w:p>
        </w:tc>
        <w:tc>
          <w:tcPr>
            <w:tcW w:w="5133" w:type="dxa"/>
            <w:tcBorders>
              <w:top w:val="single" w:sz="8" w:space="0" w:color="000000"/>
              <w:bottom w:val="single" w:sz="4" w:space="0" w:color="000000"/>
            </w:tcBorders>
          </w:tcPr>
          <w:p>
            <w:pPr>
              <w:pStyle w:val="CeldaAPA"/>
              <w:jc w:val="center"/>
            </w:pPr>
            <w:r>
              <w:rPr>
                <w:bCs/>
                <w:b/>
              </w:rPr>
              <w:t xml:space="preserve">Ejemplos en la ejecución de la losa</w:t>
            </w:r>
          </w:p>
        </w:tc>
      </w:tr>
      <w:tr>
        <w:tc>
          <w:tcPr>
            <w:tcW w:w="1555" w:type="dxa"/>
          </w:tcPr>
          <w:p>
            <w:pPr>
              <w:pStyle w:val="CeldaAPA"/>
              <w:jc w:val="left"/>
            </w:pPr>
            <w:r>
              <w:rPr/>
              <w:t xml:space="preserve">Prevención</w:t>
            </w:r>
          </w:p>
        </w:tc>
        <w:tc>
          <w:tcPr>
            <w:tcW w:w="2673" w:type="dxa"/>
          </w:tcPr>
          <w:p>
            <w:pPr>
              <w:pStyle w:val="CeldaAPA"/>
              <w:jc w:val="left"/>
            </w:pPr>
            <w:r>
              <w:rPr/>
              <w:t xml:space="preserve">Actividades para evitar defectos</w:t>
            </w:r>
          </w:p>
        </w:tc>
        <w:tc>
          <w:tcPr>
            <w:tcW w:w="5133" w:type="dxa"/>
          </w:tcPr>
          <w:p>
            <w:pPr>
              <w:pStyle w:val="CeldaAPA"/>
              <w:jc w:val="left"/>
            </w:pPr>
            <w:r>
              <w:rPr/>
              <w:t xml:space="preserve">Plan de la calidad y PPI; revisión de planos y especificaciones; capacitación del personal; evaluación de proveedores; planificación de los pedidos por paño</w:t>
            </w:r>
          </w:p>
        </w:tc>
      </w:tr>
      <w:tr>
        <w:tc>
          <w:tcPr>
            <w:tcW w:w="1555" w:type="dxa"/>
          </w:tcPr>
          <w:p>
            <w:pPr>
              <w:pStyle w:val="CeldaAPA"/>
              <w:jc w:val="left"/>
            </w:pPr>
            <w:r>
              <w:rPr/>
              <w:t xml:space="preserve">Evaluación</w:t>
            </w:r>
          </w:p>
        </w:tc>
        <w:tc>
          <w:tcPr>
            <w:tcW w:w="2673" w:type="dxa"/>
          </w:tcPr>
          <w:p>
            <w:pPr>
              <w:pStyle w:val="CeldaAPA"/>
              <w:jc w:val="left"/>
            </w:pPr>
            <w:r>
              <w:rPr/>
              <w:t xml:space="preserve">Actividades para verificar la conformidad</w:t>
            </w:r>
          </w:p>
        </w:tc>
        <w:tc>
          <w:tcPr>
            <w:tcW w:w="5133" w:type="dxa"/>
          </w:tcPr>
          <w:p>
            <w:pPr>
              <w:pStyle w:val="CeldaAPA"/>
              <w:jc w:val="left"/>
            </w:pPr>
            <w:r>
              <w:rPr/>
              <w:t xml:space="preserve">Inspección de recepción de viguetas, complementos y acero; ensayos de asentamiento y de resistencia del hormigón; verificación del armado antes del vaciado; conciliación de cantidades</w:t>
            </w:r>
          </w:p>
        </w:tc>
      </w:tr>
      <w:tr>
        <w:tc>
          <w:tcPr>
            <w:tcW w:w="1555" w:type="dxa"/>
          </w:tcPr>
          <w:p>
            <w:pPr>
              <w:pStyle w:val="CeldaAPA"/>
              <w:jc w:val="left"/>
            </w:pPr>
            <w:r>
              <w:rPr/>
              <w:t xml:space="preserve">Fallas internas</w:t>
            </w:r>
          </w:p>
        </w:tc>
        <w:tc>
          <w:tcPr>
            <w:tcW w:w="2673" w:type="dxa"/>
          </w:tcPr>
          <w:p>
            <w:pPr>
              <w:pStyle w:val="CeldaAPA"/>
              <w:jc w:val="left"/>
            </w:pPr>
            <w:r>
              <w:rPr/>
              <w:t xml:space="preserve">Errores detectados antes de la entrega</w:t>
            </w:r>
          </w:p>
        </w:tc>
        <w:tc>
          <w:tcPr>
            <w:tcW w:w="5133" w:type="dxa"/>
          </w:tcPr>
          <w:p>
            <w:pPr>
              <w:pStyle w:val="CeldaAPA"/>
              <w:jc w:val="left"/>
            </w:pPr>
            <w:r>
              <w:rPr/>
              <w:t xml:space="preserve">Viguetas rotas y complementos dañados; hormigón y acero desperdiciados; retrabajo del armado; reparación de cangrejeras; paralizaciones por material no conforme</w:t>
            </w:r>
          </w:p>
        </w:tc>
      </w:tr>
      <w:tr>
        <w:tc>
          <w:tcPr>
            <w:tcW w:w="1555" w:type="dxa"/>
          </w:tcPr>
          <w:p>
            <w:pPr>
              <w:pStyle w:val="CeldaAPA"/>
              <w:jc w:val="left"/>
            </w:pPr>
            <w:r>
              <w:rPr/>
              <w:t xml:space="preserve">Fallas externas</w:t>
            </w:r>
          </w:p>
        </w:tc>
        <w:tc>
          <w:tcPr>
            <w:tcW w:w="2673" w:type="dxa"/>
          </w:tcPr>
          <w:p>
            <w:pPr>
              <w:pStyle w:val="CeldaAPA"/>
              <w:jc w:val="left"/>
            </w:pPr>
            <w:r>
              <w:rPr/>
              <w:t xml:space="preserve">Errores detectados después de la entrega</w:t>
            </w:r>
          </w:p>
        </w:tc>
        <w:tc>
          <w:tcPr>
            <w:tcW w:w="5133" w:type="dxa"/>
          </w:tcPr>
          <w:p>
            <w:pPr>
              <w:pStyle w:val="CeldaAPA"/>
              <w:jc w:val="left"/>
            </w:pPr>
            <w:r>
              <w:rPr/>
              <w:t xml:space="preserve">Reparación de fisuras o flechas de la losa recibida; descuentos por sobremedición en las planillas; extracción de núcleos y evaluaciones adicionales</w:t>
            </w:r>
          </w:p>
        </w:tc>
      </w:tr>
      <w:tr>
        <w:tc>
          <w:tcPr>
            <w:tcW w:w="1555" w:type="dxa"/>
            <w:tcBorders>
              <w:bottom w:val="single" w:sz="8" w:space="0" w:color="000000"/>
            </w:tcBorders>
          </w:tcPr>
          <w:p>
            <w:pPr>
              <w:pStyle w:val="CeldaAPA"/>
              <w:jc w:val="left"/>
            </w:pPr>
            <w:r>
              <w:rPr/>
              <w:t xml:space="preserve">Fallas ocultas</w:t>
            </w:r>
          </w:p>
        </w:tc>
        <w:tc>
          <w:tcPr>
            <w:tcW w:w="2673" w:type="dxa"/>
            <w:tcBorders>
              <w:bottom w:val="single" w:sz="8" w:space="0" w:color="000000"/>
            </w:tcBorders>
          </w:tcPr>
          <w:p>
            <w:pPr>
              <w:pStyle w:val="CeldaAPA"/>
              <w:jc w:val="left"/>
            </w:pPr>
            <w:r>
              <w:rPr/>
              <w:t xml:space="preserve">Pérdidas que no se registran</w:t>
            </w:r>
          </w:p>
        </w:tc>
        <w:tc>
          <w:tcPr>
            <w:tcW w:w="5133" w:type="dxa"/>
            <w:tcBorders>
              <w:bottom w:val="single" w:sz="8" w:space="0" w:color="000000"/>
            </w:tcBorders>
          </w:tcPr>
          <w:p>
            <w:pPr>
              <w:pStyle w:val="CeldaAPA"/>
              <w:jc w:val="left"/>
            </w:pPr>
            <w:r>
              <w:rPr/>
              <w:t xml:space="preserve">Sobreconsumos no medidos, esperas y pérdidas de productividad, deterioro de la relación con el contratante</w:t>
            </w:r>
          </w:p>
        </w:tc>
      </w:tr>
    </w:tbl>
    <w:p>
      <w:pPr>
        <w:pStyle w:val="NotaAPA"/>
      </w:pPr>
      <w:r>
        <w:rPr>
          <w:iCs/>
          <w:i/>
        </w:rPr>
        <w:t xml:space="preserve">Nota.</w:t>
      </w:r>
      <w:r>
        <w:t xml:space="preserve"> </w:t>
      </w:r>
      <w:r>
        <w:t xml:space="preserve">Elaborado con base en</w:t>
      </w:r>
      <w:r>
        <w:t xml:space="preserve"> </w:t>
      </w:r>
      <w:r>
        <w:t xml:space="preserve">Alfaro Félix (2011, pp. 12–13)</w:t>
      </w:r>
      <w:r>
        <w:t xml:space="preserve">,</w:t>
      </w:r>
      <w:r>
        <w:t xml:space="preserve"> </w:t>
      </w:r>
      <w:r>
        <w:t xml:space="preserve">Gracia Villar y Dzul López (2007, pp. 46–49)</w:t>
      </w:r>
      <w:r>
        <w:t xml:space="preserve"> </w:t>
      </w:r>
      <w:r>
        <w:t xml:space="preserve">y</w:t>
      </w:r>
      <w:r>
        <w:t xml:space="preserve"> </w:t>
      </w:r>
      <w:r>
        <w:t xml:space="preserve">Khadim et al. (2023, p. 5416)</w:t>
      </w:r>
      <w:r>
        <w:t xml:space="preserve">. Los ejemplos son de elaboración propia.</w:t>
      </w:r>
    </w:p>
    <w:p>
      <w:pPr>
        <w:pStyle w:val="BodyText"/>
      </w:pPr>
      <w:r>
        <w:t xml:space="preserve">La relación entre las categorías explica por qué conviene prevenir. Según la regla 1-10-100 que recogen</w:t>
      </w:r>
      <w:r>
        <w:t xml:space="preserve"> </w:t>
      </w:r>
      <w:r>
        <w:t xml:space="preserve">Khadim et al. (2023, p. 5407)</w:t>
      </w:r>
      <w:r>
        <w:t xml:space="preserve">, es preferible invertir una unidad en prevención que gastar diez en corrección o cien en una falla.</w:t>
      </w:r>
      <w:r>
        <w:t xml:space="preserve"> </w:t>
      </w:r>
      <w:r>
        <w:t xml:space="preserve">Gracia Villar y Dzul López (2007, p. 49)</w:t>
      </w:r>
      <w:r>
        <w:t xml:space="preserve"> </w:t>
      </w:r>
      <w:r>
        <w:t xml:space="preserve">describen la relación con una curva (Figura 2): al aumentar la prevención y la evaluación, las fallas disminuyen, pero cada incremento es menos eficaz que el anterior, de modo que la suma de ambas curvas tiene un mínimo, el punto óptimo operativo provisional. Es provisional porque se desplaza a medida que la mejora reduce los errores, y por eso los modelos más recientes incorporan el costo y el valor de la mejora continua</w:t>
      </w:r>
      <w:r>
        <w:t xml:space="preserve"> </w:t>
      </w:r>
      <w:r>
        <w:t xml:space="preserve">(Gracia Villar y Dzul López, 2007, pp. 47–48)</w:t>
      </w:r>
      <w:r>
        <w:t xml:space="preserve">.</w:t>
      </w:r>
    </w:p>
    <w:p>
      <w:pPr>
        <w:pStyle w:val="Caption"/>
      </w:pPr>
      <w:bookmarkStart w:id="1402" w:name="fig2"/>
      <w:r>
        <w:t xml:space="preserve"/>
      </w:r>
      <w:r>
        <w:rPr>
          <w:bCs/>
          <w:b/>
        </w:rPr>
        <w:t xml:space="preserve">Figura 2</w:t>
      </w:r>
      <w:r>
        <w:br/>
      </w:r>
      <w:r>
        <w:rPr>
          <w:iCs/>
          <w:i/>
        </w:rPr>
        <w:t xml:space="preserve">Curvas de los costos de la calidad y punto óptimo operativo provisional</w:t>
      </w:r>
      <w:bookmarkEnd w:id="1402"/>
    </w:p>
    <w:p>
      <w:pPr>
        <w:pStyle w:val="FiguraAPA"/>
      </w:pPr>
      <w:r>
        <w:drawing>
          <wp:inline>
            <wp:extent cx="5116679" cy="2291687"/>
            <wp:effectExtent b="0" l="0" r="0" t="0"/>
            <wp:docPr descr="image" title="" id="83" name="Picture"/>
            <a:graphic>
              <a:graphicData uri="http://schemas.openxmlformats.org/drawingml/2006/picture">
                <pic:pic>
                  <pic:nvPicPr>
                    <pic:cNvPr descr="/home/user/TesisSGC/07_Entregables/scripts/_trabajo/tikz/tikz_ac5bef841405a4b6ba04.png" id="84" name="Picture"/>
                    <pic:cNvPicPr>
                      <a:picLocks noChangeArrowheads="1" noChangeAspect="1"/>
                    </pic:cNvPicPr>
                  </pic:nvPicPr>
                  <pic:blipFill>
                    <a:blip r:embed="rId82"/>
                    <a:stretch>
                      <a:fillRect/>
                    </a:stretch>
                  </pic:blipFill>
                  <pic:spPr bwMode="auto">
                    <a:xfrm>
                      <a:off x="0" y="0"/>
                      <a:ext cx="5116679" cy="2291687"/>
                    </a:xfrm>
                    <a:prstGeom prst="rect">
                      <a:avLst/>
                    </a:prstGeom>
                    <a:noFill/>
                    <a:ln w="9525">
                      <a:noFill/>
                      <a:headEnd/>
                      <a:tailEnd/>
                    </a:ln>
                  </pic:spPr>
                </pic:pic>
              </a:graphicData>
            </a:graphic>
          </wp:inline>
        </w:drawing>
      </w:r>
    </w:p>
    <w:p>
      <w:pPr>
        <w:pStyle w:val="NotaAPA"/>
      </w:pPr>
      <w:r>
        <w:rPr>
          <w:iCs/>
          <w:i/>
        </w:rPr>
        <w:t xml:space="preserve">Nota.</w:t>
      </w:r>
      <w:r>
        <w:t xml:space="preserve"> </w:t>
      </w:r>
      <w:r>
        <w:t xml:space="preserve">Adaptado de la figura 2 de</w:t>
      </w:r>
      <w:r>
        <w:t xml:space="preserve"> </w:t>
      </w:r>
      <w:r>
        <w:t xml:space="preserve">Gracia Villar y Dzul López (2007, p. 49)</w:t>
      </w:r>
      <w:r>
        <w:t xml:space="preserve">. Las curvas son ilustrativas y no representan datos de la obra.</w:t>
      </w:r>
    </w:p>
    <w:p>
      <w:pPr>
        <w:pStyle w:val="BodyText"/>
      </w:pPr>
      <w:r>
        <w:t xml:space="preserve">Muchas empresas operan a la izquierda del óptimo: en los proyectos estudiados por</w:t>
      </w:r>
      <w:r>
        <w:t xml:space="preserve"> </w:t>
      </w:r>
      <w:r>
        <w:t xml:space="preserve">Khadim et al. (2023, p. 5420)</w:t>
      </w:r>
      <w:r>
        <w:t xml:space="preserve">, las fallas visibles (2,34 %) superaron la inversión en conformidad (1,83 %), y en un fabricante boliviano de viguetas, antes del SGC, las fallas externas representaban el 50 % del costo de la calidad y la prevención apenas el 16 %</w:t>
      </w:r>
      <w:r>
        <w:t xml:space="preserve"> </w:t>
      </w:r>
      <w:r>
        <w:t xml:space="preserve">(Pajarito Mamani, 2015, p. 143)</w:t>
      </w:r>
      <w:r>
        <w:t xml:space="preserve">. La recomendación que recogen</w:t>
      </w:r>
      <w:r>
        <w:t xml:space="preserve"> </w:t>
      </w:r>
      <w:r>
        <w:t xml:space="preserve">Palanisamy y Palanichamy (2025, Sección 2.2.1)</w:t>
      </w:r>
      <w:r>
        <w:t xml:space="preserve"> </w:t>
      </w:r>
      <w:r>
        <w:t xml:space="preserve">orienta la inversión: menos del 2 % en prevención y evaluación aumenta inevitablemente los costos de falla, y más del 4 % probablemente no tiene retorno. El óptimo no implica cero fallas: los estándares de costo deben admitir un margen controlado de no calidad, porque no existe el proceso perfecto</w:t>
      </w:r>
      <w:r>
        <w:t xml:space="preserve"> </w:t>
      </w:r>
      <w:r>
        <w:t xml:space="preserve">(Gracia Villar y Dzul López, 2007, p. 53)</w:t>
      </w:r>
      <w:r>
        <w:t xml:space="preserve">, y un sistema de costos de la calidad no resuelve por sí mismo los problemas, sino que sirve para dimensionarlos</w:t>
      </w:r>
      <w:r>
        <w:t xml:space="preserve"> </w:t>
      </w:r>
      <w:r>
        <w:t xml:space="preserve">(Gracia Villar y Dzul López, 2007, p. 56)</w:t>
      </w:r>
      <w:r>
        <w:t xml:space="preserve">.</w:t>
      </w:r>
    </w:p>
    <w:p>
      <w:pPr>
        <w:pStyle w:val="Heading3"/>
      </w:pPr>
      <w:bookmarkStart w:id="86" w:name="tit63"/>
      <w:r>
        <w:t xml:space="preserve">1.4.2. Costo de no calidad y retrabajo</w:t>
      </w:r>
      <w:bookmarkEnd w:id="86"/>
    </w:p>
    <w:p>
      <w:pPr>
        <w:pStyle w:val="FirstParagraph"/>
      </w:pPr>
      <w:r>
        <w:t xml:space="preserve">Los costos de no calidad son los gastos adicionales para rehacer o reparar lo que se hizo mal: el retrabajo, el reemplazo de los materiales que no cumplen los requisitos y el tiempo para completar los trabajos retrasados; como nunca se presupuestan, constituyen una pérdida neta</w:t>
      </w:r>
      <w:r>
        <w:t xml:space="preserve"> </w:t>
      </w:r>
      <w:r>
        <w:t xml:space="preserve">(Alfaro Félix, 2011, p. 38)</w:t>
      </w:r>
      <w:r>
        <w:t xml:space="preserve">. El retrabajo es el esfuerzo innecesario de rehacer una actividad o un proceso que se ejecutó incorrectamente la primera vez, según la definición que adoptan</w:t>
      </w:r>
      <w:r>
        <w:t xml:space="preserve"> </w:t>
      </w:r>
      <w:r>
        <w:t xml:space="preserve">Forcada et al. (2017, p. 2)</w:t>
      </w:r>
      <w:r>
        <w:t xml:space="preserve">, y su origen es la variabilidad de los procesos: una parte de lo producido no cumple la especificación y debe desecharse o rehacerse</w:t>
      </w:r>
      <w:r>
        <w:t xml:space="preserve"> </w:t>
      </w:r>
      <w:r>
        <w:t xml:space="preserve">(Koskela, 1992, p. 14)</w:t>
      </w:r>
      <w:r>
        <w:t xml:space="preserve">. Una parte de estos costos permanece oculta</w:t>
      </w:r>
      <w:r>
        <w:t xml:space="preserve"> </w:t>
      </w:r>
      <w:r>
        <w:t xml:space="preserve">(Khadim et al., 2023, p. 5421)</w:t>
      </w:r>
      <w:r>
        <w:t xml:space="preserve">: son los reprocesos ocultos, errores que generan más errores, como una zapata vaciada con hormigón de menor resistencia que solo se detecta cuando ya se avanzó con los trabajos siguientes</w:t>
      </w:r>
      <w:r>
        <w:t xml:space="preserve"> </w:t>
      </w:r>
      <w:r>
        <w:t xml:space="preserve">(Álvarez Quintero, 2014, p. 19)</w:t>
      </w:r>
      <w:r>
        <w:t xml:space="preserve">. En una losa ocurre lo mismo: si no se toman probetas del hormigón de la carpeta, una resistencia insuficiente permanece oculta hasta que se manifiesta como fisuras o flechas.</w:t>
      </w:r>
    </w:p>
    <w:p>
      <w:pPr>
        <w:pStyle w:val="BodyText"/>
      </w:pPr>
      <w:r>
        <w:t xml:space="preserve">Las magnitudes reportadas dependen de la base de cálculo, del alcance de las fallas consideradas y del método. Con datos tomados de otros autores,</w:t>
      </w:r>
      <w:r>
        <w:t xml:space="preserve"> </w:t>
      </w:r>
      <w:r>
        <w:t xml:space="preserve">Dzul y Gracia (2009, p. 42)</w:t>
      </w:r>
      <w:r>
        <w:t xml:space="preserve"> </w:t>
      </w:r>
      <w:r>
        <w:t xml:space="preserve">sitúan los costos de la calidad entre el 8 % y el 15 % del costo total de la construcción, y</w:t>
      </w:r>
      <w:r>
        <w:t xml:space="preserve"> </w:t>
      </w:r>
      <w:r>
        <w:t xml:space="preserve">Koskela (1992, p. 35)</w:t>
      </w:r>
      <w:r>
        <w:t xml:space="preserve"> </w:t>
      </w:r>
      <w:r>
        <w:t xml:space="preserve">reporta un costo de la mala calidad medido en obra del 10 % al 20 % del costo total del proyecto. Las mediciones de lo registrado dan valores menores: un retrabajo del 2,75 % del valor original del contrato</w:t>
      </w:r>
      <w:r>
        <w:t xml:space="preserve"> </w:t>
      </w:r>
      <w:r>
        <w:t xml:space="preserve">(Forcada et al., 2017, p. 8)</w:t>
      </w:r>
      <w:r>
        <w:t xml:space="preserve">, una no calidad del 2,7 % al 5,1 % del costo de la partida de concreto armado</w:t>
      </w:r>
      <w:r>
        <w:t xml:space="preserve"> </w:t>
      </w:r>
      <w:r>
        <w:t xml:space="preserve">(Gudiel Cairampoma y Solis Puente, 2020, p. 1)</w:t>
      </w:r>
      <w:r>
        <w:t xml:space="preserve"> </w:t>
      </w:r>
      <w:r>
        <w:t xml:space="preserve">y un costo total de la calidad del 0,55 % del presupuesto en una obra con plan de calidad</w:t>
      </w:r>
      <w:r>
        <w:t xml:space="preserve"> </w:t>
      </w:r>
      <w:r>
        <w:t xml:space="preserve">(Muro Núñez, 2020, p. 49)</w:t>
      </w:r>
      <w:r>
        <w:t xml:space="preserve">. En 16 edificios, el costo total de la calidad varió entre el 1,571 % y el 12,29 % del valor del proyecto, y solo los costos de falla influyeron significativamente en él</w:t>
      </w:r>
      <w:r>
        <w:t xml:space="preserve"> </w:t>
      </w:r>
      <w:r>
        <w:t xml:space="preserve">(Palanisamy y Palanichamy, 2025, Sección 2.2 y 3.3)</w:t>
      </w:r>
      <w:r>
        <w:t xml:space="preserve">. Cuando se añaden las fallas ocultas, el costo de la calidad llega al 12,76 % del costo total, del que el 8,59 % corresponde a esas fallas</w:t>
      </w:r>
      <w:r>
        <w:t xml:space="preserve"> </w:t>
      </w:r>
      <w:r>
        <w:t xml:space="preserve">(Khadim et al., 2023, pp. 5420–5423)</w:t>
      </w:r>
      <w:r>
        <w:t xml:space="preserve">. En la revisión de</w:t>
      </w:r>
      <w:r>
        <w:t xml:space="preserve"> </w:t>
      </w:r>
      <w:r>
        <w:t xml:space="preserve">Álvarez Quintero (2014, pp. 5, 12)</w:t>
      </w:r>
      <w:r>
        <w:t xml:space="preserve">, los reprocesos promediaron el 6,59 % del costo de los proyectos, y en los datos compilados que reporta bajaron del 6,5 % al 0,72 % del valor del contrato en los proyectos con SGC.</w:t>
      </w:r>
    </w:p>
    <w:p>
      <w:pPr>
        <w:pStyle w:val="BodyText"/>
      </w:pPr>
      <w:r>
        <w:t xml:space="preserve">Para esta tesis se derivan tres criterios: el costo de no calidad de la losa se expresa sobre una sola base, el costo del ítem; se separan las fallas documentadas de las estimadas; y la fracción de retrabajo y los costos del sistema se representan con rangos tomados de la literatura, no con valores únicos, en el modelo de evaluación</w:t>
      </w:r>
      <w:r>
        <w:t xml:space="preserve"> </w:t>
      </w:r>
      <w:r>
        <w:rPr>
          <w:iCs/>
          <w:i/>
        </w:rPr>
        <w:t xml:space="preserve">ex ante</w:t>
      </w:r>
      <w:r>
        <w:t xml:space="preserve"> </w:t>
      </w:r>
      <w:r>
        <w:t xml:space="preserve">(sección 2.7.2).</w:t>
      </w:r>
    </w:p>
    <w:p>
      <w:pPr>
        <w:pStyle w:val="Heading2"/>
      </w:pPr>
      <w:bookmarkStart w:id="91" w:name="tit64"/>
      <w:r>
        <w:t xml:space="preserve">1.5. Pérdidas y desperdicio de materiales en la construcción</w:t>
      </w:r>
      <w:bookmarkEnd w:id="91"/>
    </w:p>
    <w:p>
      <w:pPr>
        <w:pStyle w:val="Heading3"/>
      </w:pPr>
      <w:bookmarkStart w:id="88" w:name="tit65"/>
      <w:r>
        <w:t xml:space="preserve">1.5.1. La nueva filosofía de producción y la construcción sin pérdidas</w:t>
      </w:r>
      <w:bookmarkEnd w:id="88"/>
    </w:p>
    <w:p>
      <w:pPr>
        <w:pStyle w:val="FirstParagraph"/>
      </w:pPr>
      <w:r>
        <w:t xml:space="preserve">Koskela (1992)</w:t>
      </w:r>
      <w:r>
        <w:t xml:space="preserve"> </w:t>
      </w:r>
      <w:r>
        <w:t xml:space="preserve">propuso aplicar a la construcción la nueva filosofía de producción de la industria manufacturera. Su aporte central es concebir la producción no solo como la conversión de insumos en productos, sino también como un flujo de material e información en el que el material se procesa, se inspecciona, espera o se traslada</w:t>
      </w:r>
      <w:r>
        <w:t xml:space="preserve"> </w:t>
      </w:r>
      <w:r>
        <w:t xml:space="preserve">(Koskela, 1992, p. 15)</w:t>
      </w:r>
      <w:r>
        <w:t xml:space="preserve">. Todas esas actividades consumen tiempo y costo, pero solo las de conversión agregan valor, entendido como el cumplimiento de los requisitos del cliente</w:t>
      </w:r>
      <w:r>
        <w:t xml:space="preserve"> </w:t>
      </w:r>
      <w:r>
        <w:t xml:space="preserve">(Koskela, 1992, pp. 15–16)</w:t>
      </w:r>
      <w:r>
        <w:t xml:space="preserve">; las demás son desperdicio: actividades que ocupan tiempo, recursos o espacio sin agregar valor</w:t>
      </w:r>
      <w:r>
        <w:t xml:space="preserve"> </w:t>
      </w:r>
      <w:r>
        <w:t xml:space="preserve">(Koskela, 1992, p. 17)</w:t>
      </w:r>
      <w:r>
        <w:t xml:space="preserve">. Para mejorar los flujos, Koskela formuló once principios, entre ellos reducir las actividades que no agregan valor, reducir la variabilidad, aumentar la transparencia, enfocar el control en el proceso completo e incorporar la mejora continua</w:t>
      </w:r>
      <w:r>
        <w:t xml:space="preserve"> </w:t>
      </w:r>
      <w:r>
        <w:t xml:space="preserve">(Koskela, 1992, p. 16)</w:t>
      </w:r>
      <w:r>
        <w:t xml:space="preserve">.</w:t>
      </w:r>
    </w:p>
    <w:p>
      <w:pPr>
        <w:pStyle w:val="BodyText"/>
      </w:pPr>
      <w:r>
        <w:t xml:space="preserve">La aplicación de estos principios a todo el ciclo de vida de un proyecto se conoce como Lean Construction o construcción sin pérdidas</w:t>
      </w:r>
      <w:r>
        <w:t xml:space="preserve"> </w:t>
      </w:r>
      <w:r>
        <w:t xml:space="preserve">(Pons Achell, 2014, p. 26)</w:t>
      </w:r>
      <w:r>
        <w:t xml:space="preserve">, cuyo objetivo es reducir o eliminar las actividades que no agregan valor y optimizar las que sí lo hacen</w:t>
      </w:r>
      <w:r>
        <w:t xml:space="preserve"> </w:t>
      </w:r>
      <w:r>
        <w:t xml:space="preserve">(Porras Díaz et al., 2014, p. 35)</w:t>
      </w:r>
      <w:r>
        <w:t xml:space="preserve">.</w:t>
      </w:r>
      <w:r>
        <w:t xml:space="preserve"> </w:t>
      </w:r>
      <w:r>
        <w:t xml:space="preserve">Pons Achell (2014, pp. 18–19)</w:t>
      </w:r>
      <w:r>
        <w:t xml:space="preserve"> </w:t>
      </w:r>
      <w:r>
        <w:t xml:space="preserve">adapta a la construcción los siete desperdicios de la producción industrial —sobreproducción, esperas, transporte innecesario, sobreprocesamiento, exceso de inventario, movimientos innecesarios y defectos de calidad— y añade el talento desaprovechado; además, explica que el desperdicio persiste porque no se mide y, por eso, no se conoce cuánto cuesta</w:t>
      </w:r>
      <w:r>
        <w:t xml:space="preserve"> </w:t>
      </w:r>
      <w:r>
        <w:t xml:space="preserve">(Pons Achell, 2014, p. 20)</w:t>
      </w:r>
      <w:r>
        <w:t xml:space="preserve">. Implantar este enfoque exige una cultura de mejora continua de la producción</w:t>
      </w:r>
      <w:r>
        <w:t xml:space="preserve"> </w:t>
      </w:r>
      <w:r>
        <w:t xml:space="preserve">(Porras Díaz et al., 2014, p. 38)</w:t>
      </w:r>
      <w:r>
        <w:t xml:space="preserve">.</w:t>
      </w:r>
    </w:p>
    <w:p>
      <w:pPr>
        <w:pStyle w:val="BodyText"/>
      </w:pPr>
      <w:r>
        <w:t xml:space="preserve">La construcción sin pérdidas y el SGC son complementarios. La ISO 9001 aporta la estructura de gestión —requisitos, procesos, registros, acciones correctivas y revisión por la dirección—, y la filosofía de Koskela, la mirada del flujo. Varios principios coinciden: reducir la variabilidad y enfocar el control en el proceso completo equivale a gestionar por procesos; aumentar la transparencia, a decidir con evidencia; e incorporar la mejora continua, al ciclo PHVA.</w:t>
      </w:r>
      <w:r>
        <w:t xml:space="preserve"> </w:t>
      </w:r>
      <w:r>
        <w:t xml:space="preserve">Formoso et al. (1999, p. 334)</w:t>
      </w:r>
      <w:r>
        <w:t xml:space="preserve"> </w:t>
      </w:r>
      <w:r>
        <w:t xml:space="preserve">concluyen que el control del desperdicio debe integrarse en la planificación y el control de la producción, y esa es la función del control de materiales dentro del SGC propuesto.</w:t>
      </w:r>
    </w:p>
    <w:p>
      <w:pPr>
        <w:pStyle w:val="Heading3"/>
      </w:pPr>
      <w:bookmarkStart w:id="89" w:name="tit66"/>
      <w:r>
        <w:t xml:space="preserve">1.5.2. Clasificación y causas de las pérdidas</w:t>
      </w:r>
      <w:bookmarkEnd w:id="89"/>
    </w:p>
    <w:p>
      <w:pPr>
        <w:pStyle w:val="FirstParagraph"/>
      </w:pPr>
      <w:r>
        <w:t xml:space="preserve">Formoso et al. (1999, p. 328)</w:t>
      </w:r>
      <w:r>
        <w:t xml:space="preserve"> </w:t>
      </w:r>
      <w:r>
        <w:t xml:space="preserve">definen el desperdicio como toda pérdida producida por actividades que generan costos directos o indirectos sin agregar valor al producto desde el punto de vista del cliente, y lo clasifican con tres criterios. Según la posibilidad de control, es inevitable cuando reducirlo cuesta más de lo que ahorra, y evitable en caso contrario</w:t>
      </w:r>
      <w:r>
        <w:t xml:space="preserve"> </w:t>
      </w:r>
      <w:r>
        <w:t xml:space="preserve">(Formoso et al., 1999, p. 328)</w:t>
      </w:r>
      <w:r>
        <w:t xml:space="preserve">. Según su naturaleza, distinguen nueve tipos, entre ellos los productos defectuosos, que provocan retrabajo o la incorporación de materiales innecesarios, y los inventarios excesivos, que generan pérdidas por deterioro, malas condiciones de acopio o robo</w:t>
      </w:r>
      <w:r>
        <w:t xml:space="preserve"> </w:t>
      </w:r>
      <w:r>
        <w:t xml:space="preserve">(Formoso et al., 1999, p. 329)</w:t>
      </w:r>
      <w:r>
        <w:t xml:space="preserve">. Según su origen, una parte importante nace antes de la producción, en el diseño, la planificación o el suministro</w:t>
      </w:r>
      <w:r>
        <w:t xml:space="preserve"> </w:t>
      </w:r>
      <w:r>
        <w:t xml:space="preserve">(Formoso et al., 1999, p. 327)</w:t>
      </w:r>
      <w:r>
        <w:t xml:space="preserve">. Además, el desperdicio puede ser directo, cuando el material se retira como desmonte, o indirecto, cuando se coloca en la obra un material que no está previsto en los planos ni en las especificaciones</w:t>
      </w:r>
      <w:r>
        <w:t xml:space="preserve"> </w:t>
      </w:r>
      <w:r>
        <w:t xml:space="preserve">(Ccoyllo Sifuentes, 2016, p. 15)</w:t>
      </w:r>
      <w:r>
        <w:t xml:space="preserve">; este último, que</w:t>
      </w:r>
      <w:r>
        <w:t xml:space="preserve"> </w:t>
      </w:r>
      <w:r>
        <w:t xml:space="preserve">Maciel et al. (2016, p. 106)</w:t>
      </w:r>
      <w:r>
        <w:t xml:space="preserve"> </w:t>
      </w:r>
      <w:r>
        <w:t xml:space="preserve">llaman pérdida incorporada, suele asociarse con un control de calidad deficiente</w:t>
      </w:r>
      <w:r>
        <w:t xml:space="preserve"> </w:t>
      </w:r>
      <w:r>
        <w:t xml:space="preserve">(Ccoyllo Sifuentes, 2016, pp. 15–16)</w:t>
      </w:r>
      <w:r>
        <w:t xml:space="preserve">. En la losa, las viguetas rotas y los recortes de complementos y de acero son desperdicio directo, y una carpeta más gruesa que la especificada o el hormigón que llena los complementos deformados, pérdidas incorporadas.</w:t>
      </w:r>
    </w:p>
    <w:p>
      <w:pPr>
        <w:pStyle w:val="BodyText"/>
      </w:pPr>
      <w:r>
        <w:t xml:space="preserve">En cuanto a las causas,</w:t>
      </w:r>
      <w:r>
        <w:t xml:space="preserve"> </w:t>
      </w:r>
      <w:r>
        <w:t xml:space="preserve">Luangcharoenrat et al. (2019, pp. 1, 9)</w:t>
      </w:r>
      <w:r>
        <w:t xml:space="preserve"> </w:t>
      </w:r>
      <w:r>
        <w:t xml:space="preserve">depuraron 166 factores de la literatura hasta 28, agrupados en cuatro categorías: diseño y documentación, materiales y adquisiciones, métodos constructivos y planificación, y recursos humanos. Según 178 contratistas, la categoría de mayor influencia es el diseño y la documentación, y los factores más influyentes son el cambio de diseño, las actitudes de trabajo descuidadas y el almacenamiento inadecuado de los materiales</w:t>
      </w:r>
      <w:r>
        <w:t xml:space="preserve"> </w:t>
      </w:r>
      <w:r>
        <w:t xml:space="preserve">(Luangcharoenrat et al., 2019, pp. 12–13)</w:t>
      </w:r>
      <w:r>
        <w:t xml:space="preserve">. A ellos se suma la recepción de materiales sin control de cantidades</w:t>
      </w:r>
      <w:r>
        <w:t xml:space="preserve"> </w:t>
      </w:r>
      <w:r>
        <w:t xml:space="preserve">(Ccoyllo Sifuentes, 2016, p. 32)</w:t>
      </w:r>
      <w:r>
        <w:t xml:space="preserve">. Las fuentes coinciden en que las causas dominantes son de gestión y no de motivación de los trabajadores</w:t>
      </w:r>
      <w:r>
        <w:t xml:space="preserve"> </w:t>
      </w:r>
      <w:r>
        <w:t xml:space="preserve">(Formoso et al., 1999, p. 327)</w:t>
      </w:r>
      <w:r>
        <w:t xml:space="preserve">.</w:t>
      </w:r>
    </w:p>
    <w:p>
      <w:pPr>
        <w:pStyle w:val="Heading3"/>
      </w:pPr>
      <w:bookmarkStart w:id="90" w:name="tit67"/>
      <w:r>
        <w:t xml:space="preserve">1.5.3. Medición del desperdicio y valores de referencia</w:t>
      </w:r>
      <w:bookmarkEnd w:id="90"/>
    </w:p>
    <w:p>
      <w:pPr>
        <w:pStyle w:val="FirstParagraph"/>
      </w:pPr>
      <w:r>
        <w:t xml:space="preserve">Toda pérdida es relativa a una referencia: para medirla hay que definir antes la cantidad necesaria.</w:t>
      </w:r>
      <w:r>
        <w:t xml:space="preserve"> </w:t>
      </w:r>
      <w:r>
        <w:t xml:space="preserve">Galarza Meza (2011, p. 9)</w:t>
      </w:r>
      <w:r>
        <w:t xml:space="preserve"> </w:t>
      </w:r>
      <w:r>
        <w:t xml:space="preserve">considera desperdicio todo consumo de un material en cantidades mayores que las necesarias para elaborar el producto según los documentos técnicos; en el hormigón, por razones geométricas, la situación ideal es consumir un metro cúbico por cada metro cúbico de elemento. De forma equivalente, la pérdida de materiales es la diferencia entre la cantidad realmente empleada y la cantidad necesaria según el diseño</w:t>
      </w:r>
      <w:r>
        <w:t xml:space="preserve"> </w:t>
      </w:r>
      <w:r>
        <w:t xml:space="preserve">(Rossi et al., 2001, Sección 2)</w:t>
      </w:r>
      <w:r>
        <w:t xml:space="preserve">. El índice de desperdicio del material</w:t>
      </w:r>
      <w:r>
        <w:t xml:space="preserve"> </w:t>
      </w:r>
      <m:oMath>
        <m:r>
          <m:t>i</m:t>
        </m:r>
      </m:oMath>
      <w:r>
        <w:t xml:space="preserve"> </w:t>
      </w:r>
      <w:r>
        <w:t xml:space="preserve">se expresa como</w:t>
      </w:r>
    </w:p>
    <w:tbl>
      <w:tblPr>
        <w:tblW w:w="9360" w:type="dxa"/>
        <w:tblLayout w:type="fixed"/>
        <w:tblCellMar>
          <w:left w:w="0" w:type="dxa"/>
          <w:right w:w="0" w:type="dxa"/>
        </w:tblCellMar>
        <w:tblLook w:val="0000" w:firstRow="0" w:lastRow="0" w:firstColumn="0" w:lastColumn="0" w:noHBand="1" w:noVBand="1"/>
        <w:tblCaption w:val="Ecuación"/>
      </w:tblPr>
      <w:tblGrid>
        <w:gridCol w:w="1134"/>
        <w:gridCol w:w="7092"/>
        <w:gridCol w:w="1134"/>
      </w:tblGrid>
      <w:tr>
        <w:trPr>
          <w:cantSplit/>
        </w:trPr>
        <w:tc>
          <w:tcPr>
            <w:tcW w:w="1134" w:type="dxa"/>
            <w:vAlign w:val="center"/>
          </w:tcPr>
          <w:p>
            <w:pPr>
              <w:pStyle w:val="EcuacionAPA"/>
            </w:pPr>
          </w:p>
        </w:tc>
        <w:tc>
          <w:tcPr>
            <w:tcW w:w="7092" w:type="dxa"/>
            <w:vAlign w:val="center"/>
          </w:tcPr>
          <w:p>
            <w:pPr>
              <w:pStyle w:val="EcuacionAPA"/>
            </w:pPr>
            <m:oMathPara>
              <m:oMathParaPr>
                <m:jc m:val="center"/>
              </m:oMathParaPr>
              <m:oMath>
                <m:r>
                  <m:t>I</m:t>
                </m:r>
                <m:r>
                  <m:t>D</m:t>
                </m:r>
                <m:sSub>
                  <m:e>
                    <m:r>
                      <m:t>M</m:t>
                    </m:r>
                  </m:e>
                  <m:sub>
                    <m:r>
                      <m:t>i</m:t>
                    </m:r>
                  </m:sub>
                </m:sSub>
                <m:r>
                  <m:rPr>
                    <m:sty m:val="p"/>
                  </m:rPr>
                  <m:t>=</m:t>
                </m:r>
                <m:f>
                  <m:fPr>
                    <m:type m:val="bar"/>
                  </m:fPr>
                  <m:num>
                    <m:sSub>
                      <m:e>
                        <m:r>
                          <m:t>Q</m:t>
                        </m:r>
                      </m:e>
                      <m:sub>
                        <m:r>
                          <m:rPr>
                            <m:nor/>
                            <m:sty m:val="p"/>
                          </m:rPr>
                          <m:t>real</m:t>
                        </m:r>
                        <m:r>
                          <m:rPr>
                            <m:sty m:val="p"/>
                          </m:rPr>
                          <m:t>,</m:t>
                        </m:r>
                        <m:r>
                          <m:t>i</m:t>
                        </m:r>
                      </m:sub>
                    </m:sSub>
                    <m:r>
                      <m:rPr>
                        <m:sty m:val="p"/>
                      </m:rPr>
                      <m:t>−</m:t>
                    </m:r>
                    <m:sSub>
                      <m:e>
                        <m:r>
                          <m:t>Q</m:t>
                        </m:r>
                      </m:e>
                      <m:sub>
                        <m:r>
                          <m:rPr>
                            <m:nor/>
                            <m:sty m:val="p"/>
                          </m:rPr>
                          <m:t>teórica</m:t>
                        </m:r>
                        <m:r>
                          <m:rPr>
                            <m:sty m:val="p"/>
                          </m:rPr>
                          <m:t>,</m:t>
                        </m:r>
                        <m:r>
                          <m:t>i</m:t>
                        </m:r>
                      </m:sub>
                    </m:sSub>
                  </m:num>
                  <m:den>
                    <m:sSub>
                      <m:e>
                        <m:r>
                          <m:t>Q</m:t>
                        </m:r>
                      </m:e>
                      <m:sub>
                        <m:r>
                          <m:rPr>
                            <m:nor/>
                            <m:sty m:val="p"/>
                          </m:rPr>
                          <m:t>teórica</m:t>
                        </m:r>
                        <m:r>
                          <m:rPr>
                            <m:sty m:val="p"/>
                          </m:rPr>
                          <m:t>,</m:t>
                        </m:r>
                        <m:r>
                          <m:t>i</m:t>
                        </m:r>
                      </m:sub>
                    </m:sSub>
                  </m:den>
                </m:f>
                <m:r>
                  <m:rPr>
                    <m:sty m:val="p"/>
                  </m:rPr>
                  <m:t>×</m:t>
                </m:r>
                <m:r>
                  <m:t>100</m:t>
                </m:r>
              </m:oMath>
            </m:oMathPara>
          </w:p>
        </w:tc>
        <w:tc>
          <w:tcPr>
            <w:tcW w:w="1134" w:type="dxa"/>
            <w:vAlign w:val="center"/>
          </w:tcPr>
          <w:p>
            <w:pPr>
              <w:pStyle w:val="EcuacionAPA"/>
              <w:jc w:val="right"/>
            </w:pPr>
            <w:r>
              <w:t>(2)</w:t>
            </w:r>
          </w:p>
        </w:tc>
      </w:tr>
    </w:tbl>
    <w:p>
      <w:pPr>
        <w:pStyle w:val="FirstParagraph"/>
        <w:ind w:firstLine="0"/>
      </w:pPr>
      <w:r>
        <w:t xml:space="preserve"/>
      </w:r>
      <w:r>
        <w:t xml:space="preserve"/>
      </w:r>
      <w:r>
        <w:t xml:space="preserve">donde</w:t>
      </w:r>
      <w:r>
        <w:t xml:space="preserve"> </w:t>
      </w:r>
      <m:oMath>
        <m:sSub>
          <m:e>
            <m:r>
              <m:t>Q</m:t>
            </m:r>
          </m:e>
          <m:sub>
            <m:r>
              <m:rPr>
                <m:nor/>
                <m:sty m:val="p"/>
              </m:rPr>
              <m:t>teórica</m:t>
            </m:r>
            <m:r>
              <m:rPr>
                <m:sty m:val="p"/>
              </m:rPr>
              <m:t>,</m:t>
            </m:r>
            <m:r>
              <m:t>i</m:t>
            </m:r>
          </m:sub>
        </m:sSub>
      </m:oMath>
      <w:r>
        <w:t xml:space="preserve"> </w:t>
      </w:r>
      <w:r>
        <w:t xml:space="preserve">es la cantidad que resulta de los planos y los cómputos, y</w:t>
      </w:r>
      <w:r>
        <w:t xml:space="preserve"> </w:t>
      </w:r>
      <m:oMath>
        <m:sSub>
          <m:e>
            <m:r>
              <m:t>Q</m:t>
            </m:r>
          </m:e>
          <m:sub>
            <m:r>
              <m:rPr>
                <m:nor/>
                <m:sty m:val="p"/>
              </m:rPr>
              <m:t>real</m:t>
            </m:r>
            <m:r>
              <m:rPr>
                <m:sty m:val="p"/>
              </m:rPr>
              <m:t>,</m:t>
            </m:r>
            <m:r>
              <m:t>i</m:t>
            </m:r>
          </m:sub>
        </m:sSub>
      </m:oMath>
      <w:r>
        <w:t xml:space="preserve"> </w:t>
      </w:r>
      <w:r>
        <w:t xml:space="preserve">la cantidad consumida. El capítulo 2 aplica este índice a cada material de la losa (ecuación 8).</w:t>
      </w:r>
    </w:p>
    <w:p>
      <w:pPr>
        <w:pStyle w:val="BodyText"/>
      </w:pPr>
      <w:r>
        <w:t xml:space="preserve">La validez del índice depende de cómo se obtienen sus dos términos. La cantidad teórica debe calcularse con la geometría del elemento y, en el acero, con la planilla de despiece, porque sumar a las longitudes un porcentaje fijo de desperdicio subestima el acero necesario: habría que aplicar un 19,5 % en lugar del 10 % recomendado para igualar el cálculo optimizado</w:t>
      </w:r>
      <w:r>
        <w:t xml:space="preserve"> </w:t>
      </w:r>
      <w:r>
        <w:t xml:space="preserve">(Abbott y Rodríguez, 2008, pp. 589–590)</w:t>
      </w:r>
      <w:r>
        <w:t xml:space="preserve">. La cantidad real se obtiene de las guías de compra, los registros de almacén y los vales de salida</w:t>
      </w:r>
      <w:r>
        <w:t xml:space="preserve"> </w:t>
      </w:r>
      <w:r>
        <w:t xml:space="preserve">(Galarza Meza, 2011, pp. 53, 64)</w:t>
      </w:r>
      <w:r>
        <w:t xml:space="preserve">, complementados con inventarios periódicos del material acopiado</w:t>
      </w:r>
      <w:r>
        <w:t xml:space="preserve"> </w:t>
      </w:r>
      <w:r>
        <w:t xml:space="preserve">(Formoso et al., 1999, p. 331)</w:t>
      </w:r>
      <w:r>
        <w:t xml:space="preserve">, y la medición debe ser frecuente —semanal o por vaciado— para corregir a tiempo y no solo constatar la pérdida al final de la obra</w:t>
      </w:r>
      <w:r>
        <w:t xml:space="preserve"> </w:t>
      </w:r>
      <w:r>
        <w:t xml:space="preserve">(Formoso et al., 1999, p. 334)</w:t>
      </w:r>
      <w:r>
        <w:t xml:space="preserve">.</w:t>
      </w:r>
    </w:p>
    <w:p>
      <w:pPr>
        <w:pStyle w:val="BodyText"/>
      </w:pPr>
      <w:r>
        <w:t xml:space="preserve">Para valorar las pérdidas,</w:t>
      </w:r>
      <w:r>
        <w:t xml:space="preserve"> </w:t>
      </w:r>
      <w:r>
        <w:t xml:space="preserve">Rossi et al. (2001, Sección 4.5)</w:t>
      </w:r>
      <w:r>
        <w:t xml:space="preserve"> </w:t>
      </w:r>
      <w:r>
        <w:t xml:space="preserve">proponen calcular el costo de las pérdidas de materiales como la diferencia entre el consumo real y el teórico multiplicada por el costo unitario:</w:t>
      </w:r>
    </w:p>
    <w:tbl>
      <w:tblPr>
        <w:tblW w:w="9360" w:type="dxa"/>
        <w:tblLayout w:type="fixed"/>
        <w:tblCellMar>
          <w:left w:w="0" w:type="dxa"/>
          <w:right w:w="0" w:type="dxa"/>
        </w:tblCellMar>
        <w:tblLook w:val="0000" w:firstRow="0" w:lastRow="0" w:firstColumn="0" w:lastColumn="0" w:noHBand="1" w:noVBand="1"/>
        <w:tblCaption w:val="Ecuación"/>
      </w:tblPr>
      <w:tblGrid>
        <w:gridCol w:w="1134"/>
        <w:gridCol w:w="7092"/>
        <w:gridCol w:w="1134"/>
      </w:tblGrid>
      <w:tr>
        <w:trPr>
          <w:cantSplit/>
        </w:trPr>
        <w:tc>
          <w:tcPr>
            <w:tcW w:w="1134" w:type="dxa"/>
            <w:vAlign w:val="center"/>
          </w:tcPr>
          <w:p>
            <w:pPr>
              <w:pStyle w:val="EcuacionAPA"/>
            </w:pPr>
          </w:p>
        </w:tc>
        <w:tc>
          <w:tcPr>
            <w:tcW w:w="7092" w:type="dxa"/>
            <w:vAlign w:val="center"/>
          </w:tcPr>
          <w:p>
            <w:pPr>
              <w:pStyle w:val="EcuacionAPA"/>
            </w:pPr>
            <m:oMathPara>
              <m:oMathParaPr>
                <m:jc m:val="center"/>
              </m:oMathParaPr>
              <m:oMath>
                <m:r>
                  <m:t>C</m:t>
                </m:r>
                <m:r>
                  <m:t>P</m:t>
                </m:r>
                <m:sSub>
                  <m:e>
                    <m:r>
                      <m:t>M</m:t>
                    </m:r>
                  </m:e>
                  <m:sub>
                    <m:r>
                      <m:t>i</m:t>
                    </m:r>
                  </m:sub>
                </m:sSub>
                <m:r>
                  <m:rPr>
                    <m:sty m:val="p"/>
                  </m:rPr>
                  <m:t>=</m:t>
                </m:r>
                <m:d>
                  <m:dPr>
                    <m:begChr m:val="("/>
                    <m:endChr m:val=")"/>
                    <m:sepChr m:val=""/>
                    <m:grow/>
                  </m:dPr>
                  <m:e>
                    <m:r>
                      <m:t>C</m:t>
                    </m:r>
                    <m:sSub>
                      <m:e>
                        <m:r>
                          <m:t>R</m:t>
                        </m:r>
                      </m:e>
                      <m:sub>
                        <m:r>
                          <m:t>i</m:t>
                        </m:r>
                      </m:sub>
                    </m:sSub>
                    <m:r>
                      <m:rPr>
                        <m:sty m:val="p"/>
                      </m:rPr>
                      <m:t>−</m:t>
                    </m:r>
                    <m:r>
                      <m:t>C</m:t>
                    </m:r>
                    <m:sSub>
                      <m:e>
                        <m:r>
                          <m:t>T</m:t>
                        </m:r>
                      </m:e>
                      <m:sub>
                        <m:r>
                          <m:t>i</m:t>
                        </m:r>
                      </m:sub>
                    </m:sSub>
                  </m:e>
                </m:d>
                <m:sSub>
                  <m:e>
                    <m:r>
                      <m:t>p</m:t>
                    </m:r>
                  </m:e>
                  <m:sub>
                    <m:r>
                      <m:t>i</m:t>
                    </m:r>
                  </m:sub>
                </m:sSub>
              </m:oMath>
            </m:oMathPara>
          </w:p>
        </w:tc>
        <w:tc>
          <w:tcPr>
            <w:tcW w:w="1134" w:type="dxa"/>
            <w:vAlign w:val="center"/>
          </w:tcPr>
          <w:p>
            <w:pPr>
              <w:pStyle w:val="EcuacionAPA"/>
              <w:jc w:val="right"/>
            </w:pPr>
            <w:r>
              <w:t>(3)</w:t>
            </w:r>
          </w:p>
        </w:tc>
      </w:tr>
    </w:tbl>
    <w:p>
      <w:pPr>
        <w:pStyle w:val="FirstParagraph"/>
        <w:ind w:firstLine="0"/>
      </w:pPr>
      <w:r>
        <w:t xml:space="preserve"/>
      </w:r>
      <w:r>
        <w:t xml:space="preserve"/>
      </w:r>
      <w:r>
        <w:t xml:space="preserve">donde</w:t>
      </w:r>
      <w:r>
        <w:t xml:space="preserve"> </w:t>
      </w:r>
      <m:oMath>
        <m:r>
          <m:t>C</m:t>
        </m:r>
        <m:sSub>
          <m:e>
            <m:r>
              <m:t>R</m:t>
            </m:r>
          </m:e>
          <m:sub>
            <m:r>
              <m:t>i</m:t>
            </m:r>
          </m:sub>
        </m:sSub>
      </m:oMath>
      <w:r>
        <w:t xml:space="preserve"> </w:t>
      </w:r>
      <w:r>
        <w:t xml:space="preserve">es el consumo real del material</w:t>
      </w:r>
      <w:r>
        <w:t xml:space="preserve"> </w:t>
      </w:r>
      <m:oMath>
        <m:r>
          <m:t>i</m:t>
        </m:r>
      </m:oMath>
      <w:r>
        <w:t xml:space="preserve">,</w:t>
      </w:r>
      <w:r>
        <w:t xml:space="preserve"> </w:t>
      </w:r>
      <m:oMath>
        <m:r>
          <m:t>C</m:t>
        </m:r>
        <m:sSub>
          <m:e>
            <m:r>
              <m:t>T</m:t>
            </m:r>
          </m:e>
          <m:sub>
            <m:r>
              <m:t>i</m:t>
            </m:r>
          </m:sub>
        </m:sSub>
      </m:oMath>
      <w:r>
        <w:t xml:space="preserve"> </w:t>
      </w:r>
      <w:r>
        <w:t xml:space="preserve">su consumo teórico y</w:t>
      </w:r>
      <w:r>
        <w:t xml:space="preserve"> </w:t>
      </w:r>
      <m:oMath>
        <m:sSub>
          <m:e>
            <m:r>
              <m:t>p</m:t>
            </m:r>
          </m:e>
          <m:sub>
            <m:r>
              <m:t>i</m:t>
            </m:r>
          </m:sub>
        </m:sSub>
      </m:oMath>
      <w:r>
        <w:t xml:space="preserve"> </w:t>
      </w:r>
      <w:r>
        <w:t xml:space="preserve">su costo unitario. Con este método, en dos obras de mampostería, las pérdidas sumaron el 38,5 % y el 49,2 % del costo de producción, con un mayor peso de la mano de obra que de los materiales</w:t>
      </w:r>
      <w:r>
        <w:t xml:space="preserve"> </w:t>
      </w:r>
      <w:r>
        <w:t xml:space="preserve">(Rossi et al., 2001, Sección 5.1 y 5.2)</w:t>
      </w:r>
      <w:r>
        <w:t xml:space="preserve">. Las pérdidas, por tanto, no se limitan a los materiales: incluyen tiempos improductivos que el modelo de costos de la tesis considera a través del retrabajo.</w:t>
      </w:r>
    </w:p>
    <w:p>
      <w:pPr>
        <w:pStyle w:val="BodyText"/>
      </w:pPr>
      <w:r>
        <w:t xml:space="preserve">La Tabla 9 reúne los valores de referencia de desperdicio que reporta la literatura revisada. Los valores son muy dispersos y dependen del tipo de control; por eso sirven como rangos plausibles y no como metas. No se encontraron en el repositorio valores de referencia para viguetas pretensadas ni para complementos de poliestireno expandido.</w:t>
      </w:r>
    </w:p>
    <w:p>
      <w:pPr>
        <w:pStyle w:val="Caption"/>
      </w:pPr>
      <w:bookmarkStart w:id="1403" w:name="tab9"/>
      <w:r>
        <w:t xml:space="preserve"/>
      </w:r>
      <w:r>
        <w:rPr>
          <w:bCs/>
          <w:b/>
        </w:rPr>
        <w:t xml:space="preserve">Tabla 9</w:t>
      </w:r>
      <w:r>
        <w:br/>
      </w:r>
      <w:r>
        <w:rPr>
          <w:iCs/>
          <w:i/>
        </w:rPr>
        <w:t xml:space="preserve">Valores de referencia del desperdicio de materiales en la literatura revisada</w:t>
      </w:r>
      <w:bookmarkEnd w:id="1403"/>
    </w:p>
    <w:tbl>
      <w:tblPr>
        <w:tblStyle w:val="Table"/>
        <w:tblW w:w="9359" w:type="dxa"/>
        <w:jc w:val="left"/>
        <w:tblLayout w:type="fixed"/>
        <w:tblCellMar>
          <w:top w:w="0" w:type="dxa"/>
          <w:left w:w="85" w:type="dxa"/>
          <w:bottom w:w="0" w:type="dxa"/>
          <w:right w:w="85" w:type="dxa"/>
        </w:tblCellMar>
        <w:tblLook w:firstRow="1" w:lastRow="0" w:firstColumn="0" w:lastColumn="0" w:noHBand="0" w:noVBand="0" w:val="0020"/>
      </w:tblPr>
      <w:tblGrid>
        <w:gridCol w:w="1612"/>
        <w:gridCol w:w="1604"/>
        <w:gridCol w:w="3925"/>
        <w:gridCol w:w="2218"/>
      </w:tblGrid>
      <w:tr>
        <w:trPr>
          <w:cantSplit/>
          <w:tblHeader w:val="true"/>
        </w:trPr>
        <w:tc>
          <w:tcPr>
            <w:tcW w:w="1612" w:type="dxa"/>
            <w:tcBorders>
              <w:top w:val="single" w:sz="8" w:space="0" w:color="000000"/>
              <w:bottom w:val="single" w:sz="4" w:space="0" w:color="000000"/>
            </w:tcBorders>
          </w:tcPr>
          <w:p>
            <w:pPr>
              <w:pStyle w:val="CeldaAPA"/>
              <w:jc w:val="center"/>
            </w:pPr>
            <w:r>
              <w:rPr>
                <w:bCs/>
                <w:b/>
              </w:rPr>
              <w:t xml:space="preserve">Material</w:t>
            </w:r>
          </w:p>
        </w:tc>
        <w:tc>
          <w:tcPr>
            <w:tcW w:w="1604" w:type="dxa"/>
            <w:tcBorders>
              <w:top w:val="single" w:sz="8" w:space="0" w:color="000000"/>
              <w:bottom w:val="single" w:sz="4" w:space="0" w:color="000000"/>
            </w:tcBorders>
          </w:tcPr>
          <w:p>
            <w:pPr>
              <w:pStyle w:val="CeldaAPA"/>
              <w:jc w:val="center"/>
            </w:pPr>
            <w:r>
              <w:rPr>
                <w:bCs/>
                <w:b/>
              </w:rPr>
              <w:t xml:space="preserve">Desperdicio</w:t>
            </w:r>
          </w:p>
        </w:tc>
        <w:tc>
          <w:tcPr>
            <w:tcW w:w="3925" w:type="dxa"/>
            <w:tcBorders>
              <w:top w:val="single" w:sz="8" w:space="0" w:color="000000"/>
              <w:bottom w:val="single" w:sz="4" w:space="0" w:color="000000"/>
            </w:tcBorders>
          </w:tcPr>
          <w:p>
            <w:pPr>
              <w:pStyle w:val="CeldaAPA"/>
              <w:jc w:val="center"/>
            </w:pPr>
            <w:r>
              <w:rPr>
                <w:bCs/>
                <w:b/>
              </w:rPr>
              <w:t xml:space="preserve">Condición</w:t>
            </w:r>
          </w:p>
        </w:tc>
        <w:tc>
          <w:tcPr>
            <w:tcW w:w="2218" w:type="dxa"/>
            <w:tcBorders>
              <w:top w:val="single" w:sz="8" w:space="0" w:color="000000"/>
              <w:bottom w:val="single" w:sz="4" w:space="0" w:color="000000"/>
            </w:tcBorders>
          </w:tcPr>
          <w:p>
            <w:pPr>
              <w:pStyle w:val="CeldaAPA"/>
              <w:jc w:val="center"/>
            </w:pPr>
            <w:r>
              <w:rPr>
                <w:bCs/>
                <w:b/>
              </w:rPr>
              <w:t xml:space="preserve">Fuente</w:t>
            </w:r>
          </w:p>
        </w:tc>
      </w:tr>
      <w:tr>
        <w:tc>
          <w:tcPr>
            <w:tcW w:w="1612" w:type="dxa"/>
          </w:tcPr>
          <w:p>
            <w:pPr>
              <w:pStyle w:val="CeldaAPA"/>
              <w:jc w:val="left"/>
            </w:pPr>
            <w:r>
              <w:rPr/>
              <w:t xml:space="preserve">Hormigón</w:t>
            </w:r>
          </w:p>
        </w:tc>
        <w:tc>
          <w:tcPr>
            <w:tcW w:w="1604" w:type="dxa"/>
          </w:tcPr>
          <w:p>
            <w:pPr>
              <w:pStyle w:val="CeldaAPA"/>
              <w:jc w:val="left"/>
            </w:pPr>
            <w:r>
              <w:rPr/>
              <w:t xml:space="preserve">22 %</w:t>
            </w:r>
          </w:p>
        </w:tc>
        <w:tc>
          <w:tcPr>
            <w:tcW w:w="3925" w:type="dxa"/>
          </w:tcPr>
          <w:p>
            <w:pPr>
              <w:pStyle w:val="CeldaAPA"/>
              <w:jc w:val="left"/>
            </w:pPr>
            <w:r>
              <w:rPr/>
              <w:t xml:space="preserve">Obra sin control en campo; compras frente al metrado del presupuesto</w:t>
            </w:r>
          </w:p>
        </w:tc>
        <w:tc>
          <w:tcPr>
            <w:tcW w:w="2218" w:type="dxa"/>
          </w:tcPr>
          <w:p>
            <w:pPr>
              <w:pStyle w:val="CeldaAPA"/>
              <w:jc w:val="left"/>
            </w:pPr>
            <w:r>
              <w:rPr/>
              <w:t xml:space="preserve">Galarza Meza (2011, p. 53)</w:t>
            </w:r>
          </w:p>
        </w:tc>
      </w:tr>
      <w:tr>
        <w:tc>
          <w:tcPr>
            <w:tcW w:w="1612" w:type="dxa"/>
          </w:tcPr>
          <w:p>
            <w:pPr>
              <w:pStyle w:val="CeldaAPA"/>
              <w:jc w:val="left"/>
            </w:pPr>
            <w:r>
              <w:rPr/>
              <w:t xml:space="preserve">Hormigón</w:t>
            </w:r>
          </w:p>
        </w:tc>
        <w:tc>
          <w:tcPr>
            <w:tcW w:w="1604" w:type="dxa"/>
          </w:tcPr>
          <w:p>
            <w:pPr>
              <w:pStyle w:val="CeldaAPA"/>
              <w:jc w:val="left"/>
            </w:pPr>
            <w:r>
              <w:rPr/>
              <w:t xml:space="preserve">5 %</w:t>
            </w:r>
          </w:p>
        </w:tc>
        <w:tc>
          <w:tcPr>
            <w:tcW w:w="3925" w:type="dxa"/>
          </w:tcPr>
          <w:p>
            <w:pPr>
              <w:pStyle w:val="CeldaAPA"/>
              <w:jc w:val="left"/>
            </w:pPr>
            <w:r>
              <w:rPr/>
              <w:t xml:space="preserve">Sótanos vaciados con bomba; igual al valor del presupuesto</w:t>
            </w:r>
          </w:p>
        </w:tc>
        <w:tc>
          <w:tcPr>
            <w:tcW w:w="2218" w:type="dxa"/>
          </w:tcPr>
          <w:p>
            <w:pPr>
              <w:pStyle w:val="CeldaAPA"/>
              <w:jc w:val="left"/>
            </w:pPr>
            <w:r>
              <w:rPr/>
              <w:t xml:space="preserve">Galarza Meza (2011, p. 73)</w:t>
            </w:r>
          </w:p>
        </w:tc>
      </w:tr>
      <w:tr>
        <w:tc>
          <w:tcPr>
            <w:tcW w:w="1612" w:type="dxa"/>
          </w:tcPr>
          <w:p>
            <w:pPr>
              <w:pStyle w:val="CeldaAPA"/>
              <w:jc w:val="left"/>
            </w:pPr>
            <w:r>
              <w:rPr/>
              <w:t xml:space="preserve">Hormigón</w:t>
            </w:r>
          </w:p>
        </w:tc>
        <w:tc>
          <w:tcPr>
            <w:tcW w:w="1604" w:type="dxa"/>
          </w:tcPr>
          <w:p>
            <w:pPr>
              <w:pStyle w:val="CeldaAPA"/>
              <w:jc w:val="left"/>
            </w:pPr>
            <w:r>
              <w:rPr/>
              <w:t xml:space="preserve">2,8 %</w:t>
            </w:r>
          </w:p>
        </w:tc>
        <w:tc>
          <w:tcPr>
            <w:tcW w:w="3925" w:type="dxa"/>
          </w:tcPr>
          <w:p>
            <w:pPr>
              <w:pStyle w:val="CeldaAPA"/>
              <w:jc w:val="left"/>
            </w:pPr>
            <w:r>
              <w:rPr/>
              <w:t xml:space="preserve">Torre vaciada con grúa y pedidos limitados al 2 % sobre el metrado</w:t>
            </w:r>
          </w:p>
        </w:tc>
        <w:tc>
          <w:tcPr>
            <w:tcW w:w="2218" w:type="dxa"/>
          </w:tcPr>
          <w:p>
            <w:pPr>
              <w:pStyle w:val="CeldaAPA"/>
              <w:jc w:val="left"/>
            </w:pPr>
            <w:r>
              <w:rPr/>
              <w:t xml:space="preserve">Galarza Meza (2011, p. 73)</w:t>
            </w:r>
          </w:p>
        </w:tc>
      </w:tr>
      <w:tr>
        <w:tc>
          <w:tcPr>
            <w:tcW w:w="1612" w:type="dxa"/>
          </w:tcPr>
          <w:p>
            <w:pPr>
              <w:pStyle w:val="CeldaAPA"/>
              <w:jc w:val="left"/>
            </w:pPr>
            <w:r>
              <w:rPr/>
              <w:t xml:space="preserve">Hormigón en placas y muros</w:t>
            </w:r>
          </w:p>
        </w:tc>
        <w:tc>
          <w:tcPr>
            <w:tcW w:w="1604" w:type="dxa"/>
          </w:tcPr>
          <w:p>
            <w:pPr>
              <w:pStyle w:val="CeldaAPA"/>
              <w:jc w:val="left"/>
            </w:pPr>
            <w:r>
              <w:rPr/>
              <w:t xml:space="preserve">9 % y 23 %</w:t>
            </w:r>
          </w:p>
        </w:tc>
        <w:tc>
          <w:tcPr>
            <w:tcW w:w="3925" w:type="dxa"/>
          </w:tcPr>
          <w:p>
            <w:pPr>
              <w:pStyle w:val="CeldaAPA"/>
              <w:jc w:val="left"/>
            </w:pPr>
            <w:r>
              <w:rPr/>
              <w:t xml:space="preserve">Pérdidas reales promedio, frente a un 3 % a 6 % previsto por el bombeo</w:t>
            </w:r>
          </w:p>
        </w:tc>
        <w:tc>
          <w:tcPr>
            <w:tcW w:w="2218" w:type="dxa"/>
          </w:tcPr>
          <w:p>
            <w:pPr>
              <w:pStyle w:val="CeldaAPA"/>
              <w:jc w:val="left"/>
            </w:pPr>
            <w:r>
              <w:rPr/>
              <w:t xml:space="preserve">Ruiz Muñoz y Rojas Bonilla (2018, pp. 33, 69)</w:t>
            </w:r>
          </w:p>
        </w:tc>
      </w:tr>
      <w:tr>
        <w:tc>
          <w:tcPr>
            <w:tcW w:w="1612" w:type="dxa"/>
          </w:tcPr>
          <w:p>
            <w:pPr>
              <w:pStyle w:val="CeldaAPA"/>
              <w:jc w:val="left"/>
            </w:pPr>
            <w:r>
              <w:rPr/>
              <w:t xml:space="preserve">Hormigón premezclado</w:t>
            </w:r>
          </w:p>
        </w:tc>
        <w:tc>
          <w:tcPr>
            <w:tcW w:w="1604" w:type="dxa"/>
          </w:tcPr>
          <w:p>
            <w:pPr>
              <w:pStyle w:val="CeldaAPA"/>
              <w:jc w:val="left"/>
            </w:pPr>
            <w:r>
              <w:rPr/>
              <w:t xml:space="preserve">1,5 % a 13 %</w:t>
            </w:r>
          </w:p>
        </w:tc>
        <w:tc>
          <w:tcPr>
            <w:tcW w:w="3925" w:type="dxa"/>
          </w:tcPr>
          <w:p>
            <w:pPr>
              <w:pStyle w:val="CeldaAPA"/>
              <w:jc w:val="left"/>
            </w:pPr>
            <w:r>
              <w:rPr/>
              <w:t xml:space="preserve">Compilación de estudios brasileños</w:t>
            </w:r>
          </w:p>
        </w:tc>
        <w:tc>
          <w:tcPr>
            <w:tcW w:w="2218" w:type="dxa"/>
          </w:tcPr>
          <w:p>
            <w:pPr>
              <w:pStyle w:val="CeldaAPA"/>
              <w:jc w:val="left"/>
            </w:pPr>
            <w:r>
              <w:rPr/>
              <w:t xml:space="preserve">Maciel et al. (2016, p. 106)</w:t>
            </w:r>
          </w:p>
        </w:tc>
      </w:tr>
      <w:tr>
        <w:tc>
          <w:tcPr>
            <w:tcW w:w="1612" w:type="dxa"/>
          </w:tcPr>
          <w:p>
            <w:pPr>
              <w:pStyle w:val="CeldaAPA"/>
              <w:jc w:val="left"/>
            </w:pPr>
            <w:r>
              <w:rPr/>
              <w:t xml:space="preserve">Mezcla de concreto</w:t>
            </w:r>
          </w:p>
        </w:tc>
        <w:tc>
          <w:tcPr>
            <w:tcW w:w="1604" w:type="dxa"/>
          </w:tcPr>
          <w:p>
            <w:pPr>
              <w:pStyle w:val="CeldaAPA"/>
              <w:jc w:val="left"/>
            </w:pPr>
            <w:r>
              <w:rPr/>
              <w:t xml:space="preserve">5 %</w:t>
            </w:r>
          </w:p>
        </w:tc>
        <w:tc>
          <w:tcPr>
            <w:tcW w:w="3925" w:type="dxa"/>
          </w:tcPr>
          <w:p>
            <w:pPr>
              <w:pStyle w:val="CeldaAPA"/>
              <w:jc w:val="left"/>
            </w:pPr>
            <w:r>
              <w:rPr/>
              <w:t xml:space="preserve">Valor aceptable de referencia según la Cámara Peruana de la Construcción</w:t>
            </w:r>
          </w:p>
        </w:tc>
        <w:tc>
          <w:tcPr>
            <w:tcW w:w="2218" w:type="dxa"/>
          </w:tcPr>
          <w:p>
            <w:pPr>
              <w:pStyle w:val="CeldaAPA"/>
              <w:jc w:val="left"/>
            </w:pPr>
            <w:r>
              <w:rPr/>
              <w:t xml:space="preserve">Ccoyllo Sifuentes (2016, p. 14)</w:t>
            </w:r>
          </w:p>
        </w:tc>
      </w:tr>
      <w:tr>
        <w:tc>
          <w:tcPr>
            <w:tcW w:w="1612" w:type="dxa"/>
          </w:tcPr>
          <w:p>
            <w:pPr>
              <w:pStyle w:val="CeldaAPA"/>
              <w:jc w:val="left"/>
            </w:pPr>
            <w:r>
              <w:rPr/>
              <w:t xml:space="preserve">Acero de refuerzo</w:t>
            </w:r>
          </w:p>
        </w:tc>
        <w:tc>
          <w:tcPr>
            <w:tcW w:w="1604" w:type="dxa"/>
          </w:tcPr>
          <w:p>
            <w:pPr>
              <w:pStyle w:val="CeldaAPA"/>
              <w:jc w:val="left"/>
            </w:pPr>
            <w:r>
              <w:rPr/>
              <w:t xml:space="preserve">7 % y 4,04 %</w:t>
            </w:r>
          </w:p>
        </w:tc>
        <w:tc>
          <w:tcPr>
            <w:tcW w:w="3925" w:type="dxa"/>
          </w:tcPr>
          <w:p>
            <w:pPr>
              <w:pStyle w:val="CeldaAPA"/>
              <w:jc w:val="left"/>
            </w:pPr>
            <w:r>
              <w:rPr/>
              <w:t xml:space="preserve">Presupuestado y obtenido con prearmado</w:t>
            </w:r>
          </w:p>
        </w:tc>
        <w:tc>
          <w:tcPr>
            <w:tcW w:w="2218" w:type="dxa"/>
          </w:tcPr>
          <w:p>
            <w:pPr>
              <w:pStyle w:val="CeldaAPA"/>
              <w:jc w:val="left"/>
            </w:pPr>
            <w:r>
              <w:rPr/>
              <w:t xml:space="preserve">Galarza Meza (2011, p. 75)</w:t>
            </w:r>
          </w:p>
        </w:tc>
      </w:tr>
      <w:tr>
        <w:tc>
          <w:tcPr>
            <w:tcW w:w="1612" w:type="dxa"/>
          </w:tcPr>
          <w:p>
            <w:pPr>
              <w:pStyle w:val="CeldaAPA"/>
              <w:jc w:val="left"/>
            </w:pPr>
            <w:r>
              <w:rPr/>
              <w:t xml:space="preserve">Acero de refuerzo</w:t>
            </w:r>
          </w:p>
        </w:tc>
        <w:tc>
          <w:tcPr>
            <w:tcW w:w="1604" w:type="dxa"/>
          </w:tcPr>
          <w:p>
            <w:pPr>
              <w:pStyle w:val="CeldaAPA"/>
              <w:jc w:val="left"/>
            </w:pPr>
            <w:r>
              <w:rPr/>
              <w:t xml:space="preserve">3,75 %</w:t>
            </w:r>
          </w:p>
        </w:tc>
        <w:tc>
          <w:tcPr>
            <w:tcW w:w="3925" w:type="dxa"/>
          </w:tcPr>
          <w:p>
            <w:pPr>
              <w:pStyle w:val="CeldaAPA"/>
              <w:jc w:val="left"/>
            </w:pPr>
            <w:r>
              <w:rPr/>
              <w:t xml:space="preserve">Con acero predimensionado</w:t>
            </w:r>
          </w:p>
        </w:tc>
        <w:tc>
          <w:tcPr>
            <w:tcW w:w="2218" w:type="dxa"/>
          </w:tcPr>
          <w:p>
            <w:pPr>
              <w:pStyle w:val="CeldaAPA"/>
              <w:jc w:val="left"/>
            </w:pPr>
            <w:r>
              <w:rPr/>
              <w:t xml:space="preserve">Galarza Meza (2011, p. 76)</w:t>
            </w:r>
          </w:p>
        </w:tc>
      </w:tr>
      <w:tr>
        <w:tc>
          <w:tcPr>
            <w:tcW w:w="1612" w:type="dxa"/>
          </w:tcPr>
          <w:p>
            <w:pPr>
              <w:pStyle w:val="CeldaAPA"/>
              <w:jc w:val="left"/>
            </w:pPr>
            <w:r>
              <w:rPr/>
              <w:t xml:space="preserve">Acero de refuerzo</w:t>
            </w:r>
          </w:p>
        </w:tc>
        <w:tc>
          <w:tcPr>
            <w:tcW w:w="1604" w:type="dxa"/>
          </w:tcPr>
          <w:p>
            <w:pPr>
              <w:pStyle w:val="CeldaAPA"/>
              <w:jc w:val="left"/>
            </w:pPr>
            <w:r>
              <w:rPr/>
              <w:t xml:space="preserve">14,58 % y 17,09 %</w:t>
            </w:r>
          </w:p>
        </w:tc>
        <w:tc>
          <w:tcPr>
            <w:tcW w:w="3925" w:type="dxa"/>
          </w:tcPr>
          <w:p>
            <w:pPr>
              <w:pStyle w:val="CeldaAPA"/>
              <w:jc w:val="left"/>
            </w:pPr>
            <w:r>
              <w:rPr/>
              <w:t xml:space="preserve">Método convencional en dos edificios</w:t>
            </w:r>
          </w:p>
        </w:tc>
        <w:tc>
          <w:tcPr>
            <w:tcW w:w="2218" w:type="dxa"/>
          </w:tcPr>
          <w:p>
            <w:pPr>
              <w:pStyle w:val="CeldaAPA"/>
              <w:jc w:val="left"/>
            </w:pPr>
            <w:r>
              <w:rPr/>
              <w:t xml:space="preserve">Chino Quispe y Zarate Chilqquetuma (2024, pp. 147, 169)</w:t>
            </w:r>
          </w:p>
        </w:tc>
      </w:tr>
      <w:tr>
        <w:tc>
          <w:tcPr>
            <w:tcW w:w="1612" w:type="dxa"/>
          </w:tcPr>
          <w:p>
            <w:pPr>
              <w:pStyle w:val="CeldaAPA"/>
              <w:jc w:val="left"/>
            </w:pPr>
            <w:r>
              <w:rPr/>
              <w:t xml:space="preserve">Acero de refuerzo</w:t>
            </w:r>
          </w:p>
        </w:tc>
        <w:tc>
          <w:tcPr>
            <w:tcW w:w="1604" w:type="dxa"/>
          </w:tcPr>
          <w:p>
            <w:pPr>
              <w:pStyle w:val="CeldaAPA"/>
              <w:jc w:val="left"/>
            </w:pPr>
            <w:r>
              <w:rPr/>
              <w:t xml:space="preserve">3,15 % y 3,19 %</w:t>
            </w:r>
          </w:p>
        </w:tc>
        <w:tc>
          <w:tcPr>
            <w:tcW w:w="3925" w:type="dxa"/>
          </w:tcPr>
          <w:p>
            <w:pPr>
              <w:pStyle w:val="CeldaAPA"/>
              <w:jc w:val="left"/>
            </w:pPr>
            <w:r>
              <w:rPr/>
              <w:t xml:space="preserve">Con despiece previo a la ejecución</w:t>
            </w:r>
          </w:p>
        </w:tc>
        <w:tc>
          <w:tcPr>
            <w:tcW w:w="2218" w:type="dxa"/>
          </w:tcPr>
          <w:p>
            <w:pPr>
              <w:pStyle w:val="CeldaAPA"/>
              <w:jc w:val="left"/>
            </w:pPr>
            <w:r>
              <w:rPr/>
              <w:t xml:space="preserve">Chino Quispe y Zarate Chilqquetuma (2024, pp. 147, 169)</w:t>
            </w:r>
          </w:p>
        </w:tc>
      </w:tr>
      <w:tr>
        <w:tc>
          <w:tcPr>
            <w:tcW w:w="1612" w:type="dxa"/>
          </w:tcPr>
          <w:p>
            <w:pPr>
              <w:pStyle w:val="CeldaAPA"/>
              <w:jc w:val="left"/>
            </w:pPr>
            <w:r>
              <w:rPr/>
              <w:t xml:space="preserve">Acero de refuerzo</w:t>
            </w:r>
          </w:p>
        </w:tc>
        <w:tc>
          <w:tcPr>
            <w:tcW w:w="1604" w:type="dxa"/>
          </w:tcPr>
          <w:p>
            <w:pPr>
              <w:pStyle w:val="CeldaAPA"/>
              <w:jc w:val="left"/>
            </w:pPr>
            <w:r>
              <w:rPr/>
              <w:t xml:space="preserve">11 % a 26 %</w:t>
            </w:r>
          </w:p>
        </w:tc>
        <w:tc>
          <w:tcPr>
            <w:tcW w:w="3925" w:type="dxa"/>
          </w:tcPr>
          <w:p>
            <w:pPr>
              <w:pStyle w:val="CeldaAPA"/>
              <w:jc w:val="left"/>
            </w:pPr>
            <w:r>
              <w:rPr/>
              <w:t xml:space="preserve">Compilación de estudios brasileños</w:t>
            </w:r>
          </w:p>
        </w:tc>
        <w:tc>
          <w:tcPr>
            <w:tcW w:w="2218" w:type="dxa"/>
          </w:tcPr>
          <w:p>
            <w:pPr>
              <w:pStyle w:val="CeldaAPA"/>
              <w:jc w:val="left"/>
            </w:pPr>
            <w:r>
              <w:rPr/>
              <w:t xml:space="preserve">Maciel et al. (2016, p. 106)</w:t>
            </w:r>
          </w:p>
        </w:tc>
      </w:tr>
      <w:tr>
        <w:tc>
          <w:tcPr>
            <w:tcW w:w="1612" w:type="dxa"/>
          </w:tcPr>
          <w:p>
            <w:pPr>
              <w:pStyle w:val="CeldaAPA"/>
              <w:jc w:val="left"/>
            </w:pPr>
            <w:r>
              <w:rPr/>
              <w:t xml:space="preserve">Acero de refuerzo</w:t>
            </w:r>
          </w:p>
        </w:tc>
        <w:tc>
          <w:tcPr>
            <w:tcW w:w="1604" w:type="dxa"/>
          </w:tcPr>
          <w:p>
            <w:pPr>
              <w:pStyle w:val="CeldaAPA"/>
              <w:jc w:val="left"/>
            </w:pPr>
            <w:r>
              <w:rPr/>
              <w:t xml:space="preserve">10 % y menos de 1 %</w:t>
            </w:r>
          </w:p>
        </w:tc>
        <w:tc>
          <w:tcPr>
            <w:tcW w:w="3925" w:type="dxa"/>
          </w:tcPr>
          <w:p>
            <w:pPr>
              <w:pStyle w:val="CeldaAPA"/>
              <w:jc w:val="left"/>
            </w:pPr>
            <w:r>
              <w:rPr/>
              <w:t xml:space="preserve">Cortado en obra y precortado en fábrica; dato que los autores toman de otra fuente</w:t>
            </w:r>
          </w:p>
        </w:tc>
        <w:tc>
          <w:tcPr>
            <w:tcW w:w="2218" w:type="dxa"/>
          </w:tcPr>
          <w:p>
            <w:pPr>
              <w:pStyle w:val="CeldaAPA"/>
              <w:jc w:val="left"/>
            </w:pPr>
            <w:r>
              <w:rPr/>
              <w:t xml:space="preserve">Abbott y Rodríguez (2008, p. 583)</w:t>
            </w:r>
          </w:p>
        </w:tc>
      </w:tr>
      <w:tr>
        <w:tc>
          <w:tcPr>
            <w:tcW w:w="1612" w:type="dxa"/>
          </w:tcPr>
          <w:p>
            <w:pPr>
              <w:pStyle w:val="CeldaAPA"/>
              <w:jc w:val="left"/>
            </w:pPr>
            <w:r>
              <w:rPr/>
              <w:t xml:space="preserve">Acero de refuerzo</w:t>
            </w:r>
          </w:p>
        </w:tc>
        <w:tc>
          <w:tcPr>
            <w:tcW w:w="1604" w:type="dxa"/>
          </w:tcPr>
          <w:p>
            <w:pPr>
              <w:pStyle w:val="CeldaAPA"/>
              <w:jc w:val="left"/>
            </w:pPr>
            <w:r>
              <w:rPr/>
              <w:t xml:space="preserve">3 % a 10 %</w:t>
            </w:r>
          </w:p>
        </w:tc>
        <w:tc>
          <w:tcPr>
            <w:tcW w:w="3925" w:type="dxa"/>
          </w:tcPr>
          <w:p>
            <w:pPr>
              <w:pStyle w:val="CeldaAPA"/>
              <w:jc w:val="left"/>
            </w:pPr>
            <w:r>
              <w:rPr/>
              <w:t xml:space="preserve">Valores aceptables según el diámetro, de la Cámara Peruana de la Construcción</w:t>
            </w:r>
          </w:p>
        </w:tc>
        <w:tc>
          <w:tcPr>
            <w:tcW w:w="2218" w:type="dxa"/>
          </w:tcPr>
          <w:p>
            <w:pPr>
              <w:pStyle w:val="CeldaAPA"/>
              <w:jc w:val="left"/>
            </w:pPr>
            <w:r>
              <w:rPr/>
              <w:t xml:space="preserve">Ccoyllo Sifuentes (2016, p. 14)</w:t>
            </w:r>
          </w:p>
        </w:tc>
      </w:tr>
      <w:tr>
        <w:tc>
          <w:tcPr>
            <w:tcW w:w="1612" w:type="dxa"/>
            <w:tcBorders>
              <w:bottom w:val="single" w:sz="8" w:space="0" w:color="000000"/>
            </w:tcBorders>
          </w:tcPr>
          <w:p>
            <w:pPr>
              <w:pStyle w:val="CeldaAPA"/>
              <w:jc w:val="left"/>
            </w:pPr>
            <w:r>
              <w:rPr/>
              <w:t xml:space="preserve">Materiales en general</w:t>
            </w:r>
          </w:p>
        </w:tc>
        <w:tc>
          <w:tcPr>
            <w:tcW w:w="1604" w:type="dxa"/>
            <w:tcBorders>
              <w:bottom w:val="single" w:sz="8" w:space="0" w:color="000000"/>
            </w:tcBorders>
          </w:tcPr>
          <w:p>
            <w:pPr>
              <w:pStyle w:val="CeldaAPA"/>
              <w:jc w:val="left"/>
            </w:pPr>
            <w:r>
              <w:rPr/>
              <w:t xml:space="preserve">10 % (5 % a 30 %)</w:t>
            </w:r>
          </w:p>
        </w:tc>
        <w:tc>
          <w:tcPr>
            <w:tcW w:w="3925" w:type="dxa"/>
            <w:tcBorders>
              <w:bottom w:val="single" w:sz="8" w:space="0" w:color="000000"/>
            </w:tcBorders>
          </w:tcPr>
          <w:p>
            <w:pPr>
              <w:pStyle w:val="CeldaAPA"/>
              <w:jc w:val="left"/>
            </w:pPr>
            <w:r>
              <w:rPr/>
              <w:t xml:space="preserve">Consumo excesivo promedio en obra según un estudio sueco</w:t>
            </w:r>
          </w:p>
        </w:tc>
        <w:tc>
          <w:tcPr>
            <w:tcW w:w="2218" w:type="dxa"/>
            <w:tcBorders>
              <w:bottom w:val="single" w:sz="8" w:space="0" w:color="000000"/>
            </w:tcBorders>
          </w:tcPr>
          <w:p>
            <w:pPr>
              <w:pStyle w:val="CeldaAPA"/>
              <w:jc w:val="left"/>
            </w:pPr>
            <w:r>
              <w:rPr/>
              <w:t xml:space="preserve">Koskela (1992, p. 35)</w:t>
            </w:r>
          </w:p>
        </w:tc>
      </w:tr>
    </w:tbl>
    <w:p>
      <w:pPr>
        <w:pStyle w:val="NotaAPA"/>
      </w:pPr>
      <w:r>
        <w:rPr>
          <w:iCs/>
          <w:i/>
        </w:rPr>
        <w:t xml:space="preserve">Nota.</w:t>
      </w:r>
      <w:r>
        <w:t xml:space="preserve"> </w:t>
      </w:r>
      <w:r>
        <w:t xml:space="preserve">Elaborado con base en las fuentes citadas. Cuando el valor proviene de otro estudio, se cita la fuente consultada que lo reporta.</w:t>
      </w:r>
    </w:p>
    <w:p>
      <w:pPr>
        <w:pStyle w:val="Heading2"/>
      </w:pPr>
      <w:bookmarkStart w:id="102" w:name="tit68"/>
      <w:r>
        <w:t xml:space="preserve">1.6. Losas alivianadas con viguetas pretensadas y complemento de plastoformo</w:t>
      </w:r>
      <w:bookmarkEnd w:id="102"/>
    </w:p>
    <w:p>
      <w:pPr>
        <w:pStyle w:val="Heading3"/>
      </w:pPr>
      <w:bookmarkStart w:id="98" w:name="tit69"/>
      <w:r>
        <w:t xml:space="preserve">1.6.1. Descripción del sistema y de sus componentes</w:t>
      </w:r>
      <w:bookmarkEnd w:id="98"/>
    </w:p>
    <w:p>
      <w:pPr>
        <w:pStyle w:val="FirstParagraph"/>
      </w:pPr>
      <w:r>
        <w:t xml:space="preserve">La vigueta es el elemento de una losa alivianada que absorbe los esfuerzos de flexión de los nervios y transmite las cargas de uso a la estructura</w:t>
      </w:r>
      <w:r>
        <w:t xml:space="preserve"> </w:t>
      </w:r>
      <w:r>
        <w:t xml:space="preserve">(Concretec, 2018, hoja 1)</w:t>
      </w:r>
      <w:r>
        <w:t xml:space="preserve">. La losa del Edificio de Posgrado es una losa nervada unidireccional formada por viguetas pretensadas de fabricación industrial, colocadas en paralelo con una separación constante entre ejes; complementos de poliestireno expandido (plastoformo), apoyados en las alas de las viguetas, que aligeran la losa; nervios transversales rigidizadores; y una carpeta de compresión de hormigón vaciado en obra, con armadura de distribución, que se vacía junto con los nervios y las vigas de apoyo.</w:t>
      </w:r>
    </w:p>
    <w:p>
      <w:pPr>
        <w:pStyle w:val="BodyText"/>
      </w:pPr>
      <w:r>
        <w:t xml:space="preserve">Las viguetas se fabrican con hormigón de alta resistencia y acero de pretensado: en la ficha de un fabricante boliviano, la sección mide 56 mm en la cabeza, 110 mm en la base y 114,4 mm de alto, con acero de 18.000 kg/cm</w:t>
      </w:r>
      <w:r>
        <w:rPr>
          <w:vertAlign w:val="superscript"/>
        </w:rPr>
        <w:t xml:space="preserve">2</w:t>
      </w:r>
      <w:r>
        <w:t xml:space="preserve"> </w:t>
      </w:r>
      <w:r>
        <w:t xml:space="preserve">y hormigón de 350 kg/cm</w:t>
      </w:r>
      <w:r>
        <w:rPr>
          <w:vertAlign w:val="superscript"/>
        </w:rPr>
        <w:t xml:space="preserve">2</w:t>
      </w:r>
      <w:r>
        <w:t xml:space="preserve">, y sus tolerancias son de</w:t>
      </w:r>
      <w:r>
        <w:t xml:space="preserve"> </w:t>
      </w:r>
      <m:oMath>
        <m:r>
          <m:rPr>
            <m:sty m:val="p"/>
          </m:rPr>
          <m:t>±</m:t>
        </m:r>
      </m:oMath>
      <w:r>
        <w:t xml:space="preserve">5 en la sección y de +30/</w:t>
      </w:r>
      <m:oMath>
        <m:r>
          <m:rPr>
            <m:sty m:val="p"/>
          </m:rPr>
          <m:t>−</m:t>
        </m:r>
      </m:oMath>
      <w:r>
        <w:t xml:space="preserve">20 en la longitud, según la NB 997:2016</w:t>
      </w:r>
      <w:r>
        <w:t xml:space="preserve"> </w:t>
      </w:r>
      <w:r>
        <w:t xml:space="preserve">(Concretec, 2018, hoja 2)</w:t>
      </w:r>
      <w:r>
        <w:t xml:space="preserve">. El sistema admite separaciones entre ejes de 50 a 60 cm con vigueta simple, complementos de 10 a 25 cm de altura y una carpeta de 5 cm</w:t>
      </w:r>
      <w:r>
        <w:t xml:space="preserve"> </w:t>
      </w:r>
      <w:r>
        <w:t xml:space="preserve">(Concretec, 2018, hoja 3)</w:t>
      </w:r>
      <w:r>
        <w:t xml:space="preserve">. El poliestireno expandido es un plástico espumado, ligero, resistente a la humedad y capaz de absorber impactos, que se fabrica con densidades de 8 a 10 kg/m</w:t>
      </w:r>
      <w:r>
        <w:rPr>
          <w:vertAlign w:val="superscript"/>
        </w:rPr>
        <w:t xml:space="preserve">3</w:t>
      </w:r>
      <w:r>
        <w:t xml:space="preserve"> </w:t>
      </w:r>
      <w:r>
        <w:t xml:space="preserve">y tolerancias de</w:t>
      </w:r>
      <w:r>
        <w:t xml:space="preserve"> </w:t>
      </w:r>
      <m:oMath>
        <m:r>
          <m:rPr>
            <m:sty m:val="p"/>
          </m:rPr>
          <m:t>±</m:t>
        </m:r>
      </m:oMath>
      <w:r>
        <w:t xml:space="preserve">2 cm en el largo y</w:t>
      </w:r>
      <w:r>
        <w:t xml:space="preserve"> </w:t>
      </w:r>
      <m:oMath>
        <m:r>
          <m:rPr>
            <m:sty m:val="p"/>
          </m:rPr>
          <m:t>±</m:t>
        </m:r>
      </m:oMath>
      <w:r>
        <w:t xml:space="preserve">1 cm en el ancho</w:t>
      </w:r>
      <w:r>
        <w:t xml:space="preserve"> </w:t>
      </w:r>
      <w:r>
        <w:t xml:space="preserve">(Concretec, 2016, hoja 1)</w:t>
      </w:r>
      <w:r>
        <w:t xml:space="preserve">. Al reducir el peso propio, el sistema reduce las cargas: para 17 cm de altura, la losa con viguetas y plastoformo pesa 173,80 kg/m</w:t>
      </w:r>
      <w:r>
        <w:rPr>
          <w:vertAlign w:val="superscript"/>
        </w:rPr>
        <w:t xml:space="preserve">2</w:t>
      </w:r>
      <w:r>
        <w:t xml:space="preserve">, frente a 408,00 kg/m</w:t>
      </w:r>
      <w:r>
        <w:rPr>
          <w:vertAlign w:val="superscript"/>
        </w:rPr>
        <w:t xml:space="preserve">2</w:t>
      </w:r>
      <w:r>
        <w:t xml:space="preserve"> </w:t>
      </w:r>
      <w:r>
        <w:t xml:space="preserve">de una losa llena</w:t>
      </w:r>
      <w:r>
        <w:t xml:space="preserve"> </w:t>
      </w:r>
      <w:r>
        <w:t xml:space="preserve">(Alcón Aranda, 2009, p. 151)</w:t>
      </w:r>
      <w:r>
        <w:t xml:space="preserve">.</w:t>
      </w:r>
    </w:p>
    <w:p>
      <w:pPr>
        <w:pStyle w:val="BodyText"/>
      </w:pPr>
      <w:r>
        <w:t xml:space="preserve">Las especificaciones técnicas del proyecto exigen viguetas de hormigón de 350 a 400 kg/cm</w:t>
      </w:r>
      <w:r>
        <w:rPr>
          <w:vertAlign w:val="superscript"/>
        </w:rPr>
        <w:t xml:space="preserve">2</w:t>
      </w:r>
      <w:r>
        <w:t xml:space="preserve"> </w:t>
      </w:r>
      <w:r>
        <w:t xml:space="preserve">y acero con una tensión de rotura de 18.000 kg/cm</w:t>
      </w:r>
      <w:r>
        <w:rPr>
          <w:vertAlign w:val="superscript"/>
        </w:rPr>
        <w:t xml:space="preserve">2</w:t>
      </w:r>
      <w:r>
        <w:t xml:space="preserve">, con superficie superior rugosa y certificación de IBNORCA e ISO; complementos de plastoformo de 100 </w:t>
      </w:r>
      <m:oMath>
        <m:r>
          <m:rPr>
            <m:sty m:val="p"/>
          </m:rPr>
          <m:t>×</m:t>
        </m:r>
      </m:oMath>
      <w:r>
        <w:t xml:space="preserve"> 50 </w:t>
      </w:r>
      <m:oMath>
        <m:r>
          <m:rPr>
            <m:sty m:val="p"/>
          </m:rPr>
          <m:t>×</m:t>
        </m:r>
      </m:oMath>
      <w:r>
        <w:t xml:space="preserve"> 20 cm; hormigón de 250 kg/cm</w:t>
      </w:r>
      <w:r>
        <w:rPr>
          <w:vertAlign w:val="superscript"/>
        </w:rPr>
        <w:t xml:space="preserve">2</w:t>
      </w:r>
      <w:r>
        <w:t xml:space="preserve"> </w:t>
      </w:r>
      <w:r>
        <w:t xml:space="preserve">de resistencia característica, con al menos 400 kg/m</w:t>
      </w:r>
      <w:r>
        <w:rPr>
          <w:vertAlign w:val="superscript"/>
        </w:rPr>
        <w:t xml:space="preserve">3</w:t>
      </w:r>
      <w:r>
        <w:t xml:space="preserve"> </w:t>
      </w:r>
      <w:r>
        <w:t xml:space="preserve">de cemento, vaciado de forma monolítica con las vigas; y parrilla de compresión y refuerzo de momentos negativos de fierro corrugado</w:t>
      </w:r>
      <w:r>
        <w:t xml:space="preserve"> </w:t>
      </w:r>
      <w:r>
        <w:t xml:space="preserve">(UATF, s. f.-a, p. 3)</w:t>
      </w:r>
      <w:r>
        <w:t xml:space="preserve">. El certificado del fabricante de las viguetas indica ejes a 50 cm, un espesor de 20 + 5 = 25 cm, una sobrecarga admisible de 400 kg/m</w:t>
      </w:r>
      <w:r>
        <w:rPr>
          <w:vertAlign w:val="superscript"/>
        </w:rPr>
        <w:t xml:space="preserve">2</w:t>
      </w:r>
      <w:r>
        <w:t xml:space="preserve"> </w:t>
      </w:r>
      <w:r>
        <w:t xml:space="preserve">y una luz máxima de 7,50 m simplemente apoyada, y exige una carpeta de al menos 21 MPa, aceros de continuidad y el cumplimiento de los pasos de montaje del fabricante</w:t>
      </w:r>
      <w:r>
        <w:t xml:space="preserve"> </w:t>
      </w:r>
      <w:r>
        <w:t xml:space="preserve">(PRETENSA, 2025)</w:t>
      </w:r>
      <w:r>
        <w:t xml:space="preserve">. El proveedor de los complementos certificó 2.350 piezas de 20 </w:t>
      </w:r>
      <m:oMath>
        <m:r>
          <m:rPr>
            <m:sty m:val="p"/>
          </m:rPr>
          <m:t>×</m:t>
        </m:r>
      </m:oMath>
      <w:r>
        <w:t xml:space="preserve"> 100 </w:t>
      </w:r>
      <m:oMath>
        <m:r>
          <m:rPr>
            <m:sty m:val="p"/>
          </m:rPr>
          <m:t>×</m:t>
        </m:r>
      </m:oMath>
      <w:r>
        <w:t xml:space="preserve"> 44 cm y 10 kg/m</w:t>
      </w:r>
      <w:r>
        <w:rPr>
          <w:vertAlign w:val="superscript"/>
        </w:rPr>
        <w:t xml:space="preserve">3</w:t>
      </w:r>
      <w:r>
        <w:t xml:space="preserve"> </w:t>
      </w:r>
      <w:r>
        <w:t xml:space="preserve">(UNICON, 2025)</w:t>
      </w:r>
      <w:r>
        <w:t xml:space="preserve">, una medida distinta de la especificada. La Figura 3 muestra la sección típica de la losa, y la Figura 4, el corte transversal con la armadura de distribución de</w:t>
      </w:r>
      <w:r>
        <w:t xml:space="preserve"> </w:t>
      </w:r>
      <m:oMath>
        <m:r>
          <m:t>ϕ</m:t>
        </m:r>
      </m:oMath>
      <w:r>
        <w:t xml:space="preserve">6 c/20 cm en ambas direcciones.</w:t>
      </w:r>
    </w:p>
    <w:p>
      <w:pPr>
        <w:pStyle w:val="Caption"/>
      </w:pPr>
      <w:bookmarkStart w:id="1404" w:name="fig3"/>
      <w:r>
        <w:t xml:space="preserve"/>
      </w:r>
      <w:r>
        <w:rPr>
          <w:bCs/>
          <w:b/>
        </w:rPr>
        <w:t xml:space="preserve">Figura 3</w:t>
      </w:r>
      <w:r>
        <w:br/>
      </w:r>
      <w:r>
        <w:rPr>
          <w:iCs/>
          <w:i/>
        </w:rPr>
        <w:t xml:space="preserve">Sección típica de la losa alivianada con viguetas pretensadas</w:t>
      </w:r>
      <w:bookmarkEnd w:id="1404"/>
    </w:p>
    <w:p>
      <w:pPr>
        <w:pStyle w:val="FiguraAPA"/>
      </w:pPr>
      <w:r>
        <w:drawing>
          <wp:inline>
            <wp:extent cx="3566159" cy="2701070"/>
            <wp:effectExtent b="0" l="0" r="0" t="0"/>
            <wp:docPr descr="image" title="" id="93" name="Picture"/>
            <a:graphic>
              <a:graphicData uri="http://schemas.openxmlformats.org/drawingml/2006/picture">
                <pic:pic>
                  <pic:nvPicPr>
                    <pic:cNvPr descr="/home/user/TesisSGC/05_Tesis_LaTeX/figuras/plano02_seccion_losa_viguetas.png" id="94" name="Picture"/>
                    <pic:cNvPicPr>
                      <a:picLocks noChangeArrowheads="1" noChangeAspect="1"/>
                    </pic:cNvPicPr>
                  </pic:nvPicPr>
                  <pic:blipFill>
                    <a:blip r:embed="rId92"/>
                    <a:stretch>
                      <a:fillRect/>
                    </a:stretch>
                  </pic:blipFill>
                  <pic:spPr bwMode="auto">
                    <a:xfrm>
                      <a:off x="0" y="0"/>
                      <a:ext cx="3566159" cy="2701070"/>
                    </a:xfrm>
                    <a:prstGeom prst="rect">
                      <a:avLst/>
                    </a:prstGeom>
                    <a:noFill/>
                    <a:ln w="9525">
                      <a:noFill/>
                      <a:headEnd/>
                      <a:tailEnd/>
                    </a:ln>
                  </pic:spPr>
                </pic:pic>
              </a:graphicData>
            </a:graphic>
          </wp:inline>
        </w:drawing>
      </w:r>
    </w:p>
    <w:p>
      <w:pPr>
        <w:pStyle w:val="NotaAPA"/>
      </w:pPr>
      <w:r>
        <w:rPr>
          <w:iCs/>
          <w:i/>
        </w:rPr>
        <w:t xml:space="preserve">Nota.</w:t>
      </w:r>
      <w:r>
        <w:t xml:space="preserve"> </w:t>
      </w:r>
      <w:r>
        <w:t xml:space="preserve">Tomado del Plano 02 del proyecto «Construcción Edificio de Posgrado» de la UATF.</w:t>
      </w:r>
    </w:p>
    <w:p>
      <w:pPr>
        <w:pStyle w:val="Caption"/>
      </w:pPr>
      <w:bookmarkStart w:id="1405" w:name="fig4"/>
      <w:r>
        <w:t xml:space="preserve"/>
      </w:r>
      <w:r>
        <w:rPr>
          <w:bCs/>
          <w:b/>
        </w:rPr>
        <w:t xml:space="preserve">Figura 4</w:t>
      </w:r>
      <w:r>
        <w:br/>
      </w:r>
      <w:r>
        <w:rPr>
          <w:iCs/>
          <w:i/>
        </w:rPr>
        <w:t xml:space="preserve">Corte transversal de la losa con la carpeta de compresión y la armadura de distribución</w:t>
      </w:r>
      <w:bookmarkEnd w:id="1405"/>
    </w:p>
    <w:p>
      <w:pPr>
        <w:pStyle w:val="FiguraAPA"/>
      </w:pPr>
      <w:r>
        <w:drawing>
          <wp:inline>
            <wp:extent cx="5052239" cy="2221188"/>
            <wp:effectExtent b="0" l="0" r="0" t="0"/>
            <wp:docPr descr="image" title="" id="96" name="Picture"/>
            <a:graphic>
              <a:graphicData uri="http://schemas.openxmlformats.org/drawingml/2006/picture">
                <pic:pic>
                  <pic:nvPicPr>
                    <pic:cNvPr descr="/home/user/TesisSGC/05_Tesis_LaTeX/figuras/plano02_corte_transversal.png" id="97" name="Picture"/>
                    <pic:cNvPicPr>
                      <a:picLocks noChangeArrowheads="1" noChangeAspect="1"/>
                    </pic:cNvPicPr>
                  </pic:nvPicPr>
                  <pic:blipFill>
                    <a:blip r:embed="rId95"/>
                    <a:stretch>
                      <a:fillRect/>
                    </a:stretch>
                  </pic:blipFill>
                  <pic:spPr bwMode="auto">
                    <a:xfrm>
                      <a:off x="0" y="0"/>
                      <a:ext cx="5052239" cy="2221188"/>
                    </a:xfrm>
                    <a:prstGeom prst="rect">
                      <a:avLst/>
                    </a:prstGeom>
                    <a:noFill/>
                    <a:ln w="9525">
                      <a:noFill/>
                      <a:headEnd/>
                      <a:tailEnd/>
                    </a:ln>
                  </pic:spPr>
                </pic:pic>
              </a:graphicData>
            </a:graphic>
          </wp:inline>
        </w:drawing>
      </w:r>
    </w:p>
    <w:p>
      <w:pPr>
        <w:pStyle w:val="NotaAPA"/>
      </w:pPr>
      <w:r>
        <w:rPr>
          <w:iCs/>
          <w:i/>
        </w:rPr>
        <w:t xml:space="preserve">Nota.</w:t>
      </w:r>
      <w:r>
        <w:t xml:space="preserve"> </w:t>
      </w:r>
      <w:r>
        <w:t xml:space="preserve">Tomado del Plano 02 del proyecto. El corte acota 0,15 m de altura de complemento y 0,05 m de carpeta, mientras que las especificaciones técnicas y el certificado del fabricante indican 20 + 5 cm. Esta discrepancia se analiza en la sección 2.5.2.</w:t>
      </w:r>
    </w:p>
    <w:p>
      <w:pPr>
        <w:pStyle w:val="Heading3"/>
      </w:pPr>
      <w:bookmarkStart w:id="99" w:name="tit70"/>
      <w:r>
        <w:t xml:space="preserve">1.6.2. Proceso constructivo y puntos críticos de calidad</w:t>
      </w:r>
      <w:bookmarkEnd w:id="99"/>
    </w:p>
    <w:p>
      <w:pPr>
        <w:pStyle w:val="FirstParagraph"/>
      </w:pPr>
      <w:r>
        <w:t xml:space="preserve">La ejecución sigue once actividades, desde la recepción de los materiales hasta el desapuntalamiento (Tabla 10). En cada una hay un punto crítico: una característica que, si no se verifica en ese momento, no puede corregirse después sin retrabajo o desperdicio. El primero es la recepción, porque detectar un material defectuoso cuando ya está colocado obliga a retirarlo, detiene la obra y genera pérdidas de tiempo y de dinero</w:t>
      </w:r>
      <w:r>
        <w:t xml:space="preserve"> </w:t>
      </w:r>
      <w:r>
        <w:t xml:space="preserve">(Alcón Aranda, 2009, p. 115)</w:t>
      </w:r>
      <w:r>
        <w:t xml:space="preserve">. El segundo es la liberación previa al vaciado, un punto de espera</w:t>
      </w:r>
      <w:r>
        <w:t xml:space="preserve"> </w:t>
      </w:r>
      <w:r>
        <w:t xml:space="preserve">(Muro Núñez, 2020, anexo 4)</w:t>
      </w:r>
      <w:r>
        <w:t xml:space="preserve">: ningún elemento estructural debería vaciarse sin la autorización expresa de la Supervisión</w:t>
      </w:r>
      <w:r>
        <w:t xml:space="preserve"> </w:t>
      </w:r>
      <w:r>
        <w:t xml:space="preserve">(Fernando Aragón Ingeniería Estructural, 2025, p. 8)</w:t>
      </w:r>
      <w:r>
        <w:t xml:space="preserve">. El tercero es el hormigón, cuyo muestreo debe presenciar el supervisor</w:t>
      </w:r>
      <w:r>
        <w:t xml:space="preserve"> </w:t>
      </w:r>
      <w:r>
        <w:t xml:space="preserve">(Cajías Luna, 2023, p. 37)</w:t>
      </w:r>
      <w:r>
        <w:t xml:space="preserve">, con probetas elaboradas en el lugar de colocación y no a la salida de la hormigonera</w:t>
      </w:r>
      <w:r>
        <w:t xml:space="preserve"> </w:t>
      </w:r>
      <w:r>
        <w:t xml:space="preserve">(Fernando Aragón Ingeniería Estructural, 2025, p. 13)</w:t>
      </w:r>
      <w:r>
        <w:t xml:space="preserve">.</w:t>
      </w:r>
    </w:p>
    <w:p>
      <w:pPr>
        <w:pStyle w:val="Caption"/>
      </w:pPr>
      <w:bookmarkStart w:id="1406" w:name="tab10"/>
      <w:r>
        <w:t xml:space="preserve"/>
      </w:r>
      <w:r>
        <w:rPr>
          <w:bCs/>
          <w:b/>
        </w:rPr>
        <w:t xml:space="preserve">Tabla 10</w:t>
      </w:r>
      <w:r>
        <w:br/>
      </w:r>
      <w:r>
        <w:rPr>
          <w:iCs/>
          <w:i/>
        </w:rPr>
        <w:t xml:space="preserve">Proceso constructivo de la losa alivianada y puntos críticos de calidad</w:t>
      </w:r>
      <w:bookmarkEnd w:id="1406"/>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666"/>
        <w:gridCol w:w="2219"/>
        <w:gridCol w:w="4287"/>
        <w:gridCol w:w="2188"/>
      </w:tblGrid>
      <w:tr>
        <w:trPr>
          <w:cantSplit/>
          <w:tblHeader w:val="true"/>
        </w:trPr>
        <w:tc>
          <w:tcPr>
            <w:tcW w:w="666" w:type="dxa"/>
            <w:tcBorders>
              <w:top w:val="single" w:sz="8" w:space="0" w:color="000000"/>
              <w:bottom w:val="single" w:sz="4" w:space="0" w:color="000000"/>
            </w:tcBorders>
          </w:tcPr>
          <w:p>
            <w:pPr>
              <w:pStyle w:val="CeldaAPA"/>
              <w:jc w:val="center"/>
            </w:pPr>
            <w:r>
              <w:rPr>
                <w:bCs/>
                <w:b/>
              </w:rPr>
              <w:t xml:space="preserve">N.</w:t>
            </w:r>
            <w:r>
              <w:rPr>
                <w:vertAlign w:val="superscript"/>
                <w:bCs/>
                <w:b/>
              </w:rPr>
              <w:t xml:space="preserve">o</w:t>
            </w:r>
          </w:p>
        </w:tc>
        <w:tc>
          <w:tcPr>
            <w:tcW w:w="2219" w:type="dxa"/>
            <w:tcBorders>
              <w:top w:val="single" w:sz="8" w:space="0" w:color="000000"/>
              <w:bottom w:val="single" w:sz="4" w:space="0" w:color="000000"/>
            </w:tcBorders>
          </w:tcPr>
          <w:p>
            <w:pPr>
              <w:pStyle w:val="CeldaAPA"/>
              <w:jc w:val="center"/>
            </w:pPr>
            <w:r>
              <w:rPr>
                <w:bCs/>
                <w:b/>
              </w:rPr>
              <w:t xml:space="preserve">Actividad</w:t>
            </w:r>
          </w:p>
        </w:tc>
        <w:tc>
          <w:tcPr>
            <w:tcW w:w="4287" w:type="dxa"/>
            <w:tcBorders>
              <w:top w:val="single" w:sz="8" w:space="0" w:color="000000"/>
              <w:bottom w:val="single" w:sz="4" w:space="0" w:color="000000"/>
            </w:tcBorders>
          </w:tcPr>
          <w:p>
            <w:pPr>
              <w:pStyle w:val="CeldaAPA"/>
              <w:jc w:val="center"/>
            </w:pPr>
            <w:r>
              <w:rPr>
                <w:bCs/>
                <w:b/>
              </w:rPr>
              <w:t xml:space="preserve">Punto crítico de calidad</w:t>
            </w:r>
          </w:p>
        </w:tc>
        <w:tc>
          <w:tcPr>
            <w:tcW w:w="2188" w:type="dxa"/>
            <w:tcBorders>
              <w:top w:val="single" w:sz="8" w:space="0" w:color="000000"/>
              <w:bottom w:val="single" w:sz="4" w:space="0" w:color="000000"/>
            </w:tcBorders>
          </w:tcPr>
          <w:p>
            <w:pPr>
              <w:pStyle w:val="CeldaAPA"/>
              <w:jc w:val="center"/>
            </w:pPr>
            <w:r>
              <w:rPr>
                <w:bCs/>
                <w:b/>
              </w:rPr>
              <w:t xml:space="preserve">Criterio o referencia</w:t>
            </w:r>
          </w:p>
        </w:tc>
      </w:tr>
      <w:tr>
        <w:tc>
          <w:tcPr>
            <w:tcW w:w="666" w:type="dxa"/>
          </w:tcPr>
          <w:p>
            <w:pPr>
              <w:pStyle w:val="CeldaAPA"/>
              <w:jc w:val="left"/>
            </w:pPr>
            <w:r>
              <w:rPr/>
              <w:t xml:space="preserve">1</w:t>
            </w:r>
          </w:p>
        </w:tc>
        <w:tc>
          <w:tcPr>
            <w:tcW w:w="2219" w:type="dxa"/>
          </w:tcPr>
          <w:p>
            <w:pPr>
              <w:pStyle w:val="CeldaAPA"/>
              <w:jc w:val="left"/>
            </w:pPr>
            <w:r>
              <w:rPr/>
              <w:t xml:space="preserve">Recepción y acopio de viguetas</w:t>
            </w:r>
          </w:p>
        </w:tc>
        <w:tc>
          <w:tcPr>
            <w:tcW w:w="4287" w:type="dxa"/>
          </w:tcPr>
          <w:p>
            <w:pPr>
              <w:pStyle w:val="CeldaAPA"/>
              <w:jc w:val="left"/>
            </w:pPr>
            <w:r>
              <w:rPr/>
              <w:t xml:space="preserve">Cantidad, tipo y longitud según el plano de montaje del proveedor; piezas sin fisuras, oquedades ni armadura expuesta; tolerancias dimensionales</w:t>
            </w:r>
          </w:p>
        </w:tc>
        <w:tc>
          <w:tcPr>
            <w:tcW w:w="2188" w:type="dxa"/>
          </w:tcPr>
          <w:p>
            <w:pPr>
              <w:pStyle w:val="CeldaAPA"/>
              <w:jc w:val="left"/>
            </w:pPr>
            <w:r>
              <w:rPr/>
              <w:t xml:space="preserve">Alcón Aranda (2009, pp. 115–116)</w:t>
            </w:r>
            <w:r>
              <w:rPr/>
              <w:t xml:space="preserve">; NB 997:2016; certificado del fabricante</w:t>
            </w:r>
          </w:p>
        </w:tc>
      </w:tr>
      <w:tr>
        <w:tc>
          <w:tcPr>
            <w:tcW w:w="666" w:type="dxa"/>
          </w:tcPr>
          <w:p>
            <w:pPr>
              <w:pStyle w:val="CeldaAPA"/>
              <w:jc w:val="left"/>
            </w:pPr>
            <w:r>
              <w:rPr/>
              <w:t xml:space="preserve">2</w:t>
            </w:r>
          </w:p>
        </w:tc>
        <w:tc>
          <w:tcPr>
            <w:tcW w:w="2219" w:type="dxa"/>
          </w:tcPr>
          <w:p>
            <w:pPr>
              <w:pStyle w:val="CeldaAPA"/>
              <w:jc w:val="left"/>
            </w:pPr>
            <w:r>
              <w:rPr/>
              <w:t xml:space="preserve">Recepción y acopio de complementos</w:t>
            </w:r>
          </w:p>
        </w:tc>
        <w:tc>
          <w:tcPr>
            <w:tcW w:w="4287" w:type="dxa"/>
          </w:tcPr>
          <w:p>
            <w:pPr>
              <w:pStyle w:val="CeldaAPA"/>
              <w:jc w:val="left"/>
            </w:pPr>
            <w:r>
              <w:rPr/>
              <w:t xml:space="preserve">Dimensiones y densidad del pedido; piezas enteras; acopio protegido</w:t>
            </w:r>
          </w:p>
        </w:tc>
        <w:tc>
          <w:tcPr>
            <w:tcW w:w="2188" w:type="dxa"/>
          </w:tcPr>
          <w:p>
            <w:pPr>
              <w:pStyle w:val="CeldaAPA"/>
              <w:jc w:val="left"/>
            </w:pPr>
            <w:r>
              <w:rPr/>
              <w:t xml:space="preserve">Tolerancias de la ficha técnica; certificado del proveedor</w:t>
            </w:r>
          </w:p>
        </w:tc>
      </w:tr>
      <w:tr>
        <w:tc>
          <w:tcPr>
            <w:tcW w:w="666" w:type="dxa"/>
          </w:tcPr>
          <w:p>
            <w:pPr>
              <w:pStyle w:val="CeldaAPA"/>
              <w:jc w:val="left"/>
            </w:pPr>
            <w:r>
              <w:rPr/>
              <w:t xml:space="preserve">3</w:t>
            </w:r>
          </w:p>
        </w:tc>
        <w:tc>
          <w:tcPr>
            <w:tcW w:w="2219" w:type="dxa"/>
          </w:tcPr>
          <w:p>
            <w:pPr>
              <w:pStyle w:val="CeldaAPA"/>
              <w:jc w:val="left"/>
            </w:pPr>
            <w:r>
              <w:rPr/>
              <w:t xml:space="preserve">Recepción de cemento, áridos, agua y acero</w:t>
            </w:r>
          </w:p>
        </w:tc>
        <w:tc>
          <w:tcPr>
            <w:tcW w:w="4287" w:type="dxa"/>
          </w:tcPr>
          <w:p>
            <w:pPr>
              <w:pStyle w:val="CeldaAPA"/>
              <w:jc w:val="left"/>
            </w:pPr>
            <w:r>
              <w:rPr/>
              <w:t xml:space="preserve">Cemento con sello, bajo techo y en pilas de hasta 10 bolsas; agua limpia a más de 5 </w:t>
            </w:r>
            <m:oMath>
              <m:sSup>
                <m:e>
                  <m:r>
                    <m:t>​</m:t>
                  </m:r>
                </m:e>
                <m:sup>
                  <m:r>
                    <m:rPr>
                      <m:sty m:val="p"/>
                    </m:rPr>
                    <m:t>∘</m:t>
                  </m:r>
                </m:sup>
              </m:sSup>
            </m:oMath>
            <w:r>
              <w:rPr/>
              <w:t xml:space="preserve">C; acero con certificado de fábrica, sin oxidación excesiva, barro ni aceite</w:t>
            </w:r>
          </w:p>
        </w:tc>
        <w:tc>
          <w:tcPr>
            <w:tcW w:w="2188" w:type="dxa"/>
          </w:tcPr>
          <w:p>
            <w:pPr>
              <w:pStyle w:val="CeldaAPA"/>
              <w:jc w:val="left"/>
            </w:pPr>
            <w:r>
              <w:rPr/>
              <w:t xml:space="preserve">ET, pp. 1–2; ACI 318-25, 26.6.1.2; pliego de referencia, p. 17</w:t>
            </w:r>
          </w:p>
        </w:tc>
      </w:tr>
      <w:tr>
        <w:tc>
          <w:tcPr>
            <w:tcW w:w="666" w:type="dxa"/>
          </w:tcPr>
          <w:p>
            <w:pPr>
              <w:pStyle w:val="CeldaAPA"/>
              <w:jc w:val="left"/>
            </w:pPr>
            <w:r>
              <w:rPr/>
              <w:t xml:space="preserve">4</w:t>
            </w:r>
          </w:p>
        </w:tc>
        <w:tc>
          <w:tcPr>
            <w:tcW w:w="2219" w:type="dxa"/>
          </w:tcPr>
          <w:p>
            <w:pPr>
              <w:pStyle w:val="CeldaAPA"/>
              <w:jc w:val="left"/>
            </w:pPr>
            <w:r>
              <w:rPr/>
              <w:t xml:space="preserve">Replanteo y apuntalamiento</w:t>
            </w:r>
          </w:p>
        </w:tc>
        <w:tc>
          <w:tcPr>
            <w:tcW w:w="4287" w:type="dxa"/>
          </w:tcPr>
          <w:p>
            <w:pPr>
              <w:pStyle w:val="CeldaAPA"/>
              <w:jc w:val="left"/>
            </w:pPr>
            <w:r>
              <w:rPr/>
              <w:t xml:space="preserve">Puntales colocados antes de montar los complementos; niveles de apoyo según los planos</w:t>
            </w:r>
          </w:p>
        </w:tc>
        <w:tc>
          <w:tcPr>
            <w:tcW w:w="2188" w:type="dxa"/>
          </w:tcPr>
          <w:p>
            <w:pPr>
              <w:pStyle w:val="CeldaAPA"/>
              <w:jc w:val="left"/>
            </w:pPr>
            <w:r>
              <w:rPr/>
              <w:t xml:space="preserve">Ficha técnica de los complementos</w:t>
            </w:r>
          </w:p>
        </w:tc>
      </w:tr>
      <w:tr>
        <w:tc>
          <w:tcPr>
            <w:tcW w:w="666" w:type="dxa"/>
          </w:tcPr>
          <w:p>
            <w:pPr>
              <w:pStyle w:val="CeldaAPA"/>
              <w:jc w:val="left"/>
            </w:pPr>
            <w:r>
              <w:rPr/>
              <w:t xml:space="preserve">5</w:t>
            </w:r>
          </w:p>
        </w:tc>
        <w:tc>
          <w:tcPr>
            <w:tcW w:w="2219" w:type="dxa"/>
          </w:tcPr>
          <w:p>
            <w:pPr>
              <w:pStyle w:val="CeldaAPA"/>
              <w:jc w:val="left"/>
            </w:pPr>
            <w:r>
              <w:rPr/>
              <w:t xml:space="preserve">Colocación de viguetas</w:t>
            </w:r>
          </w:p>
        </w:tc>
        <w:tc>
          <w:tcPr>
            <w:tcW w:w="4287" w:type="dxa"/>
          </w:tcPr>
          <w:p>
            <w:pPr>
              <w:pStyle w:val="CeldaAPA"/>
              <w:jc w:val="left"/>
            </w:pPr>
            <w:r>
              <w:rPr/>
              <w:t xml:space="preserve">Separación de 50 cm entre ejes; tipo correcto en cada paño; empotramiento mínimo de 100 mm en vigas de borde y de 70 mm en vigas centrales</w:t>
            </w:r>
          </w:p>
        </w:tc>
        <w:tc>
          <w:tcPr>
            <w:tcW w:w="2188" w:type="dxa"/>
          </w:tcPr>
          <w:p>
            <w:pPr>
              <w:pStyle w:val="CeldaAPA"/>
              <w:jc w:val="left"/>
            </w:pPr>
            <w:r>
              <w:rPr/>
              <w:t xml:space="preserve">Certificado del fabricante; NBDS, art. 12</w:t>
            </w:r>
          </w:p>
        </w:tc>
      </w:tr>
      <w:tr>
        <w:tc>
          <w:tcPr>
            <w:tcW w:w="666" w:type="dxa"/>
          </w:tcPr>
          <w:p>
            <w:pPr>
              <w:pStyle w:val="CeldaAPA"/>
              <w:jc w:val="left"/>
            </w:pPr>
            <w:r>
              <w:rPr/>
              <w:t xml:space="preserve">6</w:t>
            </w:r>
          </w:p>
        </w:tc>
        <w:tc>
          <w:tcPr>
            <w:tcW w:w="2219" w:type="dxa"/>
          </w:tcPr>
          <w:p>
            <w:pPr>
              <w:pStyle w:val="CeldaAPA"/>
              <w:jc w:val="left"/>
            </w:pPr>
            <w:r>
              <w:rPr/>
              <w:t xml:space="preserve">Colocación de complementos</w:t>
            </w:r>
          </w:p>
        </w:tc>
        <w:tc>
          <w:tcPr>
            <w:tcW w:w="4287" w:type="dxa"/>
          </w:tcPr>
          <w:p>
            <w:pPr>
              <w:pStyle w:val="CeldaAPA"/>
              <w:jc w:val="left"/>
            </w:pPr>
            <w:r>
              <w:rPr/>
              <w:t xml:space="preserve">Piezas enteras y bien asentadas; prohibido pisarlas</w:t>
            </w:r>
          </w:p>
        </w:tc>
        <w:tc>
          <w:tcPr>
            <w:tcW w:w="2188" w:type="dxa"/>
          </w:tcPr>
          <w:p>
            <w:pPr>
              <w:pStyle w:val="CeldaAPA"/>
              <w:jc w:val="left"/>
            </w:pPr>
            <w:r>
              <w:rPr/>
              <w:t xml:space="preserve">Ficha técnica de los complementos</w:t>
            </w:r>
          </w:p>
        </w:tc>
      </w:tr>
      <w:tr>
        <w:tc>
          <w:tcPr>
            <w:tcW w:w="666" w:type="dxa"/>
          </w:tcPr>
          <w:p>
            <w:pPr>
              <w:pStyle w:val="CeldaAPA"/>
              <w:jc w:val="left"/>
            </w:pPr>
            <w:r>
              <w:rPr/>
              <w:t xml:space="preserve">7</w:t>
            </w:r>
          </w:p>
        </w:tc>
        <w:tc>
          <w:tcPr>
            <w:tcW w:w="2219" w:type="dxa"/>
          </w:tcPr>
          <w:p>
            <w:pPr>
              <w:pStyle w:val="CeldaAPA"/>
              <w:jc w:val="left"/>
            </w:pPr>
            <w:r>
              <w:rPr/>
              <w:t xml:space="preserve">Nervios transversales y armaduras</w:t>
            </w:r>
          </w:p>
        </w:tc>
        <w:tc>
          <w:tcPr>
            <w:tcW w:w="4287" w:type="dxa"/>
          </w:tcPr>
          <w:p>
            <w:pPr>
              <w:pStyle w:val="CeldaAPA"/>
              <w:jc w:val="left"/>
            </w:pPr>
            <w:r>
              <w:rPr/>
              <w:t xml:space="preserve">Nervios rigidizadores según los planos; parrilla</w:t>
            </w:r>
            <w:r>
              <w:rPr/>
              <w:t xml:space="preserve"> </w:t>
            </w:r>
            <m:oMath>
              <m:r>
                <m:t>ϕ</m:t>
              </m:r>
            </m:oMath>
            <w:r>
              <w:rPr/>
              <w:t xml:space="preserve">6 c/20 en ambas direcciones; acero de continuidad sobre los apoyos; armadura apoyada dentro de las tolerancias</w:t>
            </w:r>
          </w:p>
        </w:tc>
        <w:tc>
          <w:tcPr>
            <w:tcW w:w="2188" w:type="dxa"/>
          </w:tcPr>
          <w:p>
            <w:pPr>
              <w:pStyle w:val="CeldaAPA"/>
              <w:jc w:val="left"/>
            </w:pPr>
            <w:r>
              <w:rPr/>
              <w:t xml:space="preserve">ET, p. 3; Plano 02; certificado del fabricante; ACI 318-25, 26.6.2</w:t>
            </w:r>
          </w:p>
        </w:tc>
      </w:tr>
      <w:tr>
        <w:tc>
          <w:tcPr>
            <w:tcW w:w="666" w:type="dxa"/>
          </w:tcPr>
          <w:p>
            <w:pPr>
              <w:pStyle w:val="CeldaAPA"/>
              <w:jc w:val="left"/>
            </w:pPr>
            <w:r>
              <w:rPr/>
              <w:t xml:space="preserve">8</w:t>
            </w:r>
          </w:p>
        </w:tc>
        <w:tc>
          <w:tcPr>
            <w:tcW w:w="2219" w:type="dxa"/>
          </w:tcPr>
          <w:p>
            <w:pPr>
              <w:pStyle w:val="CeldaAPA"/>
              <w:jc w:val="left"/>
            </w:pPr>
            <w:r>
              <w:rPr/>
              <w:t xml:space="preserve">Instalaciones embebidas</w:t>
            </w:r>
          </w:p>
        </w:tc>
        <w:tc>
          <w:tcPr>
            <w:tcW w:w="4287" w:type="dxa"/>
          </w:tcPr>
          <w:p>
            <w:pPr>
              <w:pStyle w:val="CeldaAPA"/>
              <w:jc w:val="left"/>
            </w:pPr>
            <w:r>
              <w:rPr/>
              <w:t xml:space="preserve">Ductos y cajas fijados antes del vaciado sin desplazar la armadura</w:t>
            </w:r>
          </w:p>
        </w:tc>
        <w:tc>
          <w:tcPr>
            <w:tcW w:w="2188" w:type="dxa"/>
          </w:tcPr>
          <w:p>
            <w:pPr>
              <w:pStyle w:val="CeldaAPA"/>
              <w:jc w:val="left"/>
            </w:pPr>
            <w:r>
              <w:rPr/>
              <w:t xml:space="preserve">ACI 318-25, 26.13.3.3</w:t>
            </w:r>
          </w:p>
        </w:tc>
      </w:tr>
      <w:tr>
        <w:tc>
          <w:tcPr>
            <w:tcW w:w="666" w:type="dxa"/>
          </w:tcPr>
          <w:p>
            <w:pPr>
              <w:pStyle w:val="CeldaAPA"/>
              <w:jc w:val="left"/>
            </w:pPr>
            <w:r>
              <w:rPr/>
              <w:t xml:space="preserve">9</w:t>
            </w:r>
          </w:p>
        </w:tc>
        <w:tc>
          <w:tcPr>
            <w:tcW w:w="2219" w:type="dxa"/>
          </w:tcPr>
          <w:p>
            <w:pPr>
              <w:pStyle w:val="CeldaAPA"/>
              <w:jc w:val="left"/>
            </w:pPr>
            <w:r>
              <w:rPr/>
              <w:t xml:space="preserve">Liberación para el vaciado</w:t>
            </w:r>
          </w:p>
        </w:tc>
        <w:tc>
          <w:tcPr>
            <w:tcW w:w="4287" w:type="dxa"/>
          </w:tcPr>
          <w:p>
            <w:pPr>
              <w:pStyle w:val="CeldaAPA"/>
              <w:jc w:val="left"/>
            </w:pPr>
            <w:r>
              <w:rPr/>
              <w:t xml:space="preserve">Punto de espera: verificación del armado, de las instalaciones y de la limpieza; mezcla aprobada para el elemento; autorización escrita de la Supervisión</w:t>
            </w:r>
          </w:p>
        </w:tc>
        <w:tc>
          <w:tcPr>
            <w:tcW w:w="2188" w:type="dxa"/>
          </w:tcPr>
          <w:p>
            <w:pPr>
              <w:pStyle w:val="CeldaAPA"/>
              <w:jc w:val="left"/>
            </w:pPr>
            <w:r>
              <w:rPr/>
              <w:t xml:space="preserve">ACI 318-25, 26.13.3.2 y 26.13.3.3; Supervisión</w:t>
            </w:r>
          </w:p>
        </w:tc>
      </w:tr>
      <w:tr>
        <w:tc>
          <w:tcPr>
            <w:tcW w:w="666" w:type="dxa"/>
          </w:tcPr>
          <w:p>
            <w:pPr>
              <w:pStyle w:val="CeldaAPA"/>
              <w:jc w:val="left"/>
            </w:pPr>
            <w:r>
              <w:rPr/>
              <w:t xml:space="preserve">10</w:t>
            </w:r>
          </w:p>
        </w:tc>
        <w:tc>
          <w:tcPr>
            <w:tcW w:w="2219" w:type="dxa"/>
          </w:tcPr>
          <w:p>
            <w:pPr>
              <w:pStyle w:val="CeldaAPA"/>
              <w:jc w:val="left"/>
            </w:pPr>
            <w:r>
              <w:rPr/>
              <w:t xml:space="preserve">Hormigonado</w:t>
            </w:r>
          </w:p>
        </w:tc>
        <w:tc>
          <w:tcPr>
            <w:tcW w:w="4287" w:type="dxa"/>
          </w:tcPr>
          <w:p>
            <w:pPr>
              <w:pStyle w:val="CeldaAPA"/>
              <w:jc w:val="left"/>
            </w:pPr>
            <w:r>
              <w:rPr/>
              <w:t xml:space="preserve">Vaciado monolítico con las vigas, por franjas y continuo hasta completar el paño; asentamiento controlado; compactación sin segregación; prohibido añadir agua; muestreo aleatorio</w:t>
            </w:r>
          </w:p>
        </w:tc>
        <w:tc>
          <w:tcPr>
            <w:tcW w:w="2188" w:type="dxa"/>
          </w:tcPr>
          <w:p>
            <w:pPr>
              <w:pStyle w:val="CeldaAPA"/>
              <w:jc w:val="left"/>
            </w:pPr>
            <w:r>
              <w:rPr/>
              <w:t xml:space="preserve">ET, p. 3; ACI 318-25, 26.5.2.2 y 26.12.2.1</w:t>
            </w:r>
          </w:p>
        </w:tc>
      </w:tr>
      <w:tr>
        <w:tc>
          <w:tcPr>
            <w:tcW w:w="666" w:type="dxa"/>
            <w:tcBorders>
              <w:bottom w:val="single" w:sz="8" w:space="0" w:color="000000"/>
            </w:tcBorders>
          </w:tcPr>
          <w:p>
            <w:pPr>
              <w:pStyle w:val="CeldaAPA"/>
              <w:jc w:val="left"/>
            </w:pPr>
            <w:r>
              <w:rPr/>
              <w:t xml:space="preserve">11</w:t>
            </w:r>
          </w:p>
        </w:tc>
        <w:tc>
          <w:tcPr>
            <w:tcW w:w="2219" w:type="dxa"/>
            <w:tcBorders>
              <w:bottom w:val="single" w:sz="8" w:space="0" w:color="000000"/>
            </w:tcBorders>
          </w:tcPr>
          <w:p>
            <w:pPr>
              <w:pStyle w:val="CeldaAPA"/>
              <w:jc w:val="left"/>
            </w:pPr>
            <w:r>
              <w:rPr/>
              <w:t xml:space="preserve">Curado y desapuntalamiento</w:t>
            </w:r>
          </w:p>
        </w:tc>
        <w:tc>
          <w:tcPr>
            <w:tcW w:w="4287" w:type="dxa"/>
            <w:tcBorders>
              <w:bottom w:val="single" w:sz="8" w:space="0" w:color="000000"/>
            </w:tcBorders>
          </w:tcPr>
          <w:p>
            <w:pPr>
              <w:pStyle w:val="CeldaAPA"/>
              <w:jc w:val="left"/>
            </w:pPr>
            <w:r>
              <w:rPr/>
              <w:t xml:space="preserve">Humedad mantenida al menos 7 días con el hormigón a 10 </w:t>
            </w:r>
            <m:oMath>
              <m:sSup>
                <m:e>
                  <m:r>
                    <m:t>​</m:t>
                  </m:r>
                </m:e>
                <m:sup>
                  <m:r>
                    <m:rPr>
                      <m:sty m:val="p"/>
                    </m:rPr>
                    <m:t>∘</m:t>
                  </m:r>
                </m:sup>
              </m:sSup>
            </m:oMath>
            <w:r>
              <w:rPr/>
              <w:t xml:space="preserve">C o más; protección en tiempo frío; puntales retirados solo cuando las probetas curadas en obra alcanzan la resistencia requerida</w:t>
            </w:r>
          </w:p>
        </w:tc>
        <w:tc>
          <w:tcPr>
            <w:tcW w:w="2188" w:type="dxa"/>
            <w:tcBorders>
              <w:bottom w:val="single" w:sz="8" w:space="0" w:color="000000"/>
            </w:tcBorders>
          </w:tcPr>
          <w:p>
            <w:pPr>
              <w:pStyle w:val="CeldaAPA"/>
              <w:jc w:val="left"/>
            </w:pPr>
            <w:r>
              <w:rPr/>
              <w:t xml:space="preserve">ACI 318-25, 26.5.3, 26.5.4 y 26.12.4</w:t>
            </w:r>
          </w:p>
        </w:tc>
      </w:tr>
    </w:tbl>
    <w:p>
      <w:pPr>
        <w:pStyle w:val="NotaAPA"/>
      </w:pPr>
      <w:r>
        <w:rPr>
          <w:iCs/>
          <w:i/>
        </w:rPr>
        <w:t xml:space="preserve">Nota.</w:t>
      </w:r>
      <w:r>
        <w:t xml:space="preserve"> </w:t>
      </w:r>
      <w:r>
        <w:t xml:space="preserve">Elaboración propia con base en</w:t>
      </w:r>
      <w:r>
        <w:t xml:space="preserve"> </w:t>
      </w:r>
      <w:r>
        <w:t xml:space="preserve">Alcón Aranda (2009, pp. 115–116)</w:t>
      </w:r>
      <w:r>
        <w:t xml:space="preserve">, las especificaciones técnicas del proyecto (ET)</w:t>
      </w:r>
      <w:r>
        <w:t xml:space="preserve"> </w:t>
      </w:r>
      <w:r>
        <w:t xml:space="preserve">(UATF, s. f.-a, pp. 1–3)</w:t>
      </w:r>
      <w:r>
        <w:t xml:space="preserve">, el certificado del fabricante de las viguetas</w:t>
      </w:r>
      <w:r>
        <w:t xml:space="preserve"> </w:t>
      </w:r>
      <w:r>
        <w:t xml:space="preserve">(PRETENSA, 2025)</w:t>
      </w:r>
      <w:r>
        <w:t xml:space="preserve">, las fichas técnicas</w:t>
      </w:r>
      <w:r>
        <w:t xml:space="preserve"> </w:t>
      </w:r>
      <w:r>
        <w:t xml:space="preserve">(Concretec, 2018, hoja 2)</w:t>
      </w:r>
      <w:r>
        <w:t xml:space="preserve"> </w:t>
      </w:r>
      <w:r>
        <w:t xml:space="preserve">(Concretec, 2016, hojas 1 y 3)</w:t>
      </w:r>
      <w:r>
        <w:t xml:space="preserve">, la Norma Boliviana de Diseño Sísmico (NBDS)</w:t>
      </w:r>
      <w:r>
        <w:t xml:space="preserve"> </w:t>
      </w:r>
      <w:r>
        <w:t xml:space="preserve">(Ministerio de Obras Públicas, Servicios y Vivienda [MOPSV], 2023, p. 22)</w:t>
      </w:r>
      <w:r>
        <w:t xml:space="preserve">, el código ACI 318-25</w:t>
      </w:r>
      <w:r>
        <w:t xml:space="preserve"> </w:t>
      </w:r>
      <w:r>
        <w:t xml:space="preserve">(ACI Committee 318, 2025, Sección 26.5 a 26.13)</w:t>
      </w:r>
      <w:r>
        <w:t xml:space="preserve"> </w:t>
      </w:r>
      <w:r>
        <w:t xml:space="preserve">y un pliego de especificaciones de referencia</w:t>
      </w:r>
      <w:r>
        <w:t xml:space="preserve"> </w:t>
      </w:r>
      <w:r>
        <w:t xml:space="preserve">(Fernando Aragón Ingeniería Estructural, 2025, pp. 8, 12–13, 17)</w:t>
      </w:r>
      <w:r>
        <w:t xml:space="preserve">.</w:t>
      </w:r>
    </w:p>
    <w:p>
      <w:pPr>
        <w:pStyle w:val="Heading3"/>
      </w:pPr>
      <w:bookmarkStart w:id="100" w:name="tit71"/>
      <w:r>
        <w:t xml:space="preserve">1.6.3. Consumos teóricos de materiales por metro cuadrado</w:t>
      </w:r>
      <w:bookmarkEnd w:id="100"/>
    </w:p>
    <w:p>
      <w:pPr>
        <w:pStyle w:val="FirstParagraph"/>
      </w:pPr>
      <w:r>
        <w:t xml:space="preserve">Los consumos teóricos por metro cuadrado son la cantidad de referencia del índice de desperdicio (ecuación 2). Para una losa de viguetas simples con separación entre ejes</w:t>
      </w:r>
      <w:r>
        <w:t xml:space="preserve"> </w:t>
      </w:r>
      <m:oMath>
        <m:r>
          <m:t>D</m:t>
        </m:r>
      </m:oMath>
      <w:r>
        <w:t xml:space="preserve"> </w:t>
      </w:r>
      <w:r>
        <w:t xml:space="preserve">y complementos de largo</w:t>
      </w:r>
      <w:r>
        <w:t xml:space="preserve"> </w:t>
      </w:r>
      <m:oMath>
        <m:r>
          <m:t>L</m:t>
        </m:r>
      </m:oMath>
      <w:r>
        <w:t xml:space="preserve">, la geometría da directamente la longitud de vigueta por metro cuadrado,</w:t>
      </w:r>
      <w:r>
        <w:t xml:space="preserve"> </w:t>
      </w:r>
      <m:oMath>
        <m:r>
          <m:t>1</m:t>
        </m:r>
        <m:r>
          <m:rPr>
            <m:sty m:val="p"/>
          </m:rPr>
          <m:t>/</m:t>
        </m:r>
        <m:r>
          <m:t>D</m:t>
        </m:r>
      </m:oMath>
      <w:r>
        <w:t xml:space="preserve">, y el número de complementos,</w:t>
      </w:r>
      <w:r>
        <w:t xml:space="preserve"> </w:t>
      </w:r>
      <m:oMath>
        <m:r>
          <m:t>1</m:t>
        </m:r>
        <m:r>
          <m:rPr>
            <m:sty m:val="p"/>
          </m:rPr>
          <m:t>/</m:t>
        </m:r>
        <m:d>
          <m:dPr>
            <m:begChr m:val="("/>
            <m:endChr m:val=")"/>
            <m:sepChr m:val=""/>
            <m:grow/>
          </m:dPr>
          <m:e>
            <m:r>
              <m:t>D</m:t>
            </m:r>
            <m:r>
              <m:rPr>
                <m:sty m:val="p"/>
              </m:rPr>
              <m:t>⋅</m:t>
            </m:r>
            <m:r>
              <m:t>L</m:t>
            </m:r>
          </m:e>
        </m:d>
      </m:oMath>
      <w:r>
        <w:t xml:space="preserve">; el volumen mínimo de hormigón es el de la carpeta,</w:t>
      </w:r>
      <w:r>
        <w:t xml:space="preserve"> </w:t>
      </w:r>
      <m:oMath>
        <m:sSub>
          <m:e>
            <m:r>
              <m:t>h</m:t>
            </m:r>
          </m:e>
          <m:sub>
            <m:r>
              <m:t>2</m:t>
            </m:r>
          </m:sub>
        </m:sSub>
        <m:r>
          <m:rPr>
            <m:sty m:val="p"/>
          </m:rPr>
          <m:t>×</m:t>
        </m:r>
        <m:r>
          <m:t>1</m:t>
        </m:r>
      </m:oMath>
      <w:r>
        <w:t xml:space="preserve"> m</w:t>
      </w:r>
      <w:r>
        <w:rPr>
          <w:vertAlign w:val="superscript"/>
        </w:rPr>
        <w:t xml:space="preserve">2</w:t>
      </w:r>
      <w:r>
        <w:t xml:space="preserve">. Las fichas técnicas del fabricante dan la geometría del sistema, pero no tablas de consumo por metro cuadrado, por lo que estas cantidades son un cálculo propio sin descontar apoyos, bordes ni nervios transversales</w:t>
      </w:r>
      <w:r>
        <w:t xml:space="preserve"> </w:t>
      </w:r>
      <w:r>
        <w:t xml:space="preserve">(Concretec, 2018, hoja 3)</w:t>
      </w:r>
      <w:r>
        <w:t xml:space="preserve">.</w:t>
      </w:r>
      <w:r>
        <w:t xml:space="preserve"> </w:t>
      </w:r>
      <w:r>
        <w:t xml:space="preserve">Alcón Aranda (2009, p. 103)</w:t>
      </w:r>
      <w:r>
        <w:t xml:space="preserve"> </w:t>
      </w:r>
      <w:r>
        <w:t xml:space="preserve">sí publicó consumos medidos para una losa de complemento de 15 cm, carpeta de 5 cm y ejes a 0,50 m: 2,00 piezas de complemento por metro cuadrado y 0,0666 m</w:t>
      </w:r>
      <w:r>
        <w:rPr>
          <w:vertAlign w:val="superscript"/>
        </w:rPr>
        <w:t xml:space="preserve">3</w:t>
      </w:r>
      <w:r>
        <w:t xml:space="preserve"> </w:t>
      </w:r>
      <w:r>
        <w:t xml:space="preserve">de hormigón por metro cuadrado, valores promedio de diez mediciones. La Tabla 11 compara ambas referencias.</w:t>
      </w:r>
    </w:p>
    <w:p>
      <w:pPr>
        <w:pStyle w:val="Caption"/>
      </w:pPr>
      <w:bookmarkStart w:id="1407" w:name="tab11"/>
      <w:r>
        <w:t xml:space="preserve"/>
      </w:r>
      <w:r>
        <w:rPr>
          <w:bCs/>
          <w:b/>
        </w:rPr>
        <w:t xml:space="preserve">Tabla 11</w:t>
      </w:r>
      <w:r>
        <w:br/>
      </w:r>
      <w:r>
        <w:rPr>
          <w:iCs/>
          <w:i/>
        </w:rPr>
        <w:t xml:space="preserve">Consumos teóricos de referencia por metro cuadrado de losa</w:t>
      </w:r>
      <w:bookmarkEnd w:id="1407"/>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2086"/>
        <w:gridCol w:w="2143"/>
        <w:gridCol w:w="2143"/>
        <w:gridCol w:w="2988"/>
      </w:tblGrid>
      <w:tr>
        <w:trPr>
          <w:cantSplit/>
          <w:tblHeader w:val="true"/>
        </w:trPr>
        <w:tc>
          <w:tcPr>
            <w:tcW w:w="2086" w:type="dxa"/>
            <w:tcBorders>
              <w:top w:val="single" w:sz="8" w:space="0" w:color="000000"/>
              <w:bottom w:val="single" w:sz="4" w:space="0" w:color="000000"/>
            </w:tcBorders>
          </w:tcPr>
          <w:p>
            <w:pPr>
              <w:pStyle w:val="CeldaAPA"/>
              <w:jc w:val="center"/>
            </w:pPr>
            <w:r>
              <w:rPr>
                <w:bCs/>
                <w:b/>
              </w:rPr>
              <w:t xml:space="preserve">Concepto</w:t>
            </w:r>
          </w:p>
        </w:tc>
        <w:tc>
          <w:tcPr>
            <w:tcW w:w="2143" w:type="dxa"/>
            <w:tcBorders>
              <w:top w:val="single" w:sz="8" w:space="0" w:color="000000"/>
              <w:bottom w:val="single" w:sz="4" w:space="0" w:color="000000"/>
            </w:tcBorders>
          </w:tcPr>
          <w:p>
            <w:pPr>
              <w:pStyle w:val="CeldaAPA"/>
              <w:jc w:val="center"/>
            </w:pPr>
            <w:r>
              <w:rPr>
                <w:bCs/>
                <w:b/>
              </w:rPr>
              <w:t xml:space="preserve">Alcón Aranda (2009): complemento de 15 cm, carpeta de 5 cm,</w:t>
            </w:r>
            <w:r>
              <w:rPr>
                <w:bCs/>
                <w:b/>
              </w:rPr>
              <w:t xml:space="preserve"> </w:t>
            </w:r>
            <m:oMath>
              <m:r>
                <m:t>D</m:t>
              </m:r>
              <m:r>
                <m:rPr>
                  <m:sty m:val="p"/>
                </m:rPr>
                <m:t>=</m:t>
              </m:r>
              <m:r>
                <m:t>0</m:t>
              </m:r>
              <m:r>
                <m:rPr>
                  <m:sty m:val="p"/>
                </m:rPr>
                <m:t>,</m:t>
              </m:r>
              <m:r>
                <m:t>50</m:t>
              </m:r>
            </m:oMath>
            <w:r>
              <w:rPr>
                <w:bCs/>
                <w:b/>
              </w:rPr>
              <w:t xml:space="preserve"> m</w:t>
            </w:r>
          </w:p>
        </w:tc>
        <w:tc>
          <w:tcPr>
            <w:tcW w:w="2143" w:type="dxa"/>
            <w:tcBorders>
              <w:top w:val="single" w:sz="8" w:space="0" w:color="000000"/>
              <w:bottom w:val="single" w:sz="4" w:space="0" w:color="000000"/>
            </w:tcBorders>
          </w:tcPr>
          <w:p>
            <w:pPr>
              <w:pStyle w:val="CeldaAPA"/>
              <w:jc w:val="center"/>
            </w:pPr>
            <w:r>
              <w:rPr>
                <w:bCs/>
                <w:b/>
              </w:rPr>
              <w:t xml:space="preserve">Geometría con</w:t>
            </w:r>
            <w:r>
              <w:rPr>
                <w:bCs/>
                <w:b/>
              </w:rPr>
              <w:t xml:space="preserve"> </w:t>
            </w:r>
            <m:oMath>
              <m:r>
                <m:t>D</m:t>
              </m:r>
              <m:r>
                <m:rPr>
                  <m:sty m:val="p"/>
                </m:rPr>
                <m:t>=</m:t>
              </m:r>
              <m:r>
                <m:t>0</m:t>
              </m:r>
              <m:r>
                <m:rPr>
                  <m:sty m:val="p"/>
                </m:rPr>
                <m:t>,</m:t>
              </m:r>
              <m:r>
                <m:t>50</m:t>
              </m:r>
            </m:oMath>
            <w:r>
              <w:rPr>
                <w:bCs/>
                <w:b/>
              </w:rPr>
              <w:t xml:space="preserve"> m y</w:t>
            </w:r>
            <w:r>
              <w:rPr>
                <w:bCs/>
                <w:b/>
              </w:rPr>
              <w:t xml:space="preserve"> </w:t>
            </w:r>
            <m:oMath>
              <m:r>
                <m:t>L</m:t>
              </m:r>
              <m:r>
                <m:rPr>
                  <m:sty m:val="p"/>
                </m:rPr>
                <m:t>=</m:t>
              </m:r>
              <m:r>
                <m:t>1</m:t>
              </m:r>
              <m:r>
                <m:rPr>
                  <m:sty m:val="p"/>
                </m:rPr>
                <m:t>,</m:t>
              </m:r>
              <m:r>
                <m:t>00</m:t>
              </m:r>
            </m:oMath>
            <w:r>
              <w:rPr>
                <w:bCs/>
                <w:b/>
              </w:rPr>
              <w:t xml:space="preserve"> m (cálculo propio)</w:t>
            </w:r>
          </w:p>
        </w:tc>
        <w:tc>
          <w:tcPr>
            <w:tcW w:w="2988" w:type="dxa"/>
            <w:tcBorders>
              <w:top w:val="single" w:sz="8" w:space="0" w:color="000000"/>
              <w:bottom w:val="single" w:sz="4" w:space="0" w:color="000000"/>
            </w:tcBorders>
          </w:tcPr>
          <w:p>
            <w:pPr>
              <w:pStyle w:val="CeldaAPA"/>
              <w:jc w:val="center"/>
            </w:pPr>
            <w:r>
              <w:rPr>
                <w:bCs/>
                <w:b/>
              </w:rPr>
              <w:t xml:space="preserve">Observación</w:t>
            </w:r>
          </w:p>
        </w:tc>
      </w:tr>
      <w:tr>
        <w:tc>
          <w:tcPr>
            <w:tcW w:w="2086" w:type="dxa"/>
          </w:tcPr>
          <w:p>
            <w:pPr>
              <w:pStyle w:val="CeldaAPA"/>
              <w:jc w:val="left"/>
            </w:pPr>
            <w:r>
              <w:rPr/>
              <w:t xml:space="preserve">Vigueta (m/m</w:t>
            </w:r>
            <w:r>
              <w:rPr>
                <w:vertAlign w:val="superscript"/>
              </w:rPr>
              <w:t xml:space="preserve">2</w:t>
            </w:r>
            <w:r>
              <w:rPr/>
              <w:t xml:space="preserve">)</w:t>
            </w:r>
          </w:p>
        </w:tc>
        <w:tc>
          <w:tcPr>
            <w:tcW w:w="2143" w:type="dxa"/>
          </w:tcPr>
          <w:p>
            <w:pPr>
              <w:pStyle w:val="CeldaAPA"/>
              <w:jc w:val="left"/>
            </w:pPr>
            <w:r>
              <w:rPr/>
              <w:t xml:space="preserve">2,00 (35,00 kg/m</w:t>
            </w:r>
            <w:r>
              <w:rPr>
                <w:vertAlign w:val="superscript"/>
              </w:rPr>
              <w:t xml:space="preserve">2</w:t>
            </w:r>
            <w:r>
              <w:rPr/>
              <w:t xml:space="preserve"> </w:t>
            </w:r>
            <w:r>
              <w:rPr/>
              <w:t xml:space="preserve">con 17,50 kg/m)</w:t>
            </w:r>
          </w:p>
        </w:tc>
        <w:tc>
          <w:tcPr>
            <w:tcW w:w="2143" w:type="dxa"/>
          </w:tcPr>
          <w:p>
            <w:pPr>
              <w:pStyle w:val="CeldaAPA"/>
              <w:jc w:val="left"/>
            </w:pPr>
            <m:oMath>
              <m:r>
                <m:t>1</m:t>
              </m:r>
              <m:r>
                <m:rPr>
                  <m:sty m:val="p"/>
                </m:rPr>
                <m:t>/</m:t>
              </m:r>
              <m:r>
                <m:t>D</m:t>
              </m:r>
              <m:r>
                <m:rPr>
                  <m:sty m:val="p"/>
                </m:rPr>
                <m:t>=</m:t>
              </m:r>
              <m:r>
                <m:t>2</m:t>
              </m:r>
              <m:r>
                <m:rPr>
                  <m:sty m:val="p"/>
                </m:rPr>
                <m:t>,</m:t>
              </m:r>
              <m:r>
                <m:t>00</m:t>
              </m:r>
            </m:oMath>
          </w:p>
        </w:tc>
        <w:tc>
          <w:tcPr>
            <w:tcW w:w="2988" w:type="dxa"/>
          </w:tcPr>
          <w:p>
            <w:pPr>
              <w:pStyle w:val="CeldaAPA"/>
              <w:jc w:val="left"/>
            </w:pPr>
            <w:r>
              <w:rPr/>
              <w:t xml:space="preserve">La longitud real depende de la luz de cada paño y de los apoyos</w:t>
            </w:r>
          </w:p>
        </w:tc>
      </w:tr>
      <w:tr>
        <w:tc>
          <w:tcPr>
            <w:tcW w:w="2086" w:type="dxa"/>
          </w:tcPr>
          <w:p>
            <w:pPr>
              <w:pStyle w:val="CeldaAPA"/>
              <w:jc w:val="left"/>
            </w:pPr>
            <w:r>
              <w:rPr/>
              <w:t xml:space="preserve">Complementos (pza/m</w:t>
            </w:r>
            <w:r>
              <w:rPr>
                <w:vertAlign w:val="superscript"/>
              </w:rPr>
              <w:t xml:space="preserve">2</w:t>
            </w:r>
            <w:r>
              <w:rPr/>
              <w:t xml:space="preserve">)</w:t>
            </w:r>
          </w:p>
        </w:tc>
        <w:tc>
          <w:tcPr>
            <w:tcW w:w="2143" w:type="dxa"/>
          </w:tcPr>
          <w:p>
            <w:pPr>
              <w:pStyle w:val="CeldaAPA"/>
              <w:jc w:val="left"/>
            </w:pPr>
            <w:r>
              <w:rPr/>
              <w:t xml:space="preserve">2,00</w:t>
            </w:r>
          </w:p>
        </w:tc>
        <w:tc>
          <w:tcPr>
            <w:tcW w:w="2143" w:type="dxa"/>
          </w:tcPr>
          <w:p>
            <w:pPr>
              <w:pStyle w:val="CeldaAPA"/>
              <w:jc w:val="left"/>
            </w:pPr>
            <m:oMath>
              <m:r>
                <m:t>1</m:t>
              </m:r>
              <m:r>
                <m:rPr>
                  <m:sty m:val="p"/>
                </m:rPr>
                <m:t>/</m:t>
              </m:r>
              <m:d>
                <m:dPr>
                  <m:begChr m:val="("/>
                  <m:endChr m:val=")"/>
                  <m:sepChr m:val=""/>
                  <m:grow/>
                </m:dPr>
                <m:e>
                  <m:r>
                    <m:t>D</m:t>
                  </m:r>
                  <m:r>
                    <m:rPr>
                      <m:sty m:val="p"/>
                    </m:rPr>
                    <m:t>⋅</m:t>
                  </m:r>
                  <m:r>
                    <m:t>L</m:t>
                  </m:r>
                </m:e>
              </m:d>
              <m:r>
                <m:rPr>
                  <m:sty m:val="p"/>
                </m:rPr>
                <m:t>=</m:t>
              </m:r>
              <m:r>
                <m:t>2</m:t>
              </m:r>
              <m:r>
                <m:rPr>
                  <m:sty m:val="p"/>
                </m:rPr>
                <m:t>,</m:t>
              </m:r>
              <m:r>
                <m:t>00</m:t>
              </m:r>
            </m:oMath>
          </w:p>
        </w:tc>
        <w:tc>
          <w:tcPr>
            <w:tcW w:w="2988" w:type="dxa"/>
          </w:tcPr>
          <w:p>
            <w:pPr>
              <w:pStyle w:val="CeldaAPA"/>
              <w:jc w:val="left"/>
            </w:pPr>
            <w:r>
              <w:rPr/>
              <w:t xml:space="preserve">Piezas de 1,00 m de largo; se descuentan nervios y bordes</w:t>
            </w:r>
          </w:p>
        </w:tc>
      </w:tr>
      <w:tr>
        <w:tc>
          <w:tcPr>
            <w:tcW w:w="2086" w:type="dxa"/>
          </w:tcPr>
          <w:p>
            <w:pPr>
              <w:pStyle w:val="CeldaAPA"/>
              <w:jc w:val="left"/>
            </w:pPr>
            <w:r>
              <w:rPr/>
              <w:t xml:space="preserve">Hormigón (m</w:t>
            </w:r>
            <w:r>
              <w:rPr>
                <w:vertAlign w:val="superscript"/>
              </w:rPr>
              <w:t xml:space="preserve">3</w:t>
            </w:r>
            <w:r>
              <w:rPr/>
              <w:t xml:space="preserve">/m</w:t>
            </w:r>
            <w:r>
              <w:rPr>
                <w:vertAlign w:val="superscript"/>
              </w:rPr>
              <w:t xml:space="preserve">2</w:t>
            </w:r>
            <w:r>
              <w:rPr/>
              <w:t xml:space="preserve">)</w:t>
            </w:r>
          </w:p>
        </w:tc>
        <w:tc>
          <w:tcPr>
            <w:tcW w:w="2143" w:type="dxa"/>
          </w:tcPr>
          <w:p>
            <w:pPr>
              <w:pStyle w:val="CeldaAPA"/>
              <w:jc w:val="left"/>
            </w:pPr>
            <w:r>
              <w:rPr/>
              <w:t xml:space="preserve">0,0666 (333 cm</w:t>
            </w:r>
            <w:r>
              <w:rPr>
                <w:vertAlign w:val="superscript"/>
              </w:rPr>
              <w:t xml:space="preserve">2</w:t>
            </w:r>
            <w:r>
              <w:rPr/>
              <w:t xml:space="preserve"> </w:t>
            </w:r>
            <w:r>
              <w:rPr/>
              <w:t xml:space="preserve">de sección por cada eje)</w:t>
            </w:r>
          </w:p>
        </w:tc>
        <w:tc>
          <w:tcPr>
            <w:tcW w:w="2143" w:type="dxa"/>
          </w:tcPr>
          <w:p>
            <w:pPr>
              <w:pStyle w:val="CeldaAPA"/>
              <w:jc w:val="left"/>
            </w:pPr>
            <m:oMath>
              <m:r>
                <m:rPr>
                  <m:sty m:val="p"/>
                </m:rPr>
                <m:t>≥</m:t>
              </m:r>
              <m:r>
                <m:t>0</m:t>
              </m:r>
              <m:r>
                <m:rPr>
                  <m:sty m:val="p"/>
                </m:rPr>
                <m:t>,</m:t>
              </m:r>
              <m:r>
                <m:t>05</m:t>
              </m:r>
            </m:oMath>
            <w:r>
              <w:rPr/>
              <w:t xml:space="preserve"> </w:t>
            </w:r>
            <w:r>
              <w:rPr/>
              <w:t xml:space="preserve">(solo la carpeta de 5 cm)</w:t>
            </w:r>
          </w:p>
        </w:tc>
        <w:tc>
          <w:tcPr>
            <w:tcW w:w="2988" w:type="dxa"/>
          </w:tcPr>
          <w:p>
            <w:pPr>
              <w:pStyle w:val="CeldaAPA"/>
              <w:jc w:val="left"/>
            </w:pPr>
            <w:r>
              <w:rPr/>
              <w:t xml:space="preserve">El volumen de los nervios depende de la sección de la vigueta y del perfil del complemento</w:t>
            </w:r>
          </w:p>
        </w:tc>
      </w:tr>
      <w:tr>
        <w:tc>
          <w:tcPr>
            <w:tcW w:w="2086" w:type="dxa"/>
            <w:tcBorders>
              <w:bottom w:val="single" w:sz="8" w:space="0" w:color="000000"/>
            </w:tcBorders>
          </w:tcPr>
          <w:p>
            <w:pPr>
              <w:pStyle w:val="CeldaAPA"/>
              <w:jc w:val="left"/>
            </w:pPr>
            <w:r>
              <w:rPr/>
              <w:t xml:space="preserve">Peso propio (kg/m</w:t>
            </w:r>
            <w:r>
              <w:rPr>
                <w:vertAlign w:val="superscript"/>
              </w:rPr>
              <w:t xml:space="preserve">2</w:t>
            </w:r>
            <w:r>
              <w:rPr/>
              <w:t xml:space="preserve">)</w:t>
            </w:r>
          </w:p>
        </w:tc>
        <w:tc>
          <w:tcPr>
            <w:tcW w:w="2143" w:type="dxa"/>
            <w:tcBorders>
              <w:bottom w:val="single" w:sz="8" w:space="0" w:color="000000"/>
            </w:tcBorders>
          </w:tcPr>
          <w:p>
            <w:pPr>
              <w:pStyle w:val="CeldaAPA"/>
              <w:jc w:val="left"/>
            </w:pPr>
            <w:r>
              <w:rPr/>
              <w:t xml:space="preserve">196,13 (hormigón 159,84; vigueta 35,00; complemento 1,29)</w:t>
            </w:r>
          </w:p>
        </w:tc>
        <w:tc>
          <w:tcPr>
            <w:tcW w:w="2143" w:type="dxa"/>
            <w:tcBorders>
              <w:bottom w:val="single" w:sz="8" w:space="0" w:color="000000"/>
            </w:tcBorders>
          </w:tcPr>
          <w:p>
            <w:pPr>
              <w:pStyle w:val="CeldaAPA"/>
              <w:jc w:val="left"/>
            </w:pPr>
            <w:r>
              <w:rPr/>
              <w:t xml:space="preserve">—</w:t>
            </w:r>
          </w:p>
        </w:tc>
        <w:tc>
          <w:tcPr>
            <w:tcW w:w="2988" w:type="dxa"/>
            <w:tcBorders>
              <w:bottom w:val="single" w:sz="8" w:space="0" w:color="000000"/>
            </w:tcBorders>
          </w:tcPr>
          <w:p>
            <w:pPr>
              <w:pStyle w:val="CeldaAPA"/>
              <w:jc w:val="left"/>
            </w:pPr>
            <w:r>
              <w:rPr/>
              <w:t xml:space="preserve">Valor para la losa de 15 + 5 cm</w:t>
            </w:r>
          </w:p>
        </w:tc>
      </w:tr>
    </w:tbl>
    <w:p>
      <w:pPr>
        <w:pStyle w:val="NotaAPA"/>
      </w:pPr>
      <w:r>
        <w:rPr>
          <w:iCs/>
          <w:i/>
        </w:rPr>
        <w:t xml:space="preserve">Nota.</w:t>
      </w:r>
      <w:r>
        <w:t xml:space="preserve"> </w:t>
      </w:r>
      <w:r>
        <w:t xml:space="preserve">Elaborado con base en</w:t>
      </w:r>
      <w:r>
        <w:t xml:space="preserve"> </w:t>
      </w:r>
      <w:r>
        <w:t xml:space="preserve">Alcón Aranda (2009, p. 103)</w:t>
      </w:r>
      <w:r>
        <w:t xml:space="preserve"> </w:t>
      </w:r>
      <w:r>
        <w:t xml:space="preserve">y en la geometría de las fichas técnicas</w:t>
      </w:r>
      <w:r>
        <w:t xml:space="preserve"> </w:t>
      </w:r>
      <w:r>
        <w:t xml:space="preserve">(Concretec, 2018, hoja 3)</w:t>
      </w:r>
      <w:r>
        <w:t xml:space="preserve">. Los valores de la tercera columna son cálculo propio, sin desperdicio y sin descontar apoyos, bordes ni nervios transversales.</w:t>
      </w:r>
    </w:p>
    <w:p>
      <w:pPr>
        <w:pStyle w:val="BodyText"/>
      </w:pPr>
      <w:r>
        <w:t xml:space="preserve">Para la losa del Edificio de Posgrado, con ejes a 0,50 m y piezas de 1,00 m de largo, la geometría da 2,00 complementos por metro cuadrado, es decir, unas 2.220 piezas teóricas brutas para los 1.109,84 m</w:t>
      </w:r>
      <w:r>
        <w:rPr>
          <w:vertAlign w:val="superscript"/>
        </w:rPr>
        <w:t xml:space="preserve">2</w:t>
      </w:r>
      <w:r>
        <w:t xml:space="preserve"> </w:t>
      </w:r>
      <w:r>
        <w:t xml:space="preserve">de la primera losa (cálculo propio), frente a las 2.350 piezas certificadas por el proveedor</w:t>
      </w:r>
      <w:r>
        <w:t xml:space="preserve"> </w:t>
      </w:r>
      <w:r>
        <w:t xml:space="preserve">(UNICON, 2025)</w:t>
      </w:r>
      <w:r>
        <w:t xml:space="preserve">: una diferencia preliminar de unas 130 piezas (</w:t>
      </w:r>
      <m:oMath>
        <m:r>
          <m:rPr>
            <m:sty m:val="p"/>
          </m:rPr>
          <m:t>≈</m:t>
        </m:r>
      </m:oMath>
      <w:r>
        <w:t xml:space="preserve"> 6 %) antes de descontar nervios y bordes. En el acero, el cómputo de la planilla N.</w:t>
      </w:r>
      <w:r>
        <w:rPr>
          <w:vertAlign w:val="superscript"/>
        </w:rPr>
        <w:t xml:space="preserve">o</w:t>
      </w:r>
      <w:r>
        <w:t xml:space="preserve"> 2 asigna a la losa 4.171,18 kg</w:t>
      </w:r>
      <w:r>
        <w:t xml:space="preserve"> </w:t>
      </w:r>
      <w:r>
        <w:t xml:space="preserve">(UATF, 2025, pp. 19–20)</w:t>
      </w:r>
      <w:r>
        <w:t xml:space="preserve">, equivalentes a 3,76 kg/m</w:t>
      </w:r>
      <w:r>
        <w:rPr>
          <w:vertAlign w:val="superscript"/>
        </w:rPr>
        <w:t xml:space="preserve">2</w:t>
      </w:r>
      <w:r>
        <w:t xml:space="preserve"> </w:t>
      </w:r>
      <w:r>
        <w:t xml:space="preserve">(cálculo propio). Ambas cifras son preliminares: el capítulo 2 las precisa con el Plano 03 y las concilia con los demás documentos de la obra (sección 2.5.2).</w:t>
      </w:r>
    </w:p>
    <w:p>
      <w:pPr>
        <w:pStyle w:val="Heading3"/>
      </w:pPr>
      <w:bookmarkStart w:id="101" w:name="tit72"/>
      <w:r>
        <w:t xml:space="preserve">1.6.4. Defectos frecuentes y su prevención</w:t>
      </w:r>
      <w:bookmarkEnd w:id="101"/>
    </w:p>
    <w:p>
      <w:pPr>
        <w:pStyle w:val="FirstParagraph"/>
      </w:pPr>
      <w:r>
        <w:t xml:space="preserve">Los defectos de la losa tienen tres orígenes: el producto prefabricado, el montaje y el hormigonado. En las viguetas,</w:t>
      </w:r>
      <w:r>
        <w:t xml:space="preserve"> </w:t>
      </w:r>
      <w:r>
        <w:t xml:space="preserve">Alcón Aranda (2009, p. 116)</w:t>
      </w:r>
      <w:r>
        <w:t xml:space="preserve"> </w:t>
      </w:r>
      <w:r>
        <w:t xml:space="preserve">distingue los defectos leves, que no implican riesgo estructural pero dificultan el montaje y cuya aceptación queda a criterio del supervisor, de los graves, que implican riesgo para la estructura o impiden el montaje y obligan a devolver el material al proveedor. La NB 997, en la versión que recoge</w:t>
      </w:r>
      <w:r>
        <w:t xml:space="preserve"> </w:t>
      </w:r>
      <w:r>
        <w:t xml:space="preserve">Capcha Canaza (2016, pp. 89–92)</w:t>
      </w:r>
      <w:r>
        <w:t xml:space="preserve">, exige viguetas sin discontinuidades de hormigonado visibles, oquedades, armaduras expuestas ni fisuras, y rechaza el lote cuando los defectos principales o secundarios superan los límites; esa versión es anterior a la NB 997:2016, con la que debe contrastarse. En el hormigonado, los defectos más frecuentes son la segregación y las cangrejeras, que representaron el 42,7 % de las no conformidades en la estructura estudiada por</w:t>
      </w:r>
      <w:r>
        <w:t xml:space="preserve"> </w:t>
      </w:r>
      <w:r>
        <w:t xml:space="preserve">Muro Núñez (2020, pp. 16–17)</w:t>
      </w:r>
      <w:r>
        <w:t xml:space="preserve">; el vibrado fue la actividad con más no conformidades en la obra estudiada por</w:t>
      </w:r>
      <w:r>
        <w:t xml:space="preserve"> </w:t>
      </w:r>
      <w:r>
        <w:t xml:space="preserve">Ferrer Lavado (2018, p. 86)</w:t>
      </w:r>
      <w:r>
        <w:t xml:space="preserve">, por falta de capacitación, ausencia del encargado y equipos inadecuados. La Tabla 12 resume los defectos frecuentes de la losa, sus causas y su prevención.</w:t>
      </w:r>
    </w:p>
    <w:p>
      <w:pPr>
        <w:pStyle w:val="Caption"/>
      </w:pPr>
      <w:bookmarkStart w:id="1408" w:name="tab12"/>
      <w:r>
        <w:t xml:space="preserve"/>
      </w:r>
      <w:r>
        <w:rPr>
          <w:bCs/>
          <w:b/>
        </w:rPr>
        <w:t xml:space="preserve">Tabla 12</w:t>
      </w:r>
      <w:r>
        <w:br/>
      </w:r>
      <w:r>
        <w:rPr>
          <w:iCs/>
          <w:i/>
        </w:rPr>
        <w:t xml:space="preserve">Defectos frecuentes de la losa alivianada, causas y prevención</w:t>
      </w:r>
      <w:bookmarkEnd w:id="1408"/>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1839"/>
        <w:gridCol w:w="2269"/>
        <w:gridCol w:w="2712"/>
        <w:gridCol w:w="2540"/>
      </w:tblGrid>
      <w:tr>
        <w:trPr>
          <w:cantSplit/>
          <w:tblHeader w:val="true"/>
        </w:trPr>
        <w:tc>
          <w:tcPr>
            <w:tcW w:w="1839" w:type="dxa"/>
            <w:tcBorders>
              <w:top w:val="single" w:sz="8" w:space="0" w:color="000000"/>
              <w:bottom w:val="single" w:sz="4" w:space="0" w:color="000000"/>
            </w:tcBorders>
          </w:tcPr>
          <w:p>
            <w:pPr>
              <w:pStyle w:val="CeldaAPA"/>
              <w:jc w:val="center"/>
            </w:pPr>
            <w:r>
              <w:rPr>
                <w:bCs/>
                <w:b/>
              </w:rPr>
              <w:t xml:space="preserve">Defecto</w:t>
            </w:r>
          </w:p>
        </w:tc>
        <w:tc>
          <w:tcPr>
            <w:tcW w:w="2269" w:type="dxa"/>
            <w:tcBorders>
              <w:top w:val="single" w:sz="8" w:space="0" w:color="000000"/>
              <w:bottom w:val="single" w:sz="4" w:space="0" w:color="000000"/>
            </w:tcBorders>
          </w:tcPr>
          <w:p>
            <w:pPr>
              <w:pStyle w:val="CeldaAPA"/>
              <w:jc w:val="center"/>
            </w:pPr>
            <w:r>
              <w:rPr>
                <w:bCs/>
                <w:b/>
              </w:rPr>
              <w:t xml:space="preserve">Causa probable</w:t>
            </w:r>
          </w:p>
        </w:tc>
        <w:tc>
          <w:tcPr>
            <w:tcW w:w="2712" w:type="dxa"/>
            <w:tcBorders>
              <w:top w:val="single" w:sz="8" w:space="0" w:color="000000"/>
              <w:bottom w:val="single" w:sz="4" w:space="0" w:color="000000"/>
            </w:tcBorders>
          </w:tcPr>
          <w:p>
            <w:pPr>
              <w:pStyle w:val="CeldaAPA"/>
              <w:jc w:val="center"/>
            </w:pPr>
            <w:r>
              <w:rPr>
                <w:bCs/>
                <w:b/>
              </w:rPr>
              <w:t xml:space="preserve">Prevención y control</w:t>
            </w:r>
          </w:p>
        </w:tc>
        <w:tc>
          <w:tcPr>
            <w:tcW w:w="2540" w:type="dxa"/>
            <w:tcBorders>
              <w:top w:val="single" w:sz="8" w:space="0" w:color="000000"/>
              <w:bottom w:val="single" w:sz="4" w:space="0" w:color="000000"/>
            </w:tcBorders>
          </w:tcPr>
          <w:p>
            <w:pPr>
              <w:pStyle w:val="CeldaAPA"/>
              <w:jc w:val="center"/>
            </w:pPr>
            <w:r>
              <w:rPr>
                <w:bCs/>
                <w:b/>
              </w:rPr>
              <w:t xml:space="preserve">Referencia</w:t>
            </w:r>
          </w:p>
        </w:tc>
      </w:tr>
      <w:tr>
        <w:tc>
          <w:tcPr>
            <w:tcW w:w="1839" w:type="dxa"/>
          </w:tcPr>
          <w:p>
            <w:pPr>
              <w:pStyle w:val="CeldaAPA"/>
              <w:jc w:val="left"/>
            </w:pPr>
            <w:r>
              <w:rPr/>
              <w:t xml:space="preserve">Viguetas fisuradas, rotas o con armadura expuesta</w:t>
            </w:r>
          </w:p>
        </w:tc>
        <w:tc>
          <w:tcPr>
            <w:tcW w:w="2269" w:type="dxa"/>
          </w:tcPr>
          <w:p>
            <w:pPr>
              <w:pStyle w:val="CeldaAPA"/>
              <w:jc w:val="left"/>
            </w:pPr>
            <w:r>
              <w:rPr/>
              <w:t xml:space="preserve">Fabricación deficiente; golpes en el transporte, la descarga o el montaje</w:t>
            </w:r>
          </w:p>
        </w:tc>
        <w:tc>
          <w:tcPr>
            <w:tcW w:w="2712" w:type="dxa"/>
          </w:tcPr>
          <w:p>
            <w:pPr>
              <w:pStyle w:val="CeldaAPA"/>
              <w:jc w:val="left"/>
            </w:pPr>
            <w:r>
              <w:rPr/>
              <w:t xml:space="preserve">Inspección en la descarga; devolución de las piezas con defectos graves</w:t>
            </w:r>
          </w:p>
        </w:tc>
        <w:tc>
          <w:tcPr>
            <w:tcW w:w="2540" w:type="dxa"/>
          </w:tcPr>
          <w:p>
            <w:pPr>
              <w:pStyle w:val="CeldaAPA"/>
              <w:jc w:val="left"/>
            </w:pPr>
            <w:r>
              <w:rPr/>
              <w:t xml:space="preserve">Alcón Aranda (2009, p. 116)</w:t>
            </w:r>
            <w:r>
              <w:rPr/>
              <w:t xml:space="preserve">; NB 997</w:t>
            </w:r>
          </w:p>
        </w:tc>
      </w:tr>
      <w:tr>
        <w:tc>
          <w:tcPr>
            <w:tcW w:w="1839" w:type="dxa"/>
          </w:tcPr>
          <w:p>
            <w:pPr>
              <w:pStyle w:val="CeldaAPA"/>
              <w:jc w:val="left"/>
            </w:pPr>
            <w:r>
              <w:rPr/>
              <w:t xml:space="preserve">Vigueta de tipo o longitud equivocados</w:t>
            </w:r>
          </w:p>
        </w:tc>
        <w:tc>
          <w:tcPr>
            <w:tcW w:w="2269" w:type="dxa"/>
          </w:tcPr>
          <w:p>
            <w:pPr>
              <w:pStyle w:val="CeldaAPA"/>
              <w:jc w:val="left"/>
            </w:pPr>
            <w:r>
              <w:rPr/>
              <w:t xml:space="preserve">Pedido sin el plano de montaje del proveedor</w:t>
            </w:r>
          </w:p>
        </w:tc>
        <w:tc>
          <w:tcPr>
            <w:tcW w:w="2712" w:type="dxa"/>
          </w:tcPr>
          <w:p>
            <w:pPr>
              <w:pStyle w:val="CeldaAPA"/>
              <w:jc w:val="left"/>
            </w:pPr>
            <w:r>
              <w:rPr/>
              <w:t xml:space="preserve">Verificar tipo y cantidad contra el plano de montaje</w:t>
            </w:r>
          </w:p>
        </w:tc>
        <w:tc>
          <w:tcPr>
            <w:tcW w:w="2540" w:type="dxa"/>
          </w:tcPr>
          <w:p>
            <w:pPr>
              <w:pStyle w:val="CeldaAPA"/>
              <w:jc w:val="left"/>
            </w:pPr>
            <w:r>
              <w:rPr/>
              <w:t xml:space="preserve">Alcón Aranda (2009, p. 116)</w:t>
            </w:r>
          </w:p>
        </w:tc>
      </w:tr>
      <w:tr>
        <w:tc>
          <w:tcPr>
            <w:tcW w:w="1839" w:type="dxa"/>
          </w:tcPr>
          <w:p>
            <w:pPr>
              <w:pStyle w:val="CeldaAPA"/>
              <w:jc w:val="left"/>
            </w:pPr>
            <w:r>
              <w:rPr/>
              <w:t xml:space="preserve">Deformación o caída de la losa durante el montaje</w:t>
            </w:r>
          </w:p>
        </w:tc>
        <w:tc>
          <w:tcPr>
            <w:tcW w:w="2269" w:type="dxa"/>
          </w:tcPr>
          <w:p>
            <w:pPr>
              <w:pStyle w:val="CeldaAPA"/>
              <w:jc w:val="left"/>
            </w:pPr>
            <w:r>
              <w:rPr/>
              <w:t xml:space="preserve">Complementos colocados sobre viguetas sin apuntalar</w:t>
            </w:r>
          </w:p>
        </w:tc>
        <w:tc>
          <w:tcPr>
            <w:tcW w:w="2712" w:type="dxa"/>
          </w:tcPr>
          <w:p>
            <w:pPr>
              <w:pStyle w:val="CeldaAPA"/>
              <w:jc w:val="left"/>
            </w:pPr>
            <w:r>
              <w:rPr/>
              <w:t xml:space="preserve">Apuntalar las viguetas antes de colocar los complementos</w:t>
            </w:r>
          </w:p>
        </w:tc>
        <w:tc>
          <w:tcPr>
            <w:tcW w:w="2540" w:type="dxa"/>
          </w:tcPr>
          <w:p>
            <w:pPr>
              <w:pStyle w:val="CeldaAPA"/>
              <w:jc w:val="left"/>
            </w:pPr>
            <w:r>
              <w:rPr/>
              <w:t xml:space="preserve">Concretec (2016, hoja 3)</w:t>
            </w:r>
          </w:p>
        </w:tc>
      </w:tr>
      <w:tr>
        <w:tc>
          <w:tcPr>
            <w:tcW w:w="1839" w:type="dxa"/>
          </w:tcPr>
          <w:p>
            <w:pPr>
              <w:pStyle w:val="CeldaAPA"/>
              <w:jc w:val="left"/>
            </w:pPr>
            <w:r>
              <w:rPr/>
              <w:t xml:space="preserve">Mayor consumo de hormigón en la carpeta</w:t>
            </w:r>
          </w:p>
        </w:tc>
        <w:tc>
          <w:tcPr>
            <w:tcW w:w="2269" w:type="dxa"/>
          </w:tcPr>
          <w:p>
            <w:pPr>
              <w:pStyle w:val="CeldaAPA"/>
              <w:jc w:val="left"/>
            </w:pPr>
            <w:r>
              <w:rPr/>
              <w:t xml:space="preserve">Complementos pisados y deformados</w:t>
            </w:r>
          </w:p>
        </w:tc>
        <w:tc>
          <w:tcPr>
            <w:tcW w:w="2712" w:type="dxa"/>
          </w:tcPr>
          <w:p>
            <w:pPr>
              <w:pStyle w:val="CeldaAPA"/>
              <w:jc w:val="left"/>
            </w:pPr>
            <w:r>
              <w:rPr/>
              <w:t xml:space="preserve">No pisar las piezas colocadas</w:t>
            </w:r>
          </w:p>
        </w:tc>
        <w:tc>
          <w:tcPr>
            <w:tcW w:w="2540" w:type="dxa"/>
          </w:tcPr>
          <w:p>
            <w:pPr>
              <w:pStyle w:val="CeldaAPA"/>
              <w:jc w:val="left"/>
            </w:pPr>
            <w:r>
              <w:rPr/>
              <w:t xml:space="preserve">Concretec (2016, hoja 3)</w:t>
            </w:r>
          </w:p>
        </w:tc>
      </w:tr>
      <w:tr>
        <w:tc>
          <w:tcPr>
            <w:tcW w:w="1839" w:type="dxa"/>
          </w:tcPr>
          <w:p>
            <w:pPr>
              <w:pStyle w:val="CeldaAPA"/>
              <w:jc w:val="left"/>
            </w:pPr>
            <w:r>
              <w:rPr/>
              <w:t xml:space="preserve">Segregación y cangrejeras</w:t>
            </w:r>
          </w:p>
        </w:tc>
        <w:tc>
          <w:tcPr>
            <w:tcW w:w="2269" w:type="dxa"/>
          </w:tcPr>
          <w:p>
            <w:pPr>
              <w:pStyle w:val="CeldaAPA"/>
              <w:jc w:val="left"/>
            </w:pPr>
            <w:r>
              <w:rPr/>
              <w:t xml:space="preserve">Vibrado deficiente; incumplimiento del procedimiento de vaciado; personal sin capacitación</w:t>
            </w:r>
          </w:p>
        </w:tc>
        <w:tc>
          <w:tcPr>
            <w:tcW w:w="2712" w:type="dxa"/>
          </w:tcPr>
          <w:p>
            <w:pPr>
              <w:pStyle w:val="CeldaAPA"/>
              <w:jc w:val="left"/>
            </w:pPr>
            <w:r>
              <w:rPr/>
              <w:t xml:space="preserve">Procedimiento de vaciado y vibrado; capacitación; inspección continua del vaciado</w:t>
            </w:r>
          </w:p>
        </w:tc>
        <w:tc>
          <w:tcPr>
            <w:tcW w:w="2540" w:type="dxa"/>
          </w:tcPr>
          <w:p>
            <w:pPr>
              <w:pStyle w:val="CeldaAPA"/>
              <w:jc w:val="left"/>
            </w:pPr>
            <w:r>
              <w:rPr/>
              <w:t xml:space="preserve">Muro Núñez (2020, pp. 16–17)</w:t>
            </w:r>
            <w:r>
              <w:rPr/>
              <w:t xml:space="preserve">; ACI 318-25, 26.5.2.2</w:t>
            </w:r>
          </w:p>
        </w:tc>
      </w:tr>
      <w:tr>
        <w:tc>
          <w:tcPr>
            <w:tcW w:w="1839" w:type="dxa"/>
          </w:tcPr>
          <w:p>
            <w:pPr>
              <w:pStyle w:val="CeldaAPA"/>
              <w:jc w:val="left"/>
            </w:pPr>
            <w:r>
              <w:rPr/>
              <w:t xml:space="preserve">Juntas frías</w:t>
            </w:r>
          </w:p>
        </w:tc>
        <w:tc>
          <w:tcPr>
            <w:tcW w:w="2269" w:type="dxa"/>
          </w:tcPr>
          <w:p>
            <w:pPr>
              <w:pStyle w:val="CeldaAPA"/>
              <w:jc w:val="left"/>
            </w:pPr>
            <w:r>
              <w:rPr/>
              <w:t xml:space="preserve">Interrupciones del vaciado</w:t>
            </w:r>
          </w:p>
        </w:tc>
        <w:tc>
          <w:tcPr>
            <w:tcW w:w="2712" w:type="dxa"/>
          </w:tcPr>
          <w:p>
            <w:pPr>
              <w:pStyle w:val="CeldaAPA"/>
              <w:jc w:val="left"/>
            </w:pPr>
            <w:r>
              <w:rPr/>
              <w:t xml:space="preserve">Vaciado continuo hasta completar el paño o una junta prevista; vaciado por franjas</w:t>
            </w:r>
          </w:p>
        </w:tc>
        <w:tc>
          <w:tcPr>
            <w:tcW w:w="2540" w:type="dxa"/>
          </w:tcPr>
          <w:p>
            <w:pPr>
              <w:pStyle w:val="CeldaAPA"/>
              <w:jc w:val="left"/>
            </w:pPr>
            <w:r>
              <w:rPr/>
              <w:t xml:space="preserve">ACI 318-25, 26.5.2.2; ET, p. 3</w:t>
            </w:r>
          </w:p>
        </w:tc>
      </w:tr>
      <w:tr>
        <w:tc>
          <w:tcPr>
            <w:tcW w:w="1839" w:type="dxa"/>
          </w:tcPr>
          <w:p>
            <w:pPr>
              <w:pStyle w:val="CeldaAPA"/>
              <w:jc w:val="left"/>
            </w:pPr>
            <w:r>
              <w:rPr/>
              <w:t xml:space="preserve">Armadura desplazada o con recubrimiento insuficiente</w:t>
            </w:r>
          </w:p>
        </w:tc>
        <w:tc>
          <w:tcPr>
            <w:tcW w:w="2269" w:type="dxa"/>
          </w:tcPr>
          <w:p>
            <w:pPr>
              <w:pStyle w:val="CeldaAPA"/>
              <w:jc w:val="left"/>
            </w:pPr>
            <w:r>
              <w:rPr/>
              <w:t xml:space="preserve">Falta de apoyos o separadores; tránsito sobre la armadura</w:t>
            </w:r>
          </w:p>
        </w:tc>
        <w:tc>
          <w:tcPr>
            <w:tcW w:w="2712" w:type="dxa"/>
          </w:tcPr>
          <w:p>
            <w:pPr>
              <w:pStyle w:val="CeldaAPA"/>
              <w:jc w:val="left"/>
            </w:pPr>
            <w:r>
              <w:rPr/>
              <w:t xml:space="preserve">Apoyar la armadura para que no se desplace durante el vaciado; verificar tolerancias</w:t>
            </w:r>
          </w:p>
        </w:tc>
        <w:tc>
          <w:tcPr>
            <w:tcW w:w="2540" w:type="dxa"/>
          </w:tcPr>
          <w:p>
            <w:pPr>
              <w:pStyle w:val="CeldaAPA"/>
              <w:jc w:val="left"/>
            </w:pPr>
            <w:r>
              <w:rPr/>
              <w:t xml:space="preserve">ACI 318-25, 26.6.2</w:t>
            </w:r>
          </w:p>
        </w:tc>
      </w:tr>
      <w:tr>
        <w:tc>
          <w:tcPr>
            <w:tcW w:w="1839" w:type="dxa"/>
          </w:tcPr>
          <w:p>
            <w:pPr>
              <w:pStyle w:val="CeldaAPA"/>
              <w:jc w:val="left"/>
            </w:pPr>
            <w:r>
              <w:rPr/>
              <w:t xml:space="preserve">Falta de continuidad sobre los apoyos</w:t>
            </w:r>
          </w:p>
        </w:tc>
        <w:tc>
          <w:tcPr>
            <w:tcW w:w="2269" w:type="dxa"/>
          </w:tcPr>
          <w:p>
            <w:pPr>
              <w:pStyle w:val="CeldaAPA"/>
              <w:jc w:val="left"/>
            </w:pPr>
            <w:r>
              <w:rPr/>
              <w:t xml:space="preserve">Omisión del acero de continuidad o de los negativos</w:t>
            </w:r>
          </w:p>
        </w:tc>
        <w:tc>
          <w:tcPr>
            <w:tcW w:w="2712" w:type="dxa"/>
          </w:tcPr>
          <w:p>
            <w:pPr>
              <w:pStyle w:val="CeldaAPA"/>
              <w:jc w:val="left"/>
            </w:pPr>
            <w:r>
              <w:rPr/>
              <w:t xml:space="preserve">Verificar el acero sobre los apoyos antes de liberar el paño</w:t>
            </w:r>
          </w:p>
        </w:tc>
        <w:tc>
          <w:tcPr>
            <w:tcW w:w="2540" w:type="dxa"/>
          </w:tcPr>
          <w:p>
            <w:pPr>
              <w:pStyle w:val="CeldaAPA"/>
              <w:jc w:val="left"/>
            </w:pPr>
            <w:r>
              <w:rPr/>
              <w:t xml:space="preserve">Certificado del fabricante; NBDS, art. 12</w:t>
            </w:r>
          </w:p>
        </w:tc>
      </w:tr>
      <w:tr>
        <w:tc>
          <w:tcPr>
            <w:tcW w:w="1839" w:type="dxa"/>
          </w:tcPr>
          <w:p>
            <w:pPr>
              <w:pStyle w:val="CeldaAPA"/>
              <w:jc w:val="left"/>
            </w:pPr>
            <w:r>
              <w:rPr/>
              <w:t xml:space="preserve">Resistencia insuficiente del hormigón</w:t>
            </w:r>
          </w:p>
        </w:tc>
        <w:tc>
          <w:tcPr>
            <w:tcW w:w="2269" w:type="dxa"/>
          </w:tcPr>
          <w:p>
            <w:pPr>
              <w:pStyle w:val="CeldaAPA"/>
              <w:jc w:val="left"/>
            </w:pPr>
            <w:r>
              <w:rPr/>
              <w:t xml:space="preserve">Dosificación sin aprobar; agua añadida; curado insuficiente; tiempo frío</w:t>
            </w:r>
          </w:p>
        </w:tc>
        <w:tc>
          <w:tcPr>
            <w:tcW w:w="2712" w:type="dxa"/>
          </w:tcPr>
          <w:p>
            <w:pPr>
              <w:pStyle w:val="CeldaAPA"/>
              <w:jc w:val="left"/>
            </w:pPr>
            <w:r>
              <w:rPr/>
              <w:t xml:space="preserve">Dosificación aprobada; no añadir agua; curado de 7 días; plan de tiempo frío; aceptación con ensayos</w:t>
            </w:r>
          </w:p>
        </w:tc>
        <w:tc>
          <w:tcPr>
            <w:tcW w:w="2540" w:type="dxa"/>
          </w:tcPr>
          <w:p>
            <w:pPr>
              <w:pStyle w:val="CeldaAPA"/>
              <w:jc w:val="left"/>
            </w:pPr>
            <w:r>
              <w:rPr/>
              <w:t xml:space="preserve">ACI 318-25, 26.4.4, 26.5.3, 26.5.4 y 26.12.3</w:t>
            </w:r>
          </w:p>
        </w:tc>
      </w:tr>
      <w:tr>
        <w:tc>
          <w:tcPr>
            <w:tcW w:w="1839" w:type="dxa"/>
            <w:tcBorders>
              <w:bottom w:val="single" w:sz="8" w:space="0" w:color="000000"/>
            </w:tcBorders>
          </w:tcPr>
          <w:p>
            <w:pPr>
              <w:pStyle w:val="CeldaAPA"/>
              <w:jc w:val="left"/>
            </w:pPr>
            <w:r>
              <w:rPr/>
              <w:t xml:space="preserve">Fisuras y flechas excesivas</w:t>
            </w:r>
          </w:p>
        </w:tc>
        <w:tc>
          <w:tcPr>
            <w:tcW w:w="2269" w:type="dxa"/>
            <w:tcBorders>
              <w:bottom w:val="single" w:sz="8" w:space="0" w:color="000000"/>
            </w:tcBorders>
          </w:tcPr>
          <w:p>
            <w:pPr>
              <w:pStyle w:val="CeldaAPA"/>
              <w:jc w:val="left"/>
            </w:pPr>
            <w:r>
              <w:rPr/>
              <w:t xml:space="preserve">Desapuntalamiento prematuro</w:t>
            </w:r>
          </w:p>
        </w:tc>
        <w:tc>
          <w:tcPr>
            <w:tcW w:w="2712" w:type="dxa"/>
            <w:tcBorders>
              <w:bottom w:val="single" w:sz="8" w:space="0" w:color="000000"/>
            </w:tcBorders>
          </w:tcPr>
          <w:p>
            <w:pPr>
              <w:pStyle w:val="CeldaAPA"/>
              <w:jc w:val="left"/>
            </w:pPr>
            <w:r>
              <w:rPr/>
              <w:t xml:space="preserve">Retirar los puntales solo con probetas curadas en obra que alcancen la resistencia requerida</w:t>
            </w:r>
          </w:p>
        </w:tc>
        <w:tc>
          <w:tcPr>
            <w:tcW w:w="2540" w:type="dxa"/>
            <w:tcBorders>
              <w:bottom w:val="single" w:sz="8" w:space="0" w:color="000000"/>
            </w:tcBorders>
          </w:tcPr>
          <w:p>
            <w:pPr>
              <w:pStyle w:val="CeldaAPA"/>
              <w:jc w:val="left"/>
            </w:pPr>
            <w:r>
              <w:rPr/>
              <w:t xml:space="preserve">ACI 318-25, 26.12.4</w:t>
            </w:r>
          </w:p>
        </w:tc>
      </w:tr>
    </w:tbl>
    <w:p>
      <w:pPr>
        <w:pStyle w:val="NotaAPA"/>
      </w:pPr>
      <w:r>
        <w:rPr>
          <w:iCs/>
          <w:i/>
        </w:rPr>
        <w:t xml:space="preserve">Nota.</w:t>
      </w:r>
      <w:r>
        <w:t xml:space="preserve"> </w:t>
      </w:r>
      <w:r>
        <w:t xml:space="preserve">Elaboración propia con base en las fuentes indicadas:</w:t>
      </w:r>
      <w:r>
        <w:t xml:space="preserve"> </w:t>
      </w:r>
      <w:r>
        <w:t xml:space="preserve">Alcón Aranda (2009, p. 116)</w:t>
      </w:r>
      <w:r>
        <w:t xml:space="preserve">,</w:t>
      </w:r>
      <w:r>
        <w:t xml:space="preserve"> </w:t>
      </w:r>
      <w:r>
        <w:t xml:space="preserve">Concretec (2016, hoja 3)</w:t>
      </w:r>
      <w:r>
        <w:t xml:space="preserve">,</w:t>
      </w:r>
      <w:r>
        <w:t xml:space="preserve"> </w:t>
      </w:r>
      <w:r>
        <w:t xml:space="preserve">Muro Núñez (2020, pp. 16–17)</w:t>
      </w:r>
      <w:r>
        <w:t xml:space="preserve">, el código ACI 318-25</w:t>
      </w:r>
      <w:r>
        <w:t xml:space="preserve"> </w:t>
      </w:r>
      <w:r>
        <w:t xml:space="preserve">(ACI Committee 318, 2025, Sección 26.4 a 26.12)</w:t>
      </w:r>
      <w:r>
        <w:t xml:space="preserve">, las especificaciones técnicas del proyecto (ET)</w:t>
      </w:r>
      <w:r>
        <w:t xml:space="preserve"> </w:t>
      </w:r>
      <w:r>
        <w:t xml:space="preserve">(UATF, s. f.-a, p. 3)</w:t>
      </w:r>
      <w:r>
        <w:t xml:space="preserve">, el certificado del fabricante</w:t>
      </w:r>
      <w:r>
        <w:t xml:space="preserve"> </w:t>
      </w:r>
      <w:r>
        <w:t xml:space="preserve">(PRETENSA, 2025)</w:t>
      </w:r>
      <w:r>
        <w:t xml:space="preserve"> </w:t>
      </w:r>
      <w:r>
        <w:t xml:space="preserve">y la NBDS</w:t>
      </w:r>
      <w:r>
        <w:t xml:space="preserve"> </w:t>
      </w:r>
      <w:r>
        <w:t xml:space="preserve">(MOPSV, 2023, p. 22)</w:t>
      </w:r>
      <w:r>
        <w:t xml:space="preserve">.</w:t>
      </w:r>
    </w:p>
    <w:p>
      <w:pPr>
        <w:pStyle w:val="Heading2"/>
      </w:pPr>
      <w:bookmarkStart w:id="106" w:name="tit73"/>
      <w:r>
        <w:t xml:space="preserve">1.7. Marco normativo</w:t>
      </w:r>
      <w:bookmarkEnd w:id="106"/>
    </w:p>
    <w:p>
      <w:pPr>
        <w:pStyle w:val="FirstParagraph"/>
      </w:pPr>
      <w:r>
        <w:t xml:space="preserve">El SGC de la losa se apoya en las normas de gestión de la calidad, que definen la estructura del sistema; en las normas técnicas, que fijan los requisitos de los materiales, de la ejecución y de los ensayos; y en la legislación de contratación pública, que define los roles, los documentos y las reglas económicas del contrato (Tabla 13).</w:t>
      </w:r>
    </w:p>
    <w:p>
      <w:pPr>
        <w:pStyle w:val="Heading3"/>
      </w:pPr>
      <w:bookmarkStart w:id="103" w:name="tit74"/>
      <w:r>
        <w:t xml:space="preserve">1.7.1. Normas de gestión de la calidad</w:t>
      </w:r>
      <w:bookmarkEnd w:id="103"/>
    </w:p>
    <w:p>
      <w:pPr>
        <w:pStyle w:val="FirstParagraph"/>
      </w:pPr>
      <w:r>
        <w:t xml:space="preserve">Las normas ISO 9000:2026 (fundamentos y vocabulario), ISO 9001:2026 (requisitos del SGC), ISO 10005:2018 (planes de la calidad) e ISO 10006:2017 (gestión de la calidad en proyectos) se describieron en la sección 1.3. Su aplicación es voluntaria, pero se vuelve obligatoria cuando se incorpora a los documentos del contrato: las especificaciones técnicas forman parte del documento base de contratación, las elabora la entidad contratante y fijan las características técnicas de la obra</w:t>
      </w:r>
      <w:r>
        <w:t xml:space="preserve"> </w:t>
      </w:r>
      <w:r>
        <w:t xml:space="preserve">(Ministerio de Economía y Finanzas Públicas [MEFP], 2025, art. 5, inc. m, p. 21)</w:t>
      </w:r>
      <w:r>
        <w:t xml:space="preserve">. Por eso, el plan de la calidad y el plan de puntos de inspección de la losa deben incluirse en las especificaciones del documento de contratación del saldo de la obra.</w:t>
      </w:r>
    </w:p>
    <w:p>
      <w:pPr>
        <w:pStyle w:val="Heading3"/>
      </w:pPr>
      <w:bookmarkStart w:id="104" w:name="tit75"/>
      <w:r>
        <w:t xml:space="preserve">1.7.2. Normas técnicas del hormigón, de las viguetas y de los ensayos</w:t>
      </w:r>
      <w:bookmarkEnd w:id="104"/>
    </w:p>
    <w:p>
      <w:pPr>
        <w:pStyle w:val="FirstParagraph"/>
      </w:pPr>
      <w:r>
        <w:t xml:space="preserve">Las especificaciones técnicas del proyecto exigen que los hormigones y la losa cumplan la Norma Boliviana del Hormigón Armado CBH-87 y normas bolivianas de cemento, áridos y agua de ediciones antiguas</w:t>
      </w:r>
      <w:r>
        <w:t xml:space="preserve"> </w:t>
      </w:r>
      <w:r>
        <w:t xml:space="preserve">(UATF, s. f.-a, pp. 1–3)</w:t>
      </w:r>
      <w:r>
        <w:t xml:space="preserve">. La norma técnica boliviana actual de hormigón estructural es la NB 1225001-1:2017</w:t>
      </w:r>
      <w:r>
        <w:t xml:space="preserve"> </w:t>
      </w:r>
      <w:r>
        <w:t xml:space="preserve">(IBNORCA, 2017)</w:t>
      </w:r>
      <w:r>
        <w:t xml:space="preserve">, basada en el código ACI 318</w:t>
      </w:r>
      <w:r>
        <w:t xml:space="preserve"> </w:t>
      </w:r>
      <w:r>
        <w:t xml:space="preserve">(Cocarico Mamani, 2022, p. 4)</w:t>
      </w:r>
      <w:r>
        <w:t xml:space="preserve">. La Norma Boliviana de Diseño Sísmico remite a ella como norma específica para el hormigón estructural y dispone que ambas se apliquen en conjunto, con prevalencia de la norma sísmica en caso de contradicción</w:t>
      </w:r>
      <w:r>
        <w:t xml:space="preserve"> </w:t>
      </w:r>
      <w:r>
        <w:t xml:space="preserve">(MOPSV, 2023, pp. 1, 19)</w:t>
      </w:r>
      <w:r>
        <w:t xml:space="preserve">. La resolución que aprueba la norma sísmica la declara de aplicación obligatoria en todo el país</w:t>
      </w:r>
      <w:r>
        <w:t xml:space="preserve"> </w:t>
      </w:r>
      <w:r>
        <w:t xml:space="preserve">(MOPSV, 2023, resuelve tercero)</w:t>
      </w:r>
      <w:r>
        <w:t xml:space="preserve">, pero en los documentos del repositorio no consta un instrumento que declare obligatorias la NB 1225001 o la CBH-87.</w:t>
      </w:r>
      <w:r>
        <w:t xml:space="preserve"> </w:t>
      </w:r>
      <w:r>
        <w:rPr>
          <w:rStyle w:val="Pendiente"/>
          <w:bCs/>
          <w:b/>
        </w:rPr>
        <w:t xml:space="preserve">[Pendiente:</w:t>
      </w:r>
      <w:r>
        <w:rPr>
          <w:rStyle w:val="Pendiente"/>
        </w:rPr>
        <w:t xml:space="preserve"> </w:t>
      </w:r>
      <w:r>
        <w:rPr>
          <w:rStyle w:val="Pendiente"/>
        </w:rPr>
        <w:t xml:space="preserve">verificar el instrumento legal vigente que declara obligatorias la CBH-87 (D. S. 22976 de 1991, según la bibliografía recomendada) y la NB 1225001</w:t>
      </w:r>
      <w:r>
        <w:rPr>
          <w:rStyle w:val="Pendiente"/>
          <w:bCs/>
          <w:b/>
        </w:rPr>
        <w:t xml:space="preserve">]</w:t>
      </w:r>
    </w:p>
    <w:p>
      <w:pPr>
        <w:pStyle w:val="BodyText"/>
      </w:pPr>
      <w:r>
        <w:t xml:space="preserve">Como el texto de la NB 1225001 no está disponible en el repositorio y esa norma se basa en el código ACI 318, esta tesis adopta como referencia técnica para el control y la aceptación del hormigón el capítulo 26 del ACI CODE-318-25, sin atribuirle la numeración de la norma boliviana. Un ensayo de resistencia es el promedio de al menos dos cilindros de la misma muestra, tomada en el punto de entrega según ASTM C172, curados según ASTM C31 y ensayados según ASTM C39 a los 28 días</w:t>
      </w:r>
      <w:r>
        <w:t xml:space="preserve"> </w:t>
      </w:r>
      <w:r>
        <w:t xml:space="preserve">(ACI Committee 318, 2025, Sección 26.12.1.1)</w:t>
      </w:r>
      <w:r>
        <w:t xml:space="preserve">. Se toma al menos una muestra por día, por cada 150 yd</w:t>
      </w:r>
      <w:r>
        <w:rPr>
          <w:vertAlign w:val="superscript"/>
        </w:rPr>
        <w:t xml:space="preserve">3</w:t>
      </w:r>
      <w:r>
        <w:t xml:space="preserve"> </w:t>
      </w:r>
      <w:r>
        <w:t xml:space="preserve">(</w:t>
      </w:r>
      <m:oMath>
        <m:r>
          <m:rPr>
            <m:sty m:val="p"/>
          </m:rPr>
          <m:t>≈</m:t>
        </m:r>
      </m:oMath>
      <w:r>
        <w:t xml:space="preserve"> 114,7 m</w:t>
      </w:r>
      <w:r>
        <w:rPr>
          <w:vertAlign w:val="superscript"/>
        </w:rPr>
        <w:t xml:space="preserve">3</w:t>
      </w:r>
      <w:r>
        <w:t xml:space="preserve">) y, en losas, por cada 5.000 ft</w:t>
      </w:r>
      <w:r>
        <w:rPr>
          <w:vertAlign w:val="superscript"/>
        </w:rPr>
        <w:t xml:space="preserve">2</w:t>
      </w:r>
      <w:r>
        <w:t xml:space="preserve"> </w:t>
      </w:r>
      <w:r>
        <w:t xml:space="preserve">(</w:t>
      </w:r>
      <m:oMath>
        <m:r>
          <m:rPr>
            <m:sty m:val="p"/>
          </m:rPr>
          <m:t>≈</m:t>
        </m:r>
      </m:oMath>
      <w:r>
        <w:t xml:space="preserve"> 464,5 m</w:t>
      </w:r>
      <w:r>
        <w:rPr>
          <w:vertAlign w:val="superscript"/>
        </w:rPr>
        <w:t xml:space="preserve">2</w:t>
      </w:r>
      <w:r>
        <w:t xml:space="preserve">) de superficie; si esa frecuencia diera menos de cinco ensayos para una mezcla, las probetas se elaboran de al menos cinco pastones elegidos al azar</w:t>
      </w:r>
      <w:r>
        <w:t xml:space="preserve"> </w:t>
      </w:r>
      <w:r>
        <w:t xml:space="preserve">(ACI Committee 318, 2025, Sección 26.12.2.1)</w:t>
      </w:r>
      <w:r>
        <w:t xml:space="preserve">. Para los 1.109,84 m</w:t>
      </w:r>
      <w:r>
        <w:rPr>
          <w:vertAlign w:val="superscript"/>
        </w:rPr>
        <w:t xml:space="preserve">2</w:t>
      </w:r>
      <w:r>
        <w:t xml:space="preserve"> </w:t>
      </w:r>
      <w:r>
        <w:t xml:space="preserve">de la primera losa, el criterio de superficie exige al menos tres muestras (cálculo propio). La resistencia se acepta si todo promedio de tres ensayos consecutivos iguala o supera</w:t>
      </w:r>
      <w:r>
        <w:t xml:space="preserve"> </w:t>
      </w:r>
      <m:oMath>
        <m:r>
          <m:t>f</m:t>
        </m:r>
        <m:sSub>
          <m:e>
            <m:r>
              <m:rPr>
                <m:sty m:val="p"/>
              </m:rPr>
              <m:t>′</m:t>
            </m:r>
          </m:e>
          <m:sub>
            <m:r>
              <m:t>c</m:t>
            </m:r>
          </m:sub>
        </m:sSub>
      </m:oMath>
      <w:r>
        <w:t xml:space="preserve"> </w:t>
      </w:r>
      <w:r>
        <w:t xml:space="preserve">y ningún ensayo queda por debajo de</w:t>
      </w:r>
      <w:r>
        <w:t xml:space="preserve"> </w:t>
      </w:r>
      <m:oMath>
        <m:r>
          <m:t>f</m:t>
        </m:r>
        <m:sSub>
          <m:e>
            <m:r>
              <m:rPr>
                <m:sty m:val="p"/>
              </m:rPr>
              <m:t>′</m:t>
            </m:r>
          </m:e>
          <m:sub>
            <m:r>
              <m:t>c</m:t>
            </m:r>
          </m:sub>
        </m:sSub>
      </m:oMath>
      <w:r>
        <w:t xml:space="preserve"> </w:t>
      </w:r>
      <w:r>
        <w:t xml:space="preserve">en más de 500 psi cuando</w:t>
      </w:r>
      <w:r>
        <w:t xml:space="preserve"> </w:t>
      </w:r>
      <m:oMath>
        <m:r>
          <m:t>f</m:t>
        </m:r>
        <m:sSub>
          <m:e>
            <m:r>
              <m:rPr>
                <m:sty m:val="p"/>
              </m:rPr>
              <m:t>′</m:t>
            </m:r>
          </m:e>
          <m:sub>
            <m:r>
              <m:t>c</m:t>
            </m:r>
          </m:sub>
        </m:sSub>
        <m:r>
          <m:rPr>
            <m:sty m:val="p"/>
          </m:rPr>
          <m:t>≤</m:t>
        </m:r>
        <m:r>
          <m:t>5.000</m:t>
        </m:r>
      </m:oMath>
      <w:r>
        <w:t xml:space="preserve"> psi</w:t>
      </w:r>
      <w:r>
        <w:t xml:space="preserve"> </w:t>
      </w:r>
      <w:r>
        <w:t xml:space="preserve">(ACI Committee 318, 2025, Sección 26.12.3.1)</w:t>
      </w:r>
      <w:r>
        <w:t xml:space="preserve">; para el H25 de la losa, ningún ensayo puede ser menor de unos 214,8 kg/cm</w:t>
      </w:r>
      <w:r>
        <w:rPr>
          <w:vertAlign w:val="superscript"/>
        </w:rPr>
        <w:t xml:space="preserve">2</w:t>
      </w:r>
      <w:r>
        <w:t xml:space="preserve"> </w:t>
      </w:r>
      <w:r>
        <w:t xml:space="preserve">(cálculo propio). Ante resultados bajos se extraen tres núcleos por ensayo deficiente, y el hormigón es adecuado si su promedio alcanza el 85 % de</w:t>
      </w:r>
      <w:r>
        <w:t xml:space="preserve"> </w:t>
      </w:r>
      <m:oMath>
        <m:r>
          <m:t>f</m:t>
        </m:r>
        <m:sSub>
          <m:e>
            <m:r>
              <m:rPr>
                <m:sty m:val="p"/>
              </m:rPr>
              <m:t>′</m:t>
            </m:r>
          </m:e>
          <m:sub>
            <m:r>
              <m:t>c</m:t>
            </m:r>
          </m:sub>
        </m:sSub>
      </m:oMath>
      <w:r>
        <w:t xml:space="preserve"> </w:t>
      </w:r>
      <w:r>
        <w:t xml:space="preserve">y ningún núcleo baja del 75 %</w:t>
      </w:r>
      <w:r>
        <w:t xml:space="preserve"> </w:t>
      </w:r>
      <w:r>
        <w:t xml:space="preserve">(ACI Committee 318, 2025, Sección 26.12.7)</w:t>
      </w:r>
      <w:r>
        <w:t xml:space="preserve">. El código exige además mantener la humedad del hormigón durante 7 días a 10 </w:t>
      </w:r>
      <m:oMath>
        <m:sSup>
          <m:e>
            <m:r>
              <m:t>​</m:t>
            </m:r>
          </m:e>
          <m:sup>
            <m:r>
              <m:rPr>
                <m:sty m:val="p"/>
              </m:rPr>
              <m:t>∘</m:t>
            </m:r>
          </m:sup>
        </m:sSup>
      </m:oMath>
      <w:r>
        <w:t xml:space="preserve">C o más</w:t>
      </w:r>
      <w:r>
        <w:t xml:space="preserve"> </w:t>
      </w:r>
      <w:r>
        <w:t xml:space="preserve">(ACI Committee 318, 2025, Sección 26.5.3.2)</w:t>
      </w:r>
      <w:r>
        <w:t xml:space="preserve">, presentar un plan de hormigonado en tiempo frío</w:t>
      </w:r>
      <w:r>
        <w:t xml:space="preserve"> </w:t>
      </w:r>
      <w:r>
        <w:t xml:space="preserve">(ACI Committee 318, 2025, Sección 26.5.4.2)</w:t>
      </w:r>
      <w:r>
        <w:t xml:space="preserve"> </w:t>
      </w:r>
      <w:r>
        <w:t xml:space="preserve">e inspeccionar la conformidad con los documentos de construcción en todas las etapas, con registros conservados al menos dos años</w:t>
      </w:r>
      <w:r>
        <w:t xml:space="preserve"> </w:t>
      </w:r>
      <w:r>
        <w:t xml:space="preserve">(ACI Committee 318, 2025, Sección 26.13.1.2 y 26.13.2.1)</w:t>
      </w:r>
      <w:r>
        <w:t xml:space="preserve">.</w:t>
      </w:r>
    </w:p>
    <w:p>
      <w:pPr>
        <w:pStyle w:val="BodyText"/>
      </w:pPr>
      <w:r>
        <w:t xml:space="preserve">Para las losas de viguetas prefabricadas que deben funcionar como diafragma rígido, la norma sísmica exige una altura mínima de 250 mm con la carpeta, una carpeta de al menos 50 mm con malla de 6 mm cada 250 mm, el empotramiento de las viguetas en las vigas, nervios rigidizadores a no más de 2,50 m, una separación entre ejes no mayor que el doble de la altura y el hormigonado simultáneo de la losa con sus vigas de apoyo</w:t>
      </w:r>
      <w:r>
        <w:t xml:space="preserve"> </w:t>
      </w:r>
      <w:r>
        <w:t xml:space="preserve">(MOPSV, 2023, art. 12, p. 22)</w:t>
      </w:r>
      <w:r>
        <w:t xml:space="preserve">; además, fija una resistencia mínima del hormigón de 21 MPa y recomienda 25 MPa</w:t>
      </w:r>
      <w:r>
        <w:t xml:space="preserve"> </w:t>
      </w:r>
      <w:r>
        <w:t xml:space="preserve">(MOPSV, 2023, art. 16, p. 28)</w:t>
      </w:r>
      <w:r>
        <w:t xml:space="preserve">. La especificación de la obra (20 + 5 cm, ejes a 50 cm, parrilla</w:t>
      </w:r>
      <w:r>
        <w:t xml:space="preserve"> </w:t>
      </w:r>
      <m:oMath>
        <m:r>
          <m:t>ϕ</m:t>
        </m:r>
      </m:oMath>
      <w:r>
        <w:t xml:space="preserve">6 c/20 y vaciado monolítico con las vigas) es coherente con esos mínimos, no así el corte del Plano 02, que acota una altura total de 0,20 m (Figura 4); la discrepancia debe resolverla la Supervisión con el proyectista.</w:t>
      </w:r>
    </w:p>
    <w:p>
      <w:pPr>
        <w:pStyle w:val="BodyText"/>
      </w:pPr>
      <w:r>
        <w:t xml:space="preserve">Las viguetas se rigen por la NB 997:2016, que establece sus requisitos y métodos de ensayo</w:t>
      </w:r>
      <w:r>
        <w:t xml:space="preserve"> </w:t>
      </w:r>
      <w:r>
        <w:t xml:space="preserve">(IBNORCA, 2016)</w:t>
      </w:r>
      <w:r>
        <w:t xml:space="preserve"> </w:t>
      </w:r>
      <w:r>
        <w:t xml:space="preserve">y cuyo cumplimiento declara el certificado del fabricante de la obra</w:t>
      </w:r>
      <w:r>
        <w:t xml:space="preserve"> </w:t>
      </w:r>
      <w:r>
        <w:t xml:space="preserve">(PRETENSA, 2025)</w:t>
      </w:r>
      <w:r>
        <w:t xml:space="preserve">. Los ensayos se basan en normas ASTM, como pide la guía del docente</w:t>
      </w:r>
      <w:r>
        <w:t xml:space="preserve"> </w:t>
      </w:r>
      <w:r>
        <w:t xml:space="preserve">(Barrios C., 2021a, diapositiva 25)</w:t>
      </w:r>
      <w:r>
        <w:t xml:space="preserve">: C172, C31 y C39 para el muestreo, las probetas y la resistencia; C143 para el asentamiento; y A615 para las barras corrugadas, que el código ACI admite como refuerzo</w:t>
      </w:r>
      <w:r>
        <w:t xml:space="preserve"> </w:t>
      </w:r>
      <w:r>
        <w:t xml:space="preserve">(ACI Committee 318, 2025, Sección 20.2.1.3)</w:t>
      </w:r>
      <w:r>
        <w:t xml:space="preserve">.</w:t>
      </w:r>
    </w:p>
    <w:p>
      <w:pPr>
        <w:pStyle w:val="Heading3"/>
      </w:pPr>
      <w:bookmarkStart w:id="105" w:name="tit76"/>
      <w:r>
        <w:t xml:space="preserve">1.7.3. Legislación de contratación pública</w:t>
      </w:r>
      <w:bookmarkEnd w:id="105"/>
    </w:p>
    <w:p>
      <w:pPr>
        <w:pStyle w:val="FirstParagraph"/>
      </w:pPr>
      <w:r>
        <w:t xml:space="preserve">La Ley 1178 de Administración y Control Gubernamentales crea el Sistema de Administración de Bienes y Servicios, que debe identificar a los responsables de las decisiones de contratación en relación con la calidad, la oportunidad y el precio de lo contratado</w:t>
      </w:r>
      <w:r>
        <w:t xml:space="preserve"> </w:t>
      </w:r>
      <w:r>
        <w:t xml:space="preserve">(República de Bolivia, 1990, art. 10)</w:t>
      </w:r>
      <w:r>
        <w:t xml:space="preserve">. La misma ley establece el control interno previo, que se aplica antes de que las operaciones surtan efecto</w:t>
      </w:r>
      <w:r>
        <w:t xml:space="preserve"> </w:t>
      </w:r>
      <w:r>
        <w:t xml:space="preserve">(República de Bolivia, 1990, arts. 13–14)</w:t>
      </w:r>
      <w:r>
        <w:t xml:space="preserve">, lógica equivalente a la de los puntos de espera de un plan de inspección. Sus normas básicas, el D. S. 0181 (NB-SABS), regulan las modificaciones de los contratos de obra</w:t>
      </w:r>
      <w:r>
        <w:t xml:space="preserve"> </w:t>
      </w:r>
      <w:r>
        <w:t xml:space="preserve">(MEFP, 2025, art. 89, pp. 91–93)</w:t>
      </w:r>
      <w:r>
        <w:t xml:space="preserve">:</w:t>
      </w:r>
    </w:p>
    <w:p>
      <w:pPr>
        <w:numPr>
          <w:ilvl w:val="0"/>
          <w:numId w:val="1009"/>
        </w:numPr>
      </w:pPr>
      <w:r>
        <w:t xml:space="preserve">el</w:t>
      </w:r>
      <w:r>
        <w:t xml:space="preserve"> </w:t>
      </w:r>
      <w:r>
        <w:rPr>
          <w:bCs/>
          <w:b/>
        </w:rPr>
        <w:t xml:space="preserve">contrato modificatorio</w:t>
      </w:r>
      <w:r>
        <w:t xml:space="preserve"> </w:t>
      </w:r>
      <w:r>
        <w:t xml:space="preserve">procede cuando cambian el alcance, el monto o el plazo sin aumentar los precios unitarios; uno o varios, sumados, no pueden superar el 10 % del monto del contrato principal, y los precios de los ítems nuevos se negocian;</w:t>
      </w:r>
    </w:p>
    <w:p>
      <w:pPr>
        <w:numPr>
          <w:ilvl w:val="0"/>
          <w:numId w:val="1009"/>
        </w:numPr>
      </w:pPr>
      <w:r>
        <w:t xml:space="preserve">la</w:t>
      </w:r>
      <w:r>
        <w:t xml:space="preserve"> </w:t>
      </w:r>
      <w:r>
        <w:rPr>
          <w:bCs/>
          <w:b/>
        </w:rPr>
        <w:t xml:space="preserve">orden de cambio</w:t>
      </w:r>
      <w:r>
        <w:t xml:space="preserve">, exclusiva de obras, modifica el precio o el plazo sin aumentar los precios unitarios ni crear ítems nuevos, y no puede superar el 5 %;</w:t>
      </w:r>
    </w:p>
    <w:p>
      <w:pPr>
        <w:numPr>
          <w:ilvl w:val="0"/>
          <w:numId w:val="1009"/>
        </w:numPr>
      </w:pPr>
      <w:r>
        <w:t xml:space="preserve">en licitación pública, ambos instrumentos sumados no pueden exceder el 15 % del monto del contrato principal.</w:t>
      </w:r>
    </w:p>
    <w:p>
      <w:pPr>
        <w:pStyle w:val="FirstParagraph"/>
        <w:ind w:firstLine="0"/>
      </w:pPr>
      <w:r>
        <w:t xml:space="preserve"/>
      </w:r>
      <w:r>
        <w:t xml:space="preserve"/>
      </w:r>
      <w:r>
        <w:t xml:space="preserve">Las mismas normas establecen la recepción de las obras en dos etapas, provisional y definitiva</w:t>
      </w:r>
      <w:r>
        <w:t xml:space="preserve"> </w:t>
      </w:r>
      <w:r>
        <w:t xml:space="preserve">(MEFP, 2025, art. 39, p. 54)</w:t>
      </w:r>
      <w:r>
        <w:t xml:space="preserve">. Los modelos de documento base de contratación de obras vigentes fueron aprobados por la R. M. 048/2024 del Ministerio de Economía y Finanzas Públicas, que sustituyó a los de 2022</w:t>
      </w:r>
      <w:r>
        <w:t xml:space="preserve"> </w:t>
      </w:r>
      <w:r>
        <w:t xml:space="preserve">(MEFP, 2024)</w:t>
      </w:r>
      <w:r>
        <w:t xml:space="preserve">. El modelo de 2022, disponible en el repositorio, describe las figuras contractuales que el SGC debe operar: el Libro de Órdenes, en el que el Supervisor anota sus instrucciones</w:t>
      </w:r>
      <w:r>
        <w:t xml:space="preserve"> </w:t>
      </w:r>
      <w:r>
        <w:t xml:space="preserve">(MEFP, 2022, cláusula 25, p. 71)</w:t>
      </w:r>
      <w:r>
        <w:t xml:space="preserve">; la responsabilidad directa de la Supervisión sobre el control de calidad y el costo de los ensayos a cargo del contratista</w:t>
      </w:r>
      <w:r>
        <w:t xml:space="preserve"> </w:t>
      </w:r>
      <w:r>
        <w:t xml:space="preserve">(MEFP, 2022, cláusulas 26.3 y 26.6, p. 73)</w:t>
      </w:r>
      <w:r>
        <w:t xml:space="preserve">; la prohibición de cubrir un trabajo sin aprobación previa</w:t>
      </w:r>
      <w:r>
        <w:t xml:space="preserve"> </w:t>
      </w:r>
      <w:r>
        <w:t xml:space="preserve">(MEFP, 2022, cláusula 26.10, p. 74)</w:t>
      </w:r>
      <w:r>
        <w:t xml:space="preserve">; y la medición neta de las obras, sin pagar volúmenes excedentes no aprobados</w:t>
      </w:r>
      <w:r>
        <w:t xml:space="preserve"> </w:t>
      </w:r>
      <w:r>
        <w:t xml:space="preserve">(MEFP, 2022, cláusula 27, p. 75)</w:t>
      </w:r>
      <w:r>
        <w:t xml:space="preserve">. Esas cláusulas deben contrastarse con el contrato real de la obra.</w:t>
      </w:r>
    </w:p>
    <w:p>
      <w:pPr>
        <w:pStyle w:val="BodyText"/>
      </w:pPr>
      <w:r>
        <w:t xml:space="preserve">Frente al alza de precios de 2025 y 2026 se dictaron decretos de ajuste excepcional. El D. S. 5321 permitió ajustar, mediante un contrato modificatorio, el precio de los materiales importados de su anexo —entre ellos el acero corrugado—, considerando solo el componente de materiales del análisis de precios unitarios y aun por encima de los porcentajes del art. 89</w:t>
      </w:r>
      <w:r>
        <w:t xml:space="preserve"> </w:t>
      </w:r>
      <w:r>
        <w:t xml:space="preserve">(Estado Plurinacional de Bolivia, 2025c, arts. 3–4 y anexo)</w:t>
      </w:r>
      <w:r>
        <w:t xml:space="preserve">; los D. S. 5406 y 5452 ampliaron su plazo y fijaron la fórmula del ajuste</w:t>
      </w:r>
      <w:r>
        <w:t xml:space="preserve"> </w:t>
      </w:r>
      <w:r>
        <w:t xml:space="preserve">(Estado Plurinacional de Bolivia, 2025a, 2025b)</w:t>
      </w:r>
      <w:r>
        <w:t xml:space="preserve">. El D. S. 5597 extendió el ajuste a todos los materiales, maquinaria y equipo hasta el 31 de diciembre de 2026 y previó la resolución del contrato por una situación ajena a las partes cuando el incremento de precios no sea viable</w:t>
      </w:r>
      <w:r>
        <w:t xml:space="preserve"> </w:t>
      </w:r>
      <w:r>
        <w:t xml:space="preserve">(Estado Plurinacional de Bolivia, 2026, art. 4 y disposición adicional quinta)</w:t>
      </w:r>
      <w:r>
        <w:t xml:space="preserve">. En la obra estudiada, el contrato excluía el reajuste de precios</w:t>
      </w:r>
      <w:r>
        <w:t xml:space="preserve"> </w:t>
      </w:r>
      <w:r>
        <w:t xml:space="preserve">(UATF, 2025, p. 95)</w:t>
      </w:r>
      <w:r>
        <w:t xml:space="preserve">, el contrato modificatorio (+7,22 %) quedó dentro del límite del 10 % (Tabla 17) y la solicitud de resolución del contratista (5 de enero de 2026) es anterior al D. S. 5597, cuya aplicabilidad al caso corresponde valorar a la asesoría legal de la entidad. Para aislar el efecto del SGC de estas variaciones, la evaluación de la tesis se hace a precios constantes del contrato.</w:t>
      </w:r>
    </w:p>
    <w:p>
      <w:pPr>
        <w:pStyle w:val="Caption"/>
      </w:pPr>
      <w:bookmarkStart w:id="1409" w:name="tab13"/>
      <w:r>
        <w:t xml:space="preserve"/>
      </w:r>
      <w:r>
        <w:rPr>
          <w:bCs/>
          <w:b/>
        </w:rPr>
        <w:t xml:space="preserve">Tabla 13</w:t>
      </w:r>
      <w:r>
        <w:br/>
      </w:r>
      <w:r>
        <w:rPr>
          <w:iCs/>
          <w:i/>
        </w:rPr>
        <w:t xml:space="preserve">Marco normativo del SGC de la losa alivianada</w:t>
      </w:r>
      <w:bookmarkEnd w:id="1409"/>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1972"/>
        <w:gridCol w:w="2226"/>
        <w:gridCol w:w="2622"/>
        <w:gridCol w:w="2540"/>
      </w:tblGrid>
      <w:tr>
        <w:trPr>
          <w:cantSplit/>
          <w:tblHeader w:val="true"/>
        </w:trPr>
        <w:tc>
          <w:tcPr>
            <w:tcW w:w="1972" w:type="dxa"/>
            <w:tcBorders>
              <w:top w:val="single" w:sz="8" w:space="0" w:color="000000"/>
              <w:bottom w:val="single" w:sz="4" w:space="0" w:color="000000"/>
            </w:tcBorders>
          </w:tcPr>
          <w:p>
            <w:pPr>
              <w:pStyle w:val="CeldaAPA"/>
              <w:jc w:val="center"/>
            </w:pPr>
            <w:r>
              <w:rPr>
                <w:bCs/>
                <w:b/>
              </w:rPr>
              <w:t xml:space="preserve">Norma o instrumento</w:t>
            </w:r>
          </w:p>
        </w:tc>
        <w:tc>
          <w:tcPr>
            <w:tcW w:w="2226" w:type="dxa"/>
            <w:tcBorders>
              <w:top w:val="single" w:sz="8" w:space="0" w:color="000000"/>
              <w:bottom w:val="single" w:sz="4" w:space="0" w:color="000000"/>
            </w:tcBorders>
          </w:tcPr>
          <w:p>
            <w:pPr>
              <w:pStyle w:val="CeldaAPA"/>
              <w:jc w:val="center"/>
            </w:pPr>
            <w:r>
              <w:rPr>
                <w:bCs/>
                <w:b/>
              </w:rPr>
              <w:t xml:space="preserve">Objeto</w:t>
            </w:r>
          </w:p>
        </w:tc>
        <w:tc>
          <w:tcPr>
            <w:tcW w:w="2622" w:type="dxa"/>
            <w:tcBorders>
              <w:top w:val="single" w:sz="8" w:space="0" w:color="000000"/>
              <w:bottom w:val="single" w:sz="4" w:space="0" w:color="000000"/>
            </w:tcBorders>
          </w:tcPr>
          <w:p>
            <w:pPr>
              <w:pStyle w:val="CeldaAPA"/>
              <w:jc w:val="center"/>
            </w:pPr>
            <w:r>
              <w:rPr>
                <w:bCs/>
                <w:b/>
              </w:rPr>
              <w:t xml:space="preserve">Aplicación en esta tesis</w:t>
            </w:r>
          </w:p>
        </w:tc>
        <w:tc>
          <w:tcPr>
            <w:tcW w:w="2540" w:type="dxa"/>
            <w:tcBorders>
              <w:top w:val="single" w:sz="8" w:space="0" w:color="000000"/>
              <w:bottom w:val="single" w:sz="4" w:space="0" w:color="000000"/>
            </w:tcBorders>
          </w:tcPr>
          <w:p>
            <w:pPr>
              <w:pStyle w:val="CeldaAPA"/>
              <w:jc w:val="center"/>
            </w:pPr>
            <w:r>
              <w:rPr>
                <w:bCs/>
                <w:b/>
              </w:rPr>
              <w:t xml:space="preserve">Fuente</w:t>
            </w:r>
          </w:p>
        </w:tc>
      </w:tr>
      <w:tr>
        <w:tc>
          <w:tcPr>
            <w:tcW w:w="9360" w:type="dxa"/>
            <w:gridSpan w:val="4"/>
          </w:tcPr>
          <w:p>
            <w:pPr>
              <w:pStyle w:val="CeldaAPA"/>
              <w:jc w:val="left"/>
            </w:pPr>
            <w:r>
              <w:rPr>
                <w:iCs/>
                <w:i/>
              </w:rPr>
              <w:t xml:space="preserve">Gestión de la calidad</w:t>
            </w:r>
          </w:p>
        </w:tc>
      </w:tr>
      <w:tr>
        <w:tc>
          <w:tcPr>
            <w:tcW w:w="1972" w:type="dxa"/>
          </w:tcPr>
          <w:p>
            <w:pPr>
              <w:pStyle w:val="CeldaAPA"/>
              <w:jc w:val="left"/>
            </w:pPr>
            <w:r>
              <w:rPr/>
              <w:t xml:space="preserve">ISO 9000:2026</w:t>
            </w:r>
          </w:p>
        </w:tc>
        <w:tc>
          <w:tcPr>
            <w:tcW w:w="2226" w:type="dxa"/>
          </w:tcPr>
          <w:p>
            <w:pPr>
              <w:pStyle w:val="CeldaAPA"/>
              <w:jc w:val="left"/>
            </w:pPr>
            <w:r>
              <w:rPr/>
              <w:t xml:space="preserve">Fundamentos, principios y vocabulario</w:t>
            </w:r>
          </w:p>
        </w:tc>
        <w:tc>
          <w:tcPr>
            <w:tcW w:w="2622" w:type="dxa"/>
          </w:tcPr>
          <w:p>
            <w:pPr>
              <w:pStyle w:val="CeldaAPA"/>
              <w:jc w:val="left"/>
            </w:pPr>
            <w:r>
              <w:rPr/>
              <w:t xml:space="preserve">Definiciones de calidad, requisito, no conformidad y acción correctiva</w:t>
            </w:r>
          </w:p>
        </w:tc>
        <w:tc>
          <w:tcPr>
            <w:tcW w:w="2540" w:type="dxa"/>
          </w:tcPr>
          <w:p>
            <w:pPr>
              <w:pStyle w:val="CeldaAPA"/>
              <w:jc w:val="left"/>
            </w:pPr>
            <w:r>
              <w:rPr/>
              <w:t xml:space="preserve">ISO (2026a)</w:t>
            </w:r>
          </w:p>
        </w:tc>
      </w:tr>
      <w:tr>
        <w:tc>
          <w:tcPr>
            <w:tcW w:w="1972" w:type="dxa"/>
          </w:tcPr>
          <w:p>
            <w:pPr>
              <w:pStyle w:val="CeldaAPA"/>
              <w:jc w:val="left"/>
            </w:pPr>
            <w:r>
              <w:rPr/>
              <w:t xml:space="preserve">ISO 9001:2026; NB/ISO 9001:2026</w:t>
            </w:r>
          </w:p>
        </w:tc>
        <w:tc>
          <w:tcPr>
            <w:tcW w:w="2226" w:type="dxa"/>
          </w:tcPr>
          <w:p>
            <w:pPr>
              <w:pStyle w:val="CeldaAPA"/>
              <w:jc w:val="left"/>
            </w:pPr>
            <w:r>
              <w:rPr/>
              <w:t xml:space="preserve">Requisitos de un SGC (cláusulas 4 a 10)</w:t>
            </w:r>
          </w:p>
        </w:tc>
        <w:tc>
          <w:tcPr>
            <w:tcW w:w="2622" w:type="dxa"/>
          </w:tcPr>
          <w:p>
            <w:pPr>
              <w:pStyle w:val="CeldaAPA"/>
              <w:jc w:val="left"/>
            </w:pPr>
            <w:r>
              <w:rPr/>
              <w:t xml:space="preserve">Estructura del SGC propuesto</w:t>
            </w:r>
          </w:p>
        </w:tc>
        <w:tc>
          <w:tcPr>
            <w:tcW w:w="2540" w:type="dxa"/>
          </w:tcPr>
          <w:p>
            <w:pPr>
              <w:pStyle w:val="CeldaAPA"/>
              <w:jc w:val="left"/>
            </w:pPr>
            <w:r>
              <w:rPr/>
              <w:t xml:space="preserve">ISO (2026b)</w:t>
            </w:r>
            <w:r>
              <w:rPr/>
              <w:t xml:space="preserve">;</w:t>
            </w:r>
            <w:r>
              <w:rPr/>
              <w:t xml:space="preserve"> </w:t>
            </w:r>
            <w:r>
              <w:rPr/>
              <w:t xml:space="preserve">IBNORCA (2026)</w:t>
            </w:r>
          </w:p>
        </w:tc>
      </w:tr>
      <w:tr>
        <w:tc>
          <w:tcPr>
            <w:tcW w:w="1972" w:type="dxa"/>
          </w:tcPr>
          <w:p>
            <w:pPr>
              <w:pStyle w:val="CeldaAPA"/>
              <w:jc w:val="left"/>
            </w:pPr>
            <w:r>
              <w:rPr/>
              <w:t xml:space="preserve">ISO 10005:2018</w:t>
            </w:r>
          </w:p>
        </w:tc>
        <w:tc>
          <w:tcPr>
            <w:tcW w:w="2226" w:type="dxa"/>
          </w:tcPr>
          <w:p>
            <w:pPr>
              <w:pStyle w:val="CeldaAPA"/>
              <w:jc w:val="left"/>
            </w:pPr>
            <w:r>
              <w:rPr/>
              <w:t xml:space="preserve">Directrices para los planes de la calidad</w:t>
            </w:r>
          </w:p>
        </w:tc>
        <w:tc>
          <w:tcPr>
            <w:tcW w:w="2622" w:type="dxa"/>
          </w:tcPr>
          <w:p>
            <w:pPr>
              <w:pStyle w:val="CeldaAPA"/>
              <w:jc w:val="left"/>
            </w:pPr>
            <w:r>
              <w:rPr/>
              <w:t xml:space="preserve">Plan de la calidad de la losa</w:t>
            </w:r>
          </w:p>
        </w:tc>
        <w:tc>
          <w:tcPr>
            <w:tcW w:w="2540" w:type="dxa"/>
          </w:tcPr>
          <w:p>
            <w:pPr>
              <w:pStyle w:val="CeldaAPA"/>
              <w:jc w:val="left"/>
            </w:pPr>
            <w:r>
              <w:rPr/>
              <w:t xml:space="preserve">ISO (2018)</w:t>
            </w:r>
          </w:p>
        </w:tc>
      </w:tr>
      <w:tr>
        <w:tc>
          <w:tcPr>
            <w:tcW w:w="1972" w:type="dxa"/>
          </w:tcPr>
          <w:p>
            <w:pPr>
              <w:pStyle w:val="CeldaAPA"/>
              <w:jc w:val="left"/>
            </w:pPr>
            <w:r>
              <w:rPr/>
              <w:t xml:space="preserve">ISO 10006:2017</w:t>
            </w:r>
          </w:p>
        </w:tc>
        <w:tc>
          <w:tcPr>
            <w:tcW w:w="2226" w:type="dxa"/>
          </w:tcPr>
          <w:p>
            <w:pPr>
              <w:pStyle w:val="CeldaAPA"/>
              <w:jc w:val="left"/>
            </w:pPr>
            <w:r>
              <w:rPr/>
              <w:t xml:space="preserve">Directrices para la gestión de la calidad en los proyectos</w:t>
            </w:r>
          </w:p>
        </w:tc>
        <w:tc>
          <w:tcPr>
            <w:tcW w:w="2622" w:type="dxa"/>
          </w:tcPr>
          <w:p>
            <w:pPr>
              <w:pStyle w:val="CeldaAPA"/>
              <w:jc w:val="left"/>
            </w:pPr>
            <w:r>
              <w:rPr/>
              <w:t xml:space="preserve">Responsabilidades de las organizaciones del proyecto y control de los cambios</w:t>
            </w:r>
          </w:p>
        </w:tc>
        <w:tc>
          <w:tcPr>
            <w:tcW w:w="2540" w:type="dxa"/>
          </w:tcPr>
          <w:p>
            <w:pPr>
              <w:pStyle w:val="CeldaAPA"/>
              <w:jc w:val="left"/>
            </w:pPr>
            <w:r>
              <w:rPr/>
              <w:t xml:space="preserve">ISO (2017)</w:t>
            </w:r>
          </w:p>
        </w:tc>
      </w:tr>
      <w:tr>
        <w:tc>
          <w:tcPr>
            <w:tcW w:w="9360" w:type="dxa"/>
            <w:gridSpan w:val="4"/>
          </w:tcPr>
          <w:p>
            <w:pPr>
              <w:pStyle w:val="CeldaAPA"/>
              <w:jc w:val="left"/>
            </w:pPr>
            <w:r>
              <w:rPr>
                <w:iCs/>
                <w:i/>
              </w:rPr>
              <w:t xml:space="preserve">Normas técnicas</w:t>
            </w:r>
          </w:p>
        </w:tc>
      </w:tr>
      <w:tr>
        <w:tc>
          <w:tcPr>
            <w:tcW w:w="1972" w:type="dxa"/>
          </w:tcPr>
          <w:p>
            <w:pPr>
              <w:pStyle w:val="CeldaAPA"/>
              <w:jc w:val="left"/>
            </w:pPr>
            <w:r>
              <w:rPr/>
              <w:t xml:space="preserve">CBH-87</w:t>
            </w:r>
          </w:p>
        </w:tc>
        <w:tc>
          <w:tcPr>
            <w:tcW w:w="2226" w:type="dxa"/>
          </w:tcPr>
          <w:p>
            <w:pPr>
              <w:pStyle w:val="CeldaAPA"/>
              <w:jc w:val="left"/>
            </w:pPr>
            <w:r>
              <w:rPr/>
              <w:t xml:space="preserve">Norma boliviana de hormigón armado citada en las especificaciones del proyecto</w:t>
            </w:r>
          </w:p>
        </w:tc>
        <w:tc>
          <w:tcPr>
            <w:tcW w:w="2622" w:type="dxa"/>
          </w:tcPr>
          <w:p>
            <w:pPr>
              <w:pStyle w:val="CeldaAPA"/>
              <w:jc w:val="left"/>
            </w:pPr>
            <w:r>
              <w:rPr/>
              <w:t xml:space="preserve">Requisitos contractuales de materiales y ejecución</w:t>
            </w:r>
          </w:p>
        </w:tc>
        <w:tc>
          <w:tcPr>
            <w:tcW w:w="2540" w:type="dxa"/>
          </w:tcPr>
          <w:p>
            <w:pPr>
              <w:pStyle w:val="CeldaAPA"/>
              <w:jc w:val="left"/>
            </w:pPr>
            <w:r>
              <w:rPr/>
              <w:t xml:space="preserve">UATF (s. f.-a, pp. 1–3)</w:t>
            </w:r>
          </w:p>
        </w:tc>
      </w:tr>
      <w:tr>
        <w:tc>
          <w:tcPr>
            <w:tcW w:w="1972" w:type="dxa"/>
          </w:tcPr>
          <w:p>
            <w:pPr>
              <w:pStyle w:val="CeldaAPA"/>
              <w:jc w:val="left"/>
            </w:pPr>
            <w:r>
              <w:rPr/>
              <w:t xml:space="preserve">NB 1225001-1:2017</w:t>
            </w:r>
          </w:p>
        </w:tc>
        <w:tc>
          <w:tcPr>
            <w:tcW w:w="2226" w:type="dxa"/>
          </w:tcPr>
          <w:p>
            <w:pPr>
              <w:pStyle w:val="CeldaAPA"/>
              <w:jc w:val="left"/>
            </w:pPr>
            <w:r>
              <w:rPr/>
              <w:t xml:space="preserve">Hormigón estructural, basada en el código ACI 318</w:t>
            </w:r>
          </w:p>
        </w:tc>
        <w:tc>
          <w:tcPr>
            <w:tcW w:w="2622" w:type="dxa"/>
          </w:tcPr>
          <w:p>
            <w:pPr>
              <w:pStyle w:val="CeldaAPA"/>
              <w:jc w:val="left"/>
            </w:pPr>
            <w:r>
              <w:rPr/>
              <w:t xml:space="preserve">Norma técnica boliviana de referencia</w:t>
            </w:r>
          </w:p>
        </w:tc>
        <w:tc>
          <w:tcPr>
            <w:tcW w:w="2540" w:type="dxa"/>
          </w:tcPr>
          <w:p>
            <w:pPr>
              <w:pStyle w:val="CeldaAPA"/>
              <w:jc w:val="left"/>
            </w:pPr>
            <w:r>
              <w:rPr/>
              <w:t xml:space="preserve">IBNORCA (2017)</w:t>
            </w:r>
            <w:r>
              <w:rPr/>
              <w:t xml:space="preserve">;</w:t>
            </w:r>
            <w:r>
              <w:rPr/>
              <w:t xml:space="preserve"> </w:t>
            </w:r>
            <w:r>
              <w:rPr/>
              <w:t xml:space="preserve">Cocarico Mamani (2022, p. 4)</w:t>
            </w:r>
          </w:p>
        </w:tc>
      </w:tr>
      <w:tr>
        <w:tc>
          <w:tcPr>
            <w:tcW w:w="1972" w:type="dxa"/>
          </w:tcPr>
          <w:p>
            <w:pPr>
              <w:pStyle w:val="CeldaAPA"/>
              <w:jc w:val="left"/>
            </w:pPr>
            <w:r>
              <w:rPr/>
              <w:t xml:space="preserve">ACI CODE-318-25, capítulo 26</w:t>
            </w:r>
          </w:p>
        </w:tc>
        <w:tc>
          <w:tcPr>
            <w:tcW w:w="2226" w:type="dxa"/>
          </w:tcPr>
          <w:p>
            <w:pPr>
              <w:pStyle w:val="CeldaAPA"/>
              <w:jc w:val="left"/>
            </w:pPr>
            <w:r>
              <w:rPr/>
              <w:t xml:space="preserve">Producción, colocación, curado, evaluación, aceptación e inspección del hormigón</w:t>
            </w:r>
          </w:p>
        </w:tc>
        <w:tc>
          <w:tcPr>
            <w:tcW w:w="2622" w:type="dxa"/>
          </w:tcPr>
          <w:p>
            <w:pPr>
              <w:pStyle w:val="CeldaAPA"/>
              <w:jc w:val="left"/>
            </w:pPr>
            <w:r>
              <w:rPr/>
              <w:t xml:space="preserve">Muestreo (26.12.2.1), aceptación (26.12.3.1), curado (26.5.3), tiempo frío (26.5.4), armaduras (26.6) e inspección (26.13)</w:t>
            </w:r>
          </w:p>
        </w:tc>
        <w:tc>
          <w:tcPr>
            <w:tcW w:w="2540" w:type="dxa"/>
          </w:tcPr>
          <w:p>
            <w:pPr>
              <w:pStyle w:val="CeldaAPA"/>
              <w:jc w:val="left"/>
            </w:pPr>
            <w:r>
              <w:rPr/>
              <w:t xml:space="preserve">ACI Committee 318 (2025)</w:t>
            </w:r>
          </w:p>
        </w:tc>
      </w:tr>
      <w:tr>
        <w:tc>
          <w:tcPr>
            <w:tcW w:w="1972" w:type="dxa"/>
          </w:tcPr>
          <w:p>
            <w:pPr>
              <w:pStyle w:val="CeldaAPA"/>
              <w:jc w:val="left"/>
            </w:pPr>
            <w:r>
              <w:rPr/>
              <w:t xml:space="preserve">NBDS 2023, art. 12</w:t>
            </w:r>
          </w:p>
        </w:tc>
        <w:tc>
          <w:tcPr>
            <w:tcW w:w="2226" w:type="dxa"/>
          </w:tcPr>
          <w:p>
            <w:pPr>
              <w:pStyle w:val="CeldaAPA"/>
              <w:jc w:val="left"/>
            </w:pPr>
            <w:r>
              <w:rPr/>
              <w:t xml:space="preserve">Losas de viguetas prefabricadas como diafragma rígido</w:t>
            </w:r>
          </w:p>
        </w:tc>
        <w:tc>
          <w:tcPr>
            <w:tcW w:w="2622" w:type="dxa"/>
          </w:tcPr>
          <w:p>
            <w:pPr>
              <w:pStyle w:val="CeldaAPA"/>
              <w:jc w:val="left"/>
            </w:pPr>
            <w:r>
              <w:rPr/>
              <w:t xml:space="preserve">Verificación de la altura, la carpeta, los apoyos y el hormigonado de la losa</w:t>
            </w:r>
          </w:p>
        </w:tc>
        <w:tc>
          <w:tcPr>
            <w:tcW w:w="2540" w:type="dxa"/>
          </w:tcPr>
          <w:p>
            <w:pPr>
              <w:pStyle w:val="CeldaAPA"/>
              <w:jc w:val="left"/>
            </w:pPr>
            <w:r>
              <w:rPr/>
              <w:t xml:space="preserve">MOPSV (2023, p. 22)</w:t>
            </w:r>
          </w:p>
        </w:tc>
      </w:tr>
      <w:tr>
        <w:tc>
          <w:tcPr>
            <w:tcW w:w="1972" w:type="dxa"/>
          </w:tcPr>
          <w:p>
            <w:pPr>
              <w:pStyle w:val="CeldaAPA"/>
              <w:jc w:val="left"/>
            </w:pPr>
            <w:r>
              <w:rPr/>
              <w:t xml:space="preserve">NB 997:2016</w:t>
            </w:r>
          </w:p>
        </w:tc>
        <w:tc>
          <w:tcPr>
            <w:tcW w:w="2226" w:type="dxa"/>
          </w:tcPr>
          <w:p>
            <w:pPr>
              <w:pStyle w:val="CeldaAPA"/>
              <w:jc w:val="left"/>
            </w:pPr>
            <w:r>
              <w:rPr/>
              <w:t xml:space="preserve">Viguetas prefabricadas de hormigón pretensado: requisitos y métodos de ensayo</w:t>
            </w:r>
          </w:p>
        </w:tc>
        <w:tc>
          <w:tcPr>
            <w:tcW w:w="2622" w:type="dxa"/>
          </w:tcPr>
          <w:p>
            <w:pPr>
              <w:pStyle w:val="CeldaAPA"/>
              <w:jc w:val="left"/>
            </w:pPr>
            <w:r>
              <w:rPr/>
              <w:t xml:space="preserve">Recepción y liberación de viguetas por lote</w:t>
            </w:r>
          </w:p>
        </w:tc>
        <w:tc>
          <w:tcPr>
            <w:tcW w:w="2540" w:type="dxa"/>
          </w:tcPr>
          <w:p>
            <w:pPr>
              <w:pStyle w:val="CeldaAPA"/>
              <w:jc w:val="left"/>
            </w:pPr>
            <w:r>
              <w:rPr/>
              <w:t xml:space="preserve">IBNORCA (2016)</w:t>
            </w:r>
            <w:r>
              <w:rPr/>
              <w:t xml:space="preserve">;</w:t>
            </w:r>
            <w:r>
              <w:rPr/>
              <w:t xml:space="preserve"> </w:t>
            </w:r>
            <w:r>
              <w:rPr/>
              <w:t xml:space="preserve">PRETENSA (2025)</w:t>
            </w:r>
          </w:p>
        </w:tc>
      </w:tr>
      <w:tr>
        <w:tc>
          <w:tcPr>
            <w:tcW w:w="1972" w:type="dxa"/>
          </w:tcPr>
          <w:p>
            <w:pPr>
              <w:pStyle w:val="CeldaAPA"/>
              <w:jc w:val="left"/>
            </w:pPr>
            <w:r>
              <w:rPr/>
              <w:t xml:space="preserve">ASTM C172, C31 y C39</w:t>
            </w:r>
          </w:p>
        </w:tc>
        <w:tc>
          <w:tcPr>
            <w:tcW w:w="2226" w:type="dxa"/>
          </w:tcPr>
          <w:p>
            <w:pPr>
              <w:pStyle w:val="CeldaAPA"/>
              <w:jc w:val="left"/>
            </w:pPr>
            <w:r>
              <w:rPr/>
              <w:t xml:space="preserve">Muestreo del hormigón fresco, elaboración y curado de probetas, y ensayo de compresión</w:t>
            </w:r>
          </w:p>
        </w:tc>
        <w:tc>
          <w:tcPr>
            <w:tcW w:w="2622" w:type="dxa"/>
          </w:tcPr>
          <w:p>
            <w:pPr>
              <w:pStyle w:val="CeldaAPA"/>
              <w:jc w:val="left"/>
            </w:pPr>
            <w:r>
              <w:rPr/>
              <w:t xml:space="preserve">Plan de muestreo y ensayos de aceptación del hormigón</w:t>
            </w:r>
          </w:p>
        </w:tc>
        <w:tc>
          <w:tcPr>
            <w:tcW w:w="2540" w:type="dxa"/>
          </w:tcPr>
          <w:p>
            <w:pPr>
              <w:pStyle w:val="CeldaAPA"/>
              <w:jc w:val="left"/>
            </w:pPr>
            <w:r>
              <w:rPr/>
              <w:t xml:space="preserve">ACI Committee 318 (2025, Sección 26.12.1.1)</w:t>
            </w:r>
          </w:p>
        </w:tc>
      </w:tr>
      <w:tr>
        <w:tc>
          <w:tcPr>
            <w:tcW w:w="1972" w:type="dxa"/>
          </w:tcPr>
          <w:p>
            <w:pPr>
              <w:pStyle w:val="CeldaAPA"/>
              <w:jc w:val="left"/>
            </w:pPr>
            <w:r>
              <w:rPr/>
              <w:t xml:space="preserve">ASTM C143</w:t>
            </w:r>
          </w:p>
        </w:tc>
        <w:tc>
          <w:tcPr>
            <w:tcW w:w="2226" w:type="dxa"/>
          </w:tcPr>
          <w:p>
            <w:pPr>
              <w:pStyle w:val="CeldaAPA"/>
              <w:jc w:val="left"/>
            </w:pPr>
            <w:r>
              <w:rPr/>
              <w:t xml:space="preserve">Asentamiento del hormigón fresco con el cono de Abrams</w:t>
            </w:r>
          </w:p>
        </w:tc>
        <w:tc>
          <w:tcPr>
            <w:tcW w:w="2622" w:type="dxa"/>
          </w:tcPr>
          <w:p>
            <w:pPr>
              <w:pStyle w:val="CeldaAPA"/>
              <w:jc w:val="left"/>
            </w:pPr>
            <w:r>
              <w:rPr/>
              <w:t xml:space="preserve">Control de la consistencia de cada pastón muestreado</w:t>
            </w:r>
          </w:p>
        </w:tc>
        <w:tc>
          <w:tcPr>
            <w:tcW w:w="2540" w:type="dxa"/>
          </w:tcPr>
          <w:p>
            <w:pPr>
              <w:pStyle w:val="CeldaAPA"/>
              <w:jc w:val="left"/>
            </w:pPr>
            <w:r>
              <w:rPr/>
              <w:t xml:space="preserve">Barrios C. (2021a, diapositiva 25)</w:t>
            </w:r>
            <w:r>
              <w:rPr/>
              <w:t xml:space="preserve">;</w:t>
            </w:r>
            <w:r>
              <w:rPr/>
              <w:t xml:space="preserve"> </w:t>
            </w:r>
            <w:r>
              <w:rPr/>
              <w:t xml:space="preserve">Fernando Aragón Ingeniería Estructural (2025, p. 9)</w:t>
            </w:r>
          </w:p>
        </w:tc>
      </w:tr>
      <w:tr>
        <w:tc>
          <w:tcPr>
            <w:tcW w:w="1972" w:type="dxa"/>
          </w:tcPr>
          <w:p>
            <w:pPr>
              <w:pStyle w:val="CeldaAPA"/>
              <w:jc w:val="left"/>
            </w:pPr>
            <w:r>
              <w:rPr/>
              <w:t xml:space="preserve">ASTM A615</w:t>
            </w:r>
          </w:p>
        </w:tc>
        <w:tc>
          <w:tcPr>
            <w:tcW w:w="2226" w:type="dxa"/>
          </w:tcPr>
          <w:p>
            <w:pPr>
              <w:pStyle w:val="CeldaAPA"/>
              <w:jc w:val="left"/>
            </w:pPr>
            <w:r>
              <w:rPr/>
              <w:t xml:space="preserve">Barras corrugadas de acero al carbono</w:t>
            </w:r>
          </w:p>
        </w:tc>
        <w:tc>
          <w:tcPr>
            <w:tcW w:w="2622" w:type="dxa"/>
          </w:tcPr>
          <w:p>
            <w:pPr>
              <w:pStyle w:val="CeldaAPA"/>
              <w:jc w:val="left"/>
            </w:pPr>
            <w:r>
              <w:rPr/>
              <w:t xml:space="preserve">Recepción del acero con certificado de fábrica</w:t>
            </w:r>
          </w:p>
        </w:tc>
        <w:tc>
          <w:tcPr>
            <w:tcW w:w="2540" w:type="dxa"/>
          </w:tcPr>
          <w:p>
            <w:pPr>
              <w:pStyle w:val="CeldaAPA"/>
              <w:jc w:val="left"/>
            </w:pPr>
            <w:r>
              <w:rPr/>
              <w:t xml:space="preserve">ACI Committee 318 (2025, Sección 20.2.1.3 y 26.6.1.2)</w:t>
            </w:r>
          </w:p>
        </w:tc>
      </w:tr>
      <w:tr>
        <w:tc>
          <w:tcPr>
            <w:tcW w:w="9360" w:type="dxa"/>
            <w:gridSpan w:val="4"/>
          </w:tcPr>
          <w:p>
            <w:pPr>
              <w:pStyle w:val="CeldaAPA"/>
              <w:jc w:val="left"/>
            </w:pPr>
            <w:r>
              <w:rPr>
                <w:iCs/>
                <w:i/>
              </w:rPr>
              <w:t xml:space="preserve">Legislación de contratación pública</w:t>
            </w:r>
          </w:p>
        </w:tc>
      </w:tr>
      <w:tr>
        <w:tc>
          <w:tcPr>
            <w:tcW w:w="1972" w:type="dxa"/>
          </w:tcPr>
          <w:p>
            <w:pPr>
              <w:pStyle w:val="CeldaAPA"/>
              <w:jc w:val="left"/>
            </w:pPr>
            <w:r>
              <w:rPr/>
              <w:t xml:space="preserve">Ley 1178 (SAFCO)</w:t>
            </w:r>
          </w:p>
        </w:tc>
        <w:tc>
          <w:tcPr>
            <w:tcW w:w="2226" w:type="dxa"/>
          </w:tcPr>
          <w:p>
            <w:pPr>
              <w:pStyle w:val="CeldaAPA"/>
              <w:jc w:val="left"/>
            </w:pPr>
            <w:r>
              <w:rPr/>
              <w:t xml:space="preserve">Administración y control gubernamentales</w:t>
            </w:r>
          </w:p>
        </w:tc>
        <w:tc>
          <w:tcPr>
            <w:tcW w:w="2622" w:type="dxa"/>
          </w:tcPr>
          <w:p>
            <w:pPr>
              <w:pStyle w:val="CeldaAPA"/>
              <w:jc w:val="left"/>
            </w:pPr>
            <w:r>
              <w:rPr/>
              <w:t xml:space="preserve">Responsabilidad por la calidad de lo contratado; control interno previo</w:t>
            </w:r>
          </w:p>
        </w:tc>
        <w:tc>
          <w:tcPr>
            <w:tcW w:w="2540" w:type="dxa"/>
          </w:tcPr>
          <w:p>
            <w:pPr>
              <w:pStyle w:val="CeldaAPA"/>
              <w:jc w:val="left"/>
            </w:pPr>
            <w:r>
              <w:rPr/>
              <w:t xml:space="preserve">República de Bolivia (1990, arts. 10, 13 y 14)</w:t>
            </w:r>
          </w:p>
        </w:tc>
      </w:tr>
      <w:tr>
        <w:tc>
          <w:tcPr>
            <w:tcW w:w="1972" w:type="dxa"/>
          </w:tcPr>
          <w:p>
            <w:pPr>
              <w:pStyle w:val="CeldaAPA"/>
              <w:jc w:val="left"/>
            </w:pPr>
            <w:r>
              <w:rPr/>
              <w:t xml:space="preserve">D. S. 0181 (NB-SABS)</w:t>
            </w:r>
          </w:p>
        </w:tc>
        <w:tc>
          <w:tcPr>
            <w:tcW w:w="2226" w:type="dxa"/>
          </w:tcPr>
          <w:p>
            <w:pPr>
              <w:pStyle w:val="CeldaAPA"/>
              <w:jc w:val="left"/>
            </w:pPr>
            <w:r>
              <w:rPr/>
              <w:t xml:space="preserve">Normas básicas de contratación de bienes, obras y servicios</w:t>
            </w:r>
          </w:p>
        </w:tc>
        <w:tc>
          <w:tcPr>
            <w:tcW w:w="2622" w:type="dxa"/>
          </w:tcPr>
          <w:p>
            <w:pPr>
              <w:pStyle w:val="CeldaAPA"/>
              <w:jc w:val="left"/>
            </w:pPr>
            <w:r>
              <w:rPr/>
              <w:t xml:space="preserve">Contrato modificatorio</w:t>
            </w:r>
            <w:r>
              <w:rPr/>
              <w:t xml:space="preserve"> </w:t>
            </w:r>
            <m:oMath>
              <m:r>
                <m:rPr>
                  <m:sty m:val="p"/>
                </m:rPr>
                <m:t>≤</m:t>
              </m:r>
            </m:oMath>
            <w:r>
              <w:rPr/>
              <w:t xml:space="preserve"> </w:t>
            </w:r>
            <w:r>
              <w:rPr/>
              <w:t xml:space="preserve">10 %; orden de cambio</w:t>
            </w:r>
            <w:r>
              <w:rPr/>
              <w:t xml:space="preserve"> </w:t>
            </w:r>
            <m:oMath>
              <m:r>
                <m:rPr>
                  <m:sty m:val="p"/>
                </m:rPr>
                <m:t>≤</m:t>
              </m:r>
            </m:oMath>
            <w:r>
              <w:rPr/>
              <w:t xml:space="preserve"> </w:t>
            </w:r>
            <w:r>
              <w:rPr/>
              <w:t xml:space="preserve">5 %; ambos</w:t>
            </w:r>
            <w:r>
              <w:rPr/>
              <w:t xml:space="preserve"> </w:t>
            </w:r>
            <m:oMath>
              <m:r>
                <m:rPr>
                  <m:sty m:val="p"/>
                </m:rPr>
                <m:t>≤</m:t>
              </m:r>
            </m:oMath>
            <w:r>
              <w:rPr/>
              <w:t xml:space="preserve"> </w:t>
            </w:r>
            <w:r>
              <w:rPr/>
              <w:t xml:space="preserve">15 % en licitación pública (art. 89); recepción provisional y definitiva (art. 39)</w:t>
            </w:r>
          </w:p>
        </w:tc>
        <w:tc>
          <w:tcPr>
            <w:tcW w:w="2540" w:type="dxa"/>
          </w:tcPr>
          <w:p>
            <w:pPr>
              <w:pStyle w:val="CeldaAPA"/>
              <w:jc w:val="left"/>
            </w:pPr>
            <w:r>
              <w:rPr/>
              <w:t xml:space="preserve">MEFP (2025, pp. 54, 91–93)</w:t>
            </w:r>
          </w:p>
        </w:tc>
      </w:tr>
      <w:tr>
        <w:tc>
          <w:tcPr>
            <w:tcW w:w="1972" w:type="dxa"/>
          </w:tcPr>
          <w:p>
            <w:pPr>
              <w:pStyle w:val="CeldaAPA"/>
              <w:jc w:val="left"/>
            </w:pPr>
            <w:r>
              <w:rPr/>
              <w:t xml:space="preserve">R. M. 048/2024 y modelo de DBC</w:t>
            </w:r>
          </w:p>
        </w:tc>
        <w:tc>
          <w:tcPr>
            <w:tcW w:w="2226" w:type="dxa"/>
          </w:tcPr>
          <w:p>
            <w:pPr>
              <w:pStyle w:val="CeldaAPA"/>
              <w:jc w:val="left"/>
            </w:pPr>
            <w:r>
              <w:rPr/>
              <w:t xml:space="preserve">Modelos de documento base de contratación de obras</w:t>
            </w:r>
          </w:p>
        </w:tc>
        <w:tc>
          <w:tcPr>
            <w:tcW w:w="2622" w:type="dxa"/>
          </w:tcPr>
          <w:p>
            <w:pPr>
              <w:pStyle w:val="CeldaAPA"/>
              <w:jc w:val="left"/>
            </w:pPr>
            <w:r>
              <w:rPr/>
              <w:t xml:space="preserve">Supervisor y Fiscal, Libro de Órdenes, ensayos a cargo del contratista, medición neta y planillas</w:t>
            </w:r>
          </w:p>
        </w:tc>
        <w:tc>
          <w:tcPr>
            <w:tcW w:w="2540" w:type="dxa"/>
          </w:tcPr>
          <w:p>
            <w:pPr>
              <w:pStyle w:val="CeldaAPA"/>
              <w:jc w:val="left"/>
            </w:pPr>
            <w:r>
              <w:rPr/>
              <w:t xml:space="preserve">MEFP (2024)</w:t>
            </w:r>
            <w:r>
              <w:rPr/>
              <w:t xml:space="preserve">;</w:t>
            </w:r>
            <w:r>
              <w:rPr/>
              <w:t xml:space="preserve"> </w:t>
            </w:r>
            <w:r>
              <w:rPr/>
              <w:t xml:space="preserve">MEFP (2022, pp. 71–75)</w:t>
            </w:r>
          </w:p>
        </w:tc>
      </w:tr>
      <w:tr>
        <w:tc>
          <w:tcPr>
            <w:tcW w:w="1972" w:type="dxa"/>
          </w:tcPr>
          <w:p>
            <w:pPr>
              <w:pStyle w:val="CeldaAPA"/>
              <w:jc w:val="left"/>
            </w:pPr>
            <w:r>
              <w:rPr/>
              <w:t xml:space="preserve">D. S. 5321, 5406 y 5452 (2025)</w:t>
            </w:r>
          </w:p>
        </w:tc>
        <w:tc>
          <w:tcPr>
            <w:tcW w:w="2226" w:type="dxa"/>
          </w:tcPr>
          <w:p>
            <w:pPr>
              <w:pStyle w:val="CeldaAPA"/>
              <w:jc w:val="left"/>
            </w:pPr>
            <w:r>
              <w:rPr/>
              <w:t xml:space="preserve">Ajuste excepcional de precios de materiales importados</w:t>
            </w:r>
          </w:p>
        </w:tc>
        <w:tc>
          <w:tcPr>
            <w:tcW w:w="2622" w:type="dxa"/>
          </w:tcPr>
          <w:p>
            <w:pPr>
              <w:pStyle w:val="CeldaAPA"/>
              <w:jc w:val="left"/>
            </w:pPr>
            <w:r>
              <w:rPr/>
              <w:t xml:space="preserve">Contexto de precios; el modelo de la tesis usa precios constantes</w:t>
            </w:r>
          </w:p>
        </w:tc>
        <w:tc>
          <w:tcPr>
            <w:tcW w:w="2540" w:type="dxa"/>
          </w:tcPr>
          <w:p>
            <w:pPr>
              <w:pStyle w:val="CeldaAPA"/>
              <w:jc w:val="left"/>
            </w:pPr>
            <w:r>
              <w:rPr/>
              <w:t xml:space="preserve">Estado Plurinacional de Bolivia (2025c)</w:t>
            </w:r>
            <w:r>
              <w:rPr/>
              <w:t xml:space="preserve">;</w:t>
            </w:r>
            <w:r>
              <w:rPr/>
              <w:t xml:space="preserve"> </w:t>
            </w:r>
            <w:r>
              <w:rPr/>
              <w:t xml:space="preserve">Estado Plurinacional de Bolivia (2025a)</w:t>
            </w:r>
            <w:r>
              <w:rPr/>
              <w:t xml:space="preserve">;</w:t>
            </w:r>
            <w:r>
              <w:rPr/>
              <w:t xml:space="preserve"> </w:t>
            </w:r>
            <w:r>
              <w:rPr/>
              <w:t xml:space="preserve">Estado Plurinacional de Bolivia (2025b)</w:t>
            </w:r>
          </w:p>
        </w:tc>
      </w:tr>
      <w:tr>
        <w:tc>
          <w:tcPr>
            <w:tcW w:w="1972" w:type="dxa"/>
            <w:tcBorders>
              <w:bottom w:val="single" w:sz="8" w:space="0" w:color="000000"/>
            </w:tcBorders>
          </w:tcPr>
          <w:p>
            <w:pPr>
              <w:pStyle w:val="CeldaAPA"/>
              <w:jc w:val="left"/>
            </w:pPr>
            <w:r>
              <w:rPr/>
              <w:t xml:space="preserve">D. S. 5597 (2026)</w:t>
            </w:r>
          </w:p>
        </w:tc>
        <w:tc>
          <w:tcPr>
            <w:tcW w:w="2226" w:type="dxa"/>
            <w:tcBorders>
              <w:bottom w:val="single" w:sz="8" w:space="0" w:color="000000"/>
            </w:tcBorders>
          </w:tcPr>
          <w:p>
            <w:pPr>
              <w:pStyle w:val="CeldaAPA"/>
              <w:jc w:val="left"/>
            </w:pPr>
            <w:r>
              <w:rPr/>
              <w:t xml:space="preserve">Ajuste excepcional de precios de materiales, maquinaria y equipo; resolución por situación ajena a las partes</w:t>
            </w:r>
          </w:p>
        </w:tc>
        <w:tc>
          <w:tcPr>
            <w:tcW w:w="2622" w:type="dxa"/>
            <w:tcBorders>
              <w:bottom w:val="single" w:sz="8" w:space="0" w:color="000000"/>
            </w:tcBorders>
          </w:tcPr>
          <w:p>
            <w:pPr>
              <w:pStyle w:val="CeldaAPA"/>
              <w:jc w:val="left"/>
            </w:pPr>
            <w:r>
              <w:rPr/>
              <w:t xml:space="preserve">Contexto de la paralización y de la contratación del saldo de la obra</w:t>
            </w:r>
          </w:p>
        </w:tc>
        <w:tc>
          <w:tcPr>
            <w:tcW w:w="2540" w:type="dxa"/>
            <w:tcBorders>
              <w:bottom w:val="single" w:sz="8" w:space="0" w:color="000000"/>
            </w:tcBorders>
          </w:tcPr>
          <w:p>
            <w:pPr>
              <w:pStyle w:val="CeldaAPA"/>
              <w:jc w:val="left"/>
            </w:pPr>
            <w:r>
              <w:rPr/>
              <w:t xml:space="preserve">Estado Plurinacional de Bolivia (2026)</w:t>
            </w:r>
          </w:p>
        </w:tc>
      </w:tr>
    </w:tbl>
    <w:p>
      <w:pPr>
        <w:pStyle w:val="NotaAPA"/>
      </w:pPr>
      <w:r>
        <w:rPr>
          <w:iCs/>
          <w:i/>
        </w:rPr>
        <w:t xml:space="preserve">Nota.</w:t>
      </w:r>
      <w:r>
        <w:t xml:space="preserve"> </w:t>
      </w:r>
      <w:r>
        <w:t xml:space="preserve">Elaborado con base en las fuentes citadas. DBC: documento base de contratación; NBDS: Norma Boliviana de Diseño Sísmico; NB-SABS: Normas Básicas del Sistema de Administración de Bienes y Servicios.</w:t>
      </w:r>
    </w:p>
    <w:p>
      <w:pPr>
        <w:pStyle w:val="Heading2"/>
      </w:pPr>
      <w:bookmarkStart w:id="109" w:name="tit77"/>
      <w:r>
        <w:t xml:space="preserve">1.8. Control de costos en obras públicas</w:t>
      </w:r>
      <w:bookmarkEnd w:id="109"/>
    </w:p>
    <w:p>
      <w:pPr>
        <w:pStyle w:val="Heading3"/>
      </w:pPr>
      <w:bookmarkStart w:id="107" w:name="tit78"/>
      <w:r>
        <w:t xml:space="preserve">1.8.1. Análisis de precios unitarios</w:t>
      </w:r>
      <w:bookmarkEnd w:id="107"/>
    </w:p>
    <w:p>
      <w:pPr>
        <w:pStyle w:val="FirstParagraph"/>
      </w:pPr>
      <w:r>
        <w:t xml:space="preserve">En las obras públicas bolivianas, el costo de cada ítem se expresa en un análisis de precios unitarios (APU) con el formulario B-2 del modelo de documento base de contratación</w:t>
      </w:r>
      <w:r>
        <w:t xml:space="preserve"> </w:t>
      </w:r>
      <w:r>
        <w:t xml:space="preserve">(Cocarico Mamani, 2022, p. 257)</w:t>
      </w:r>
      <w:r>
        <w:t xml:space="preserve">, que suma a los costos directos —materiales, mano de obra y equipo— las incidencias de beneficios sociales, herramientas, gastos generales, utilidad e impuestos</w:t>
      </w:r>
      <w:r>
        <w:t xml:space="preserve"> </w:t>
      </w:r>
      <w:r>
        <w:t xml:space="preserve">(Cocarico Mamani, 2022, p. 254)</w:t>
      </w:r>
      <w:r>
        <w:t xml:space="preserve">. Cada incidencia se aplica sobre una base distinta</w:t>
      </w:r>
      <w:r>
        <w:t xml:space="preserve"> </w:t>
      </w:r>
      <w:r>
        <w:t xml:space="preserve">(Cocarico Mamani, 2022, pp. 256–257)</w:t>
      </w:r>
      <w:r>
        <w:t xml:space="preserve">: los beneficios sociales, sobre la mano de obra; el impuesto al valor agregado de la mano de obra, sobre esta más los beneficios sociales; las herramientas, sobre el total de la mano de obra; los gastos generales, sobre los costos directos; la utilidad, sobre estos más los gastos generales; y el impuesto a las transacciones, sobre todo lo anterior. Así, el precio unitario resulta</w:t>
      </w:r>
    </w:p>
    <w:tbl>
      <w:tblPr>
        <w:tblW w:w="9360" w:type="dxa"/>
        <w:tblLayout w:type="fixed"/>
        <w:tblCellMar>
          <w:left w:w="0" w:type="dxa"/>
          <w:right w:w="0" w:type="dxa"/>
        </w:tblCellMar>
        <w:tblLook w:val="0000" w:firstRow="0" w:lastRow="0" w:firstColumn="0" w:lastColumn="0" w:noHBand="1" w:noVBand="1"/>
        <w:tblCaption w:val="Ecuación"/>
      </w:tblPr>
      <w:tblGrid>
        <w:gridCol w:w="1134"/>
        <w:gridCol w:w="7092"/>
        <w:gridCol w:w="1134"/>
      </w:tblGrid>
      <w:tr>
        <w:trPr>
          <w:cantSplit/>
        </w:trPr>
        <w:tc>
          <w:tcPr>
            <w:tcW w:w="1134" w:type="dxa"/>
            <w:vAlign w:val="center"/>
          </w:tcPr>
          <w:p>
            <w:pPr>
              <w:pStyle w:val="EcuacionAPA"/>
            </w:pPr>
          </w:p>
        </w:tc>
        <w:tc>
          <w:tcPr>
            <w:tcW w:w="7092" w:type="dxa"/>
            <w:vAlign w:val="center"/>
          </w:tcPr>
          <w:p>
            <w:pPr>
              <w:pStyle w:val="EcuacionAPA"/>
            </w:pPr>
            <m:oMathPara>
              <m:oMathParaPr>
                <m:jc m:val="center"/>
              </m:oMathParaPr>
              <m:oMath>
                <m:r>
                  <m:t>P</m:t>
                </m:r>
                <m:r>
                  <m:t>U</m:t>
                </m:r>
                <m:r>
                  <m:rPr>
                    <m:sty m:val="p"/>
                  </m:rPr>
                  <m:t>=</m:t>
                </m:r>
                <m:limLow>
                  <m:e>
                    <m:limLow>
                      <m:e>
                        <m:d>
                          <m:dPr>
                            <m:begChr m:val="["/>
                            <m:endChr m:val="]"/>
                            <m:sepChr m:val=""/>
                            <m:grow/>
                          </m:dPr>
                          <m:e>
                            <m:r>
                              <m:t>M</m:t>
                            </m:r>
                            <m:r>
                              <m:rPr>
                                <m:sty m:val="p"/>
                              </m:rPr>
                              <m:t>+</m:t>
                            </m:r>
                            <m:r>
                              <m:t>M</m:t>
                            </m:r>
                            <m:r>
                              <m:t>O</m:t>
                            </m:r>
                            <m:r>
                              <m:t> </m:t>
                            </m:r>
                            <m:d>
                              <m:dPr>
                                <m:begChr m:val="("/>
                                <m:endChr m:val=")"/>
                                <m:sepChr m:val=""/>
                                <m:grow/>
                              </m:dPr>
                              <m:e>
                                <m:r>
                                  <m:t>1</m:t>
                                </m:r>
                                <m:r>
                                  <m:rPr>
                                    <m:sty m:val="p"/>
                                  </m:rPr>
                                  <m:t>+</m:t>
                                </m:r>
                                <m:r>
                                  <m:t>b</m:t>
                                </m:r>
                              </m:e>
                            </m:d>
                            <m:d>
                              <m:dPr>
                                <m:begChr m:val="("/>
                                <m:endChr m:val=")"/>
                                <m:sepChr m:val=""/>
                                <m:grow/>
                              </m:dPr>
                              <m:e>
                                <m:r>
                                  <m:t>1</m:t>
                                </m:r>
                                <m:r>
                                  <m:rPr>
                                    <m:sty m:val="p"/>
                                  </m:rPr>
                                  <m:t>+</m:t>
                                </m:r>
                                <m:sSub>
                                  <m:e>
                                    <m:r>
                                      <m:t>i</m:t>
                                    </m:r>
                                  </m:e>
                                  <m:sub>
                                    <m:r>
                                      <m:t>v</m:t>
                                    </m:r>
                                  </m:sub>
                                </m:sSub>
                              </m:e>
                            </m:d>
                            <m:d>
                              <m:dPr>
                                <m:begChr m:val="("/>
                                <m:endChr m:val=")"/>
                                <m:sepChr m:val=""/>
                                <m:grow/>
                              </m:dPr>
                              <m:e>
                                <m:r>
                                  <m:t>1</m:t>
                                </m:r>
                                <m:r>
                                  <m:rPr>
                                    <m:sty m:val="p"/>
                                  </m:rPr>
                                  <m:t>+</m:t>
                                </m:r>
                                <m:r>
                                  <m:t>h</m:t>
                                </m:r>
                              </m:e>
                            </m:d>
                            <m:r>
                              <m:rPr>
                                <m:sty m:val="p"/>
                              </m:rPr>
                              <m:t>+</m:t>
                            </m:r>
                            <m:r>
                              <m:t>E</m:t>
                            </m:r>
                          </m:e>
                        </m:d>
                      </m:e>
                      <m:lim>
                        <m:r>
                          <m:rPr>
                            <m:sty m:val="p"/>
                          </m:rPr>
                          <m:t>⏟</m:t>
                        </m:r>
                      </m:lim>
                    </m:limLow>
                  </m:e>
                  <m:lim>
                    <m:r>
                      <m:t>C</m:t>
                    </m:r>
                    <m:r>
                      <m:t>D</m:t>
                    </m:r>
                  </m:lim>
                </m:limLow>
                <m:r>
                  <m:t> </m:t>
                </m:r>
                <m:d>
                  <m:dPr>
                    <m:begChr m:val="("/>
                    <m:endChr m:val=")"/>
                    <m:sepChr m:val=""/>
                    <m:grow/>
                  </m:dPr>
                  <m:e>
                    <m:r>
                      <m:t>1</m:t>
                    </m:r>
                    <m:r>
                      <m:rPr>
                        <m:sty m:val="p"/>
                      </m:rPr>
                      <m:t>+</m:t>
                    </m:r>
                    <m:r>
                      <m:t>g</m:t>
                    </m:r>
                  </m:e>
                </m:d>
                <m:r>
                  <m:t> </m:t>
                </m:r>
                <m:d>
                  <m:dPr>
                    <m:begChr m:val="("/>
                    <m:endChr m:val=")"/>
                    <m:sepChr m:val=""/>
                    <m:grow/>
                  </m:dPr>
                  <m:e>
                    <m:r>
                      <m:t>1</m:t>
                    </m:r>
                    <m:r>
                      <m:rPr>
                        <m:sty m:val="p"/>
                      </m:rPr>
                      <m:t>+</m:t>
                    </m:r>
                    <m:r>
                      <m:t>u</m:t>
                    </m:r>
                  </m:e>
                </m:d>
                <m:r>
                  <m:t> </m:t>
                </m:r>
                <m:d>
                  <m:dPr>
                    <m:begChr m:val="("/>
                    <m:endChr m:val=")"/>
                    <m:sepChr m:val=""/>
                    <m:grow/>
                  </m:dPr>
                  <m:e>
                    <m:r>
                      <m:t>1</m:t>
                    </m:r>
                    <m:r>
                      <m:rPr>
                        <m:sty m:val="p"/>
                      </m:rPr>
                      <m:t>+</m:t>
                    </m:r>
                    <m:r>
                      <m:t>t</m:t>
                    </m:r>
                  </m:e>
                </m:d>
              </m:oMath>
            </m:oMathPara>
          </w:p>
        </w:tc>
        <w:tc>
          <w:tcPr>
            <w:tcW w:w="1134" w:type="dxa"/>
            <w:vAlign w:val="center"/>
          </w:tcPr>
          <w:p>
            <w:pPr>
              <w:pStyle w:val="EcuacionAPA"/>
              <w:jc w:val="right"/>
            </w:pPr>
            <w:r>
              <w:t>(4)</w:t>
            </w:r>
          </w:p>
        </w:tc>
      </w:tr>
    </w:tbl>
    <w:p>
      <w:pPr>
        <w:pStyle w:val="FirstParagraph"/>
        <w:ind w:firstLine="0"/>
      </w:pPr>
      <w:r>
        <w:t xml:space="preserve"/>
      </w:r>
      <w:r>
        <w:t xml:space="preserve"/>
      </w:r>
      <w:r>
        <w:t xml:space="preserve">donde</w:t>
      </w:r>
      <w:r>
        <w:t xml:space="preserve"> </w:t>
      </w:r>
      <m:oMath>
        <m:r>
          <m:t>M</m:t>
        </m:r>
      </m:oMath>
      <w:r>
        <w:t xml:space="preserve"> </w:t>
      </w:r>
      <w:r>
        <w:t xml:space="preserve">es el costo de los materiales,</w:t>
      </w:r>
      <w:r>
        <w:t xml:space="preserve"> </w:t>
      </w:r>
      <m:oMath>
        <m:r>
          <m:t>M</m:t>
        </m:r>
        <m:r>
          <m:t>O</m:t>
        </m:r>
      </m:oMath>
      <w:r>
        <w:t xml:space="preserve"> </w:t>
      </w:r>
      <w:r>
        <w:t xml:space="preserve">el de la mano de obra,</w:t>
      </w:r>
      <w:r>
        <w:t xml:space="preserve"> </w:t>
      </w:r>
      <m:oMath>
        <m:r>
          <m:t>E</m:t>
        </m:r>
      </m:oMath>
      <w:r>
        <w:t xml:space="preserve"> </w:t>
      </w:r>
      <w:r>
        <w:t xml:space="preserve">el del equipo y la maquinaria,</w:t>
      </w:r>
      <w:r>
        <w:t xml:space="preserve"> </w:t>
      </w:r>
      <m:oMath>
        <m:r>
          <m:t>C</m:t>
        </m:r>
        <m:r>
          <m:t>D</m:t>
        </m:r>
      </m:oMath>
      <w:r>
        <w:t xml:space="preserve"> </w:t>
      </w:r>
      <w:r>
        <w:t xml:space="preserve">el costo directo, y</w:t>
      </w:r>
      <w:r>
        <w:t xml:space="preserve"> </w:t>
      </w:r>
      <m:oMath>
        <m:r>
          <m:t>b</m:t>
        </m:r>
      </m:oMath>
      <w:r>
        <w:t xml:space="preserve">,</w:t>
      </w:r>
      <w:r>
        <w:t xml:space="preserve"> </w:t>
      </w:r>
      <m:oMath>
        <m:sSub>
          <m:e>
            <m:r>
              <m:t>i</m:t>
            </m:r>
          </m:e>
          <m:sub>
            <m:r>
              <m:t>v</m:t>
            </m:r>
          </m:sub>
        </m:sSub>
      </m:oMath>
      <w:r>
        <w:t xml:space="preserve">,</w:t>
      </w:r>
      <w:r>
        <w:t xml:space="preserve"> </w:t>
      </w:r>
      <m:oMath>
        <m:r>
          <m:t>h</m:t>
        </m:r>
      </m:oMath>
      <w:r>
        <w:t xml:space="preserve">,</w:t>
      </w:r>
      <w:r>
        <w:t xml:space="preserve"> </w:t>
      </w:r>
      <m:oMath>
        <m:r>
          <m:t>g</m:t>
        </m:r>
      </m:oMath>
      <w:r>
        <w:t xml:space="preserve">,</w:t>
      </w:r>
      <w:r>
        <w:t xml:space="preserve"> </w:t>
      </w:r>
      <m:oMath>
        <m:r>
          <m:t>u</m:t>
        </m:r>
      </m:oMath>
      <w:r>
        <w:t xml:space="preserve"> </w:t>
      </w:r>
      <w:r>
        <w:t xml:space="preserve">y</w:t>
      </w:r>
      <w:r>
        <w:t xml:space="preserve"> </w:t>
      </w:r>
      <m:oMath>
        <m:r>
          <m:t>t</m:t>
        </m:r>
      </m:oMath>
      <w:r>
        <w:t xml:space="preserve"> </w:t>
      </w:r>
      <w:r>
        <w:t xml:space="preserve">las incidencias de beneficios sociales, impuesto al valor agregado, herramientas, gastos generales, utilidad e impuesto a las transacciones. En un APU boliviano documentado se adoptaron</w:t>
      </w:r>
      <w:r>
        <w:t xml:space="preserve"> </w:t>
      </w:r>
      <m:oMath>
        <m:r>
          <m:t>b</m:t>
        </m:r>
        <m:r>
          <m:rPr>
            <m:sty m:val="p"/>
          </m:rPr>
          <m:t>=</m:t>
        </m:r>
        <m:r>
          <m:t>71</m:t>
        </m:r>
        <m:r>
          <m:t> </m:t>
        </m:r>
        <m:r>
          <m:rPr>
            <m:sty m:val="p"/>
          </m:rPr>
          <m:t>%</m:t>
        </m:r>
      </m:oMath>
      <w:r>
        <w:t xml:space="preserve">,</w:t>
      </w:r>
      <w:r>
        <w:t xml:space="preserve"> </w:t>
      </w:r>
      <m:oMath>
        <m:r>
          <m:t>h</m:t>
        </m:r>
        <m:r>
          <m:rPr>
            <m:sty m:val="p"/>
          </m:rPr>
          <m:t>=</m:t>
        </m:r>
        <m:r>
          <m:t>5</m:t>
        </m:r>
        <m:r>
          <m:t> </m:t>
        </m:r>
        <m:r>
          <m:rPr>
            <m:sty m:val="p"/>
          </m:rPr>
          <m:t>%</m:t>
        </m:r>
      </m:oMath>
      <w:r>
        <w:t xml:space="preserve">,</w:t>
      </w:r>
      <w:r>
        <w:t xml:space="preserve"> </w:t>
      </w:r>
      <m:oMath>
        <m:r>
          <m:t>g</m:t>
        </m:r>
        <m:r>
          <m:rPr>
            <m:sty m:val="p"/>
          </m:rPr>
          <m:t>=</m:t>
        </m:r>
        <m:r>
          <m:t>13</m:t>
        </m:r>
        <m:r>
          <m:t> </m:t>
        </m:r>
        <m:r>
          <m:rPr>
            <m:sty m:val="p"/>
          </m:rPr>
          <m:t>%</m:t>
        </m:r>
      </m:oMath>
      <w:r>
        <w:t xml:space="preserve">,</w:t>
      </w:r>
      <w:r>
        <w:t xml:space="preserve"> </w:t>
      </w:r>
      <m:oMath>
        <m:r>
          <m:t>u</m:t>
        </m:r>
        <m:r>
          <m:rPr>
            <m:sty m:val="p"/>
          </m:rPr>
          <m:t>=</m:t>
        </m:r>
        <m:r>
          <m:t>10</m:t>
        </m:r>
        <m:r>
          <m:t> </m:t>
        </m:r>
        <m:r>
          <m:rPr>
            <m:sty m:val="p"/>
          </m:rPr>
          <m:t>%</m:t>
        </m:r>
      </m:oMath>
      <w:r>
        <w:t xml:space="preserve">,</w:t>
      </w:r>
      <w:r>
        <w:t xml:space="preserve"> </w:t>
      </w:r>
      <m:oMath>
        <m:sSub>
          <m:e>
            <m:r>
              <m:t>i</m:t>
            </m:r>
          </m:e>
          <m:sub>
            <m:r>
              <m:t>v</m:t>
            </m:r>
          </m:sub>
        </m:sSub>
        <m:r>
          <m:rPr>
            <m:sty m:val="p"/>
          </m:rPr>
          <m:t>=</m:t>
        </m:r>
        <m:r>
          <m:t>14</m:t>
        </m:r>
        <m:r>
          <m:rPr>
            <m:sty m:val="p"/>
          </m:rPr>
          <m:t>,</m:t>
        </m:r>
        <m:r>
          <m:t>94</m:t>
        </m:r>
        <m:r>
          <m:t> </m:t>
        </m:r>
        <m:r>
          <m:rPr>
            <m:sty m:val="p"/>
          </m:rPr>
          <m:t>%</m:t>
        </m:r>
      </m:oMath>
      <w:r>
        <w:t xml:space="preserve"> </w:t>
      </w:r>
      <w:r>
        <w:t xml:space="preserve">y</w:t>
      </w:r>
      <w:r>
        <w:t xml:space="preserve"> </w:t>
      </w:r>
      <m:oMath>
        <m:r>
          <m:t>t</m:t>
        </m:r>
        <m:r>
          <m:rPr>
            <m:sty m:val="p"/>
          </m:rPr>
          <m:t>=</m:t>
        </m:r>
        <m:r>
          <m:t>3</m:t>
        </m:r>
        <m:r>
          <m:rPr>
            <m:sty m:val="p"/>
          </m:rPr>
          <m:t>,</m:t>
        </m:r>
        <m:r>
          <m:t>09</m:t>
        </m:r>
        <m:r>
          <m:t> </m:t>
        </m:r>
        <m:r>
          <m:rPr>
            <m:sty m:val="p"/>
          </m:rPr>
          <m:t>%</m:t>
        </m:r>
      </m:oMath>
      <w:r>
        <w:t xml:space="preserve"> </w:t>
      </w:r>
      <w:r>
        <w:t xml:space="preserve">(Cocarico Mamani, 2022, p. 256)</w:t>
      </w:r>
      <w:r>
        <w:t xml:space="preserve">. Con esos valores, cada boliviano de costo directo se convierte en unos 1,28 bolivianos de precio unitario (cálculo propio:</w:t>
      </w:r>
      <w:r>
        <w:t xml:space="preserve"> </w:t>
      </w:r>
      <m:oMath>
        <m:r>
          <m:t>1</m:t>
        </m:r>
        <m:r>
          <m:rPr>
            <m:sty m:val="p"/>
          </m:rPr>
          <m:t>,</m:t>
        </m:r>
        <m:r>
          <m:t>13</m:t>
        </m:r>
        <m:r>
          <m:rPr>
            <m:sty m:val="p"/>
          </m:rPr>
          <m:t>×</m:t>
        </m:r>
        <m:r>
          <m:t>1</m:t>
        </m:r>
        <m:r>
          <m:rPr>
            <m:sty m:val="p"/>
          </m:rPr>
          <m:t>,</m:t>
        </m:r>
        <m:r>
          <m:t>10</m:t>
        </m:r>
        <m:r>
          <m:rPr>
            <m:sty m:val="p"/>
          </m:rPr>
          <m:t>×</m:t>
        </m:r>
        <m:r>
          <m:t>1</m:t>
        </m:r>
        <m:r>
          <m:rPr>
            <m:sty m:val="p"/>
          </m:rPr>
          <m:t>,</m:t>
        </m:r>
        <m:r>
          <m:t>0309</m:t>
        </m:r>
        <m:r>
          <m:rPr>
            <m:sty m:val="p"/>
          </m:rPr>
          <m:t>≈</m:t>
        </m:r>
        <m:r>
          <m:t>1</m:t>
        </m:r>
        <m:r>
          <m:rPr>
            <m:sty m:val="p"/>
          </m:rPr>
          <m:t>,</m:t>
        </m:r>
        <m:r>
          <m:t>281</m:t>
        </m:r>
      </m:oMath>
      <w:r>
        <w:t xml:space="preserve">). La ecuación muestra también que el desperdicio de materiales no solo aumenta</w:t>
      </w:r>
      <w:r>
        <w:t xml:space="preserve"> </w:t>
      </w:r>
      <m:oMath>
        <m:r>
          <m:t>M</m:t>
        </m:r>
      </m:oMath>
      <w:r>
        <w:t xml:space="preserve">: arrastra los gastos generales, la utilidad y los impuestos calculados sobre él.</w:t>
      </w:r>
    </w:p>
    <w:p>
      <w:pPr>
        <w:pStyle w:val="BodyText"/>
      </w:pPr>
      <w:r>
        <w:t xml:space="preserve">El efecto económico del desperdicio depende de quién lo absorbe. El porcentaje de pérdidas que el proponente incluye en las cantidades de su APU lo paga la entidad dentro del precio unitario; el desperdicio que excede ese porcentaje y el retrabajo los absorbe el contratista, porque el precio unitario es fijo. Si los costos de producción suben de forma imprevista, el constructor solo puede trasladarlos al cliente o reducir su margen</w:t>
      </w:r>
      <w:r>
        <w:t xml:space="preserve"> </w:t>
      </w:r>
      <w:r>
        <w:t xml:space="preserve">(Pons Achell, 2014, p. 24)</w:t>
      </w:r>
      <w:r>
        <w:t xml:space="preserve">; en un contrato público sin reajuste de precios, como el de la obra estudiada</w:t>
      </w:r>
      <w:r>
        <w:t xml:space="preserve"> </w:t>
      </w:r>
      <w:r>
        <w:t xml:space="preserve">(UATF, 2025, p. 95)</w:t>
      </w:r>
      <w:r>
        <w:t xml:space="preserve">, solo queda la segunda opción. Para la entidad, en cambio, el riesgo es pagar cantidades no ejecutadas o mal medidas.</w:t>
      </w:r>
    </w:p>
    <w:p>
      <w:pPr>
        <w:pStyle w:val="Heading3"/>
      </w:pPr>
      <w:bookmarkStart w:id="108" w:name="tit79"/>
      <w:r>
        <w:t xml:space="preserve">1.8.2. Cómputos métricos, planillas de avance y modificaciones</w:t>
      </w:r>
      <w:bookmarkEnd w:id="108"/>
    </w:p>
    <w:p>
      <w:pPr>
        <w:pStyle w:val="FirstParagraph"/>
      </w:pPr>
      <w:r>
        <w:t xml:space="preserve">Los cómputos métricos determinan las cantidades de cada ítem a partir de los planos, por elemento y por nivel</w:t>
      </w:r>
      <w:r>
        <w:t xml:space="preserve"> </w:t>
      </w:r>
      <w:r>
        <w:t xml:space="preserve">(Cocarico Mamani, 2022, p. 254)</w:t>
      </w:r>
      <w:r>
        <w:t xml:space="preserve">. Su criterio de medición debe estar definido de antemano: un pliego de especificaciones de referencia mide las losas con viguetas prefabricadas por metro cuadrado entre ejes de las vigas, y el volumen de hormigón como un ítem distinto</w:t>
      </w:r>
      <w:r>
        <w:t xml:space="preserve"> </w:t>
      </w:r>
      <w:r>
        <w:t xml:space="preserve">(Fernando Aragón Ingeniería Estructural, 2025, p. 19)</w:t>
      </w:r>
      <w:r>
        <w:t xml:space="preserve">, mientras que en la obra estudiada el ítem de la losa se paga por metro cuadrado</w:t>
      </w:r>
      <w:r>
        <w:t xml:space="preserve"> </w:t>
      </w:r>
      <w:r>
        <w:t xml:space="preserve">(UATF, 2025, p. 16)</w:t>
      </w:r>
      <w:r>
        <w:t xml:space="preserve"> </w:t>
      </w:r>
      <w:r>
        <w:t xml:space="preserve">e incluye el hormigón</w:t>
      </w:r>
      <w:r>
        <w:t xml:space="preserve"> </w:t>
      </w:r>
      <w:r>
        <w:t xml:space="preserve">(UATF, s. f.-a, p. 3)</w:t>
      </w:r>
      <w:r>
        <w:t xml:space="preserve">. El cómputo de la cantidad teórica es, además, la referencia del índice de desperdicio (ecuación 2).</w:t>
      </w:r>
    </w:p>
    <w:p>
      <w:pPr>
        <w:pStyle w:val="BodyText"/>
      </w:pPr>
      <w:r>
        <w:t xml:space="preserve">El pago sigue el avance de la obra: el contratista presenta cada mes una planilla o certificado de pago, que el Supervisor revisa y aprueba</w:t>
      </w:r>
      <w:r>
        <w:t xml:space="preserve"> </w:t>
      </w:r>
      <w:r>
        <w:t xml:space="preserve">(MEFP, 2022, cláusula 28, p. 75)</w:t>
      </w:r>
      <w:r>
        <w:t xml:space="preserve"> </w:t>
      </w:r>
      <w:r>
        <w:t xml:space="preserve">después de medir la obra junto con el contratista</w:t>
      </w:r>
      <w:r>
        <w:t xml:space="preserve"> </w:t>
      </w:r>
      <w:r>
        <w:t xml:space="preserve">(MEFP, 2022, cláusula 26.3, p. 72)</w:t>
      </w:r>
      <w:r>
        <w:t xml:space="preserve">. Las obras se miden netas, sin pagar volúmenes excedentes no aprobados por escrito</w:t>
      </w:r>
      <w:r>
        <w:t xml:space="preserve"> </w:t>
      </w:r>
      <w:r>
        <w:t xml:space="preserve">(MEFP, 2022, cláusula 27, p. 75)</w:t>
      </w:r>
      <w:r>
        <w:t xml:space="preserve">, y la planilla de cantidades finales debe basarse en la obra realmente ejecutada</w:t>
      </w:r>
      <w:r>
        <w:t xml:space="preserve"> </w:t>
      </w:r>
      <w:r>
        <w:t xml:space="preserve">(MEFP, 2022, cláusula 38.1, p. 86)</w:t>
      </w:r>
      <w:r>
        <w:t xml:space="preserve">; el Supervisor certifica los volúmenes y la calidad de los ítems ejecutados</w:t>
      </w:r>
      <w:r>
        <w:t xml:space="preserve"> </w:t>
      </w:r>
      <w:r>
        <w:t xml:space="preserve">(Cajías Luna, 2023, p. 14)</w:t>
      </w:r>
      <w:r>
        <w:t xml:space="preserve">.</w:t>
      </w:r>
    </w:p>
    <w:p>
      <w:pPr>
        <w:pStyle w:val="BodyText"/>
      </w:pPr>
      <w:r>
        <w:t xml:space="preserve">Los cambios de cantidades se formalizan con tres instrumentos. La orden de trabajo redistribuye cantidades sin cambiar el precio ni el plazo y sin crear ítems</w:t>
      </w:r>
      <w:r>
        <w:t xml:space="preserve"> </w:t>
      </w:r>
      <w:r>
        <w:t xml:space="preserve">(MEFP, 2022, p. 20)</w:t>
      </w:r>
      <w:r>
        <w:t xml:space="preserve">; la orden de cambio y el contrato modificatorio modifican el precio, el plazo o el alcance dentro de los límites del art. 89 de las NB-SABS (sección 1.7). Todos deben emitirse antes de ejecutar los trabajos y no sirven para regularizar lo ya ejecutado</w:t>
      </w:r>
      <w:r>
        <w:t xml:space="preserve"> </w:t>
      </w:r>
      <w:r>
        <w:t xml:space="preserve">(MEFP, 2022, cláusula 30.5, p. 78)</w:t>
      </w:r>
      <w:r>
        <w:t xml:space="preserve">. En el reajuste excepcional de precios, la variación de cada material es la diferencia entre su precio actual y el precio inicial del contrato, y el monto del ajuste es la suma de esas variaciones multiplicadas por las cantidades pendientes</w:t>
      </w:r>
      <w:r>
        <w:t xml:space="preserve"> </w:t>
      </w:r>
      <w:r>
        <w:t xml:space="preserve">(Estado Plurinacional de Bolivia, 2025b, art. 2)</w:t>
      </w:r>
      <w:r>
        <w:t xml:space="preserve">.</w:t>
      </w:r>
    </w:p>
    <w:p>
      <w:pPr>
        <w:pStyle w:val="BodyText"/>
      </w:pPr>
      <w:r>
        <w:t xml:space="preserve">Desde la gestión de la calidad, estos instrumentos tienen dos lecturas. La conciliación entre el cómputo teórico, la cantidad consumida y la cantidad pagada es un control de la calidad de la información, porque una diferencia no explicada revela desperdicio, sobremedición o un error de cómputo. Y las sobremediciones corregidas en planillas posteriores son fallas externas en el sentido del modelo PEF: se detectan después de que el producto —la planilla— fue entregado al cliente.</w:t>
      </w:r>
    </w:p>
    <w:p>
      <w:pPr>
        <w:pStyle w:val="Heading2"/>
      </w:pPr>
      <w:bookmarkStart w:id="110" w:name="tit80"/>
      <w:r>
        <w:t xml:space="preserve">1.9. Herramientas de la calidad</w:t>
      </w:r>
      <w:bookmarkEnd w:id="110"/>
    </w:p>
    <w:p>
      <w:pPr>
        <w:pStyle w:val="FirstParagraph"/>
      </w:pPr>
      <w:r>
        <w:t xml:space="preserve">Según la clasificación que recoge</w:t>
      </w:r>
      <w:r>
        <w:t xml:space="preserve"> </w:t>
      </w:r>
      <w:r>
        <w:t xml:space="preserve">Zurita Ferrel (2024, p. 26)</w:t>
      </w:r>
      <w:r>
        <w:t xml:space="preserve">, las herramientas básicas de la calidad son siete: la hoja de recogida de datos, el histograma, el diagrama de Pareto, el diagrama de causa y efecto, la estratificación, el diagrama de dispersión y el gráfico de control, a las que se suma el diagrama de flujo. Su valor está en su uso encadenado: la hoja de verificación produce los datos, el diagrama de Pareto prioriza los problemas, el diagrama de Ishikawa busca sus causas, y el histograma y la carta de control muestran si el proceso mejora. A ellas se agregan el plan de puntos de inspección, que organiza los controles de la obra, y la técnica 5W2H, que estructura las acciones de mejora (Tabla 14).</w:t>
      </w:r>
    </w:p>
    <w:p>
      <w:pPr>
        <w:pStyle w:val="Caption"/>
      </w:pPr>
      <w:bookmarkStart w:id="1410" w:name="tab14"/>
      <w:r>
        <w:t xml:space="preserve"/>
      </w:r>
      <w:r>
        <w:rPr>
          <w:bCs/>
          <w:b/>
        </w:rPr>
        <w:t xml:space="preserve">Tabla 14</w:t>
      </w:r>
      <w:r>
        <w:br/>
      </w:r>
      <w:r>
        <w:rPr>
          <w:iCs/>
          <w:i/>
        </w:rPr>
        <w:t xml:space="preserve">Herramientas de la calidad y su uso en esta tesis</w:t>
      </w:r>
      <w:bookmarkEnd w:id="1410"/>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1671"/>
        <w:gridCol w:w="2944"/>
        <w:gridCol w:w="2889"/>
        <w:gridCol w:w="1856"/>
      </w:tblGrid>
      <w:tr>
        <w:trPr>
          <w:cantSplit/>
          <w:tblHeader w:val="true"/>
        </w:trPr>
        <w:tc>
          <w:tcPr>
            <w:tcW w:w="1671" w:type="dxa"/>
            <w:tcBorders>
              <w:top w:val="single" w:sz="8" w:space="0" w:color="000000"/>
              <w:bottom w:val="single" w:sz="4" w:space="0" w:color="000000"/>
            </w:tcBorders>
          </w:tcPr>
          <w:p>
            <w:pPr>
              <w:pStyle w:val="CeldaAPA"/>
              <w:jc w:val="center"/>
            </w:pPr>
            <w:r>
              <w:rPr>
                <w:bCs/>
                <w:b/>
              </w:rPr>
              <w:t xml:space="preserve">Herramienta</w:t>
            </w:r>
          </w:p>
        </w:tc>
        <w:tc>
          <w:tcPr>
            <w:tcW w:w="2944" w:type="dxa"/>
            <w:tcBorders>
              <w:top w:val="single" w:sz="8" w:space="0" w:color="000000"/>
              <w:bottom w:val="single" w:sz="4" w:space="0" w:color="000000"/>
            </w:tcBorders>
          </w:tcPr>
          <w:p>
            <w:pPr>
              <w:pStyle w:val="CeldaAPA"/>
              <w:jc w:val="center"/>
            </w:pPr>
            <w:r>
              <w:rPr>
                <w:bCs/>
                <w:b/>
              </w:rPr>
              <w:t xml:space="preserve">Para qué sirve</w:t>
            </w:r>
          </w:p>
        </w:tc>
        <w:tc>
          <w:tcPr>
            <w:tcW w:w="2889" w:type="dxa"/>
            <w:tcBorders>
              <w:top w:val="single" w:sz="8" w:space="0" w:color="000000"/>
              <w:bottom w:val="single" w:sz="4" w:space="0" w:color="000000"/>
            </w:tcBorders>
          </w:tcPr>
          <w:p>
            <w:pPr>
              <w:pStyle w:val="CeldaAPA"/>
              <w:jc w:val="center"/>
            </w:pPr>
            <w:r>
              <w:rPr>
                <w:bCs/>
                <w:b/>
              </w:rPr>
              <w:t xml:space="preserve">Uso en esta tesis</w:t>
            </w:r>
          </w:p>
        </w:tc>
        <w:tc>
          <w:tcPr>
            <w:tcW w:w="1856" w:type="dxa"/>
            <w:tcBorders>
              <w:top w:val="single" w:sz="8" w:space="0" w:color="000000"/>
              <w:bottom w:val="single" w:sz="4" w:space="0" w:color="000000"/>
            </w:tcBorders>
          </w:tcPr>
          <w:p>
            <w:pPr>
              <w:pStyle w:val="CeldaAPA"/>
              <w:jc w:val="center"/>
            </w:pPr>
            <w:r>
              <w:rPr>
                <w:bCs/>
                <w:b/>
              </w:rPr>
              <w:t xml:space="preserve">Fuente</w:t>
            </w:r>
          </w:p>
        </w:tc>
      </w:tr>
      <w:tr>
        <w:tc>
          <w:tcPr>
            <w:tcW w:w="1671" w:type="dxa"/>
          </w:tcPr>
          <w:p>
            <w:pPr>
              <w:pStyle w:val="CeldaAPA"/>
              <w:jc w:val="left"/>
            </w:pPr>
            <w:r>
              <w:rPr/>
              <w:t xml:space="preserve">Hoja de verificación</w:t>
            </w:r>
          </w:p>
        </w:tc>
        <w:tc>
          <w:tcPr>
            <w:tcW w:w="2944" w:type="dxa"/>
          </w:tcPr>
          <w:p>
            <w:pPr>
              <w:pStyle w:val="CeldaAPA"/>
              <w:jc w:val="left"/>
            </w:pPr>
            <w:r>
              <w:rPr/>
              <w:t xml:space="preserve">Registrar datos de forma ordenada para distinguir hechos de opiniones y comprobar la repetición de un problema o defecto</w:t>
            </w:r>
          </w:p>
        </w:tc>
        <w:tc>
          <w:tcPr>
            <w:tcW w:w="2889" w:type="dxa"/>
          </w:tcPr>
          <w:p>
            <w:pPr>
              <w:pStyle w:val="CeldaAPA"/>
              <w:jc w:val="left"/>
            </w:pPr>
            <w:r>
              <w:rPr/>
              <w:t xml:space="preserve">Fichas de recepción de materiales, de consumo por paño y de inspección del PPI; lista de verificación de los requisitos de la ISO 9001</w:t>
            </w:r>
          </w:p>
        </w:tc>
        <w:tc>
          <w:tcPr>
            <w:tcW w:w="1856" w:type="dxa"/>
          </w:tcPr>
          <w:p>
            <w:pPr>
              <w:pStyle w:val="CeldaAPA"/>
              <w:jc w:val="left"/>
            </w:pPr>
            <w:r>
              <w:rPr/>
              <w:t xml:space="preserve">Gudiel Cairampoma y Solis Puente (2020, p. 27)</w:t>
            </w:r>
          </w:p>
        </w:tc>
      </w:tr>
      <w:tr>
        <w:tc>
          <w:tcPr>
            <w:tcW w:w="1671" w:type="dxa"/>
          </w:tcPr>
          <w:p>
            <w:pPr>
              <w:pStyle w:val="CeldaAPA"/>
              <w:jc w:val="left"/>
            </w:pPr>
            <w:r>
              <w:rPr/>
              <w:t xml:space="preserve">Diagrama de Pareto</w:t>
            </w:r>
          </w:p>
        </w:tc>
        <w:tc>
          <w:tcPr>
            <w:tcW w:w="2944" w:type="dxa"/>
          </w:tcPr>
          <w:p>
            <w:pPr>
              <w:pStyle w:val="CeldaAPA"/>
              <w:jc w:val="left"/>
            </w:pPr>
            <w:r>
              <w:rPr/>
              <w:t xml:space="preserve">Ordenar las causas o los defectos de mayor a menor frecuencia o costo para atender primero los pocos que explican la mayor parte del problema (regla 80/20)</w:t>
            </w:r>
          </w:p>
        </w:tc>
        <w:tc>
          <w:tcPr>
            <w:tcW w:w="2889" w:type="dxa"/>
          </w:tcPr>
          <w:p>
            <w:pPr>
              <w:pStyle w:val="CeldaAPA"/>
              <w:jc w:val="left"/>
            </w:pPr>
            <w:r>
              <w:rPr/>
              <w:t xml:space="preserve">Priorizar las no conformidades y las pérdidas de la línea base por su costo; elegir las partidas de control</w:t>
            </w:r>
          </w:p>
        </w:tc>
        <w:tc>
          <w:tcPr>
            <w:tcW w:w="1856" w:type="dxa"/>
          </w:tcPr>
          <w:p>
            <w:pPr>
              <w:pStyle w:val="CeldaAPA"/>
              <w:jc w:val="left"/>
            </w:pPr>
            <w:r>
              <w:rPr/>
              <w:t xml:space="preserve">Gudiel Cairampoma y Solis Puente (2020, pp. 32–35)</w:t>
            </w:r>
            <w:r>
              <w:rPr/>
              <w:t xml:space="preserve">;</w:t>
            </w:r>
            <w:r>
              <w:rPr/>
              <w:t xml:space="preserve"> </w:t>
            </w:r>
            <w:r>
              <w:rPr/>
              <w:t xml:space="preserve">Alfaro Félix (2011, p. 70)</w:t>
            </w:r>
          </w:p>
        </w:tc>
      </w:tr>
      <w:tr>
        <w:tc>
          <w:tcPr>
            <w:tcW w:w="1671" w:type="dxa"/>
          </w:tcPr>
          <w:p>
            <w:pPr>
              <w:pStyle w:val="CeldaAPA"/>
              <w:jc w:val="left"/>
            </w:pPr>
            <w:r>
              <w:rPr/>
              <w:t xml:space="preserve">Diagrama de Ishikawa</w:t>
            </w:r>
          </w:p>
        </w:tc>
        <w:tc>
          <w:tcPr>
            <w:tcW w:w="2944" w:type="dxa"/>
          </w:tcPr>
          <w:p>
            <w:pPr>
              <w:pStyle w:val="CeldaAPA"/>
              <w:jc w:val="left"/>
            </w:pPr>
            <w:r>
              <w:rPr/>
              <w:t xml:space="preserve">Representar las posibles causas de un problema agrupadas por categorías (materiales, personal, métodos, maquinaria)</w:t>
            </w:r>
          </w:p>
        </w:tc>
        <w:tc>
          <w:tcPr>
            <w:tcW w:w="2889" w:type="dxa"/>
          </w:tcPr>
          <w:p>
            <w:pPr>
              <w:pStyle w:val="CeldaAPA"/>
              <w:jc w:val="left"/>
            </w:pPr>
            <w:r>
              <w:rPr/>
              <w:t xml:space="preserve">Analizar las causas del desperdicio y de las no conformidades de la primera losa</w:t>
            </w:r>
          </w:p>
        </w:tc>
        <w:tc>
          <w:tcPr>
            <w:tcW w:w="1856" w:type="dxa"/>
          </w:tcPr>
          <w:p>
            <w:pPr>
              <w:pStyle w:val="CeldaAPA"/>
              <w:jc w:val="left"/>
            </w:pPr>
            <w:r>
              <w:rPr/>
              <w:t xml:space="preserve">Gudiel Cairampoma y Solis Puente (2020, pp. 29–31)</w:t>
            </w:r>
          </w:p>
        </w:tc>
      </w:tr>
      <w:tr>
        <w:tc>
          <w:tcPr>
            <w:tcW w:w="1671" w:type="dxa"/>
          </w:tcPr>
          <w:p>
            <w:pPr>
              <w:pStyle w:val="CeldaAPA"/>
              <w:jc w:val="left"/>
            </w:pPr>
            <w:r>
              <w:rPr/>
              <w:t xml:space="preserve">Histograma</w:t>
            </w:r>
          </w:p>
        </w:tc>
        <w:tc>
          <w:tcPr>
            <w:tcW w:w="2944" w:type="dxa"/>
          </w:tcPr>
          <w:p>
            <w:pPr>
              <w:pStyle w:val="CeldaAPA"/>
              <w:jc w:val="left"/>
            </w:pPr>
            <w:r>
              <w:rPr/>
              <w:t xml:space="preserve">Mostrar la distribución, la dispersión y la tendencia de un conjunto de mediciones</w:t>
            </w:r>
          </w:p>
        </w:tc>
        <w:tc>
          <w:tcPr>
            <w:tcW w:w="2889" w:type="dxa"/>
          </w:tcPr>
          <w:p>
            <w:pPr>
              <w:pStyle w:val="CeldaAPA"/>
              <w:jc w:val="left"/>
            </w:pPr>
            <w:r>
              <w:rPr/>
              <w:t xml:space="preserve">Distribución de las resistencias del hormigón y de la reducción del costo simulada</w:t>
            </w:r>
          </w:p>
        </w:tc>
        <w:tc>
          <w:tcPr>
            <w:tcW w:w="1856" w:type="dxa"/>
          </w:tcPr>
          <w:p>
            <w:pPr>
              <w:pStyle w:val="CeldaAPA"/>
              <w:jc w:val="left"/>
            </w:pPr>
            <w:r>
              <w:rPr/>
              <w:t xml:space="preserve">Gudiel Cairampoma y Solis Puente (2020, pp. 36–38)</w:t>
            </w:r>
          </w:p>
        </w:tc>
      </w:tr>
      <w:tr>
        <w:tc>
          <w:tcPr>
            <w:tcW w:w="1671" w:type="dxa"/>
          </w:tcPr>
          <w:p>
            <w:pPr>
              <w:pStyle w:val="CeldaAPA"/>
              <w:jc w:val="left"/>
            </w:pPr>
            <w:r>
              <w:rPr/>
              <w:t xml:space="preserve">Carta de control</w:t>
            </w:r>
          </w:p>
        </w:tc>
        <w:tc>
          <w:tcPr>
            <w:tcW w:w="2944" w:type="dxa"/>
          </w:tcPr>
          <w:p>
            <w:pPr>
              <w:pStyle w:val="CeldaAPA"/>
              <w:jc w:val="left"/>
            </w:pPr>
            <w:r>
              <w:rPr/>
              <w:t xml:space="preserve">Seguir en el tiempo la variabilidad de un proceso y distinguir las causas comunes de las especiales</w:t>
            </w:r>
          </w:p>
        </w:tc>
        <w:tc>
          <w:tcPr>
            <w:tcW w:w="2889" w:type="dxa"/>
          </w:tcPr>
          <w:p>
            <w:pPr>
              <w:pStyle w:val="CeldaAPA"/>
              <w:jc w:val="left"/>
            </w:pPr>
            <w:r>
              <w:rPr/>
              <w:t xml:space="preserve">Seguimiento del índice de desperdicio por vaciado y de las resistencias por losa</w:t>
            </w:r>
          </w:p>
        </w:tc>
        <w:tc>
          <w:tcPr>
            <w:tcW w:w="1856" w:type="dxa"/>
          </w:tcPr>
          <w:p>
            <w:pPr>
              <w:pStyle w:val="CeldaAPA"/>
              <w:jc w:val="left"/>
            </w:pPr>
            <w:r>
              <w:rPr/>
              <w:t xml:space="preserve">Aguilar Caseux y Torres Benites (2016, pp. 11–12)</w:t>
            </w:r>
            <w:r>
              <w:rPr/>
              <w:t xml:space="preserve">;</w:t>
            </w:r>
            <w:r>
              <w:rPr/>
              <w:t xml:space="preserve"> </w:t>
            </w:r>
            <w:r>
              <w:rPr/>
              <w:t xml:space="preserve">Formoso et al. (1999, p. 331)</w:t>
            </w:r>
          </w:p>
        </w:tc>
      </w:tr>
      <w:tr>
        <w:tc>
          <w:tcPr>
            <w:tcW w:w="1671" w:type="dxa"/>
          </w:tcPr>
          <w:p>
            <w:pPr>
              <w:pStyle w:val="CeldaAPA"/>
              <w:jc w:val="left"/>
            </w:pPr>
            <w:r>
              <w:rPr/>
              <w:t xml:space="preserve">Plan de puntos de inspección (PPI)</w:t>
            </w:r>
          </w:p>
        </w:tc>
        <w:tc>
          <w:tcPr>
            <w:tcW w:w="2944" w:type="dxa"/>
          </w:tcPr>
          <w:p>
            <w:pPr>
              <w:pStyle w:val="CeldaAPA"/>
              <w:jc w:val="left"/>
            </w:pPr>
            <w:r>
              <w:rPr/>
              <w:t xml:space="preserve">Definir para cada inspección el criterio de aprobación, el lote, la frecuencia, el responsable y los puntos de parada</w:t>
            </w:r>
          </w:p>
        </w:tc>
        <w:tc>
          <w:tcPr>
            <w:tcW w:w="2889" w:type="dxa"/>
          </w:tcPr>
          <w:p>
            <w:pPr>
              <w:pStyle w:val="CeldaAPA"/>
              <w:jc w:val="left"/>
            </w:pPr>
            <w:r>
              <w:rPr/>
              <w:t xml:space="preserve">PPI de la losa, con puntos de espera antes del vaciado y en la recepción de materiales (capítulo 2)</w:t>
            </w:r>
          </w:p>
        </w:tc>
        <w:tc>
          <w:tcPr>
            <w:tcW w:w="1856" w:type="dxa"/>
          </w:tcPr>
          <w:p>
            <w:pPr>
              <w:pStyle w:val="CeldaAPA"/>
              <w:jc w:val="left"/>
            </w:pPr>
            <w:r>
              <w:rPr/>
              <w:t xml:space="preserve">Muro Núñez (2020, anexo 4)</w:t>
            </w:r>
            <w:r>
              <w:rPr/>
              <w:t xml:space="preserve">;</w:t>
            </w:r>
            <w:r>
              <w:rPr/>
              <w:t xml:space="preserve"> </w:t>
            </w:r>
            <w:r>
              <w:rPr/>
              <w:t xml:space="preserve">Ferrer Lavado (2018, p. 64)</w:t>
            </w:r>
          </w:p>
        </w:tc>
      </w:tr>
      <w:tr>
        <w:tc>
          <w:tcPr>
            <w:tcW w:w="1671" w:type="dxa"/>
            <w:tcBorders>
              <w:bottom w:val="single" w:sz="8" w:space="0" w:color="000000"/>
            </w:tcBorders>
          </w:tcPr>
          <w:p>
            <w:pPr>
              <w:pStyle w:val="CeldaAPA"/>
              <w:jc w:val="left"/>
            </w:pPr>
            <w:r>
              <w:rPr/>
              <w:t xml:space="preserve">5W2H</w:t>
            </w:r>
          </w:p>
        </w:tc>
        <w:tc>
          <w:tcPr>
            <w:tcW w:w="2944" w:type="dxa"/>
            <w:tcBorders>
              <w:bottom w:val="single" w:sz="8" w:space="0" w:color="000000"/>
            </w:tcBorders>
          </w:tcPr>
          <w:p>
            <w:pPr>
              <w:pStyle w:val="CeldaAPA"/>
              <w:jc w:val="left"/>
            </w:pPr>
            <w:r>
              <w:rPr/>
              <w:t xml:space="preserve">Planificar una acción respondiendo qué, por qué, dónde, cuándo, quién, cómo y cuánto cuesta</w:t>
            </w:r>
          </w:p>
        </w:tc>
        <w:tc>
          <w:tcPr>
            <w:tcW w:w="2889" w:type="dxa"/>
            <w:tcBorders>
              <w:bottom w:val="single" w:sz="8" w:space="0" w:color="000000"/>
            </w:tcBorders>
          </w:tcPr>
          <w:p>
            <w:pPr>
              <w:pStyle w:val="CeldaAPA"/>
              <w:jc w:val="left"/>
            </w:pPr>
            <w:r>
              <w:rPr/>
              <w:t xml:space="preserve">Planes de acción correctiva de las no conformidades y del plan de implantación del SGC</w:t>
            </w:r>
          </w:p>
        </w:tc>
        <w:tc>
          <w:tcPr>
            <w:tcW w:w="1856" w:type="dxa"/>
            <w:tcBorders>
              <w:bottom w:val="single" w:sz="8" w:space="0" w:color="000000"/>
            </w:tcBorders>
          </w:tcPr>
          <w:p>
            <w:pPr>
              <w:pStyle w:val="CeldaAPA"/>
              <w:jc w:val="left"/>
            </w:pPr>
            <w:r>
              <w:rPr/>
              <w:t xml:space="preserve">Técnica de uso general</w:t>
            </w:r>
          </w:p>
        </w:tc>
      </w:tr>
    </w:tbl>
    <w:p>
      <w:pPr>
        <w:pStyle w:val="NotaAPA"/>
      </w:pPr>
      <w:r>
        <w:rPr>
          <w:iCs/>
          <w:i/>
        </w:rPr>
        <w:t xml:space="preserve">Nota.</w:t>
      </w:r>
      <w:r>
        <w:t xml:space="preserve"> </w:t>
      </w:r>
      <w:r>
        <w:t xml:space="preserve">Elaborado con base en las fuentes citadas; la columna de uso es de elaboración propia.</w:t>
      </w:r>
    </w:p>
    <w:p>
      <w:pPr>
        <w:pStyle w:val="BodyText"/>
      </w:pPr>
      <w:r>
        <w:t xml:space="preserve">En esta tesis, la hoja de verificación es la base de los registros del SGC: sin ella no hay datos para calcular el índice de desperdicio ni el costo de no calidad. El diagrama de Ishikawa ordena las causas de las pérdidas de la losa en las categorías de</w:t>
      </w:r>
      <w:r>
        <w:t xml:space="preserve"> </w:t>
      </w:r>
      <w:r>
        <w:t xml:space="preserve">Luangcharoenrat et al. (2019, pp. 12–13)</w:t>
      </w:r>
      <w:r>
        <w:t xml:space="preserve">, y el histograma y la carta de control se aplican a las resistencias del hormigón, cuya variabilidad fundamenta los criterios estadísticos de aceptación</w:t>
      </w:r>
      <w:r>
        <w:t xml:space="preserve"> </w:t>
      </w:r>
      <w:r>
        <w:t xml:space="preserve">(Alcón Aranda, 2009, p. 58)</w:t>
      </w:r>
      <w:r>
        <w:t xml:space="preserve">, y a los índices de desperdicio de cada vaciado, para distinguir una variación normal de una causa especial que exige acción</w:t>
      </w:r>
      <w:r>
        <w:t xml:space="preserve"> </w:t>
      </w:r>
      <w:r>
        <w:t xml:space="preserve">(Cepeda Godoy, 2017, p. 27)</w:t>
      </w:r>
      <w:r>
        <w:t xml:space="preserve">. La técnica 5W2H asegura que cada acción correctiva tenga responsable, plazo y costo, de modo que la mejora pueda verificarse.</w:t>
      </w:r>
    </w:p>
    <w:p>
      <w:pPr>
        <w:pStyle w:val="Heading2"/>
      </w:pPr>
      <w:bookmarkStart w:id="115" w:name="tit81"/>
      <w:r>
        <w:t xml:space="preserve">1.10. Evaluación</w:t>
      </w:r>
      <w:r>
        <w:t xml:space="preserve"> </w:t>
      </w:r>
      <w:r>
        <w:rPr>
          <w:iCs/>
          <w:i/>
        </w:rPr>
        <w:t xml:space="preserve">ex ante</w:t>
      </w:r>
      <w:r>
        <w:t xml:space="preserve"> </w:t>
      </w:r>
      <w:r>
        <w:t xml:space="preserve">y simulación</w:t>
      </w:r>
      <w:bookmarkEnd w:id="115"/>
    </w:p>
    <w:p>
      <w:pPr>
        <w:pStyle w:val="Heading3"/>
      </w:pPr>
      <w:bookmarkStart w:id="111" w:name="tit82"/>
      <w:r>
        <w:t xml:space="preserve">1.10.1. Modelo de simulación teórica con tratamiento de control</w:t>
      </w:r>
      <w:bookmarkEnd w:id="111"/>
    </w:p>
    <w:p>
      <w:pPr>
        <w:pStyle w:val="FirstParagraph"/>
      </w:pPr>
      <w:r>
        <w:t xml:space="preserve">La guía del docente reconoce cuatro tipos de modelo de investigación: el desarrollo teórico, la modelación teórica, la modelación experimental y la modelación de simulación teórica</w:t>
      </w:r>
      <w:r>
        <w:t xml:space="preserve"> </w:t>
      </w:r>
      <w:r>
        <w:t xml:space="preserve">(Barrios C., 2021b, diapositiva 4)</w:t>
      </w:r>
      <w:r>
        <w:t xml:space="preserve">. Todo modelo debe incluir un tratamiento de control que sirva de comparación, generalmente un no tratamiento</w:t>
      </w:r>
      <w:r>
        <w:t xml:space="preserve"> </w:t>
      </w:r>
      <w:r>
        <w:t xml:space="preserve">(Barrios C., 2021b, diapositiva 8)</w:t>
      </w:r>
      <w:r>
        <w:t xml:space="preserve">, y debe permitir calcular el grado de incertidumbre, es decir, la probabilidad de obtener los resultados observados solo por efecto del azar</w:t>
      </w:r>
      <w:r>
        <w:t xml:space="preserve"> </w:t>
      </w:r>
      <w:r>
        <w:t xml:space="preserve">(Barrios C., 2021b, diapositiva 9)</w:t>
      </w:r>
      <w:r>
        <w:t xml:space="preserve">. Su estructura avanza de la conceptualización y el alcance a la definición de factores y variables, el procedimiento y la toma de observaciones, la validación de las observaciones y el contraste de hipótesis y resultados</w:t>
      </w:r>
      <w:r>
        <w:t xml:space="preserve"> </w:t>
      </w:r>
      <w:r>
        <w:t xml:space="preserve">(Barrios C., 2021b, diapositiva 12)</w:t>
      </w:r>
      <w:r>
        <w:t xml:space="preserve">, secuencia que sigue el capítulo 2. En términos experimentales, la esencia de un experimento es la manipulación intencional de una acción para analizar sus posibles resultados</w:t>
      </w:r>
      <w:r>
        <w:t xml:space="preserve"> </w:t>
      </w:r>
      <w:r>
        <w:t xml:space="preserve">(Hernández-Sampieri y Mendoza Torres, 2018, p. 151)</w:t>
      </w:r>
      <w:r>
        <w:t xml:space="preserve">, y el grupo de control es el que no recibe el tratamiento</w:t>
      </w:r>
      <w:r>
        <w:t xml:space="preserve"> </w:t>
      </w:r>
      <w:r>
        <w:t xml:space="preserve">(Hernández-Sampieri y Mendoza Torres, 2018, p. 154)</w:t>
      </w:r>
      <w:r>
        <w:t xml:space="preserve">.</w:t>
      </w:r>
    </w:p>
    <w:p>
      <w:pPr>
        <w:pStyle w:val="BodyText"/>
      </w:pPr>
      <w:r>
        <w:t xml:space="preserve">Cuando el tratamiento no puede aplicarse en el objeto real durante la investigación, como ocurre con un SGC cuya obra se paralizó, la comparación puede hacerse sobre un modelo. Una evaluación</w:t>
      </w:r>
      <w:r>
        <w:t xml:space="preserve"> </w:t>
      </w:r>
      <w:r>
        <w:rPr>
          <w:iCs/>
          <w:i/>
        </w:rPr>
        <w:t xml:space="preserve">ex ante</w:t>
      </w:r>
      <w:r>
        <w:t xml:space="preserve"> </w:t>
      </w:r>
      <w:r>
        <w:t xml:space="preserve">estima el efecto de una intervención antes de aplicarla: el sistema se representa con un modelo de costos, se simula en la condición de control (sin SGC) y en la de tratamiento (con SGC), y la diferencia se atribuye al tratamiento tal como el modelo lo representa. Su validez depende de que los supuestos y los parámetros sean explícitos, trazables y verificables cuando la obra se ejecute. Los antecedentes muestran la importancia de esa exigencia:</w:t>
      </w:r>
      <w:r>
        <w:t xml:space="preserve"> </w:t>
      </w:r>
      <w:r>
        <w:t xml:space="preserve">Chino Quispe y Zarate Chilqquetuma (2024, p. 148)</w:t>
      </w:r>
      <w:r>
        <w:t xml:space="preserve"> </w:t>
      </w:r>
      <w:r>
        <w:t xml:space="preserve">proyectaron un método de control del acero sobre niveles ya construidos con el método convencional, y</w:t>
      </w:r>
      <w:r>
        <w:t xml:space="preserve"> </w:t>
      </w:r>
      <w:r>
        <w:t xml:space="preserve">De la Vega Sernades (2023, pp. 23–24, 51–52)</w:t>
      </w:r>
      <w:r>
        <w:t xml:space="preserve"> </w:t>
      </w:r>
      <w:r>
        <w:t xml:space="preserve">simularon patrones de corte del acero sin informar el desperdicio de la línea base, lo que impide cuantificar la reducción.</w:t>
      </w:r>
    </w:p>
    <w:p>
      <w:pPr>
        <w:pStyle w:val="Heading3"/>
      </w:pPr>
      <w:bookmarkStart w:id="112" w:name="tit83"/>
      <w:r>
        <w:t xml:space="preserve">1.10.2. Método de Monte Carlo</w:t>
      </w:r>
      <w:bookmarkEnd w:id="112"/>
    </w:p>
    <w:p>
      <w:pPr>
        <w:pStyle w:val="FirstParagraph"/>
      </w:pPr>
      <w:r>
        <w:t xml:space="preserve">El método de Monte Carlo estima la distribución de una variable de salida</w:t>
      </w:r>
      <w:r>
        <w:t xml:space="preserve"> </w:t>
      </w:r>
      <m:oMath>
        <m:r>
          <m:t>Y</m:t>
        </m:r>
        <m:r>
          <m:rPr>
            <m:sty m:val="p"/>
          </m:rPr>
          <m:t>=</m:t>
        </m:r>
        <m:r>
          <m:t>g</m:t>
        </m:r>
        <m:d>
          <m:dPr>
            <m:begChr m:val="("/>
            <m:endChr m:val=")"/>
            <m:sepChr m:val=""/>
            <m:grow/>
          </m:dPr>
          <m:e>
            <m:sSub>
              <m:e>
                <m:r>
                  <m:t>X</m:t>
                </m:r>
              </m:e>
              <m:sub>
                <m:r>
                  <m:t>1</m:t>
                </m:r>
              </m:sub>
            </m:sSub>
            <m:r>
              <m:rPr>
                <m:sty m:val="p"/>
              </m:rPr>
              <m:t>,</m:t>
            </m:r>
            <m:r>
              <m:rPr>
                <m:sty m:val="p"/>
              </m:rPr>
              <m:t>…</m:t>
            </m:r>
            <m:r>
              <m:rPr>
                <m:sty m:val="p"/>
              </m:rPr>
              <m:t>,</m:t>
            </m:r>
            <m:sSub>
              <m:e>
                <m:r>
                  <m:t>X</m:t>
                </m:r>
              </m:e>
              <m:sub>
                <m:r>
                  <m:t>k</m:t>
                </m:r>
              </m:sub>
            </m:sSub>
          </m:e>
        </m:d>
      </m:oMath>
      <w:r>
        <w:t xml:space="preserve"> </w:t>
      </w:r>
      <w:r>
        <w:t xml:space="preserve">cuyas entradas</w:t>
      </w:r>
      <w:r>
        <w:t xml:space="preserve"> </w:t>
      </w:r>
      <m:oMath>
        <m:sSub>
          <m:e>
            <m:r>
              <m:t>X</m:t>
            </m:r>
          </m:e>
          <m:sub>
            <m:r>
              <m:t>j</m:t>
            </m:r>
          </m:sub>
        </m:sSub>
      </m:oMath>
      <w:r>
        <w:t xml:space="preserve"> </w:t>
      </w:r>
      <w:r>
        <w:t xml:space="preserve">son inciertas y se representan con distribuciones de probabilidad. Consta de cinco pasos: formular el modelo determinista</w:t>
      </w:r>
      <w:r>
        <w:t xml:space="preserve"> </w:t>
      </w:r>
      <m:oMath>
        <m:r>
          <m:t>g</m:t>
        </m:r>
      </m:oMath>
      <w:r>
        <w:t xml:space="preserve">; asignar a cada entrada incierta una distribución; generar</w:t>
      </w:r>
      <w:r>
        <w:t xml:space="preserve"> </w:t>
      </w:r>
      <m:oMath>
        <m:r>
          <m:t>N</m:t>
        </m:r>
      </m:oMath>
      <w:r>
        <w:t xml:space="preserve"> </w:t>
      </w:r>
      <w:r>
        <w:t xml:space="preserve">juegos de valores aleatorios de las entradas; calcular</w:t>
      </w:r>
      <w:r>
        <w:t xml:space="preserve"> </w:t>
      </w:r>
      <m:oMath>
        <m:r>
          <m:t>Y</m:t>
        </m:r>
      </m:oMath>
      <w:r>
        <w:t xml:space="preserve"> </w:t>
      </w:r>
      <w:r>
        <w:t xml:space="preserve">para cada juego; y analizar la muestra</w:t>
      </w:r>
      <w:r>
        <w:t xml:space="preserve"> </w:t>
      </w:r>
      <m:oMath>
        <m:r>
          <m:rPr>
            <m:sty m:val="p"/>
          </m:rPr>
          <m:t>{</m:t>
        </m:r>
        <m:sSub>
          <m:e>
            <m:r>
              <m:t>Y</m:t>
            </m:r>
          </m:e>
          <m:sub>
            <m:r>
              <m:t>1</m:t>
            </m:r>
          </m:sub>
        </m:sSub>
        <m:r>
          <m:rPr>
            <m:sty m:val="p"/>
          </m:rPr>
          <m:t>,</m:t>
        </m:r>
        <m:r>
          <m:rPr>
            <m:sty m:val="p"/>
          </m:rPr>
          <m:t>…</m:t>
        </m:r>
        <m:r>
          <m:rPr>
            <m:sty m:val="p"/>
          </m:rPr>
          <m:t>,</m:t>
        </m:r>
        <m:sSub>
          <m:e>
            <m:r>
              <m:t>Y</m:t>
            </m:r>
          </m:e>
          <m:sub>
            <m:r>
              <m:t>N</m:t>
            </m:r>
          </m:sub>
        </m:sSub>
        <m:r>
          <m:rPr>
            <m:sty m:val="p"/>
          </m:rPr>
          <m:t>}</m:t>
        </m:r>
      </m:oMath>
      <w:r>
        <w:t xml:space="preserve"> </w:t>
      </w:r>
      <w:r>
        <w:t xml:space="preserve">mediante su media, su desviación estándar, sus percentiles y las probabilidades de interés. La media y una probabilidad se estiman, con sus errores estándar, como</w:t>
      </w:r>
    </w:p>
    <w:tbl>
      <w:tblPr>
        <w:tblW w:w="9360" w:type="dxa"/>
        <w:tblLayout w:type="fixed"/>
        <w:tblCellMar>
          <w:left w:w="0" w:type="dxa"/>
          <w:right w:w="0" w:type="dxa"/>
        </w:tblCellMar>
        <w:tblLook w:val="0000" w:firstRow="0" w:lastRow="0" w:firstColumn="0" w:lastColumn="0" w:noHBand="1" w:noVBand="1"/>
        <w:tblCaption w:val="Ecuación"/>
      </w:tblPr>
      <w:tblGrid>
        <w:gridCol w:w="1134"/>
        <w:gridCol w:w="7092"/>
        <w:gridCol w:w="1134"/>
      </w:tblGrid>
      <w:tr>
        <w:trPr>
          <w:cantSplit/>
        </w:trPr>
        <w:tc>
          <w:tcPr>
            <w:tcW w:w="1134" w:type="dxa"/>
            <w:vAlign w:val="center"/>
          </w:tcPr>
          <w:p>
            <w:pPr>
              <w:pStyle w:val="EcuacionAPA"/>
            </w:pPr>
          </w:p>
        </w:tc>
        <w:tc>
          <w:tcPr>
            <w:tcW w:w="7092" w:type="dxa"/>
            <w:vAlign w:val="center"/>
          </w:tcPr>
          <w:p>
            <w:pPr>
              <w:pStyle w:val="EcuacionAPA"/>
            </w:pPr>
            <m:oMathPara>
              <m:oMathParaPr>
                <m:jc m:val="center"/>
              </m:oMathParaPr>
              <m:oMath>
                <m:sSub>
                  <m:e>
                    <m:acc>
                      <m:accPr>
                        <m:chr m:val="‾"/>
                      </m:accPr>
                      <m:e>
                        <m:r>
                          <m:t>Y</m:t>
                        </m:r>
                      </m:e>
                    </m:acc>
                  </m:e>
                  <m:sub>
                    <m:r>
                      <m:t>N</m:t>
                    </m:r>
                  </m:sub>
                </m:sSub>
                <m:r>
                  <m:rPr>
                    <m:sty m:val="p"/>
                  </m:rPr>
                  <m:t>=</m:t>
                </m:r>
                <m:f>
                  <m:fPr>
                    <m:type m:val="bar"/>
                  </m:fPr>
                  <m:num>
                    <m:r>
                      <m:t>1</m:t>
                    </m:r>
                  </m:num>
                  <m:den>
                    <m:r>
                      <m:t>N</m:t>
                    </m:r>
                  </m:den>
                </m:f>
                <m:nary>
                  <m:naryPr>
                    <m:chr m:val="∑"/>
                    <m:limLoc m:val="undOvr"/>
                    <m:subHide m:val="off"/>
                    <m:supHide m:val="off"/>
                  </m:naryPr>
                  <m:sub>
                    <m:r>
                      <m:t>k</m:t>
                    </m:r>
                    <m:r>
                      <m:rPr>
                        <m:sty m:val="p"/>
                      </m:rPr>
                      <m:t>=</m:t>
                    </m:r>
                    <m:r>
                      <m:t>1</m:t>
                    </m:r>
                  </m:sub>
                  <m:sup>
                    <m:r>
                      <m:t>N</m:t>
                    </m:r>
                  </m:sup>
                  <m:e>
                    <m:sSub>
                      <m:e>
                        <m:r>
                          <m:t>Y</m:t>
                        </m:r>
                      </m:e>
                      <m:sub>
                        <m:r>
                          <m:t>k</m:t>
                        </m:r>
                      </m:sub>
                    </m:sSub>
                  </m:e>
                </m:nary>
                <m:r>
                  <m:rPr>
                    <m:sty m:val="p"/>
                  </m:rPr>
                  <m:t>,</m:t>
                </m:r>
                <m:r>
                  <m:t>  </m:t>
                </m:r>
                <m:r>
                  <m:t>E</m:t>
                </m:r>
                <m:r>
                  <m:t>E</m:t>
                </m:r>
                <m:r>
                  <m:t>​</m:t>
                </m:r>
                <m:d>
                  <m:dPr>
                    <m:begChr m:val="("/>
                    <m:endChr m:val=")"/>
                    <m:sepChr m:val=""/>
                    <m:grow/>
                  </m:dPr>
                  <m:e>
                    <m:sSub>
                      <m:e>
                        <m:acc>
                          <m:accPr>
                            <m:chr m:val="‾"/>
                          </m:accPr>
                          <m:e>
                            <m:r>
                              <m:t>Y</m:t>
                            </m:r>
                          </m:e>
                        </m:acc>
                      </m:e>
                      <m:sub>
                        <m:r>
                          <m:t>N</m:t>
                        </m:r>
                      </m:sub>
                    </m:sSub>
                  </m:e>
                </m:d>
                <m:r>
                  <m:rPr>
                    <m:sty m:val="p"/>
                  </m:rPr>
                  <m:t>=</m:t>
                </m:r>
                <m:f>
                  <m:fPr>
                    <m:type m:val="bar"/>
                  </m:fPr>
                  <m:num>
                    <m:sSub>
                      <m:e>
                        <m:r>
                          <m:t>s</m:t>
                        </m:r>
                      </m:e>
                      <m:sub>
                        <m:r>
                          <m:t>Y</m:t>
                        </m:r>
                      </m:sub>
                    </m:sSub>
                  </m:num>
                  <m:den>
                    <m:rad>
                      <m:radPr>
                        <m:degHide m:val="on"/>
                      </m:radPr>
                      <m:deg/>
                      <m:e>
                        <m:r>
                          <m:t>N</m:t>
                        </m:r>
                      </m:e>
                    </m:rad>
                  </m:den>
                </m:f>
                <m:r>
                  <m:rPr>
                    <m:sty m:val="p"/>
                  </m:rPr>
                  <m:t>,</m:t>
                </m:r>
                <m:r>
                  <m:t>  </m:t>
                </m:r>
                <m:acc>
                  <m:accPr>
                    <m:chr m:val="̂"/>
                  </m:accPr>
                  <m:e>
                    <m:r>
                      <m:t>p</m:t>
                    </m:r>
                  </m:e>
                </m:acc>
                <m:r>
                  <m:rPr>
                    <m:sty m:val="p"/>
                  </m:rPr>
                  <m:t>=</m:t>
                </m:r>
                <m:f>
                  <m:fPr>
                    <m:type m:val="bar"/>
                  </m:fPr>
                  <m:num>
                    <m:r>
                      <m:t>1</m:t>
                    </m:r>
                  </m:num>
                  <m:den>
                    <m:r>
                      <m:t>N</m:t>
                    </m:r>
                  </m:den>
                </m:f>
                <m:nary>
                  <m:naryPr>
                    <m:chr m:val="∑"/>
                    <m:limLoc m:val="undOvr"/>
                    <m:subHide m:val="off"/>
                    <m:supHide m:val="off"/>
                  </m:naryPr>
                  <m:sub>
                    <m:r>
                      <m:t>k</m:t>
                    </m:r>
                    <m:r>
                      <m:rPr>
                        <m:sty m:val="p"/>
                      </m:rPr>
                      <m:t>=</m:t>
                    </m:r>
                    <m:r>
                      <m:t>1</m:t>
                    </m:r>
                  </m:sub>
                  <m:sup>
                    <m:r>
                      <m:t>N</m:t>
                    </m:r>
                  </m:sup>
                  <m:e>
                    <m:r>
                      <m:rPr>
                        <m:sty m:val="b"/>
                      </m:rPr>
                      <m:t>1</m:t>
                    </m:r>
                  </m:e>
                </m:nary>
                <m:r>
                  <m:t>​</m:t>
                </m:r>
                <m:d>
                  <m:dPr>
                    <m:begChr m:val="("/>
                    <m:endChr m:val=")"/>
                    <m:sepChr m:val=""/>
                    <m:grow/>
                  </m:dPr>
                  <m:e>
                    <m:sSub>
                      <m:e>
                        <m:r>
                          <m:t>r</m:t>
                        </m:r>
                      </m:e>
                      <m:sub>
                        <m:r>
                          <m:t>k</m:t>
                        </m:r>
                      </m:sub>
                    </m:sSub>
                    <m:r>
                      <m:rPr>
                        <m:sty m:val="p"/>
                      </m:rPr>
                      <m:t>≥</m:t>
                    </m:r>
                    <m:sSup>
                      <m:e>
                        <m:r>
                          <m:t>r</m:t>
                        </m:r>
                      </m:e>
                      <m:sup>
                        <m:r>
                          <m:rPr>
                            <m:sty m:val="p"/>
                          </m:rPr>
                          <m:t>*</m:t>
                        </m:r>
                      </m:sup>
                    </m:sSup>
                  </m:e>
                </m:d>
                <m:r>
                  <m:rPr>
                    <m:sty m:val="p"/>
                  </m:rPr>
                  <m:t>,</m:t>
                </m:r>
                <m:r>
                  <m:t>  </m:t>
                </m:r>
                <m:r>
                  <m:t>E</m:t>
                </m:r>
                <m:r>
                  <m:t>E</m:t>
                </m:r>
                <m:r>
                  <m:t>​</m:t>
                </m:r>
                <m:d>
                  <m:dPr>
                    <m:begChr m:val="("/>
                    <m:endChr m:val=")"/>
                    <m:sepChr m:val=""/>
                    <m:grow/>
                  </m:dPr>
                  <m:e>
                    <m:acc>
                      <m:accPr>
                        <m:chr m:val="̂"/>
                      </m:accPr>
                      <m:e>
                        <m:r>
                          <m:t>p</m:t>
                        </m:r>
                      </m:e>
                    </m:acc>
                  </m:e>
                </m:d>
                <m:r>
                  <m:rPr>
                    <m:sty m:val="p"/>
                  </m:rPr>
                  <m:t>=</m:t>
                </m:r>
                <m:rad>
                  <m:radPr>
                    <m:degHide m:val="on"/>
                  </m:radPr>
                  <m:deg/>
                  <m:e>
                    <m:f>
                      <m:fPr>
                        <m:type m:val="bar"/>
                      </m:fPr>
                      <m:num>
                        <m:acc>
                          <m:accPr>
                            <m:chr m:val="̂"/>
                          </m:accPr>
                          <m:e>
                            <m:r>
                              <m:t>p</m:t>
                            </m:r>
                          </m:e>
                        </m:acc>
                        <m:r>
                          <m:t> </m:t>
                        </m:r>
                        <m:d>
                          <m:dPr>
                            <m:begChr m:val="("/>
                            <m:endChr m:val=")"/>
                            <m:sepChr m:val=""/>
                            <m:grow/>
                          </m:dPr>
                          <m:e>
                            <m:r>
                              <m:t>1</m:t>
                            </m:r>
                            <m:r>
                              <m:rPr>
                                <m:sty m:val="p"/>
                              </m:rPr>
                              <m:t>−</m:t>
                            </m:r>
                            <m:acc>
                              <m:accPr>
                                <m:chr m:val="̂"/>
                              </m:accPr>
                              <m:e>
                                <m:r>
                                  <m:t>p</m:t>
                                </m:r>
                              </m:e>
                            </m:acc>
                          </m:e>
                        </m:d>
                      </m:num>
                      <m:den>
                        <m:r>
                          <m:t>N</m:t>
                        </m:r>
                      </m:den>
                    </m:f>
                  </m:e>
                </m:rad>
              </m:oMath>
            </m:oMathPara>
          </w:p>
        </w:tc>
        <w:tc>
          <w:tcPr>
            <w:tcW w:w="1134" w:type="dxa"/>
            <w:vAlign w:val="center"/>
          </w:tcPr>
          <w:p>
            <w:pPr>
              <w:pStyle w:val="EcuacionAPA"/>
              <w:jc w:val="right"/>
            </w:pPr>
            <w:r>
              <w:t>(5)</w:t>
            </w:r>
          </w:p>
        </w:tc>
      </w:tr>
    </w:tbl>
    <w:p>
      <w:pPr>
        <w:pStyle w:val="FirstParagraph"/>
        <w:ind w:firstLine="0"/>
      </w:pPr>
      <w:r>
        <w:t xml:space="preserve"/>
      </w:r>
      <w:r>
        <w:t xml:space="preserve"/>
      </w:r>
      <w:r>
        <w:t xml:space="preserve">donde</w:t>
      </w:r>
      <w:r>
        <w:t xml:space="preserve"> </w:t>
      </w:r>
      <m:oMath>
        <m:sSub>
          <m:e>
            <m:r>
              <m:t>s</m:t>
            </m:r>
          </m:e>
          <m:sub>
            <m:r>
              <m:t>Y</m:t>
            </m:r>
          </m:sub>
        </m:sSub>
      </m:oMath>
      <w:r>
        <w:t xml:space="preserve"> </w:t>
      </w:r>
      <w:r>
        <w:t xml:space="preserve">es la desviación estándar de la muestra simulada,</w:t>
      </w:r>
      <w:r>
        <w:t xml:space="preserve"> </w:t>
      </w:r>
      <m:oMath>
        <m:r>
          <m:rPr>
            <m:sty m:val="b"/>
          </m:rPr>
          <m:t>1</m:t>
        </m:r>
        <m:d>
          <m:dPr>
            <m:begChr m:val="("/>
            <m:endChr m:val=")"/>
            <m:sepChr m:val=""/>
            <m:grow/>
          </m:dPr>
          <m:e>
            <m:r>
              <m:rPr>
                <m:sty m:val="p"/>
              </m:rPr>
              <m:t>⋅</m:t>
            </m:r>
          </m:e>
        </m:d>
      </m:oMath>
      <w:r>
        <w:t xml:space="preserve"> </w:t>
      </w:r>
      <w:r>
        <w:t xml:space="preserve">vale 1 si se cumple la condición y 0 si no,</w:t>
      </w:r>
      <w:r>
        <w:t xml:space="preserve"> </w:t>
      </w:r>
      <m:oMath>
        <m:sSub>
          <m:e>
            <m:r>
              <m:t>r</m:t>
            </m:r>
          </m:e>
          <m:sub>
            <m:r>
              <m:t>k</m:t>
            </m:r>
          </m:sub>
        </m:sSub>
      </m:oMath>
      <w:r>
        <w:t xml:space="preserve"> </w:t>
      </w:r>
      <w:r>
        <w:t xml:space="preserve">es la reducción relativa del costo unitario en la iteración</w:t>
      </w:r>
      <w:r>
        <w:t xml:space="preserve"> </w:t>
      </w:r>
      <m:oMath>
        <m:r>
          <m:t>k</m:t>
        </m:r>
      </m:oMath>
      <w:r>
        <w:t xml:space="preserve"> </w:t>
      </w:r>
      <w:r>
        <w:t xml:space="preserve">y</w:t>
      </w:r>
      <w:r>
        <w:t xml:space="preserve"> </w:t>
      </w:r>
      <m:oMath>
        <m:sSup>
          <m:e>
            <m:r>
              <m:t>r</m:t>
            </m:r>
          </m:e>
          <m:sup>
            <m:r>
              <m:rPr>
                <m:sty m:val="p"/>
              </m:rPr>
              <m:t>*</m:t>
            </m:r>
          </m:sup>
        </m:sSup>
      </m:oMath>
      <w:r>
        <w:t xml:space="preserve"> </w:t>
      </w:r>
      <w:r>
        <w:t xml:space="preserve">el umbral de la hipótesis. En un modelo con tratamiento de control, en cada iteración se calculan ambas condiciones con el mismo juego de parámetros de la línea base, de modo que su diferencia solo refleja el efecto del tratamiento. La proporción de iteraciones en que la reducción alcanza el umbral es la probabilidad de cumplir la hipótesis, que expresa el grado de incertidumbre que pide la guía del docente. Una regla de decisión de la forma</w:t>
      </w:r>
      <w:r>
        <w:t xml:space="preserve"> </w:t>
      </w:r>
      <m:oMath>
        <m:acc>
          <m:accPr>
            <m:chr m:val="̂"/>
          </m:accPr>
          <m:e>
            <m:r>
              <m:t>P</m:t>
            </m:r>
          </m:e>
        </m:acc>
        <m:d>
          <m:dPr>
            <m:begChr m:val="("/>
            <m:endChr m:val=")"/>
            <m:sepChr m:val=""/>
            <m:grow/>
          </m:dPr>
          <m:e>
            <m:r>
              <m:t>r</m:t>
            </m:r>
            <m:r>
              <m:rPr>
                <m:sty m:val="p"/>
              </m:rPr>
              <m:t>≥</m:t>
            </m:r>
            <m:sSup>
              <m:e>
                <m:r>
                  <m:t>r</m:t>
                </m:r>
              </m:e>
              <m:sup>
                <m:r>
                  <m:rPr>
                    <m:sty m:val="p"/>
                  </m:rPr>
                  <m:t>*</m:t>
                </m:r>
              </m:sup>
            </m:sSup>
          </m:e>
        </m:d>
        <m:r>
          <m:rPr>
            <m:sty m:val="p"/>
          </m:rPr>
          <m:t>≥</m:t>
        </m:r>
        <m:r>
          <m:t>0</m:t>
        </m:r>
        <m:r>
          <m:rPr>
            <m:sty m:val="p"/>
          </m:rPr>
          <m:t>,</m:t>
        </m:r>
        <m:r>
          <m:t>95</m:t>
        </m:r>
      </m:oMath>
      <w:r>
        <w:t xml:space="preserve"> </w:t>
      </w:r>
      <w:r>
        <w:t xml:space="preserve">equivale a exigir que el percentil 5 de la reducción simulada sea mayor o igual que</w:t>
      </w:r>
      <w:r>
        <w:t xml:space="preserve"> </w:t>
      </w:r>
      <m:oMath>
        <m:sSup>
          <m:e>
            <m:r>
              <m:t>r</m:t>
            </m:r>
          </m:e>
          <m:sup>
            <m:r>
              <m:rPr>
                <m:sty m:val="p"/>
              </m:rPr>
              <m:t>*</m:t>
            </m:r>
          </m:sup>
        </m:sSup>
      </m:oMath>
      <w:r>
        <w:t xml:space="preserve">, y es el análogo probabilístico de un contraste unilateral con</w:t>
      </w:r>
      <w:r>
        <w:t xml:space="preserve"> </w:t>
      </w:r>
      <m:oMath>
        <m:r>
          <m:t>α</m:t>
        </m:r>
        <m:r>
          <m:rPr>
            <m:sty m:val="p"/>
          </m:rPr>
          <m:t>=</m:t>
        </m:r>
        <m:r>
          <m:t>0</m:t>
        </m:r>
        <m:r>
          <m:rPr>
            <m:sty m:val="p"/>
          </m:rPr>
          <m:t>,</m:t>
        </m:r>
        <m:r>
          <m:t>05</m:t>
        </m:r>
      </m:oMath>
      <w:r>
        <w:t xml:space="preserve"> </w:t>
      </w:r>
      <w:r>
        <w:t xml:space="preserve">(sección 2.9).</w:t>
      </w:r>
    </w:p>
    <w:p>
      <w:pPr>
        <w:pStyle w:val="Heading3"/>
      </w:pPr>
      <w:bookmarkStart w:id="113" w:name="tit84"/>
      <w:r>
        <w:t xml:space="preserve">1.10.3. Distribución triangular</w:t>
      </w:r>
      <w:bookmarkEnd w:id="113"/>
    </w:p>
    <w:p>
      <w:pPr>
        <w:pStyle w:val="FirstParagraph"/>
      </w:pPr>
      <w:r>
        <w:t xml:space="preserve">Cuando de una variable solo se conocen el rango plausible y el valor más probable, como ocurre con los datos de una sola obra o con los rangos de la literatura, se la representa con una distribución triangular de mínimo</w:t>
      </w:r>
      <w:r>
        <w:t xml:space="preserve"> </w:t>
      </w:r>
      <m:oMath>
        <m:r>
          <m:t>a</m:t>
        </m:r>
      </m:oMath>
      <w:r>
        <w:t xml:space="preserve">, moda</w:t>
      </w:r>
      <w:r>
        <w:t xml:space="preserve"> </w:t>
      </w:r>
      <m:oMath>
        <m:r>
          <m:t>m</m:t>
        </m:r>
      </m:oMath>
      <w:r>
        <w:t xml:space="preserve"> </w:t>
      </w:r>
      <w:r>
        <w:t xml:space="preserve">y máximo</w:t>
      </w:r>
      <w:r>
        <w:t xml:space="preserve"> </w:t>
      </w:r>
      <m:oMath>
        <m:r>
          <m:t>b</m:t>
        </m:r>
      </m:oMath>
      <w:r>
        <w:t xml:space="preserve">, cuya función de densidad es</w:t>
      </w:r>
    </w:p>
    <w:tbl>
      <w:tblPr>
        <w:tblW w:w="9360" w:type="dxa"/>
        <w:tblLayout w:type="fixed"/>
        <w:tblCellMar>
          <w:left w:w="0" w:type="dxa"/>
          <w:right w:w="0" w:type="dxa"/>
        </w:tblCellMar>
        <w:tblLook w:val="0000" w:firstRow="0" w:lastRow="0" w:firstColumn="0" w:lastColumn="0" w:noHBand="1" w:noVBand="1"/>
        <w:tblCaption w:val="Ecuación"/>
      </w:tblPr>
      <w:tblGrid>
        <w:gridCol w:w="1134"/>
        <w:gridCol w:w="7092"/>
        <w:gridCol w:w="1134"/>
      </w:tblGrid>
      <w:tr>
        <w:trPr>
          <w:cantSplit/>
        </w:trPr>
        <w:tc>
          <w:tcPr>
            <w:tcW w:w="1134" w:type="dxa"/>
            <w:vAlign w:val="center"/>
          </w:tcPr>
          <w:p>
            <w:pPr>
              <w:pStyle w:val="EcuacionAPA"/>
            </w:pPr>
          </w:p>
        </w:tc>
        <w:tc>
          <w:tcPr>
            <w:tcW w:w="7092" w:type="dxa"/>
            <w:vAlign w:val="center"/>
          </w:tcPr>
          <w:p>
            <w:pPr>
              <w:pStyle w:val="EcuacionAPA"/>
            </w:pPr>
            <m:oMathPara>
              <m:oMathParaPr>
                <m:jc m:val="center"/>
              </m:oMathParaPr>
              <m:oMath>
                <m:r>
                  <m:t>f</m:t>
                </m:r>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f>
                            <m:fPr>
                              <m:type m:val="bar"/>
                            </m:fPr>
                            <m:num>
                              <m:r>
                                <m:t>2</m:t>
                              </m:r>
                              <m:r>
                                <m:t> </m:t>
                              </m:r>
                              <m:d>
                                <m:dPr>
                                  <m:begChr m:val="("/>
                                  <m:endChr m:val=")"/>
                                  <m:sepChr m:val=""/>
                                  <m:grow/>
                                </m:dPr>
                                <m:e>
                                  <m:r>
                                    <m:t>x</m:t>
                                  </m:r>
                                  <m:r>
                                    <m:rPr>
                                      <m:sty m:val="p"/>
                                    </m:rPr>
                                    <m:t>−</m:t>
                                  </m:r>
                                  <m:r>
                                    <m:t>a</m:t>
                                  </m:r>
                                </m:e>
                              </m:d>
                            </m:num>
                            <m:den>
                              <m:d>
                                <m:dPr>
                                  <m:begChr m:val="("/>
                                  <m:endChr m:val=")"/>
                                  <m:sepChr m:val=""/>
                                  <m:grow/>
                                </m:dPr>
                                <m:e>
                                  <m:r>
                                    <m:t>b</m:t>
                                  </m:r>
                                  <m:r>
                                    <m:rPr>
                                      <m:sty m:val="p"/>
                                    </m:rPr>
                                    <m:t>−</m:t>
                                  </m:r>
                                  <m:r>
                                    <m:t>a</m:t>
                                  </m:r>
                                </m:e>
                              </m:d>
                              <m:d>
                                <m:dPr>
                                  <m:begChr m:val="("/>
                                  <m:endChr m:val=")"/>
                                  <m:sepChr m:val=""/>
                                  <m:grow/>
                                </m:dPr>
                                <m:e>
                                  <m:r>
                                    <m:t>m</m:t>
                                  </m:r>
                                  <m:r>
                                    <m:rPr>
                                      <m:sty m:val="p"/>
                                    </m:rPr>
                                    <m:t>−</m:t>
                                  </m:r>
                                  <m:r>
                                    <m:t>a</m:t>
                                  </m:r>
                                </m:e>
                              </m:d>
                            </m:den>
                          </m:f>
                          <m:r>
                            <m:rPr>
                              <m:sty m:val="p"/>
                            </m:rPr>
                            <m:t>,</m:t>
                          </m:r>
                        </m:e>
                        <m:e>
                          <m:r>
                            <m:t>a</m:t>
                          </m:r>
                          <m:r>
                            <m:rPr>
                              <m:sty m:val="p"/>
                            </m:rPr>
                            <m:t>≤</m:t>
                          </m:r>
                          <m:r>
                            <m:t>x</m:t>
                          </m:r>
                          <m:r>
                            <m:rPr>
                              <m:sty m:val="p"/>
                            </m:rPr>
                            <m:t>≤</m:t>
                          </m:r>
                          <m:r>
                            <m:t>m</m:t>
                          </m:r>
                        </m:e>
                      </m:mr>
                      <m:mr>
                        <m:e>
                          <m:f>
                            <m:fPr>
                              <m:type m:val="bar"/>
                            </m:fPr>
                            <m:num>
                              <m:r>
                                <m:t>2</m:t>
                              </m:r>
                              <m:r>
                                <m:t> </m:t>
                              </m:r>
                              <m:d>
                                <m:dPr>
                                  <m:begChr m:val="("/>
                                  <m:endChr m:val=")"/>
                                  <m:sepChr m:val=""/>
                                  <m:grow/>
                                </m:dPr>
                                <m:e>
                                  <m:r>
                                    <m:t>b</m:t>
                                  </m:r>
                                  <m:r>
                                    <m:rPr>
                                      <m:sty m:val="p"/>
                                    </m:rPr>
                                    <m:t>−</m:t>
                                  </m:r>
                                  <m:r>
                                    <m:t>x</m:t>
                                  </m:r>
                                </m:e>
                              </m:d>
                            </m:num>
                            <m:den>
                              <m:d>
                                <m:dPr>
                                  <m:begChr m:val="("/>
                                  <m:endChr m:val=")"/>
                                  <m:sepChr m:val=""/>
                                  <m:grow/>
                                </m:dPr>
                                <m:e>
                                  <m:r>
                                    <m:t>b</m:t>
                                  </m:r>
                                  <m:r>
                                    <m:rPr>
                                      <m:sty m:val="p"/>
                                    </m:rPr>
                                    <m:t>−</m:t>
                                  </m:r>
                                  <m:r>
                                    <m:t>a</m:t>
                                  </m:r>
                                </m:e>
                              </m:d>
                              <m:d>
                                <m:dPr>
                                  <m:begChr m:val="("/>
                                  <m:endChr m:val=")"/>
                                  <m:sepChr m:val=""/>
                                  <m:grow/>
                                </m:dPr>
                                <m:e>
                                  <m:r>
                                    <m:t>b</m:t>
                                  </m:r>
                                  <m:r>
                                    <m:rPr>
                                      <m:sty m:val="p"/>
                                    </m:rPr>
                                    <m:t>−</m:t>
                                  </m:r>
                                  <m:r>
                                    <m:t>m</m:t>
                                  </m:r>
                                </m:e>
                              </m:d>
                            </m:den>
                          </m:f>
                          <m:r>
                            <m:rPr>
                              <m:sty m:val="p"/>
                            </m:rPr>
                            <m:t>,</m:t>
                          </m:r>
                        </m:e>
                        <m:e>
                          <m:r>
                            <m:t>m</m:t>
                          </m:r>
                          <m:r>
                            <m:rPr>
                              <m:sty m:val="p"/>
                            </m:rPr>
                            <m:t>&lt;</m:t>
                          </m:r>
                          <m:r>
                            <m:t>x</m:t>
                          </m:r>
                          <m:r>
                            <m:rPr>
                              <m:sty m:val="p"/>
                            </m:rPr>
                            <m:t>≤</m:t>
                          </m:r>
                          <m:r>
                            <m:t>b</m:t>
                          </m:r>
                        </m:e>
                      </m:mr>
                    </m:m>
                  </m:e>
                </m:d>
              </m:oMath>
            </m:oMathPara>
          </w:p>
        </w:tc>
        <w:tc>
          <w:tcPr>
            <w:tcW w:w="1134" w:type="dxa"/>
            <w:vAlign w:val="center"/>
          </w:tcPr>
          <w:p>
            <w:pPr>
              <w:pStyle w:val="EcuacionAPA"/>
              <w:jc w:val="right"/>
            </w:pPr>
            <w:r>
              <w:t>(6)</w:t>
            </w:r>
          </w:p>
        </w:tc>
      </w:tr>
    </w:tbl>
    <w:p>
      <w:pPr>
        <w:pStyle w:val="FirstParagraph"/>
        <w:ind w:firstLine="0"/>
      </w:pPr>
      <w:r>
        <w:t xml:space="preserve"/>
      </w:r>
      <w:r>
        <w:t xml:space="preserve"/>
      </w:r>
      <w:r>
        <w:t xml:space="preserve">y cuyas media y varianza son</w:t>
      </w:r>
    </w:p>
    <w:tbl>
      <w:tblPr>
        <w:tblW w:w="9360" w:type="dxa"/>
        <w:tblLayout w:type="fixed"/>
        <w:tblCellMar>
          <w:left w:w="0" w:type="dxa"/>
          <w:right w:w="0" w:type="dxa"/>
        </w:tblCellMar>
        <w:tblLook w:val="0000" w:firstRow="0" w:lastRow="0" w:firstColumn="0" w:lastColumn="0" w:noHBand="1" w:noVBand="1"/>
        <w:tblCaption w:val="Ecuación"/>
      </w:tblPr>
      <w:tblGrid>
        <w:gridCol w:w="1134"/>
        <w:gridCol w:w="7092"/>
        <w:gridCol w:w="1134"/>
      </w:tblGrid>
      <w:tr>
        <w:trPr>
          <w:cantSplit/>
        </w:trPr>
        <w:tc>
          <w:tcPr>
            <w:tcW w:w="1134" w:type="dxa"/>
            <w:vAlign w:val="center"/>
          </w:tcPr>
          <w:p>
            <w:pPr>
              <w:pStyle w:val="EcuacionAPA"/>
            </w:pPr>
          </w:p>
        </w:tc>
        <w:tc>
          <w:tcPr>
            <w:tcW w:w="7092" w:type="dxa"/>
            <w:vAlign w:val="center"/>
          </w:tcPr>
          <w:p>
            <w:pPr>
              <w:pStyle w:val="EcuacionAPA"/>
            </w:pPr>
            <m:oMathPara>
              <m:oMathParaPr>
                <m:jc m:val="center"/>
              </m:oMathParaPr>
              <m:oMath>
                <m:r>
                  <m:t>E</m:t>
                </m:r>
                <m:d>
                  <m:dPr>
                    <m:begChr m:val="["/>
                    <m:endChr m:val="]"/>
                    <m:sepChr m:val=""/>
                    <m:grow/>
                  </m:dPr>
                  <m:e>
                    <m:r>
                      <m:t>X</m:t>
                    </m:r>
                  </m:e>
                </m:d>
                <m:r>
                  <m:rPr>
                    <m:sty m:val="p"/>
                  </m:rPr>
                  <m:t>=</m:t>
                </m:r>
                <m:f>
                  <m:fPr>
                    <m:type m:val="bar"/>
                  </m:fPr>
                  <m:num>
                    <m:r>
                      <m:t>a</m:t>
                    </m:r>
                    <m:r>
                      <m:rPr>
                        <m:sty m:val="p"/>
                      </m:rPr>
                      <m:t>+</m:t>
                    </m:r>
                    <m:r>
                      <m:t>m</m:t>
                    </m:r>
                    <m:r>
                      <m:rPr>
                        <m:sty m:val="p"/>
                      </m:rPr>
                      <m:t>+</m:t>
                    </m:r>
                    <m:r>
                      <m:t>b</m:t>
                    </m:r>
                  </m:num>
                  <m:den>
                    <m:r>
                      <m:t>3</m:t>
                    </m:r>
                  </m:den>
                </m:f>
                <m:r>
                  <m:rPr>
                    <m:sty m:val="p"/>
                  </m:rPr>
                  <m:t>,</m:t>
                </m:r>
                <m:r>
                  <m:t>  </m:t>
                </m:r>
                <m:r>
                  <m:rPr>
                    <m:sty m:val="p"/>
                  </m:rPr>
                  <m:t>Var</m:t>
                </m:r>
                <m:d>
                  <m:dPr>
                    <m:begChr m:val="["/>
                    <m:endChr m:val="]"/>
                    <m:sepChr m:val=""/>
                    <m:grow/>
                  </m:dPr>
                  <m:e>
                    <m:r>
                      <m:t>X</m:t>
                    </m:r>
                  </m:e>
                </m:d>
                <m:r>
                  <m:rPr>
                    <m:sty m:val="p"/>
                  </m:rPr>
                  <m:t>=</m:t>
                </m:r>
                <m:f>
                  <m:fPr>
                    <m:type m:val="bar"/>
                  </m:fPr>
                  <m:num>
                    <m:sSup>
                      <m:e>
                        <m:r>
                          <m:t>a</m:t>
                        </m:r>
                      </m:e>
                      <m:sup>
                        <m:r>
                          <m:t>2</m:t>
                        </m:r>
                      </m:sup>
                    </m:sSup>
                    <m:r>
                      <m:rPr>
                        <m:sty m:val="p"/>
                      </m:rPr>
                      <m:t>+</m:t>
                    </m:r>
                    <m:sSup>
                      <m:e>
                        <m:r>
                          <m:t>m</m:t>
                        </m:r>
                      </m:e>
                      <m:sup>
                        <m:r>
                          <m:t>2</m:t>
                        </m:r>
                      </m:sup>
                    </m:sSup>
                    <m:r>
                      <m:rPr>
                        <m:sty m:val="p"/>
                      </m:rPr>
                      <m:t>+</m:t>
                    </m:r>
                    <m:sSup>
                      <m:e>
                        <m:r>
                          <m:t>b</m:t>
                        </m:r>
                      </m:e>
                      <m:sup>
                        <m:r>
                          <m:t>2</m:t>
                        </m:r>
                      </m:sup>
                    </m:sSup>
                    <m:r>
                      <m:rPr>
                        <m:sty m:val="p"/>
                      </m:rPr>
                      <m:t>−</m:t>
                    </m:r>
                    <m:r>
                      <m:t>a</m:t>
                    </m:r>
                    <m:r>
                      <m:t>m</m:t>
                    </m:r>
                    <m:r>
                      <m:rPr>
                        <m:sty m:val="p"/>
                      </m:rPr>
                      <m:t>−</m:t>
                    </m:r>
                    <m:r>
                      <m:t>a</m:t>
                    </m:r>
                    <m:r>
                      <m:t>b</m:t>
                    </m:r>
                    <m:r>
                      <m:rPr>
                        <m:sty m:val="p"/>
                      </m:rPr>
                      <m:t>−</m:t>
                    </m:r>
                    <m:r>
                      <m:t>m</m:t>
                    </m:r>
                    <m:r>
                      <m:t>b</m:t>
                    </m:r>
                  </m:num>
                  <m:den>
                    <m:r>
                      <m:t>18</m:t>
                    </m:r>
                  </m:den>
                </m:f>
              </m:oMath>
            </m:oMathPara>
          </w:p>
        </w:tc>
        <w:tc>
          <w:tcPr>
            <w:tcW w:w="1134" w:type="dxa"/>
            <w:vAlign w:val="center"/>
          </w:tcPr>
          <w:p>
            <w:pPr>
              <w:pStyle w:val="EcuacionAPA"/>
              <w:jc w:val="right"/>
            </w:pPr>
            <w:r>
              <w:t>(7)</w:t>
            </w:r>
          </w:p>
        </w:tc>
      </w:tr>
    </w:tbl>
    <w:p>
      <w:pPr>
        <w:pStyle w:val="FirstParagraph"/>
        <w:ind w:firstLine="0"/>
      </w:pPr>
      <w:r>
        <w:t xml:space="preserve"/>
      </w:r>
      <w:r>
        <w:t xml:space="preserve"/>
      </w:r>
      <w:r>
        <w:t xml:space="preserve">Para generar valores se usa la transformación inversa: si</w:t>
      </w:r>
      <w:r>
        <w:t xml:space="preserve"> </w:t>
      </w:r>
      <m:oMath>
        <m:r>
          <m:t>u</m:t>
        </m:r>
      </m:oMath>
      <w:r>
        <w:t xml:space="preserve"> </w:t>
      </w:r>
      <w:r>
        <w:t xml:space="preserve">es un número aleatorio uniforme entre 0 y 1 y</w:t>
      </w:r>
      <w:r>
        <w:t xml:space="preserve"> </w:t>
      </w:r>
      <m:oMath>
        <m:sSub>
          <m:e>
            <m:r>
              <m:t>F</m:t>
            </m:r>
          </m:e>
          <m:sub>
            <m:r>
              <m:t>m</m:t>
            </m:r>
          </m:sub>
        </m:sSub>
        <m:r>
          <m:rPr>
            <m:sty m:val="p"/>
          </m:rPr>
          <m:t>=</m:t>
        </m:r>
        <m:d>
          <m:dPr>
            <m:begChr m:val="("/>
            <m:endChr m:val=")"/>
            <m:sepChr m:val=""/>
            <m:grow/>
          </m:dPr>
          <m:e>
            <m:r>
              <m:t>m</m:t>
            </m:r>
            <m:r>
              <m:rPr>
                <m:sty m:val="p"/>
              </m:rPr>
              <m:t>−</m:t>
            </m:r>
            <m:r>
              <m:t>a</m:t>
            </m:r>
          </m:e>
        </m:d>
        <m:r>
          <m:rPr>
            <m:sty m:val="p"/>
          </m:rPr>
          <m:t>/</m:t>
        </m:r>
        <m:d>
          <m:dPr>
            <m:begChr m:val="("/>
            <m:endChr m:val=")"/>
            <m:sepChr m:val=""/>
            <m:grow/>
          </m:dPr>
          <m:e>
            <m:r>
              <m:t>b</m:t>
            </m:r>
            <m:r>
              <m:rPr>
                <m:sty m:val="p"/>
              </m:rPr>
              <m:t>−</m:t>
            </m:r>
            <m:r>
              <m:t>a</m:t>
            </m:r>
          </m:e>
        </m:d>
      </m:oMath>
      <w:r>
        <w:t xml:space="preserve">, el valor simulado es</w:t>
      </w:r>
      <w:r>
        <w:t xml:space="preserve"> </w:t>
      </w:r>
      <m:oMath>
        <m:r>
          <m:t>x</m:t>
        </m:r>
        <m:r>
          <m:rPr>
            <m:sty m:val="p"/>
          </m:rPr>
          <m:t>=</m:t>
        </m:r>
        <m:r>
          <m:t>a</m:t>
        </m:r>
        <m:r>
          <m:rPr>
            <m:sty m:val="p"/>
          </m:rPr>
          <m:t>+</m:t>
        </m:r>
        <m:rad>
          <m:radPr>
            <m:degHide m:val="on"/>
          </m:radPr>
          <m:deg/>
          <m:e>
            <m:r>
              <m:t>u</m:t>
            </m:r>
            <m:r>
              <m:t> </m:t>
            </m:r>
            <m:d>
              <m:dPr>
                <m:begChr m:val="("/>
                <m:endChr m:val=")"/>
                <m:sepChr m:val=""/>
                <m:grow/>
              </m:dPr>
              <m:e>
                <m:r>
                  <m:t>b</m:t>
                </m:r>
                <m:r>
                  <m:rPr>
                    <m:sty m:val="p"/>
                  </m:rPr>
                  <m:t>−</m:t>
                </m:r>
                <m:r>
                  <m:t>a</m:t>
                </m:r>
              </m:e>
            </m:d>
            <m:d>
              <m:dPr>
                <m:begChr m:val="("/>
                <m:endChr m:val=")"/>
                <m:sepChr m:val=""/>
                <m:grow/>
              </m:dPr>
              <m:e>
                <m:r>
                  <m:t>m</m:t>
                </m:r>
                <m:r>
                  <m:rPr>
                    <m:sty m:val="p"/>
                  </m:rPr>
                  <m:t>−</m:t>
                </m:r>
                <m:r>
                  <m:t>a</m:t>
                </m:r>
              </m:e>
            </m:d>
          </m:e>
        </m:rad>
      </m:oMath>
      <w:r>
        <w:t xml:space="preserve"> </w:t>
      </w:r>
      <w:r>
        <w:t xml:space="preserve">cuando</w:t>
      </w:r>
      <w:r>
        <w:t xml:space="preserve"> </w:t>
      </w:r>
      <m:oMath>
        <m:r>
          <m:t>u</m:t>
        </m:r>
        <m:r>
          <m:rPr>
            <m:sty m:val="p"/>
          </m:rPr>
          <m:t>≤</m:t>
        </m:r>
        <m:sSub>
          <m:e>
            <m:r>
              <m:t>F</m:t>
            </m:r>
          </m:e>
          <m:sub>
            <m:r>
              <m:t>m</m:t>
            </m:r>
          </m:sub>
        </m:sSub>
      </m:oMath>
      <w:r>
        <w:t xml:space="preserve">, y</w:t>
      </w:r>
      <w:r>
        <w:t xml:space="preserve"> </w:t>
      </w:r>
      <m:oMath>
        <m:r>
          <m:t>x</m:t>
        </m:r>
        <m:r>
          <m:rPr>
            <m:sty m:val="p"/>
          </m:rPr>
          <m:t>=</m:t>
        </m:r>
        <m:r>
          <m:t>b</m:t>
        </m:r>
        <m:r>
          <m:rPr>
            <m:sty m:val="p"/>
          </m:rPr>
          <m:t>−</m:t>
        </m:r>
        <m:rad>
          <m:radPr>
            <m:degHide m:val="on"/>
          </m:radPr>
          <m:deg/>
          <m:e>
            <m:d>
              <m:dPr>
                <m:begChr m:val="("/>
                <m:endChr m:val=")"/>
                <m:sepChr m:val=""/>
                <m:grow/>
              </m:dPr>
              <m:e>
                <m:r>
                  <m:t>1</m:t>
                </m:r>
                <m:r>
                  <m:rPr>
                    <m:sty m:val="p"/>
                  </m:rPr>
                  <m:t>−</m:t>
                </m:r>
                <m:r>
                  <m:t>u</m:t>
                </m:r>
              </m:e>
            </m:d>
            <m:d>
              <m:dPr>
                <m:begChr m:val="("/>
                <m:endChr m:val=")"/>
                <m:sepChr m:val=""/>
                <m:grow/>
              </m:dPr>
              <m:e>
                <m:r>
                  <m:t>b</m:t>
                </m:r>
                <m:r>
                  <m:rPr>
                    <m:sty m:val="p"/>
                  </m:rPr>
                  <m:t>−</m:t>
                </m:r>
                <m:r>
                  <m:t>a</m:t>
                </m:r>
              </m:e>
            </m:d>
            <m:d>
              <m:dPr>
                <m:begChr m:val="("/>
                <m:endChr m:val=")"/>
                <m:sepChr m:val=""/>
                <m:grow/>
              </m:dPr>
              <m:e>
                <m:r>
                  <m:t>b</m:t>
                </m:r>
                <m:r>
                  <m:rPr>
                    <m:sty m:val="p"/>
                  </m:rPr>
                  <m:t>−</m:t>
                </m:r>
                <m:r>
                  <m:t>m</m:t>
                </m:r>
              </m:e>
            </m:d>
          </m:e>
        </m:rad>
      </m:oMath>
      <w:r>
        <w:t xml:space="preserve"> </w:t>
      </w:r>
      <w:r>
        <w:t xml:space="preserve">en caso contrario. La distribución es fácil de justificar con datos limitados, pero los resultados dependen de los extremos elegidos y no admite valores fuera del rango; ambas limitaciones se controlan con el análisis de sensibilidad.</w:t>
      </w:r>
    </w:p>
    <w:p>
      <w:pPr>
        <w:pStyle w:val="Heading3"/>
      </w:pPr>
      <w:bookmarkStart w:id="114" w:name="tit85"/>
      <w:r>
        <w:t xml:space="preserve">1.10.4. Convergencia y análisis de sensibilidad</w:t>
      </w:r>
      <w:bookmarkEnd w:id="114"/>
    </w:p>
    <w:p>
      <w:pPr>
        <w:pStyle w:val="FirstParagraph"/>
      </w:pPr>
      <w:r>
        <w:t xml:space="preserve">La convergencia indica si el número de iteraciones es suficiente. Se verifica con la estimación acumulada de la media y de la probabilidad de interés a medida que crece</w:t>
      </w:r>
      <w:r>
        <w:t xml:space="preserve"> </w:t>
      </w:r>
      <m:oMath>
        <m:r>
          <m:t>N</m:t>
        </m:r>
      </m:oMath>
      <w:r>
        <w:t xml:space="preserve">: la simulación ha convergido cuando las curvas se estabilizan y la semiamplitud del intervalo de confianza al 95 % es menor que la precisión buscada. Para una probabilidad, esa semiamplitud nunca supera</w:t>
      </w:r>
      <w:r>
        <w:t xml:space="preserve"> </w:t>
      </w:r>
      <m:oMath>
        <m:r>
          <m:t>1</m:t>
        </m:r>
        <m:r>
          <m:rPr>
            <m:sty m:val="p"/>
          </m:rPr>
          <m:t>,</m:t>
        </m:r>
        <m:r>
          <m:t>96</m:t>
        </m:r>
        <m:r>
          <m:rPr>
            <m:sty m:val="p"/>
          </m:rPr>
          <m:t>×</m:t>
        </m:r>
        <m:r>
          <m:t>0</m:t>
        </m:r>
        <m:r>
          <m:rPr>
            <m:sty m:val="p"/>
          </m:rPr>
          <m:t>,</m:t>
        </m:r>
        <m:r>
          <m:t>5</m:t>
        </m:r>
        <m:r>
          <m:rPr>
            <m:sty m:val="p"/>
          </m:rPr>
          <m:t>/</m:t>
        </m:r>
        <m:rad>
          <m:radPr>
            <m:degHide m:val="on"/>
          </m:radPr>
          <m:deg/>
          <m:e>
            <m:r>
              <m:t>N</m:t>
            </m:r>
          </m:e>
        </m:rad>
      </m:oMath>
      <w:r>
        <w:t xml:space="preserve">; con 10.000 iteraciones, por ejemplo, es de 0,0098 como máximo (cálculo propio). Para que los resultados sean reproducibles, el generador de números aleatorios se inicia con una semilla fija.</w:t>
      </w:r>
    </w:p>
    <w:p>
      <w:pPr>
        <w:pStyle w:val="BodyText"/>
      </w:pPr>
      <w:r>
        <w:t xml:space="preserve">El análisis de sensibilidad identifica qué entradas explican la incertidumbre de la salida. En la técnica de un factor a la vez, cada parámetro se lleva a su mínimo y a su máximo mientras los demás quedan en su moda, y las variaciones de la salida se ordenan en un diagrama de tornado; en la correlación de rangos de Spearman, se mide la asociación monótona entre los valores simulados de cada entrada y los de la salida. Ambas señalan qué parámetros conviene medir mejor y si la conclusión se mantiene dentro de los rangos plausibles. Por último, un resultado</w:t>
      </w:r>
      <w:r>
        <w:t xml:space="preserve"> </w:t>
      </w:r>
      <w:r>
        <w:rPr>
          <w:iCs/>
          <w:i/>
        </w:rPr>
        <w:t xml:space="preserve">ex ante</w:t>
      </w:r>
      <w:r>
        <w:t xml:space="preserve"> </w:t>
      </w:r>
      <w:r>
        <w:t xml:space="preserve">es condicional a sus supuestos: debe acompañarse de la verificación del código frente a un cálculo manual y de un protocolo para contrastarlo con mediciones reales cuando la obra se ejecute (sección 2.9.1).</w:t>
      </w:r>
    </w:p>
    <w:p>
      <w:pPr>
        <w:pStyle w:val="Heading2"/>
      </w:pPr>
      <w:bookmarkStart w:id="116" w:name="tit86"/>
      <w:r>
        <w:t xml:space="preserve">1.11. Definición de términos básicos</w:t>
      </w:r>
      <w:bookmarkEnd w:id="116"/>
    </w:p>
    <w:p>
      <w:pPr>
        <w:pStyle w:val="FirstParagraph"/>
      </w:pPr>
      <w:r>
        <w:t xml:space="preserve">La Tabla 15 define los términos que se usan con un sentido preciso en esta tesis. Las definiciones de gestión de la calidad siguen el vocabulario de la familia ISO 9000 en la formulación que recogen las fuentes citadas; las técnicas, las de las normas y fichas aplicables a la losa.</w:t>
      </w:r>
    </w:p>
    <w:p>
      <w:pPr>
        <w:pStyle w:val="Caption"/>
      </w:pPr>
      <w:bookmarkStart w:id="1411" w:name="tab15"/>
      <w:r>
        <w:t xml:space="preserve"/>
      </w:r>
      <w:r>
        <w:rPr>
          <w:bCs/>
          <w:b/>
        </w:rPr>
        <w:t xml:space="preserve">Tabla 15</w:t>
      </w:r>
      <w:r>
        <w:br/>
      </w:r>
      <w:r>
        <w:rPr>
          <w:iCs/>
          <w:i/>
        </w:rPr>
        <w:t xml:space="preserve">Definición de términos básicos</w:t>
      </w:r>
      <w:bookmarkEnd w:id="1411"/>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1967"/>
        <w:gridCol w:w="7393"/>
      </w:tblGrid>
      <w:tr>
        <w:trPr>
          <w:cantSplit/>
          <w:tblHeader w:val="true"/>
        </w:trPr>
        <w:tc>
          <w:tcPr>
            <w:tcW w:w="1967" w:type="dxa"/>
            <w:tcBorders>
              <w:top w:val="single" w:sz="8" w:space="0" w:color="000000"/>
              <w:bottom w:val="single" w:sz="4" w:space="0" w:color="000000"/>
            </w:tcBorders>
          </w:tcPr>
          <w:p>
            <w:pPr>
              <w:pStyle w:val="CeldaAPA"/>
              <w:jc w:val="center"/>
            </w:pPr>
            <w:r>
              <w:rPr>
                <w:bCs/>
                <w:b/>
              </w:rPr>
              <w:t xml:space="preserve">Término</w:t>
            </w:r>
          </w:p>
        </w:tc>
        <w:tc>
          <w:tcPr>
            <w:tcW w:w="7393" w:type="dxa"/>
            <w:tcBorders>
              <w:top w:val="single" w:sz="8" w:space="0" w:color="000000"/>
              <w:bottom w:val="single" w:sz="4" w:space="0" w:color="000000"/>
            </w:tcBorders>
          </w:tcPr>
          <w:p>
            <w:pPr>
              <w:pStyle w:val="CeldaAPA"/>
              <w:jc w:val="center"/>
            </w:pPr>
            <w:r>
              <w:rPr>
                <w:bCs/>
                <w:b/>
              </w:rPr>
              <w:t xml:space="preserve">Definición</w:t>
            </w:r>
          </w:p>
        </w:tc>
      </w:tr>
      <w:tr>
        <w:tc>
          <w:tcPr>
            <w:tcW w:w="1967" w:type="dxa"/>
          </w:tcPr>
          <w:p>
            <w:pPr>
              <w:pStyle w:val="CeldaAPA"/>
              <w:jc w:val="left"/>
            </w:pPr>
            <w:r>
              <w:rPr/>
              <w:t xml:space="preserve">Calidad</w:t>
            </w:r>
          </w:p>
        </w:tc>
        <w:tc>
          <w:tcPr>
            <w:tcW w:w="7393" w:type="dxa"/>
          </w:tcPr>
          <w:p>
            <w:pPr>
              <w:pStyle w:val="CeldaAPA"/>
              <w:jc w:val="left"/>
            </w:pPr>
            <w:r>
              <w:rPr/>
              <w:t xml:space="preserve">Grado en que un conjunto de características inherentes de un producto, servicio o proceso cumple con los requisitos establecidos</w:t>
            </w:r>
            <w:r>
              <w:rPr/>
              <w:t xml:space="preserve"> </w:t>
            </w:r>
            <w:r>
              <w:rPr/>
              <w:t xml:space="preserve">(Mamani Calsina, 2025, p. 21)</w:t>
            </w:r>
            <w:r>
              <w:rPr/>
              <w:t xml:space="preserve">; en la losa, los de los planos, las especificaciones, las normas y el contrato.</w:t>
            </w:r>
          </w:p>
        </w:tc>
      </w:tr>
      <w:tr>
        <w:tc>
          <w:tcPr>
            <w:tcW w:w="1967" w:type="dxa"/>
          </w:tcPr>
          <w:p>
            <w:pPr>
              <w:pStyle w:val="CeldaAPA"/>
              <w:jc w:val="left"/>
            </w:pPr>
            <w:r>
              <w:rPr/>
              <w:t xml:space="preserve">Conformidad</w:t>
            </w:r>
          </w:p>
        </w:tc>
        <w:tc>
          <w:tcPr>
            <w:tcW w:w="7393" w:type="dxa"/>
          </w:tcPr>
          <w:p>
            <w:pPr>
              <w:pStyle w:val="CeldaAPA"/>
              <w:jc w:val="left"/>
            </w:pPr>
            <w:r>
              <w:rPr/>
              <w:t xml:space="preserve">Cumplimiento de un requisito</w:t>
            </w:r>
            <w:r>
              <w:rPr/>
              <w:t xml:space="preserve"> </w:t>
            </w:r>
            <w:r>
              <w:rPr/>
              <w:t xml:space="preserve">(Zurita Ferrel, 2024, p. 31)</w:t>
            </w:r>
            <w:r>
              <w:rPr/>
              <w:t xml:space="preserve">. En la obra se deja registrada; por ejemplo, la del material recibido, con la firma del documento de entrega</w:t>
            </w:r>
            <w:r>
              <w:rPr/>
              <w:t xml:space="preserve"> </w:t>
            </w:r>
            <w:r>
              <w:rPr/>
              <w:t xml:space="preserve">(Muro Núñez, 2020, anexo 4)</w:t>
            </w:r>
            <w:r>
              <w:rPr/>
              <w:t xml:space="preserve">.</w:t>
            </w:r>
          </w:p>
        </w:tc>
      </w:tr>
      <w:tr>
        <w:tc>
          <w:tcPr>
            <w:tcW w:w="1967" w:type="dxa"/>
          </w:tcPr>
          <w:p>
            <w:pPr>
              <w:pStyle w:val="CeldaAPA"/>
              <w:jc w:val="left"/>
            </w:pPr>
            <w:r>
              <w:rPr/>
              <w:t xml:space="preserve">No conformidad</w:t>
            </w:r>
          </w:p>
        </w:tc>
        <w:tc>
          <w:tcPr>
            <w:tcW w:w="7393" w:type="dxa"/>
          </w:tcPr>
          <w:p>
            <w:pPr>
              <w:pStyle w:val="CeldaAPA"/>
              <w:jc w:val="left"/>
            </w:pPr>
            <w:r>
              <w:rPr/>
              <w:t xml:space="preserve">Incumplimiento de un requisito especificado</w:t>
            </w:r>
            <w:r>
              <w:rPr/>
              <w:t xml:space="preserve"> </w:t>
            </w:r>
            <w:r>
              <w:rPr/>
              <w:t xml:space="preserve">(Mamani Calsina, 2025, p. 21)</w:t>
            </w:r>
            <w:r>
              <w:rPr/>
              <w:t xml:space="preserve">. Con base en la ISO 9000:2005,</w:t>
            </w:r>
            <w:r>
              <w:rPr/>
              <w:t xml:space="preserve"> </w:t>
            </w:r>
            <w:r>
              <w:rPr/>
              <w:t xml:space="preserve">Forcada et al. (2017, p. 2)</w:t>
            </w:r>
            <w:r>
              <w:rPr/>
              <w:t xml:space="preserve"> </w:t>
            </w:r>
            <w:r>
              <w:rPr/>
              <w:t xml:space="preserve">distinguen el defecto: el incumplimiento de un requisito asociado a un uso previsto. El contrato llama trabajo defectuoso a toda parte de la obra que no cumple las especificaciones, los planos u otros documentos</w:t>
            </w:r>
            <w:r>
              <w:rPr/>
              <w:t xml:space="preserve"> </w:t>
            </w:r>
            <w:r>
              <w:rPr/>
              <w:t xml:space="preserve">(MEFP, 2022, cláusula 26.12, p. 74)</w:t>
            </w:r>
            <w:r>
              <w:rPr/>
              <w:t xml:space="preserve">.</w:t>
            </w:r>
          </w:p>
        </w:tc>
      </w:tr>
      <w:tr>
        <w:tc>
          <w:tcPr>
            <w:tcW w:w="1967" w:type="dxa"/>
          </w:tcPr>
          <w:p>
            <w:pPr>
              <w:pStyle w:val="CeldaAPA"/>
              <w:jc w:val="left"/>
            </w:pPr>
            <w:r>
              <w:rPr/>
              <w:t xml:space="preserve">Acción correctiva</w:t>
            </w:r>
          </w:p>
        </w:tc>
        <w:tc>
          <w:tcPr>
            <w:tcW w:w="7393" w:type="dxa"/>
          </w:tcPr>
          <w:p>
            <w:pPr>
              <w:pStyle w:val="CeldaAPA"/>
              <w:jc w:val="left"/>
            </w:pPr>
            <w:r>
              <w:rPr/>
              <w:t xml:space="preserve">Medida para eliminar la causa raíz de una no conformidad</w:t>
            </w:r>
            <w:r>
              <w:rPr/>
              <w:t xml:space="preserve"> </w:t>
            </w:r>
            <w:r>
              <w:rPr/>
              <w:t xml:space="preserve">(Mamani Calsina, 2025, p. 21)</w:t>
            </w:r>
            <w:r>
              <w:rPr/>
              <w:t xml:space="preserve">, de modo que el problema no se repita</w:t>
            </w:r>
            <w:r>
              <w:rPr/>
              <w:t xml:space="preserve"> </w:t>
            </w:r>
            <w:r>
              <w:rPr/>
              <w:t xml:space="preserve">(Mamani Calsina, 2025, p. 19)</w:t>
            </w:r>
            <w:r>
              <w:rPr/>
              <w:t xml:space="preserve">. Se distingue del tratamiento del producto no conforme: reproceso con nuevo control, aceptación o rechazo</w:t>
            </w:r>
            <w:r>
              <w:rPr/>
              <w:t xml:space="preserve"> </w:t>
            </w:r>
            <w:r>
              <w:rPr/>
              <w:t xml:space="preserve">(Peña Callisaya, 2024, p. 140)</w:t>
            </w:r>
            <w:r>
              <w:rPr/>
              <w:t xml:space="preserve">.</w:t>
            </w:r>
          </w:p>
        </w:tc>
      </w:tr>
      <w:tr>
        <w:tc>
          <w:tcPr>
            <w:tcW w:w="1967" w:type="dxa"/>
          </w:tcPr>
          <w:p>
            <w:pPr>
              <w:pStyle w:val="CeldaAPA"/>
              <w:jc w:val="left"/>
            </w:pPr>
            <w:r>
              <w:rPr/>
              <w:t xml:space="preserve">Desperdicio</w:t>
            </w:r>
          </w:p>
        </w:tc>
        <w:tc>
          <w:tcPr>
            <w:tcW w:w="7393" w:type="dxa"/>
          </w:tcPr>
          <w:p>
            <w:pPr>
              <w:pStyle w:val="CeldaAPA"/>
              <w:jc w:val="left"/>
            </w:pPr>
            <w:r>
              <w:rPr/>
              <w:t xml:space="preserve">Consumo de un material en cantidades mayores que las necesarias según los documentos técnicos</w:t>
            </w:r>
            <w:r>
              <w:rPr/>
              <w:t xml:space="preserve"> </w:t>
            </w:r>
            <w:r>
              <w:rPr/>
              <w:t xml:space="preserve">(Galarza Meza, 2011, p. 9)</w:t>
            </w:r>
            <w:r>
              <w:rPr/>
              <w:t xml:space="preserve">; en sentido amplio, toda pérdida producida por actividades que generan costos sin agregar valor</w:t>
            </w:r>
            <w:r>
              <w:rPr/>
              <w:t xml:space="preserve"> </w:t>
            </w:r>
            <w:r>
              <w:rPr/>
              <w:t xml:space="preserve">(Formoso et al., 1999, p. 328)</w:t>
            </w:r>
            <w:r>
              <w:rPr/>
              <w:t xml:space="preserve">.</w:t>
            </w:r>
          </w:p>
        </w:tc>
      </w:tr>
      <w:tr>
        <w:tc>
          <w:tcPr>
            <w:tcW w:w="1967" w:type="dxa"/>
          </w:tcPr>
          <w:p>
            <w:pPr>
              <w:pStyle w:val="CeldaAPA"/>
              <w:jc w:val="left"/>
            </w:pPr>
            <w:r>
              <w:rPr/>
              <w:t xml:space="preserve">Pérdida</w:t>
            </w:r>
          </w:p>
        </w:tc>
        <w:tc>
          <w:tcPr>
            <w:tcW w:w="7393" w:type="dxa"/>
          </w:tcPr>
          <w:p>
            <w:pPr>
              <w:pStyle w:val="CeldaAPA"/>
              <w:jc w:val="left"/>
            </w:pPr>
            <w:r>
              <w:rPr/>
              <w:t xml:space="preserve">Operación o consumo de recursos que no agrega valor; la pérdida de materiales es la diferencia entre la cantidad empleada y la necesaria según el diseño</w:t>
            </w:r>
            <w:r>
              <w:rPr/>
              <w:t xml:space="preserve"> </w:t>
            </w:r>
            <w:r>
              <w:rPr/>
              <w:t xml:space="preserve">(Rossi et al., 2001, Sección 2)</w:t>
            </w:r>
            <w:r>
              <w:rPr/>
              <w:t xml:space="preserve">. Puede ser directa (desmonte) o indirecta</w:t>
            </w:r>
            <w:r>
              <w:rPr/>
              <w:t xml:space="preserve"> </w:t>
            </w:r>
            <w:r>
              <w:rPr/>
              <w:t xml:space="preserve">(Ccoyllo Sifuentes, 2016, p. 15)</w:t>
            </w:r>
            <w:r>
              <w:rPr/>
              <w:t xml:space="preserve">, llamada también pérdida incorporada</w:t>
            </w:r>
            <w:r>
              <w:rPr/>
              <w:t xml:space="preserve"> </w:t>
            </w:r>
            <w:r>
              <w:rPr/>
              <w:t xml:space="preserve">(Maciel et al., 2016, p. 106)</w:t>
            </w:r>
            <w:r>
              <w:rPr/>
              <w:t xml:space="preserve">.</w:t>
            </w:r>
          </w:p>
        </w:tc>
      </w:tr>
      <w:tr>
        <w:tc>
          <w:tcPr>
            <w:tcW w:w="1967" w:type="dxa"/>
          </w:tcPr>
          <w:p>
            <w:pPr>
              <w:pStyle w:val="CeldaAPA"/>
              <w:jc w:val="left"/>
            </w:pPr>
            <w:r>
              <w:rPr/>
              <w:t xml:space="preserve">Retrabajo</w:t>
            </w:r>
          </w:p>
        </w:tc>
        <w:tc>
          <w:tcPr>
            <w:tcW w:w="7393" w:type="dxa"/>
          </w:tcPr>
          <w:p>
            <w:pPr>
              <w:pStyle w:val="CeldaAPA"/>
              <w:jc w:val="left"/>
            </w:pPr>
            <w:r>
              <w:rPr/>
              <w:t xml:space="preserve">Esfuerzo innecesario de rehacer una actividad que se ejecutó incorrectamente la primera vez, según la definición que adoptan</w:t>
            </w:r>
            <w:r>
              <w:rPr/>
              <w:t xml:space="preserve"> </w:t>
            </w:r>
            <w:r>
              <w:rPr/>
              <w:t xml:space="preserve">Forcada et al. (2017, p. 2)</w:t>
            </w:r>
            <w:r>
              <w:rPr/>
              <w:t xml:space="preserve">; su costo es un costo de falla.</w:t>
            </w:r>
          </w:p>
        </w:tc>
      </w:tr>
      <w:tr>
        <w:tc>
          <w:tcPr>
            <w:tcW w:w="1967" w:type="dxa"/>
          </w:tcPr>
          <w:p>
            <w:pPr>
              <w:pStyle w:val="CeldaAPA"/>
              <w:jc w:val="left"/>
            </w:pPr>
            <w:r>
              <w:rPr/>
              <w:t xml:space="preserve">Costo de no calidad</w:t>
            </w:r>
          </w:p>
        </w:tc>
        <w:tc>
          <w:tcPr>
            <w:tcW w:w="7393" w:type="dxa"/>
          </w:tcPr>
          <w:p>
            <w:pPr>
              <w:pStyle w:val="CeldaAPA"/>
              <w:jc w:val="left"/>
            </w:pPr>
            <w:r>
              <w:rPr/>
              <w:t xml:space="preserve">Suma de los costos de falla interna y externa (costos de no conformidad); con los de prevención y evaluación forma el costo total de la calidad</w:t>
            </w:r>
            <w:r>
              <w:rPr/>
              <w:t xml:space="preserve"> </w:t>
            </w:r>
            <w:r>
              <w:rPr/>
              <w:t xml:space="preserve">(Zurita Ferrel, 2024, p. 150)</w:t>
            </w:r>
            <w:r>
              <w:rPr/>
              <w:t xml:space="preserve"> </w:t>
            </w:r>
            <w:r>
              <w:rPr/>
              <w:t xml:space="preserve">(ecuación 1).</w:t>
            </w:r>
          </w:p>
        </w:tc>
      </w:tr>
      <w:tr>
        <w:tc>
          <w:tcPr>
            <w:tcW w:w="1967" w:type="dxa"/>
          </w:tcPr>
          <w:p>
            <w:pPr>
              <w:pStyle w:val="CeldaAPA"/>
              <w:jc w:val="left"/>
            </w:pPr>
            <w:r>
              <w:rPr/>
              <w:t xml:space="preserve">Punto de inspección</w:t>
            </w:r>
          </w:p>
        </w:tc>
        <w:tc>
          <w:tcPr>
            <w:tcW w:w="7393" w:type="dxa"/>
          </w:tcPr>
          <w:p>
            <w:pPr>
              <w:pStyle w:val="CeldaAPA"/>
              <w:jc w:val="left"/>
            </w:pPr>
            <w:r>
              <w:rPr/>
              <w:t xml:space="preserve">Control del PPI con criterio de aprobación, lote, frecuencia y responsable definidos; los puntos de parada obligan a detener la actividad hasta obtener la conformidad</w:t>
            </w:r>
            <w:r>
              <w:rPr/>
              <w:t xml:space="preserve"> </w:t>
            </w:r>
            <w:r>
              <w:rPr/>
              <w:t xml:space="preserve">(Muro Núñez, 2020, anexo 4)</w:t>
            </w:r>
            <w:r>
              <w:rPr/>
              <w:t xml:space="preserve">. La inspección comprende observar, verificar y documentar la conformidad con los documentos de construcción</w:t>
            </w:r>
            <w:r>
              <w:rPr/>
              <w:t xml:space="preserve"> </w:t>
            </w:r>
            <w:r>
              <w:rPr/>
              <w:t xml:space="preserve">(ACI Committee 318, 2025, Sección 2.3)</w:t>
            </w:r>
            <w:r>
              <w:rPr/>
              <w:t xml:space="preserve">.</w:t>
            </w:r>
          </w:p>
        </w:tc>
      </w:tr>
      <w:tr>
        <w:tc>
          <w:tcPr>
            <w:tcW w:w="1967" w:type="dxa"/>
          </w:tcPr>
          <w:p>
            <w:pPr>
              <w:pStyle w:val="CeldaAPA"/>
              <w:jc w:val="left"/>
            </w:pPr>
            <w:r>
              <w:rPr/>
              <w:t xml:space="preserve">Liberación</w:t>
            </w:r>
          </w:p>
        </w:tc>
        <w:tc>
          <w:tcPr>
            <w:tcW w:w="7393" w:type="dxa"/>
          </w:tcPr>
          <w:p>
            <w:pPr>
              <w:pStyle w:val="CeldaAPA"/>
              <w:jc w:val="left"/>
            </w:pPr>
            <w:r>
              <w:rPr/>
              <w:t xml:space="preserve">Aprobación documentada de una partida, verificada con su protocolo, que autoriza la actividad siguiente; si no se aprueba, se observa, se corrige y se verifica de nuevo</w:t>
            </w:r>
            <w:r>
              <w:rPr/>
              <w:t xml:space="preserve"> </w:t>
            </w:r>
            <w:r>
              <w:rPr/>
              <w:t xml:space="preserve">(Gudiel Cairampoma y Solis Puente, 2020, pp. 62–64)</w:t>
            </w:r>
            <w:r>
              <w:rPr/>
              <w:t xml:space="preserve">.</w:t>
            </w:r>
          </w:p>
        </w:tc>
      </w:tr>
      <w:tr>
        <w:tc>
          <w:tcPr>
            <w:tcW w:w="1967" w:type="dxa"/>
          </w:tcPr>
          <w:p>
            <w:pPr>
              <w:pStyle w:val="CeldaAPA"/>
              <w:jc w:val="left"/>
            </w:pPr>
            <w:r>
              <w:rPr/>
              <w:t xml:space="preserve">Trazabilidad</w:t>
            </w:r>
          </w:p>
        </w:tc>
        <w:tc>
          <w:tcPr>
            <w:tcW w:w="7393" w:type="dxa"/>
          </w:tcPr>
          <w:p>
            <w:pPr>
              <w:pStyle w:val="CeldaAPA"/>
              <w:jc w:val="left"/>
            </w:pPr>
            <w:r>
              <w:rPr/>
              <w:t xml:space="preserve">Capacidad de conocer la localización de un material colocado en la obra mediante una identificación registrada</w:t>
            </w:r>
            <w:r>
              <w:rPr/>
              <w:t xml:space="preserve"> </w:t>
            </w:r>
            <w:r>
              <w:rPr/>
              <w:t xml:space="preserve">(Muro Núñez, 2020, anexo 4)</w:t>
            </w:r>
            <w:r>
              <w:rPr/>
              <w:t xml:space="preserve">. En las viguetas incluye la fecha de producción, el número de lote, la medida y la serie, y enlaza el producto con sus registros de producción y entrega</w:t>
            </w:r>
            <w:r>
              <w:rPr/>
              <w:t xml:space="preserve"> </w:t>
            </w:r>
            <w:r>
              <w:rPr/>
              <w:t xml:space="preserve">(Capcha Canaza, 2016, p. 117)</w:t>
            </w:r>
            <w:r>
              <w:rPr/>
              <w:t xml:space="preserve">.</w:t>
            </w:r>
          </w:p>
        </w:tc>
      </w:tr>
      <w:tr>
        <w:tc>
          <w:tcPr>
            <w:tcW w:w="1967" w:type="dxa"/>
          </w:tcPr>
          <w:p>
            <w:pPr>
              <w:pStyle w:val="CeldaAPA"/>
              <w:jc w:val="left"/>
            </w:pPr>
            <w:r>
              <w:rPr/>
              <w:t xml:space="preserve">Lote</w:t>
            </w:r>
          </w:p>
        </w:tc>
        <w:tc>
          <w:tcPr>
            <w:tcW w:w="7393" w:type="dxa"/>
          </w:tcPr>
          <w:p>
            <w:pPr>
              <w:pStyle w:val="CeldaAPA"/>
              <w:jc w:val="left"/>
            </w:pPr>
            <w:r>
              <w:rPr/>
              <w:t xml:space="preserve">Parte de la obra o conjunto de unidades de un material que se inspecciona y ensaya como una unidad según el PPI</w:t>
            </w:r>
            <w:r>
              <w:rPr/>
              <w:t xml:space="preserve"> </w:t>
            </w:r>
            <w:r>
              <w:rPr/>
              <w:t xml:space="preserve">(Muro Núñez, 2020, anexo 4)</w:t>
            </w:r>
            <w:r>
              <w:rPr/>
              <w:t xml:space="preserve">. En el hormigón, la frecuencia mínima de muestreo se fija por día, por volumen y, en losas, por superficie</w:t>
            </w:r>
            <w:r>
              <w:rPr/>
              <w:t xml:space="preserve"> </w:t>
            </w:r>
            <w:r>
              <w:rPr/>
              <w:t xml:space="preserve">(ACI Committee 318, 2025, Sección 26.12.2.1)</w:t>
            </w:r>
            <w:r>
              <w:rPr/>
              <w:t xml:space="preserve">.</w:t>
            </w:r>
          </w:p>
        </w:tc>
      </w:tr>
      <w:tr>
        <w:tc>
          <w:tcPr>
            <w:tcW w:w="1967" w:type="dxa"/>
          </w:tcPr>
          <w:p>
            <w:pPr>
              <w:pStyle w:val="CeldaAPA"/>
              <w:jc w:val="left"/>
            </w:pPr>
            <w:r>
              <w:rPr/>
              <w:t xml:space="preserve">Resistencia especificada (</w:t>
            </w:r>
            <m:oMath>
              <m:r>
                <m:t>f</m:t>
              </m:r>
              <m:sSub>
                <m:e>
                  <m:r>
                    <m:rPr>
                      <m:sty m:val="p"/>
                    </m:rPr>
                    <m:t>′</m:t>
                  </m:r>
                </m:e>
                <m:sub>
                  <m:r>
                    <m:t>c</m:t>
                  </m:r>
                </m:sub>
              </m:sSub>
            </m:oMath>
            <w:r>
              <w:rPr/>
              <w:t xml:space="preserve">)</w:t>
            </w:r>
          </w:p>
        </w:tc>
        <w:tc>
          <w:tcPr>
            <w:tcW w:w="7393" w:type="dxa"/>
          </w:tcPr>
          <w:p>
            <w:pPr>
              <w:pStyle w:val="CeldaAPA"/>
              <w:jc w:val="left"/>
            </w:pPr>
            <w:r>
              <w:rPr/>
              <w:t xml:space="preserve">Resistencia a la compresión del hormigón usada en el diseño y evaluada según el código</w:t>
            </w:r>
            <w:r>
              <w:rPr/>
              <w:t xml:space="preserve"> </w:t>
            </w:r>
            <w:r>
              <w:rPr/>
              <w:t xml:space="preserve">(ACI Committee 318, 2025, Sección 2.3)</w:t>
            </w:r>
            <w:r>
              <w:rPr/>
              <w:t xml:space="preserve">, con ensayos de cilindros a los 28 días</w:t>
            </w:r>
            <w:r>
              <w:rPr/>
              <w:t xml:space="preserve"> </w:t>
            </w:r>
            <w:r>
              <w:rPr/>
              <w:t xml:space="preserve">(ACI Committee 318, 2025, Sección 26.12.1.1)</w:t>
            </w:r>
            <w:r>
              <w:rPr/>
              <w:t xml:space="preserve">. Las especificaciones de la obra fijan una resistencia característica de 250 kg/cm</w:t>
            </w:r>
            <w:r>
              <w:rPr>
                <w:vertAlign w:val="superscript"/>
              </w:rPr>
              <w:t xml:space="preserve">2</w:t>
            </w:r>
            <w:r>
              <w:rPr/>
              <w:t xml:space="preserve"> </w:t>
            </w:r>
            <w:r>
              <w:rPr/>
              <w:t xml:space="preserve">(UATF, s. f.-a, p. 3)</w:t>
            </w:r>
            <w:r>
              <w:rPr/>
              <w:t xml:space="preserve">, que esta tesis toma como el</w:t>
            </w:r>
            <w:r>
              <w:rPr/>
              <w:t xml:space="preserve"> </w:t>
            </w:r>
            <m:oMath>
              <m:r>
                <m:t>f</m:t>
              </m:r>
              <m:sSub>
                <m:e>
                  <m:r>
                    <m:rPr>
                      <m:sty m:val="p"/>
                    </m:rPr>
                    <m:t>′</m:t>
                  </m:r>
                </m:e>
                <m:sub>
                  <m:r>
                    <m:t>c</m:t>
                  </m:r>
                </m:sub>
              </m:sSub>
            </m:oMath>
            <w:r>
              <w:rPr/>
              <w:t xml:space="preserve"> </w:t>
            </w:r>
            <w:r>
              <w:rPr/>
              <w:t xml:space="preserve">del H25.</w:t>
            </w:r>
          </w:p>
        </w:tc>
      </w:tr>
      <w:tr>
        <w:tc>
          <w:tcPr>
            <w:tcW w:w="1967" w:type="dxa"/>
          </w:tcPr>
          <w:p>
            <w:pPr>
              <w:pStyle w:val="CeldaAPA"/>
              <w:jc w:val="left"/>
            </w:pPr>
            <w:r>
              <w:rPr/>
              <w:t xml:space="preserve">Asentamiento</w:t>
            </w:r>
          </w:p>
        </w:tc>
        <w:tc>
          <w:tcPr>
            <w:tcW w:w="7393" w:type="dxa"/>
          </w:tcPr>
          <w:p>
            <w:pPr>
              <w:pStyle w:val="CeldaAPA"/>
              <w:jc w:val="left"/>
            </w:pPr>
            <w:r>
              <w:rPr/>
              <w:t xml:space="preserve">Medida de la consistencia del hormigón fresco con el cono de Abrams (ASTM C143): seca (0 a 25 mm), plástica (25 a 75 mm), blanda (75 a 100 mm) o fluida (100 a 150 mm); se recomienda la plástica compactada por vibrado</w:t>
            </w:r>
            <w:r>
              <w:rPr/>
              <w:t xml:space="preserve"> </w:t>
            </w:r>
            <w:r>
              <w:rPr/>
              <w:t xml:space="preserve">(Fernando Aragón Ingeniería Estructural, 2025, p. 9)</w:t>
            </w:r>
            <w:r>
              <w:rPr/>
              <w:t xml:space="preserve">.</w:t>
            </w:r>
          </w:p>
        </w:tc>
      </w:tr>
      <w:tr>
        <w:tc>
          <w:tcPr>
            <w:tcW w:w="1967" w:type="dxa"/>
          </w:tcPr>
          <w:p>
            <w:pPr>
              <w:pStyle w:val="CeldaAPA"/>
              <w:jc w:val="left"/>
            </w:pPr>
            <w:r>
              <w:rPr/>
              <w:t xml:space="preserve">Carpeta de compresión</w:t>
            </w:r>
          </w:p>
        </w:tc>
        <w:tc>
          <w:tcPr>
            <w:tcW w:w="7393" w:type="dxa"/>
          </w:tcPr>
          <w:p>
            <w:pPr>
              <w:pStyle w:val="CeldaAPA"/>
              <w:jc w:val="left"/>
            </w:pPr>
            <w:r>
              <w:rPr/>
              <w:t xml:space="preserve">Capa de hormigón vaciado en obra sobre viguetas y complementos, de 5 cm en el sistema de viguetas simples</w:t>
            </w:r>
            <w:r>
              <w:rPr/>
              <w:t xml:space="preserve"> </w:t>
            </w:r>
            <w:r>
              <w:rPr/>
              <w:t xml:space="preserve">(Concretec, 2018, hoja 3)</w:t>
            </w:r>
            <w:r>
              <w:rPr/>
              <w:t xml:space="preserve">, con malla de distribución (Figura 4); la superficie rugosa de la vigueta garantiza su adherencia</w:t>
            </w:r>
            <w:r>
              <w:rPr/>
              <w:t xml:space="preserve"> </w:t>
            </w:r>
            <w:r>
              <w:rPr/>
              <w:t xml:space="preserve">(UATF, s. f.-a, p. 3)</w:t>
            </w:r>
            <w:r>
              <w:rPr/>
              <w:t xml:space="preserve">.</w:t>
            </w:r>
          </w:p>
        </w:tc>
      </w:tr>
      <w:tr>
        <w:tc>
          <w:tcPr>
            <w:tcW w:w="1967" w:type="dxa"/>
          </w:tcPr>
          <w:p>
            <w:pPr>
              <w:pStyle w:val="CeldaAPA"/>
              <w:jc w:val="left"/>
            </w:pPr>
            <w:r>
              <w:rPr/>
              <w:t xml:space="preserve">Vigueta pretensada</w:t>
            </w:r>
          </w:p>
        </w:tc>
        <w:tc>
          <w:tcPr>
            <w:tcW w:w="7393" w:type="dxa"/>
          </w:tcPr>
          <w:p>
            <w:pPr>
              <w:pStyle w:val="CeldaAPA"/>
              <w:jc w:val="left"/>
            </w:pPr>
            <w:r>
              <w:rPr/>
              <w:t xml:space="preserve">Elemento prefabricado de hormigón de alta resistencia y acero de pretensado que absorbe los esfuerzos de flexión de los nervios de una losa alivianada</w:t>
            </w:r>
            <w:r>
              <w:rPr/>
              <w:t xml:space="preserve"> </w:t>
            </w:r>
            <w:r>
              <w:rPr/>
              <w:t xml:space="preserve">(Concretec, 2018, hojas 1 y 2)</w:t>
            </w:r>
            <w:r>
              <w:rPr/>
              <w:t xml:space="preserve">; se rige por la NB 997:2016</w:t>
            </w:r>
            <w:r>
              <w:rPr/>
              <w:t xml:space="preserve"> </w:t>
            </w:r>
            <w:r>
              <w:rPr/>
              <w:t xml:space="preserve">(IBNORCA, 2016)</w:t>
            </w:r>
            <w:r>
              <w:rPr/>
              <w:t xml:space="preserve">.</w:t>
            </w:r>
          </w:p>
        </w:tc>
      </w:tr>
      <w:tr>
        <w:tc>
          <w:tcPr>
            <w:tcW w:w="1967" w:type="dxa"/>
          </w:tcPr>
          <w:p>
            <w:pPr>
              <w:pStyle w:val="CeldaAPA"/>
              <w:jc w:val="left"/>
            </w:pPr>
            <w:r>
              <w:rPr/>
              <w:t xml:space="preserve">Complemento</w:t>
            </w:r>
          </w:p>
        </w:tc>
        <w:tc>
          <w:tcPr>
            <w:tcW w:w="7393" w:type="dxa"/>
          </w:tcPr>
          <w:p>
            <w:pPr>
              <w:pStyle w:val="CeldaAPA"/>
              <w:jc w:val="left"/>
            </w:pPr>
            <w:r>
              <w:rPr/>
              <w:t xml:space="preserve">Bloque aligerante apoyado entre las viguetas; en la obra, de poliestireno expandido (plastoformo), ligero y resistente a la humedad</w:t>
            </w:r>
            <w:r>
              <w:rPr/>
              <w:t xml:space="preserve"> </w:t>
            </w:r>
            <w:r>
              <w:rPr/>
              <w:t xml:space="preserve">(Concretec, 2016, hoja 1)</w:t>
            </w:r>
            <w:r>
              <w:rPr/>
              <w:t xml:space="preserve">, que reduce el peso de la losa</w:t>
            </w:r>
            <w:r>
              <w:rPr/>
              <w:t xml:space="preserve"> </w:t>
            </w:r>
            <w:r>
              <w:rPr/>
              <w:t xml:space="preserve">(Concretec, 2016, hoja 3)</w:t>
            </w:r>
            <w:r>
              <w:rPr/>
              <w:t xml:space="preserve">.</w:t>
            </w:r>
          </w:p>
        </w:tc>
      </w:tr>
      <w:tr>
        <w:tc>
          <w:tcPr>
            <w:tcW w:w="1967" w:type="dxa"/>
          </w:tcPr>
          <w:p>
            <w:pPr>
              <w:pStyle w:val="CeldaAPA"/>
              <w:jc w:val="left"/>
            </w:pPr>
            <w:r>
              <w:rPr/>
              <w:t xml:space="preserve">Apuntalamiento</w:t>
            </w:r>
          </w:p>
        </w:tc>
        <w:tc>
          <w:tcPr>
            <w:tcW w:w="7393" w:type="dxa"/>
          </w:tcPr>
          <w:p>
            <w:pPr>
              <w:pStyle w:val="CeldaAPA"/>
              <w:jc w:val="left"/>
            </w:pPr>
            <w:r>
              <w:rPr/>
              <w:t xml:space="preserve">Soporte provisional de las viguetas con puntales, colocado antes de montar los complementos para evitar deformaciones o la caída de la losa</w:t>
            </w:r>
            <w:r>
              <w:rPr/>
              <w:t xml:space="preserve"> </w:t>
            </w:r>
            <w:r>
              <w:rPr/>
              <w:t xml:space="preserve">(Concretec, 2016, hoja 3)</w:t>
            </w:r>
            <w:r>
              <w:rPr/>
              <w:t xml:space="preserve">; los puntales se retiran cuando las probetas curadas en obra alcanzan la resistencia requerida</w:t>
            </w:r>
            <w:r>
              <w:rPr/>
              <w:t xml:space="preserve"> </w:t>
            </w:r>
            <w:r>
              <w:rPr/>
              <w:t xml:space="preserve">(ACI Committee 318, 2025, Sección 26.12.4.1)</w:t>
            </w:r>
            <w:r>
              <w:rPr/>
              <w:t xml:space="preserve">.</w:t>
            </w:r>
          </w:p>
        </w:tc>
      </w:tr>
      <w:tr>
        <w:tc>
          <w:tcPr>
            <w:tcW w:w="1967" w:type="dxa"/>
            <w:tcBorders>
              <w:bottom w:val="single" w:sz="8" w:space="0" w:color="000000"/>
            </w:tcBorders>
          </w:tcPr>
          <w:p>
            <w:pPr>
              <w:pStyle w:val="CeldaAPA"/>
              <w:jc w:val="left"/>
            </w:pPr>
            <w:r>
              <w:rPr/>
              <w:t xml:space="preserve">Índice de desperdicio de materiales (IDM)</w:t>
            </w:r>
          </w:p>
        </w:tc>
        <w:tc>
          <w:tcPr>
            <w:tcW w:w="7393" w:type="dxa"/>
            <w:tcBorders>
              <w:bottom w:val="single" w:sz="8" w:space="0" w:color="000000"/>
            </w:tcBorders>
          </w:tcPr>
          <w:p>
            <w:pPr>
              <w:pStyle w:val="CeldaAPA"/>
              <w:jc w:val="left"/>
            </w:pPr>
            <w:r>
              <w:rPr/>
              <w:t xml:space="preserve">Diferencia entre la cantidad consumida y la teórica de un material, en porcentaje de la teórica (ecuación 2), con base en</w:t>
            </w:r>
            <w:r>
              <w:rPr/>
              <w:t xml:space="preserve"> </w:t>
            </w:r>
            <w:r>
              <w:rPr/>
              <w:t xml:space="preserve">Galarza Meza (2011, p. 9)</w:t>
            </w:r>
            <w:r>
              <w:rPr/>
              <w:t xml:space="preserve"> </w:t>
            </w:r>
            <w:r>
              <w:rPr/>
              <w:t xml:space="preserve">y</w:t>
            </w:r>
            <w:r>
              <w:rPr/>
              <w:t xml:space="preserve"> </w:t>
            </w:r>
            <w:r>
              <w:rPr/>
              <w:t xml:space="preserve">Rossi et al. (2001, Sección 2)</w:t>
            </w:r>
            <w:r>
              <w:rPr/>
              <w:t xml:space="preserve">.</w:t>
            </w:r>
          </w:p>
        </w:tc>
      </w:tr>
    </w:tbl>
    <w:p>
      <w:pPr>
        <w:pStyle w:val="NotaAPA"/>
      </w:pPr>
      <w:r>
        <w:rPr>
          <w:iCs/>
          <w:i/>
        </w:rPr>
        <w:t xml:space="preserve">Nota.</w:t>
      </w:r>
      <w:r>
        <w:t xml:space="preserve"> </w:t>
      </w:r>
      <w:r>
        <w:t xml:space="preserve">Elaborado con base en las fuentes citadas. PPI: programa de puntos de inspección.</w:t>
      </w:r>
    </w:p>
    <w:p>
      <w:pPr>
        <w:pStyle w:val="Heading1"/>
      </w:pPr>
      <w:bookmarkStart w:id="191" w:name="tit87"/>
      <w:r>
        <w:t xml:space="preserve">CAPÍTULO 2</w:t>
      </w:r>
      <w:r>
        <w:br/>
      </w:r>
      <w:r>
        <w:t xml:space="preserve">DISEÑO E IMPLEMENTACIÓN DEL SISTEMA DE GESTIÓN DE LA CALIDAD</w:t>
      </w:r>
      <w:bookmarkEnd w:id="191"/>
    </w:p>
    <w:p>
      <w:pPr>
        <w:pStyle w:val="FirstParagraph"/>
      </w:pPr>
      <w:r>
        <w:t xml:space="preserve">Este capítulo desarrolla el modelo de investigación con la secuencia que propone la guía del Seminario de Grado: conceptualización y alcance, factores y variables, procedimiento y toma de observaciones, validación de las observaciones y contraste de hipótesis</w:t>
      </w:r>
      <w:r>
        <w:t xml:space="preserve"> </w:t>
      </w:r>
      <w:r>
        <w:t xml:space="preserve">(Barrios C., 2021b)</w:t>
      </w:r>
      <w:r>
        <w:t xml:space="preserve">. Las secciones 2.1 a 2.5 definen el modelo, caracterizan el caso, operacionalizan las variables, delimitan la población y presentan el diagnóstico de la primera losa, que constituye la línea base. La Sección 2.6 presenta el diseño del Sistema de Gestión de la Calidad (SGC) y las secciones 2.7 a 2.9 describen su implementación prevista, la evaluación</w:t>
      </w:r>
      <w:r>
        <w:t xml:space="preserve"> </w:t>
      </w:r>
      <w:r>
        <w:rPr>
          <w:iCs/>
          <w:i/>
        </w:rPr>
        <w:t xml:space="preserve">ex ante</w:t>
      </w:r>
      <w:r>
        <w:t xml:space="preserve"> </w:t>
      </w:r>
      <w:r>
        <w:t xml:space="preserve">por simulación, la validación y el plan de contraste de hipótesis.</w:t>
      </w:r>
    </w:p>
    <w:p>
      <w:pPr>
        <w:pStyle w:val="Heading2"/>
      </w:pPr>
      <w:bookmarkStart w:id="121" w:name="tit88"/>
      <w:r>
        <w:t xml:space="preserve">2.1. Conceptualización y alcance del modelo de investigación</w:t>
      </w:r>
      <w:bookmarkEnd w:id="121"/>
    </w:p>
    <w:p>
      <w:pPr>
        <w:pStyle w:val="FirstParagraph"/>
      </w:pPr>
      <w:r>
        <w:t xml:space="preserve">El modelo de investigación representa la relación causal que plantea la hipótesis: la aplicación de un SGC basado en la norma ISO 9001 (</w:t>
      </w:r>
      <m:oMath>
        <m:r>
          <m:t>X</m:t>
        </m:r>
      </m:oMath>
      <w:r>
        <w:t xml:space="preserve">) modifica el costo de ejecución de la losa alivianada (</w:t>
      </w:r>
      <m:oMath>
        <m:r>
          <m:t>Y</m:t>
        </m:r>
      </m:oMath>
      <w:r>
        <w:t xml:space="preserve">) por dos vías, la reducción del desperdicio de materiales y la reducción del costo de no calidad, a cambio de un costo de prevención y evaluación. El perfil de la investigación previó un diseño de un solo grupo con medición antes y después del tratamiento (</w:t>
      </w:r>
      <m:oMath>
        <m:sSub>
          <m:e>
            <m:r>
              <m:t>O</m:t>
            </m:r>
          </m:e>
          <m:sub>
            <m:r>
              <m:t>1</m:t>
            </m:r>
          </m:sub>
        </m:sSub>
      </m:oMath>
      <w:r>
        <w:t xml:space="preserve">–</w:t>
      </w:r>
      <m:oMath>
        <m:r>
          <m:t>X</m:t>
        </m:r>
      </m:oMath>
      <w:r>
        <w:t xml:space="preserve">–</w:t>
      </w:r>
      <m:oMath>
        <m:sSub>
          <m:e>
            <m:r>
              <m:t>O</m:t>
            </m:r>
          </m:e>
          <m:sub>
            <m:r>
              <m:t>2</m:t>
            </m:r>
          </m:sub>
        </m:sSub>
      </m:oMath>
      <w:r>
        <w:t xml:space="preserve">): la primera losa, ejecutada sin SGC, sería la preprueba, y la segunda losa, ejecutada con el SGC, la posprueba. Ese diseño compara paños de la misma geometría, pero por sí solo no permite atribuir con certeza la diferencia al tratamiento, porque carece de un grupo de comparación y queda expuesto a hechos externos que ocurren entre las dos mediciones</w:t>
      </w:r>
      <w:r>
        <w:t xml:space="preserve"> </w:t>
      </w:r>
      <w:r>
        <w:t xml:space="preserve">(Hernández-Sampieri y Mendoza Torres, 2018, p. 163)</w:t>
      </w:r>
      <w:r>
        <w:t xml:space="preserve">.</w:t>
      </w:r>
    </w:p>
    <w:p>
      <w:pPr>
        <w:pStyle w:val="BodyText"/>
      </w:pPr>
      <w:r>
        <w:t xml:space="preserve">La ejecución de la obra impidió la posprueba en campo. El 5 de enero de 2026 la empresa contratista presentó a la entidad una carta notariada de intención de resolución consensuada del contrato por fuerza mayor o caso fortuito, atribuida al Decreto Supremo N.</w:t>
      </w:r>
      <w:r>
        <w:rPr>
          <w:vertAlign w:val="superscript"/>
        </w:rPr>
        <w:t xml:space="preserve">o</w:t>
      </w:r>
      <w:r>
        <w:t xml:space="preserve"> 5503, que retiró la subvención estatal a la gasolina y al diésel, y solicitó la paralización de la obra; la Supervisión le instruyó seguir el procedimiento contractual</w:t>
      </w:r>
      <w:r>
        <w:t xml:space="preserve"> </w:t>
      </w:r>
      <w:r>
        <w:t xml:space="preserve">(UATF, s. f.-b, pp. 1, 14)</w:t>
      </w:r>
      <w:r>
        <w:t xml:space="preserve">. La UATF respondió favorablemente el 10 de febrero de 2026, y el contrato se cerró con una planilla de avance por resolución, firmada el 16 de marzo de 2026, con un avance total del 57,43 %</w:t>
      </w:r>
      <w:r>
        <w:t xml:space="preserve"> </w:t>
      </w:r>
      <w:r>
        <w:t xml:space="preserve">(UATF, s. f.-b, pp. 1–2)</w:t>
      </w:r>
      <w:r>
        <w:t xml:space="preserve">. Durante la investigación no se ejecutó la segunda losa. Por ello se aplicó el diseño alternativo previsto en el perfil, que conserva la lógica</w:t>
      </w:r>
      <w:r>
        <w:t xml:space="preserve"> </w:t>
      </w:r>
      <m:oMath>
        <m:sSub>
          <m:e>
            <m:r>
              <m:t>O</m:t>
            </m:r>
          </m:e>
          <m:sub>
            <m:r>
              <m:t>1</m:t>
            </m:r>
          </m:sub>
        </m:sSub>
      </m:oMath>
      <w:r>
        <w:t xml:space="preserve">–</w:t>
      </w:r>
      <m:oMath>
        <m:r>
          <m:t>X</m:t>
        </m:r>
      </m:oMath>
      <w:r>
        <w:t xml:space="preserve">–</w:t>
      </w:r>
      <m:oMath>
        <m:sSub>
          <m:e>
            <m:r>
              <m:t>O</m:t>
            </m:r>
          </m:e>
          <m:sub>
            <m:r>
              <m:t>2</m:t>
            </m:r>
          </m:sub>
        </m:sSub>
      </m:oMath>
      <w:r>
        <w:t xml:space="preserve"> </w:t>
      </w:r>
      <w:r>
        <w:t xml:space="preserve">y reemplaza la posprueba de campo por una evaluación</w:t>
      </w:r>
      <w:r>
        <w:t xml:space="preserve"> </w:t>
      </w:r>
      <w:r>
        <w:rPr>
          <w:iCs/>
          <w:i/>
        </w:rPr>
        <w:t xml:space="preserve">ex ante</w:t>
      </w:r>
      <w:r>
        <w:t xml:space="preserve"> </w:t>
      </w:r>
      <w:r>
        <w:t xml:space="preserve">(Figura 5):</w:t>
      </w:r>
    </w:p>
    <w:p>
      <w:pPr>
        <w:numPr>
          <w:ilvl w:val="0"/>
          <w:numId w:val="1010"/>
        </w:numPr>
      </w:pPr>
      <w:r>
        <w:rPr>
          <w:bCs/>
          <w:b/>
        </w:rPr>
        <w:t xml:space="preserve">Línea base (</w:t>
      </w:r>
      <m:oMath>
        <m:sSub>
          <m:e>
            <m:r>
              <m:t>O</m:t>
            </m:r>
          </m:e>
          <m:sub>
            <m:r>
              <m:t>1</m:t>
            </m:r>
          </m:sub>
        </m:sSub>
      </m:oMath>
      <w:r>
        <w:rPr>
          <w:bCs/>
          <w:b/>
        </w:rPr>
        <w:t xml:space="preserve">), retrospectiva y documental.</w:t>
      </w:r>
      <w:r>
        <w:t xml:space="preserve"> </w:t>
      </w:r>
      <w:r>
        <w:t xml:space="preserve">Es la primera losa: 41 paños y 1.109,84 m</w:t>
      </w:r>
      <w:r>
        <w:rPr>
          <w:vertAlign w:val="superscript"/>
        </w:rPr>
        <w:t xml:space="preserve">2</w:t>
      </w:r>
      <w:r>
        <w:t xml:space="preserve"> </w:t>
      </w:r>
      <w:r>
        <w:t xml:space="preserve">ejecutados sin SGC entre noviembre y diciembre de 2025. Se reconstruyó con los planos, las especificaciones técnicas (ET), los cómputos, las planillas de avance, los certificados, el Libro de Órdenes y el contrato (Sección 2.5).</w:t>
      </w:r>
    </w:p>
    <w:p>
      <w:pPr>
        <w:numPr>
          <w:ilvl w:val="0"/>
          <w:numId w:val="1010"/>
        </w:numPr>
      </w:pPr>
      <w:r>
        <w:rPr>
          <w:bCs/>
          <w:b/>
        </w:rPr>
        <w:t xml:space="preserve">Tratamiento (</w:t>
      </w:r>
      <m:oMath>
        <m:r>
          <m:t>X</m:t>
        </m:r>
      </m:oMath>
      <w:r>
        <w:rPr>
          <w:bCs/>
          <w:b/>
        </w:rPr>
        <w:t xml:space="preserve">).</w:t>
      </w:r>
      <w:r>
        <w:t xml:space="preserve"> </w:t>
      </w:r>
      <w:r>
        <w:t xml:space="preserve">Es el SGC diseñado: plan de la calidad elaborado con las directrices de ISO 10005:2018, plan de puntos de inspección y ensayo (PPI), procedimientos de control de materiales, tratamiento de no conformidades y registro de costos de la calidad (Sección 2.6).</w:t>
      </w:r>
    </w:p>
    <w:p>
      <w:pPr>
        <w:numPr>
          <w:ilvl w:val="0"/>
          <w:numId w:val="1010"/>
        </w:numPr>
      </w:pPr>
      <w:r>
        <w:rPr>
          <w:bCs/>
          <w:b/>
        </w:rPr>
        <w:t xml:space="preserve">Posprueba simulada (</w:t>
      </w:r>
      <m:oMath>
        <m:sSub>
          <m:e>
            <m:r>
              <m:t>O</m:t>
            </m:r>
          </m:e>
          <m:sub>
            <m:r>
              <m:t>2</m:t>
            </m:r>
          </m:sub>
        </m:sSub>
      </m:oMath>
      <w:r>
        <w:rPr>
          <w:bCs/>
          <w:b/>
        </w:rPr>
        <w:t xml:space="preserve">).</w:t>
      </w:r>
      <w:r>
        <w:t xml:space="preserve"> </w:t>
      </w:r>
      <w:r>
        <w:t xml:space="preserve">Es un modelo de costos a precios constantes del contrato con simulación de Monte Carlo, que estima el costo de ejecutar los 2.234,60 m</w:t>
      </w:r>
      <w:r>
        <w:rPr>
          <w:vertAlign w:val="superscript"/>
        </w:rPr>
        <w:t xml:space="preserve">2</w:t>
      </w:r>
      <w:r>
        <w:t xml:space="preserve"> </w:t>
      </w:r>
      <w:r>
        <w:t xml:space="preserve">restantes (segunda y tercera losa, con paños homólogos a los de la primera) en dos escenarios:</w:t>
      </w:r>
      <w:r>
        <w:t xml:space="preserve"> </w:t>
      </w:r>
      <w:r>
        <w:rPr>
          <w:iCs/>
          <w:i/>
        </w:rPr>
        <w:t xml:space="preserve">control</w:t>
      </w:r>
      <w:r>
        <w:t xml:space="preserve">, sin SGC, con el desempeño de la línea base, y</w:t>
      </w:r>
      <w:r>
        <w:t xml:space="preserve"> </w:t>
      </w:r>
      <w:r>
        <w:rPr>
          <w:iCs/>
          <w:i/>
        </w:rPr>
        <w:t xml:space="preserve">tratamiento</w:t>
      </w:r>
      <w:r>
        <w:t xml:space="preserve">, con SGC (Sección 2.7.2).</w:t>
      </w:r>
    </w:p>
    <w:p>
      <w:pPr>
        <w:pStyle w:val="FirstParagraph"/>
      </w:pPr>
      <w:r>
        <w:t xml:space="preserve">La guía del Seminario de Grado admite la modelación de simulación teórica como modelo de investigación, siempre que incluya un tratamiento de control y permita calcular el grado de incertidumbre de los resultados</w:t>
      </w:r>
      <w:r>
        <w:t xml:space="preserve"> </w:t>
      </w:r>
      <w:r>
        <w:t xml:space="preserve">(Barrios C., 2021b)</w:t>
      </w:r>
      <w:r>
        <w:t xml:space="preserve">. El escenario de control cumple la función del grupo que no recibe el tratamiento en un experimento</w:t>
      </w:r>
      <w:r>
        <w:t xml:space="preserve"> </w:t>
      </w:r>
      <w:r>
        <w:t xml:space="preserve">(Hernández-Sampieri y Mendoza Torres, 2018, p. 154)</w:t>
      </w:r>
      <w:r>
        <w:t xml:space="preserve">; la diferencia es que aquí ambos escenarios se calculan sobre la misma geometría y con los mismos precios, de modo que el único factor que cambia entre ellos es el SGC. La incertidumbre se representa con distribuciones de probabilidad de los parámetros y se traslada al resultado. Por eso el contraste de hipótesis es probabilístico: la hipótesis general se acepta si la probabilidad de que la reducción relativa del costo unitario (</w:t>
      </w:r>
      <m:oMath>
        <m:r>
          <m:t>r</m:t>
        </m:r>
      </m:oMath>
      <w:r>
        <w:t xml:space="preserve">) sea de al menos el 5 % es igual o mayor que 0,95, lo que equivale a un nivel de significancia de 0,05 en un contraste unilateral (Sección 2.9).</w:t>
      </w:r>
    </w:p>
    <w:p>
      <w:pPr>
        <w:pStyle w:val="BodyText"/>
      </w:pPr>
      <w:r>
        <w:t xml:space="preserve">El diseño es no experimental, porque el SGC no se manipuló en la obra y las variables de la línea base se observaron tal como ocurrieron</w:t>
      </w:r>
      <w:r>
        <w:t xml:space="preserve"> </w:t>
      </w:r>
      <w:r>
        <w:t xml:space="preserve">(Hernández-Sampieri y Mendoza Torres, 2018, p. 175)</w:t>
      </w:r>
      <w:r>
        <w:t xml:space="preserve">; la línea base es longitudinal y retrospectiva, porque se reconstruyó con documentos producidos en distintos momentos de la ejecución</w:t>
      </w:r>
      <w:r>
        <w:t xml:space="preserve"> </w:t>
      </w:r>
      <w:r>
        <w:t xml:space="preserve">(Hernández-Sampieri y Mendoza Torres, 2018, p. 180)</w:t>
      </w:r>
      <w:r>
        <w:t xml:space="preserve">. La evaluación del tratamiento es</w:t>
      </w:r>
      <w:r>
        <w:t xml:space="preserve"> </w:t>
      </w:r>
      <w:r>
        <w:rPr>
          <w:iCs/>
          <w:i/>
        </w:rPr>
        <w:t xml:space="preserve">ex ante</w:t>
      </w:r>
      <w:r>
        <w:t xml:space="preserve"> </w:t>
      </w:r>
      <w:r>
        <w:t xml:space="preserve">y queda sujeta a verificación cuando se ejecute la segunda losa (Sección 2.9.1).</w:t>
      </w:r>
    </w:p>
    <w:p>
      <w:pPr>
        <w:pStyle w:val="Caption"/>
      </w:pPr>
      <w:bookmarkStart w:id="1412" w:name="fig5"/>
      <w:r>
        <w:t xml:space="preserve"/>
      </w:r>
      <w:r>
        <w:rPr>
          <w:bCs/>
          <w:b/>
        </w:rPr>
        <w:t xml:space="preserve">Figura 5</w:t>
      </w:r>
      <w:r>
        <w:br/>
      </w:r>
      <w:r>
        <w:rPr>
          <w:iCs/>
          <w:i/>
        </w:rPr>
        <w:t xml:space="preserve">Esquema del modelo de investigación con posprueba simulada</w:t>
      </w:r>
      <w:bookmarkEnd w:id="1412"/>
    </w:p>
    <w:p>
      <w:pPr>
        <w:pStyle w:val="FiguraAPA"/>
      </w:pPr>
      <w:r>
        <w:drawing>
          <wp:inline>
            <wp:extent cx="5853959" cy="2187997"/>
            <wp:effectExtent b="0" l="0" r="0" t="0"/>
            <wp:docPr descr="image" title="" id="119" name="Picture"/>
            <a:graphic>
              <a:graphicData uri="http://schemas.openxmlformats.org/drawingml/2006/picture">
                <pic:pic>
                  <pic:nvPicPr>
                    <pic:cNvPr descr="/home/user/TesisSGC/07_Entregables/scripts/_trabajo/tikz/tikz_02e2a0a328484fadd5c8.png" id="120" name="Picture"/>
                    <pic:cNvPicPr>
                      <a:picLocks noChangeArrowheads="1" noChangeAspect="1"/>
                    </pic:cNvPicPr>
                  </pic:nvPicPr>
                  <pic:blipFill>
                    <a:blip r:embed="rId118"/>
                    <a:stretch>
                      <a:fillRect/>
                    </a:stretch>
                  </pic:blipFill>
                  <pic:spPr bwMode="auto">
                    <a:xfrm>
                      <a:off x="0" y="0"/>
                      <a:ext cx="5853959" cy="2187997"/>
                    </a:xfrm>
                    <a:prstGeom prst="rect">
                      <a:avLst/>
                    </a:prstGeom>
                    <a:noFill/>
                    <a:ln w="9525">
                      <a:noFill/>
                      <a:headEnd/>
                      <a:tailEnd/>
                    </a:ln>
                  </pic:spPr>
                </pic:pic>
              </a:graphicData>
            </a:graphic>
          </wp:inline>
        </w:drawing>
      </w:r>
    </w:p>
    <w:p>
      <w:pPr>
        <w:pStyle w:val="NotaAPA"/>
      </w:pPr>
      <w:r>
        <w:rPr>
          <w:iCs/>
          <w:i/>
        </w:rPr>
        <w:t xml:space="preserve">Nota.</w:t>
      </w:r>
      <w:r>
        <w:t xml:space="preserve"> </w:t>
      </w:r>
      <w:r>
        <w:t xml:space="preserve">Elaboración propia. IDM: índice de desperdicio de materiales; CNC: costo de no calidad; PPI: plan de puntos de inspección y ensayo; PCM: procedimiento de control de materiales;</w:t>
      </w:r>
      <w:r>
        <w:t xml:space="preserve"> </w:t>
      </w:r>
      <m:oMath>
        <m:r>
          <m:t>r</m:t>
        </m:r>
      </m:oMath>
      <w:r>
        <w:t xml:space="preserve">: reducción relativa del costo unitario. La línea discontinua indica la verificación que queda pendiente porque la segunda losa no se ejecutó durante la investigación.</w:t>
      </w:r>
    </w:p>
    <w:p>
      <w:pPr>
        <w:pStyle w:val="BodyText"/>
      </w:pPr>
      <w:r>
        <w:rPr>
          <w:bCs/>
          <w:b/>
        </w:rPr>
        <w:t xml:space="preserve">Alcance.</w:t>
      </w:r>
      <w:r>
        <w:t xml:space="preserve"> </w:t>
      </w:r>
      <w:r>
        <w:t xml:space="preserve">El modelo abarca el ítem 13 del contrato, «H</w:t>
      </w:r>
      <w:r>
        <w:rPr>
          <w:vertAlign w:val="superscript"/>
        </w:rPr>
        <w:t xml:space="preserve">o</w:t>
      </w:r>
      <w:r>
        <w:t xml:space="preserve">S</w:t>
      </w:r>
      <w:r>
        <w:rPr>
          <w:vertAlign w:val="superscript"/>
        </w:rPr>
        <w:t xml:space="preserve">o</w:t>
      </w:r>
      <w:r>
        <w:t xml:space="preserve"> </w:t>
      </w:r>
      <w:r>
        <w:t xml:space="preserve">losa alivianada con vigueta simple pretensada y plastoformo h = 25 cm», y el acero de la losa, que se mide y paga en el ítem 8</w:t>
      </w:r>
      <w:r>
        <w:t xml:space="preserve"> </w:t>
      </w:r>
      <w:r>
        <w:t xml:space="preserve">(UATF, 2025, pp. 16, 20)</w:t>
      </w:r>
      <w:r>
        <w:t xml:space="preserve">. Considera los cuatro materiales principales del sistema (viguetas pretensadas, complementos de poliestireno expandido o EPS, hormigón y acero), los retrabajos y los costos de prevención y evaluación del SGC. Los costos se valoran a precios constantes del contrato, que no admite reajuste de precios</w:t>
      </w:r>
      <w:r>
        <w:t xml:space="preserve"> </w:t>
      </w:r>
      <w:r>
        <w:t xml:space="preserve">(UATF, 2025, p. 95)</w:t>
      </w:r>
      <w:r>
        <w:t xml:space="preserve">; así, el alza de precios de 2025 y 2026 no se confunde con el efecto del SGC. Temporalmente, la línea base cubre el periodo de la Planilla de avance N.</w:t>
      </w:r>
      <w:r>
        <w:rPr>
          <w:vertAlign w:val="superscript"/>
        </w:rPr>
        <w:t xml:space="preserve">o</w:t>
      </w:r>
      <w:r>
        <w:t xml:space="preserve"> 2 (04/09/2025 a 08/12/2025), en el que se armó, vació y certificó la primera losa, más los documentos de cierre del contrato. La Tabla 16 resume las fases del modelo, sus productos y el objetivo específico al que responde cada una.</w:t>
      </w:r>
    </w:p>
    <w:p>
      <w:pPr>
        <w:pStyle w:val="Caption"/>
      </w:pPr>
      <w:bookmarkStart w:id="1413" w:name="tab16"/>
      <w:r>
        <w:t xml:space="preserve"/>
      </w:r>
      <w:r>
        <w:rPr>
          <w:bCs/>
          <w:b/>
        </w:rPr>
        <w:t xml:space="preserve">Tabla 16</w:t>
      </w:r>
      <w:r>
        <w:br/>
      </w:r>
      <w:r>
        <w:rPr>
          <w:iCs/>
          <w:i/>
        </w:rPr>
        <w:t xml:space="preserve">Fases del modelo de investigación</w:t>
      </w:r>
      <w:bookmarkEnd w:id="1413"/>
    </w:p>
    <w:tbl>
      <w:tblPr>
        <w:tblStyle w:val="Table"/>
        <w:tblW w:w="9361" w:type="dxa"/>
        <w:jc w:val="left"/>
        <w:tblLayout w:type="fixed"/>
        <w:tblCellMar>
          <w:top w:w="0" w:type="dxa"/>
          <w:left w:w="85" w:type="dxa"/>
          <w:bottom w:w="0" w:type="dxa"/>
          <w:right w:w="85" w:type="dxa"/>
        </w:tblCellMar>
        <w:tblLook w:firstRow="1" w:lastRow="0" w:firstColumn="0" w:lastColumn="0" w:noHBand="0" w:noVBand="0" w:val="0020"/>
      </w:tblPr>
      <w:tblGrid>
        <w:gridCol w:w="1593"/>
        <w:gridCol w:w="2440"/>
        <w:gridCol w:w="2028"/>
        <w:gridCol w:w="760"/>
        <w:gridCol w:w="2540"/>
      </w:tblGrid>
      <w:tr>
        <w:trPr>
          <w:cantSplit/>
          <w:tblHeader w:val="true"/>
        </w:trPr>
        <w:tc>
          <w:tcPr>
            <w:tcW w:w="1593" w:type="dxa"/>
            <w:tcBorders>
              <w:top w:val="single" w:sz="8" w:space="0" w:color="000000"/>
              <w:bottom w:val="single" w:sz="4" w:space="0" w:color="000000"/>
            </w:tcBorders>
          </w:tcPr>
          <w:p>
            <w:pPr>
              <w:pStyle w:val="CeldaAPA"/>
              <w:jc w:val="center"/>
            </w:pPr>
            <w:r>
              <w:rPr>
                <w:bCs/>
                <w:b/>
              </w:rPr>
              <w:t xml:space="preserve">Fase</w:t>
            </w:r>
          </w:p>
        </w:tc>
        <w:tc>
          <w:tcPr>
            <w:tcW w:w="2440" w:type="dxa"/>
            <w:tcBorders>
              <w:top w:val="single" w:sz="8" w:space="0" w:color="000000"/>
              <w:bottom w:val="single" w:sz="4" w:space="0" w:color="000000"/>
            </w:tcBorders>
          </w:tcPr>
          <w:p>
            <w:pPr>
              <w:pStyle w:val="CeldaAPA"/>
              <w:jc w:val="center"/>
            </w:pPr>
            <w:r>
              <w:rPr>
                <w:bCs/>
                <w:b/>
              </w:rPr>
              <w:t xml:space="preserve">Actividades</w:t>
            </w:r>
          </w:p>
        </w:tc>
        <w:tc>
          <w:tcPr>
            <w:tcW w:w="2028" w:type="dxa"/>
            <w:tcBorders>
              <w:top w:val="single" w:sz="8" w:space="0" w:color="000000"/>
              <w:bottom w:val="single" w:sz="4" w:space="0" w:color="000000"/>
            </w:tcBorders>
          </w:tcPr>
          <w:p>
            <w:pPr>
              <w:pStyle w:val="CeldaAPA"/>
              <w:jc w:val="center"/>
            </w:pPr>
            <w:r>
              <w:rPr>
                <w:bCs/>
                <w:b/>
              </w:rPr>
              <w:t xml:space="preserve">Productos</w:t>
            </w:r>
          </w:p>
        </w:tc>
        <w:tc>
          <w:tcPr>
            <w:tcW w:w="760" w:type="dxa"/>
            <w:tcBorders>
              <w:top w:val="single" w:sz="8" w:space="0" w:color="000000"/>
              <w:bottom w:val="single" w:sz="4" w:space="0" w:color="000000"/>
            </w:tcBorders>
          </w:tcPr>
          <w:p>
            <w:pPr>
              <w:pStyle w:val="CeldaAPA"/>
              <w:jc w:val="center"/>
            </w:pPr>
            <w:r>
              <w:rPr>
                <w:bCs/>
                <w:b/>
              </w:rPr>
              <w:t xml:space="preserve">OE</w:t>
            </w:r>
          </w:p>
        </w:tc>
        <w:tc>
          <w:tcPr>
            <w:tcW w:w="2540" w:type="dxa"/>
            <w:tcBorders>
              <w:top w:val="single" w:sz="8" w:space="0" w:color="000000"/>
              <w:bottom w:val="single" w:sz="4" w:space="0" w:color="000000"/>
            </w:tcBorders>
          </w:tcPr>
          <w:p>
            <w:pPr>
              <w:pStyle w:val="CeldaAPA"/>
              <w:jc w:val="center"/>
            </w:pPr>
            <w:r>
              <w:rPr>
                <w:bCs/>
                <w:b/>
              </w:rPr>
              <w:t xml:space="preserve">Sección</w:t>
            </w:r>
          </w:p>
        </w:tc>
      </w:tr>
      <w:tr>
        <w:tc>
          <w:tcPr>
            <w:tcW w:w="1593" w:type="dxa"/>
          </w:tcPr>
          <w:p>
            <w:pPr>
              <w:pStyle w:val="CeldaAPA"/>
              <w:jc w:val="left"/>
            </w:pPr>
            <w:r>
              <w:rPr/>
              <w:t xml:space="preserve">1. Diagnóstico</w:t>
            </w:r>
          </w:p>
        </w:tc>
        <w:tc>
          <w:tcPr>
            <w:tcW w:w="2440" w:type="dxa"/>
          </w:tcPr>
          <w:p>
            <w:pPr>
              <w:pStyle w:val="CeldaAPA"/>
              <w:jc w:val="left"/>
            </w:pPr>
            <w:r>
              <w:rPr/>
              <w:t xml:space="preserve">Análisis documental; aplicación documental de la lista de verificación ISO 9001:2026; identificación de no conformidades; Pareto e Ishikawa</w:t>
            </w:r>
          </w:p>
        </w:tc>
        <w:tc>
          <w:tcPr>
            <w:tcW w:w="2028" w:type="dxa"/>
          </w:tcPr>
          <w:p>
            <w:pPr>
              <w:pStyle w:val="CeldaAPA"/>
              <w:jc w:val="left"/>
            </w:pPr>
            <w:r>
              <w:rPr/>
              <w:t xml:space="preserve">Porcentaje de cumplimiento por cláusula; no conformidades y causas</w:t>
            </w:r>
          </w:p>
        </w:tc>
        <w:tc>
          <w:tcPr>
            <w:tcW w:w="760" w:type="dxa"/>
          </w:tcPr>
          <w:p>
            <w:pPr>
              <w:pStyle w:val="CeldaAPA"/>
              <w:jc w:val="left"/>
            </w:pPr>
            <w:r>
              <w:rPr/>
              <w:t xml:space="preserve">OE1</w:t>
            </w:r>
          </w:p>
        </w:tc>
        <w:tc>
          <w:tcPr>
            <w:tcW w:w="2540" w:type="dxa"/>
          </w:tcPr>
          <w:p>
            <w:pPr>
              <w:pStyle w:val="CeldaAPA"/>
              <w:jc w:val="left"/>
            </w:pPr>
            <w:r>
              <w:rPr/>
              <w:t xml:space="preserve">2.5.1 a 2.5.3</w:t>
            </w:r>
          </w:p>
        </w:tc>
      </w:tr>
      <w:tr>
        <w:tc>
          <w:tcPr>
            <w:tcW w:w="1593" w:type="dxa"/>
          </w:tcPr>
          <w:p>
            <w:pPr>
              <w:pStyle w:val="CeldaAPA"/>
              <w:jc w:val="left"/>
            </w:pPr>
            <w:r>
              <w:rPr/>
              <w:t xml:space="preserve">2. Línea base (</w:t>
            </w:r>
            <m:oMath>
              <m:sSub>
                <m:e>
                  <m:r>
                    <m:t>O</m:t>
                  </m:r>
                </m:e>
                <m:sub>
                  <m:r>
                    <m:t>1</m:t>
                  </m:r>
                </m:sub>
              </m:sSub>
            </m:oMath>
            <w:r>
              <w:rPr/>
              <w:t xml:space="preserve">)</w:t>
            </w:r>
          </w:p>
        </w:tc>
        <w:tc>
          <w:tcPr>
            <w:tcW w:w="2440" w:type="dxa"/>
          </w:tcPr>
          <w:p>
            <w:pPr>
              <w:pStyle w:val="CeldaAPA"/>
              <w:jc w:val="left"/>
            </w:pPr>
            <w:r>
              <w:rPr/>
              <w:t xml:space="preserve">Cantidades teóricas de planos; cantidades entregadas y pagadas; parámetros de literatura para lo no registrado</w:t>
            </w:r>
          </w:p>
        </w:tc>
        <w:tc>
          <w:tcPr>
            <w:tcW w:w="2028" w:type="dxa"/>
          </w:tcPr>
          <w:p>
            <w:pPr>
              <w:pStyle w:val="CeldaAPA"/>
              <w:jc w:val="left"/>
            </w:pPr>
            <w:r>
              <w:rPr/>
              <w:t xml:space="preserve">IDM y CNC sin SGC; parámetros del escenario de control</w:t>
            </w:r>
          </w:p>
        </w:tc>
        <w:tc>
          <w:tcPr>
            <w:tcW w:w="760" w:type="dxa"/>
          </w:tcPr>
          <w:p>
            <w:pPr>
              <w:pStyle w:val="CeldaAPA"/>
              <w:jc w:val="left"/>
            </w:pPr>
            <w:r>
              <w:rPr/>
              <w:t xml:space="preserve">OE2</w:t>
            </w:r>
          </w:p>
        </w:tc>
        <w:tc>
          <w:tcPr>
            <w:tcW w:w="2540" w:type="dxa"/>
          </w:tcPr>
          <w:p>
            <w:pPr>
              <w:pStyle w:val="CeldaAPA"/>
              <w:jc w:val="left"/>
            </w:pPr>
            <w:r>
              <w:rPr/>
              <w:t xml:space="preserve">2.5.4</w:t>
            </w:r>
          </w:p>
        </w:tc>
      </w:tr>
      <w:tr>
        <w:tc>
          <w:tcPr>
            <w:tcW w:w="1593" w:type="dxa"/>
          </w:tcPr>
          <w:p>
            <w:pPr>
              <w:pStyle w:val="CeldaAPA"/>
              <w:jc w:val="left"/>
            </w:pPr>
            <w:r>
              <w:rPr/>
              <w:t xml:space="preserve">3. Diseño (</w:t>
            </w:r>
            <m:oMath>
              <m:r>
                <m:t>X</m:t>
              </m:r>
            </m:oMath>
            <w:r>
              <w:rPr/>
              <w:t xml:space="preserve">)</w:t>
            </w:r>
          </w:p>
        </w:tc>
        <w:tc>
          <w:tcPr>
            <w:tcW w:w="2440" w:type="dxa"/>
          </w:tcPr>
          <w:p>
            <w:pPr>
              <w:pStyle w:val="CeldaAPA"/>
              <w:jc w:val="left"/>
            </w:pPr>
            <w:r>
              <w:rPr/>
              <w:t xml:space="preserve">Plan de la calidad, PPI, procedimientos, formatos y costos de la calidad</w:t>
            </w:r>
          </w:p>
        </w:tc>
        <w:tc>
          <w:tcPr>
            <w:tcW w:w="2028" w:type="dxa"/>
          </w:tcPr>
          <w:p>
            <w:pPr>
              <w:pStyle w:val="CeldaAPA"/>
              <w:jc w:val="left"/>
            </w:pPr>
            <w:r>
              <w:rPr/>
              <w:t xml:space="preserve">SGC del ítem losa alivianada</w:t>
            </w:r>
          </w:p>
        </w:tc>
        <w:tc>
          <w:tcPr>
            <w:tcW w:w="760" w:type="dxa"/>
          </w:tcPr>
          <w:p>
            <w:pPr>
              <w:pStyle w:val="CeldaAPA"/>
              <w:jc w:val="left"/>
            </w:pPr>
            <w:r>
              <w:rPr/>
              <w:t xml:space="preserve">OE3</w:t>
            </w:r>
          </w:p>
        </w:tc>
        <w:tc>
          <w:tcPr>
            <w:tcW w:w="2540" w:type="dxa"/>
          </w:tcPr>
          <w:p>
            <w:pPr>
              <w:pStyle w:val="CeldaAPA"/>
              <w:jc w:val="left"/>
            </w:pPr>
            <w:r>
              <w:rPr/>
              <w:t xml:space="preserve">2.6</w:t>
            </w:r>
          </w:p>
        </w:tc>
      </w:tr>
      <w:tr>
        <w:tc>
          <w:tcPr>
            <w:tcW w:w="1593" w:type="dxa"/>
          </w:tcPr>
          <w:p>
            <w:pPr>
              <w:pStyle w:val="CeldaAPA"/>
              <w:jc w:val="left"/>
            </w:pPr>
            <w:r>
              <w:rPr/>
              <w:t xml:space="preserve">4. Evaluación</w:t>
            </w:r>
            <w:r>
              <w:rPr/>
              <w:t xml:space="preserve"> </w:t>
            </w:r>
            <w:r>
              <w:rPr>
                <w:iCs/>
                <w:i/>
              </w:rPr>
              <w:t xml:space="preserve">ex ante</w:t>
            </w:r>
            <w:r>
              <w:rPr/>
              <w:t xml:space="preserve"> </w:t>
            </w:r>
            <w:r>
              <w:rPr/>
              <w:t xml:space="preserve">(</w:t>
            </w:r>
            <m:oMath>
              <m:sSub>
                <m:e>
                  <m:r>
                    <m:t>O</m:t>
                  </m:r>
                </m:e>
                <m:sub>
                  <m:r>
                    <m:t>2</m:t>
                  </m:r>
                </m:sub>
              </m:sSub>
            </m:oMath>
            <w:r>
              <w:rPr/>
              <w:t xml:space="preserve">)</w:t>
            </w:r>
          </w:p>
        </w:tc>
        <w:tc>
          <w:tcPr>
            <w:tcW w:w="2440" w:type="dxa"/>
          </w:tcPr>
          <w:p>
            <w:pPr>
              <w:pStyle w:val="CeldaAPA"/>
              <w:jc w:val="left"/>
            </w:pPr>
            <w:r>
              <w:rPr/>
              <w:t xml:space="preserve">Modelo de costos y simulación de Monte Carlo con escenarios de control y de tratamiento</w:t>
            </w:r>
          </w:p>
        </w:tc>
        <w:tc>
          <w:tcPr>
            <w:tcW w:w="2028" w:type="dxa"/>
          </w:tcPr>
          <w:p>
            <w:pPr>
              <w:pStyle w:val="CeldaAPA"/>
              <w:jc w:val="left"/>
            </w:pPr>
            <w:r>
              <w:rPr/>
              <w:t xml:space="preserve">Distribuciones de</w:t>
            </w:r>
            <w:r>
              <w:rPr/>
              <w:t xml:space="preserve"> </w:t>
            </w:r>
            <m:oMath>
              <m:r>
                <m:t>C</m:t>
              </m:r>
              <m:r>
                <m:t>U</m:t>
              </m:r>
            </m:oMath>
            <w:r>
              <w:rPr/>
              <w:t xml:space="preserve">, IDM, CNC y</w:t>
            </w:r>
            <w:r>
              <w:rPr/>
              <w:t xml:space="preserve"> </w:t>
            </w:r>
            <m:oMath>
              <m:r>
                <m:t>r</m:t>
              </m:r>
            </m:oMath>
          </w:p>
        </w:tc>
        <w:tc>
          <w:tcPr>
            <w:tcW w:w="760" w:type="dxa"/>
          </w:tcPr>
          <w:p>
            <w:pPr>
              <w:pStyle w:val="CeldaAPA"/>
              <w:jc w:val="left"/>
            </w:pPr>
            <w:r>
              <w:rPr/>
              <w:t xml:space="preserve">OE4</w:t>
            </w:r>
          </w:p>
        </w:tc>
        <w:tc>
          <w:tcPr>
            <w:tcW w:w="2540" w:type="dxa"/>
          </w:tcPr>
          <w:p>
            <w:pPr>
              <w:pStyle w:val="CeldaAPA"/>
              <w:jc w:val="left"/>
            </w:pPr>
            <w:r>
              <w:rPr/>
              <w:t xml:space="preserve">2.7</w:t>
            </w:r>
          </w:p>
        </w:tc>
      </w:tr>
      <w:tr>
        <w:tc>
          <w:tcPr>
            <w:tcW w:w="1593" w:type="dxa"/>
            <w:tcBorders>
              <w:bottom w:val="single" w:sz="8" w:space="0" w:color="000000"/>
            </w:tcBorders>
          </w:tcPr>
          <w:p>
            <w:pPr>
              <w:pStyle w:val="CeldaAPA"/>
              <w:jc w:val="left"/>
            </w:pPr>
            <w:r>
              <w:rPr/>
              <w:t xml:space="preserve">5. Contraste y validación</w:t>
            </w:r>
          </w:p>
        </w:tc>
        <w:tc>
          <w:tcPr>
            <w:tcW w:w="2440" w:type="dxa"/>
            <w:tcBorders>
              <w:bottom w:val="single" w:sz="8" w:space="0" w:color="000000"/>
            </w:tcBorders>
          </w:tcPr>
          <w:p>
            <w:pPr>
              <w:pStyle w:val="CeldaAPA"/>
              <w:jc w:val="left"/>
            </w:pPr>
            <w:r>
              <w:rPr/>
              <w:t xml:space="preserve">Reglas de decisión probabilísticas; sensibilidad; juicio de expertos (pendiente)</w:t>
            </w:r>
          </w:p>
        </w:tc>
        <w:tc>
          <w:tcPr>
            <w:tcW w:w="2028" w:type="dxa"/>
            <w:tcBorders>
              <w:bottom w:val="single" w:sz="8" w:space="0" w:color="000000"/>
            </w:tcBorders>
          </w:tcPr>
          <w:p>
            <w:pPr>
              <w:pStyle w:val="CeldaAPA"/>
              <w:jc w:val="left"/>
            </w:pPr>
            <w:r>
              <w:rPr/>
              <w:t xml:space="preserve">Decisión sobre las hipótesis; grado de incertidumbre</w:t>
            </w:r>
          </w:p>
        </w:tc>
        <w:tc>
          <w:tcPr>
            <w:tcW w:w="760" w:type="dxa"/>
            <w:tcBorders>
              <w:bottom w:val="single" w:sz="8" w:space="0" w:color="000000"/>
            </w:tcBorders>
          </w:tcPr>
          <w:p>
            <w:pPr>
              <w:pStyle w:val="CeldaAPA"/>
              <w:jc w:val="left"/>
            </w:pPr>
            <w:r>
              <w:rPr/>
              <w:t xml:space="preserve">OE5</w:t>
            </w:r>
          </w:p>
        </w:tc>
        <w:tc>
          <w:tcPr>
            <w:tcW w:w="2540" w:type="dxa"/>
            <w:tcBorders>
              <w:bottom w:val="single" w:sz="8" w:space="0" w:color="000000"/>
            </w:tcBorders>
          </w:tcPr>
          <w:p>
            <w:pPr>
              <w:pStyle w:val="CeldaAPA"/>
              <w:jc w:val="left"/>
            </w:pPr>
            <w:r>
              <w:rPr/>
              <w:t xml:space="preserve">2.8 y 2.9</w:t>
            </w:r>
          </w:p>
        </w:tc>
      </w:tr>
    </w:tbl>
    <w:p>
      <w:pPr>
        <w:pStyle w:val="NotaAPA"/>
      </w:pPr>
      <w:r>
        <w:rPr>
          <w:iCs/>
          <w:i/>
        </w:rPr>
        <w:t xml:space="preserve">Nota.</w:t>
      </w:r>
      <w:r>
        <w:t xml:space="preserve"> </w:t>
      </w:r>
      <w:r>
        <w:t xml:space="preserve">Elaboración propia. OE: objetivo específico;</w:t>
      </w:r>
      <w:r>
        <w:t xml:space="preserve"> </w:t>
      </w:r>
      <m:oMath>
        <m:r>
          <m:t>C</m:t>
        </m:r>
        <m:r>
          <m:t>U</m:t>
        </m:r>
      </m:oMath>
      <w:r>
        <w:t xml:space="preserve">: costo unitario;</w:t>
      </w:r>
      <w:r>
        <w:t xml:space="preserve"> </w:t>
      </w:r>
      <m:oMath>
        <m:r>
          <m:t>r</m:t>
        </m:r>
      </m:oMath>
      <w:r>
        <w:t xml:space="preserve">: reducción relativa del costo unitario.</w:t>
      </w:r>
    </w:p>
    <w:p>
      <w:pPr>
        <w:pStyle w:val="Heading2"/>
      </w:pPr>
      <w:bookmarkStart w:id="129" w:name="tit89"/>
      <w:r>
        <w:t xml:space="preserve">2.2. Caracterización del caso de estudio</w:t>
      </w:r>
      <w:bookmarkEnd w:id="129"/>
    </w:p>
    <w:p>
      <w:pPr>
        <w:pStyle w:val="Heading3"/>
      </w:pPr>
      <w:bookmarkStart w:id="122" w:name="tit90"/>
      <w:r>
        <w:t xml:space="preserve">2.2.1. Ubicación y descripción del edificio</w:t>
      </w:r>
      <w:bookmarkEnd w:id="122"/>
    </w:p>
    <w:p>
      <w:pPr>
        <w:pStyle w:val="FirstParagraph"/>
      </w:pPr>
      <w:r>
        <w:t xml:space="preserve">El Edificio de Posgrado se construye en la Ciudadela Universitaria de la UATF, en el sector noreste, junto al edificio del Vicerrectorado, sobre la avenida Las Banderas, frente a la terminal nueva, en la zona Las Lecherías de la ciudad de Potosí. Sus coordenadas son 19°33’21,84” S y 65°45’47,73” O, a 3.650 m s. n. m.</w:t>
      </w:r>
      <w:r>
        <w:t xml:space="preserve"> </w:t>
      </w:r>
      <w:r>
        <w:t xml:space="preserve">(UATF, 2025, pp. 8–9)</w:t>
      </w:r>
      <w:r>
        <w:t xml:space="preserve">. El proyecto tiene seis niveles destinados a dos auditorios de 180 personas, aulas de clase y de defensa de tesis, laboratorios, biblioteca, áreas administrativas y de servicios, alojamiento para docentes visitantes y una cafetería; la planta baja presenta desniveles en tres sectores por la pendiente del terreno</w:t>
      </w:r>
      <w:r>
        <w:t xml:space="preserve"> </w:t>
      </w:r>
      <w:r>
        <w:t xml:space="preserve">(UATF, s. f.-b, p. 1)</w:t>
      </w:r>
      <w:r>
        <w:t xml:space="preserve">.</w:t>
      </w:r>
    </w:p>
    <w:p>
      <w:pPr>
        <w:pStyle w:val="BodyText"/>
      </w:pPr>
      <w:r>
        <w:t xml:space="preserve">La fase contratada comprende solo la obra gruesa hasta la tercera losa: de un proyecto de seis plantas «solo se ejecutarán el arranque del suelo y tres losas»</w:t>
      </w:r>
      <w:r>
        <w:t xml:space="preserve"> </w:t>
      </w:r>
      <w:r>
        <w:t xml:space="preserve">(UATF, 2025, p. 8)</w:t>
      </w:r>
      <w:r>
        <w:t xml:space="preserve">. Se organizó en tres módulos: obra gruesa (fundaciones, columnas, vigas, losas alivianadas y escaleras de hormigón armado), instalaciones eléctricas y sanitarias embebidas en losas, vigas y columnas. La obra retomó una estructura iniciada antes: combinó trabajos nuevos con el refuerzo de elementos existentes, como la limpieza de pozos con zapatas ya vaciadas, la ampliación de zapatas y el encamisado de columnas</w:t>
      </w:r>
      <w:r>
        <w:t xml:space="preserve"> </w:t>
      </w:r>
      <w:r>
        <w:t xml:space="preserve">(UATF, 2025, p. 8)</w:t>
      </w:r>
      <w:r>
        <w:t xml:space="preserve">. El proyecto, con código CUCE 25-0143-00-1531493-1-1, se financia con recursos del Impuesto Directo a los Hidrocarburos (IDH) y lo administra el Departamento de Infraestructura de la UATF</w:t>
      </w:r>
      <w:r>
        <w:t xml:space="preserve"> </w:t>
      </w:r>
      <w:r>
        <w:t xml:space="preserve">(UATF, 2025, pp. 3, 7)</w:t>
      </w:r>
      <w:r>
        <w:t xml:space="preserve">.</w:t>
      </w:r>
    </w:p>
    <w:p>
      <w:pPr>
        <w:pStyle w:val="Heading3"/>
      </w:pPr>
      <w:bookmarkStart w:id="123" w:name="tit91"/>
      <w:r>
        <w:t xml:space="preserve">2.2.2. Datos contractuales</w:t>
      </w:r>
      <w:bookmarkEnd w:id="123"/>
    </w:p>
    <w:p>
      <w:pPr>
        <w:pStyle w:val="FirstParagraph"/>
      </w:pPr>
      <w:r>
        <w:t xml:space="preserve">El contrato de obra N.</w:t>
      </w:r>
      <w:r>
        <w:rPr>
          <w:vertAlign w:val="superscript"/>
        </w:rPr>
        <w:t xml:space="preserve">o</w:t>
      </w:r>
      <w:r>
        <w:t xml:space="preserve"> 02-2025 resultó de la licitación pública UATF/ OBRAS/ LP/ 1/ 2025/ IDH-OTPRO/ DEPTO.INFRA, adjudicada a la Empresa Unipersonal Constructora Kodesh mediante la Resolución Administrativa N.</w:t>
      </w:r>
      <w:r>
        <w:rPr>
          <w:vertAlign w:val="superscript"/>
        </w:rPr>
        <w:t xml:space="preserve">o</w:t>
      </w:r>
      <w:r>
        <w:t xml:space="preserve"> 82-2025, del 4 de abril de 2025, y se firmó el 24 de abril de 2025</w:t>
      </w:r>
      <w:r>
        <w:t xml:space="preserve"> </w:t>
      </w:r>
      <w:r>
        <w:t xml:space="preserve">(UATF, 2025, pp. 91, 112)</w:t>
      </w:r>
      <w:r>
        <w:t xml:space="preserve">. La Tabla 17 resume sus datos principales y sus modificaciones.</w:t>
      </w:r>
    </w:p>
    <w:p>
      <w:pPr>
        <w:pStyle w:val="Caption"/>
      </w:pPr>
      <w:bookmarkStart w:id="1414" w:name="tab17"/>
      <w:r>
        <w:t xml:space="preserve"/>
      </w:r>
      <w:r>
        <w:rPr>
          <w:bCs/>
          <w:b/>
        </w:rPr>
        <w:t xml:space="preserve">Tabla 17</w:t>
      </w:r>
      <w:r>
        <w:br/>
      </w:r>
      <w:r>
        <w:rPr>
          <w:iCs/>
          <w:i/>
        </w:rPr>
        <w:t xml:space="preserve">Datos del contrato de obra y de sus modificaciones</w:t>
      </w:r>
      <w:bookmarkEnd w:id="1414"/>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2823"/>
        <w:gridCol w:w="4961"/>
        <w:gridCol w:w="1576"/>
      </w:tblGrid>
      <w:tr>
        <w:trPr>
          <w:cantSplit/>
          <w:tblHeader w:val="true"/>
        </w:trPr>
        <w:tc>
          <w:tcPr>
            <w:tcW w:w="2823" w:type="dxa"/>
            <w:tcBorders>
              <w:top w:val="single" w:sz="8" w:space="0" w:color="000000"/>
              <w:bottom w:val="single" w:sz="4" w:space="0" w:color="000000"/>
            </w:tcBorders>
          </w:tcPr>
          <w:p>
            <w:pPr>
              <w:pStyle w:val="CeldaAPA"/>
              <w:jc w:val="center"/>
            </w:pPr>
            <w:r>
              <w:rPr>
                <w:bCs/>
                <w:b/>
              </w:rPr>
              <w:t xml:space="preserve">Concepto</w:t>
            </w:r>
          </w:p>
        </w:tc>
        <w:tc>
          <w:tcPr>
            <w:tcW w:w="4961" w:type="dxa"/>
            <w:tcBorders>
              <w:top w:val="single" w:sz="8" w:space="0" w:color="000000"/>
              <w:bottom w:val="single" w:sz="4" w:space="0" w:color="000000"/>
            </w:tcBorders>
          </w:tcPr>
          <w:p>
            <w:pPr>
              <w:pStyle w:val="CeldaAPA"/>
              <w:jc w:val="center"/>
            </w:pPr>
            <w:r>
              <w:rPr>
                <w:bCs/>
                <w:b/>
              </w:rPr>
              <w:t xml:space="preserve">Dato</w:t>
            </w:r>
          </w:p>
        </w:tc>
        <w:tc>
          <w:tcPr>
            <w:tcW w:w="1576" w:type="dxa"/>
            <w:tcBorders>
              <w:top w:val="single" w:sz="8" w:space="0" w:color="000000"/>
              <w:bottom w:val="single" w:sz="4" w:space="0" w:color="000000"/>
            </w:tcBorders>
          </w:tcPr>
          <w:p>
            <w:pPr>
              <w:pStyle w:val="CeldaAPA"/>
              <w:jc w:val="center"/>
            </w:pPr>
            <w:r>
              <w:rPr>
                <w:bCs/>
                <w:b/>
              </w:rPr>
              <w:t xml:space="preserve">Fuente (PAO2)</w:t>
            </w:r>
          </w:p>
        </w:tc>
      </w:tr>
      <w:tr>
        <w:tc>
          <w:tcPr>
            <w:tcW w:w="2823" w:type="dxa"/>
          </w:tcPr>
          <w:p>
            <w:pPr>
              <w:pStyle w:val="CeldaAPA"/>
              <w:jc w:val="left"/>
            </w:pPr>
            <w:r>
              <w:rPr/>
              <w:t xml:space="preserve">Firma del contrato</w:t>
            </w:r>
          </w:p>
        </w:tc>
        <w:tc>
          <w:tcPr>
            <w:tcW w:w="4961" w:type="dxa"/>
          </w:tcPr>
          <w:p>
            <w:pPr>
              <w:pStyle w:val="CeldaAPA"/>
              <w:jc w:val="left"/>
            </w:pPr>
            <w:r>
              <w:rPr/>
              <w:t xml:space="preserve">24/04/2025</w:t>
            </w:r>
          </w:p>
        </w:tc>
        <w:tc>
          <w:tcPr>
            <w:tcW w:w="1576" w:type="dxa"/>
          </w:tcPr>
          <w:p>
            <w:pPr>
              <w:pStyle w:val="CeldaAPA"/>
              <w:jc w:val="left"/>
            </w:pPr>
            <w:r>
              <w:rPr/>
              <w:t xml:space="preserve">p. 112</w:t>
            </w:r>
          </w:p>
        </w:tc>
      </w:tr>
      <w:tr>
        <w:tc>
          <w:tcPr>
            <w:tcW w:w="2823" w:type="dxa"/>
          </w:tcPr>
          <w:p>
            <w:pPr>
              <w:pStyle w:val="CeldaAPA"/>
              <w:jc w:val="left"/>
            </w:pPr>
            <w:r>
              <w:rPr/>
              <w:t xml:space="preserve">Orden de proceder y acta de inicio</w:t>
            </w:r>
          </w:p>
        </w:tc>
        <w:tc>
          <w:tcPr>
            <w:tcW w:w="4961" w:type="dxa"/>
          </w:tcPr>
          <w:p>
            <w:pPr>
              <w:pStyle w:val="CeldaAPA"/>
              <w:jc w:val="left"/>
            </w:pPr>
            <w:r>
              <w:rPr/>
              <w:t xml:space="preserve">06/05/2025, a las 08:30</w:t>
            </w:r>
          </w:p>
        </w:tc>
        <w:tc>
          <w:tcPr>
            <w:tcW w:w="1576" w:type="dxa"/>
          </w:tcPr>
          <w:p>
            <w:pPr>
              <w:pStyle w:val="CeldaAPA"/>
              <w:jc w:val="left"/>
            </w:pPr>
            <w:r>
              <w:rPr/>
              <w:t xml:space="preserve">pp. 127–128</w:t>
            </w:r>
          </w:p>
        </w:tc>
      </w:tr>
      <w:tr>
        <w:tc>
          <w:tcPr>
            <w:tcW w:w="2823" w:type="dxa"/>
          </w:tcPr>
          <w:p>
            <w:pPr>
              <w:pStyle w:val="CeldaAPA"/>
              <w:jc w:val="left"/>
            </w:pPr>
            <w:r>
              <w:rPr/>
              <w:t xml:space="preserve">Monto original</w:t>
            </w:r>
          </w:p>
        </w:tc>
        <w:tc>
          <w:tcPr>
            <w:tcW w:w="4961" w:type="dxa"/>
          </w:tcPr>
          <w:p>
            <w:pPr>
              <w:pStyle w:val="CeldaAPA"/>
              <w:jc w:val="left"/>
            </w:pPr>
            <w:r>
              <w:rPr/>
              <w:t xml:space="preserve">Bs 3.367.031,95; sin anticipo</w:t>
            </w:r>
          </w:p>
        </w:tc>
        <w:tc>
          <w:tcPr>
            <w:tcW w:w="1576" w:type="dxa"/>
          </w:tcPr>
          <w:p>
            <w:pPr>
              <w:pStyle w:val="CeldaAPA"/>
              <w:jc w:val="left"/>
            </w:pPr>
            <w:r>
              <w:rPr/>
              <w:t xml:space="preserve">pp. 92, 127</w:t>
            </w:r>
          </w:p>
        </w:tc>
      </w:tr>
      <w:tr>
        <w:tc>
          <w:tcPr>
            <w:tcW w:w="2823" w:type="dxa"/>
          </w:tcPr>
          <w:p>
            <w:pPr>
              <w:pStyle w:val="CeldaAPA"/>
              <w:jc w:val="left"/>
            </w:pPr>
            <w:r>
              <w:rPr/>
              <w:t xml:space="preserve">Relación con el precio referencial</w:t>
            </w:r>
          </w:p>
        </w:tc>
        <w:tc>
          <w:tcPr>
            <w:tcW w:w="4961" w:type="dxa"/>
          </w:tcPr>
          <w:p>
            <w:pPr>
              <w:pStyle w:val="CeldaAPA"/>
              <w:jc w:val="left"/>
            </w:pPr>
            <w:r>
              <w:rPr/>
              <w:t xml:space="preserve">Oferta del 84,18 % del precio referencial implícito (Bs 3.999.929,35; cálculo propio con la garantía adicional)</w:t>
            </w:r>
          </w:p>
        </w:tc>
        <w:tc>
          <w:tcPr>
            <w:tcW w:w="1576" w:type="dxa"/>
          </w:tcPr>
          <w:p>
            <w:pPr>
              <w:pStyle w:val="CeldaAPA"/>
              <w:jc w:val="left"/>
            </w:pPr>
            <w:r>
              <w:rPr/>
              <w:t xml:space="preserve">p. 92</w:t>
            </w:r>
          </w:p>
        </w:tc>
      </w:tr>
      <w:tr>
        <w:tc>
          <w:tcPr>
            <w:tcW w:w="2823" w:type="dxa"/>
          </w:tcPr>
          <w:p>
            <w:pPr>
              <w:pStyle w:val="CeldaAPA"/>
              <w:jc w:val="left"/>
            </w:pPr>
            <w:r>
              <w:rPr/>
              <w:t xml:space="preserve">Contrato modificatorio N.</w:t>
            </w:r>
            <w:r>
              <w:rPr>
                <w:vertAlign w:val="superscript"/>
              </w:rPr>
              <w:t xml:space="preserve">o</w:t>
            </w:r>
            <w:r>
              <w:rPr/>
              <w:t xml:space="preserve"> 1</w:t>
            </w:r>
          </w:p>
        </w:tc>
        <w:tc>
          <w:tcPr>
            <w:tcW w:w="4961" w:type="dxa"/>
          </w:tcPr>
          <w:p>
            <w:pPr>
              <w:pStyle w:val="CeldaAPA"/>
              <w:jc w:val="left"/>
            </w:pPr>
            <w:r>
              <w:rPr/>
              <w:t xml:space="preserve">+Bs 243.093,48 (+7,22 %); incluye ítems nuevos por Bs 79.087,22</w:t>
            </w:r>
          </w:p>
        </w:tc>
        <w:tc>
          <w:tcPr>
            <w:tcW w:w="1576" w:type="dxa"/>
          </w:tcPr>
          <w:p>
            <w:pPr>
              <w:pStyle w:val="CeldaAPA"/>
              <w:jc w:val="left"/>
            </w:pPr>
            <w:r>
              <w:rPr/>
              <w:t xml:space="preserve">pp. 7, 14, 16</w:t>
            </w:r>
          </w:p>
        </w:tc>
      </w:tr>
      <w:tr>
        <w:tc>
          <w:tcPr>
            <w:tcW w:w="2823" w:type="dxa"/>
          </w:tcPr>
          <w:p>
            <w:pPr>
              <w:pStyle w:val="CeldaAPA"/>
              <w:jc w:val="left"/>
            </w:pPr>
            <w:r>
              <w:rPr/>
              <w:t xml:space="preserve">Monto modificado</w:t>
            </w:r>
          </w:p>
        </w:tc>
        <w:tc>
          <w:tcPr>
            <w:tcW w:w="4961" w:type="dxa"/>
          </w:tcPr>
          <w:p>
            <w:pPr>
              <w:pStyle w:val="CeldaAPA"/>
              <w:jc w:val="left"/>
            </w:pPr>
            <w:r>
              <w:rPr/>
              <w:t xml:space="preserve">Bs 3.610.125,43</w:t>
            </w:r>
          </w:p>
        </w:tc>
        <w:tc>
          <w:tcPr>
            <w:tcW w:w="1576" w:type="dxa"/>
          </w:tcPr>
          <w:p>
            <w:pPr>
              <w:pStyle w:val="CeldaAPA"/>
              <w:jc w:val="left"/>
            </w:pPr>
            <w:r>
              <w:rPr/>
              <w:t xml:space="preserve">pp. 3, 7</w:t>
            </w:r>
          </w:p>
        </w:tc>
      </w:tr>
      <w:tr>
        <w:tc>
          <w:tcPr>
            <w:tcW w:w="2823" w:type="dxa"/>
          </w:tcPr>
          <w:p>
            <w:pPr>
              <w:pStyle w:val="CeldaAPA"/>
              <w:jc w:val="left"/>
            </w:pPr>
            <w:r>
              <w:rPr/>
              <w:t xml:space="preserve">Plazo</w:t>
            </w:r>
          </w:p>
        </w:tc>
        <w:tc>
          <w:tcPr>
            <w:tcW w:w="4961" w:type="dxa"/>
          </w:tcPr>
          <w:p>
            <w:pPr>
              <w:pStyle w:val="CeldaAPA"/>
              <w:jc w:val="left"/>
            </w:pPr>
            <w:r>
              <w:rPr/>
              <w:t xml:space="preserve">270 días; ampliación N.</w:t>
            </w:r>
            <w:r>
              <w:rPr>
                <w:vertAlign w:val="superscript"/>
              </w:rPr>
              <w:t xml:space="preserve">o</w:t>
            </w:r>
            <w:r>
              <w:rPr/>
              <w:t xml:space="preserve"> 1, 13 días; ampliación N.</w:t>
            </w:r>
            <w:r>
              <w:rPr>
                <w:vertAlign w:val="superscript"/>
              </w:rPr>
              <w:t xml:space="preserve">o</w:t>
            </w:r>
            <w:r>
              <w:rPr/>
              <w:t xml:space="preserve"> 2, 77 días; total 360 días (+33,3 %)</w:t>
            </w:r>
          </w:p>
        </w:tc>
        <w:tc>
          <w:tcPr>
            <w:tcW w:w="1576" w:type="dxa"/>
          </w:tcPr>
          <w:p>
            <w:pPr>
              <w:pStyle w:val="CeldaAPA"/>
              <w:jc w:val="left"/>
            </w:pPr>
            <w:r>
              <w:rPr/>
              <w:t xml:space="preserve">p. 7</w:t>
            </w:r>
          </w:p>
        </w:tc>
      </w:tr>
      <w:tr>
        <w:tc>
          <w:tcPr>
            <w:tcW w:w="2823" w:type="dxa"/>
          </w:tcPr>
          <w:p>
            <w:pPr>
              <w:pStyle w:val="CeldaAPA"/>
              <w:jc w:val="left"/>
            </w:pPr>
            <w:r>
              <w:rPr/>
              <w:t xml:space="preserve">Entrega provisional</w:t>
            </w:r>
          </w:p>
        </w:tc>
        <w:tc>
          <w:tcPr>
            <w:tcW w:w="4961" w:type="dxa"/>
          </w:tcPr>
          <w:p>
            <w:pPr>
              <w:pStyle w:val="CeldaAPA"/>
              <w:jc w:val="left"/>
            </w:pPr>
            <w:r>
              <w:rPr/>
              <w:t xml:space="preserve">30/01/2026</w:t>
            </w:r>
            <w:r>
              <w:rPr/>
              <w:t xml:space="preserve"> </w:t>
            </w:r>
            <m:oMath>
              <m:r>
                <m:rPr>
                  <m:sty m:val="p"/>
                </m:rPr>
                <m:t>→</m:t>
              </m:r>
            </m:oMath>
            <w:r>
              <w:rPr/>
              <w:t xml:space="preserve"> </w:t>
            </w:r>
            <w:r>
              <w:rPr/>
              <w:t xml:space="preserve">12/02/2026</w:t>
            </w:r>
            <w:r>
              <w:rPr/>
              <w:t xml:space="preserve"> </w:t>
            </w:r>
            <m:oMath>
              <m:r>
                <m:rPr>
                  <m:sty m:val="p"/>
                </m:rPr>
                <m:t>→</m:t>
              </m:r>
            </m:oMath>
            <w:r>
              <w:rPr/>
              <w:t xml:space="preserve"> </w:t>
            </w:r>
            <w:r>
              <w:rPr/>
              <w:t xml:space="preserve">30/04/2026</w:t>
            </w:r>
          </w:p>
        </w:tc>
        <w:tc>
          <w:tcPr>
            <w:tcW w:w="1576" w:type="dxa"/>
          </w:tcPr>
          <w:p>
            <w:pPr>
              <w:pStyle w:val="CeldaAPA"/>
              <w:jc w:val="left"/>
            </w:pPr>
            <w:r>
              <w:rPr/>
              <w:t xml:space="preserve">p. 7</w:t>
            </w:r>
          </w:p>
        </w:tc>
      </w:tr>
      <w:tr>
        <w:tc>
          <w:tcPr>
            <w:tcW w:w="2823" w:type="dxa"/>
          </w:tcPr>
          <w:p>
            <w:pPr>
              <w:pStyle w:val="CeldaAPA"/>
              <w:jc w:val="left"/>
            </w:pPr>
            <w:r>
              <w:rPr/>
              <w:t xml:space="preserve">Garantías (Banco Nacional de Bolivia)</w:t>
            </w:r>
          </w:p>
        </w:tc>
        <w:tc>
          <w:tcPr>
            <w:tcW w:w="4961" w:type="dxa"/>
          </w:tcPr>
          <w:p>
            <w:pPr>
              <w:pStyle w:val="CeldaAPA"/>
              <w:jc w:val="left"/>
            </w:pPr>
            <w:r>
              <w:rPr/>
              <w:t xml:space="preserve">Cumplimiento de contrato, Bs 235.693,00 (7 % del monto original), y garantía adicional, Bs 32.908,00; ambas vencen el 14/04/2026</w:t>
            </w:r>
          </w:p>
        </w:tc>
        <w:tc>
          <w:tcPr>
            <w:tcW w:w="1576" w:type="dxa"/>
          </w:tcPr>
          <w:p>
            <w:pPr>
              <w:pStyle w:val="CeldaAPA"/>
              <w:jc w:val="left"/>
            </w:pPr>
            <w:r>
              <w:rPr/>
              <w:t xml:space="preserve">pp. 92, 130–131</w:t>
            </w:r>
          </w:p>
        </w:tc>
      </w:tr>
      <w:tr>
        <w:tc>
          <w:tcPr>
            <w:tcW w:w="2823" w:type="dxa"/>
          </w:tcPr>
          <w:p>
            <w:pPr>
              <w:pStyle w:val="CeldaAPA"/>
              <w:jc w:val="left"/>
            </w:pPr>
            <w:r>
              <w:rPr/>
              <w:t xml:space="preserve">Avance al 08/12/2025 (PAO N.</w:t>
            </w:r>
            <w:r>
              <w:rPr>
                <w:vertAlign w:val="superscript"/>
              </w:rPr>
              <w:t xml:space="preserve">o</w:t>
            </w:r>
            <w:r>
              <w:rPr/>
              <w:t xml:space="preserve"> 2)</w:t>
            </w:r>
          </w:p>
        </w:tc>
        <w:tc>
          <w:tcPr>
            <w:tcW w:w="4961" w:type="dxa"/>
          </w:tcPr>
          <w:p>
            <w:pPr>
              <w:pStyle w:val="CeldaAPA"/>
              <w:jc w:val="left"/>
            </w:pPr>
            <w:r>
              <w:rPr/>
              <w:t xml:space="preserve">Bs 2.056.555,27 (56,97 %)</w:t>
            </w:r>
          </w:p>
        </w:tc>
        <w:tc>
          <w:tcPr>
            <w:tcW w:w="1576" w:type="dxa"/>
          </w:tcPr>
          <w:p>
            <w:pPr>
              <w:pStyle w:val="CeldaAPA"/>
              <w:jc w:val="left"/>
            </w:pPr>
            <w:r>
              <w:rPr/>
              <w:t xml:space="preserve">p. 3</w:t>
            </w:r>
          </w:p>
        </w:tc>
      </w:tr>
      <w:tr>
        <w:tc>
          <w:tcPr>
            <w:tcW w:w="2823" w:type="dxa"/>
            <w:tcBorders>
              <w:bottom w:val="single" w:sz="8" w:space="0" w:color="000000"/>
            </w:tcBorders>
          </w:tcPr>
          <w:p>
            <w:pPr>
              <w:pStyle w:val="CeldaAPA"/>
              <w:jc w:val="left"/>
            </w:pPr>
            <w:r>
              <w:rPr/>
              <w:t xml:space="preserve">Cierre por resolución (PAO N.</w:t>
            </w:r>
            <w:r>
              <w:rPr>
                <w:vertAlign w:val="superscript"/>
              </w:rPr>
              <w:t xml:space="preserve">o</w:t>
            </w:r>
            <w:r>
              <w:rPr/>
              <w:t xml:space="preserve"> 3, versión firmada el 16/03/2026)</w:t>
            </w:r>
          </w:p>
        </w:tc>
        <w:tc>
          <w:tcPr>
            <w:tcW w:w="4961" w:type="dxa"/>
            <w:tcBorders>
              <w:bottom w:val="single" w:sz="8" w:space="0" w:color="000000"/>
            </w:tcBorders>
          </w:tcPr>
          <w:p>
            <w:pPr>
              <w:pStyle w:val="CeldaAPA"/>
              <w:jc w:val="left"/>
            </w:pPr>
            <w:r>
              <w:rPr/>
              <w:t xml:space="preserve">Ejecutado en el periodo: Bs 16.837,41; avance total: Bs 2.073.392,68 (57,43 %); saldo no ejecutado: Bs 1.536.732,75 (cálculo propio)</w:t>
            </w:r>
          </w:p>
        </w:tc>
        <w:tc>
          <w:tcPr>
            <w:tcW w:w="1576" w:type="dxa"/>
            <w:tcBorders>
              <w:bottom w:val="single" w:sz="8" w:space="0" w:color="000000"/>
            </w:tcBorders>
          </w:tcPr>
          <w:p>
            <w:pPr>
              <w:pStyle w:val="CeldaAPA"/>
              <w:jc w:val="left"/>
            </w:pPr>
            <w:r>
              <w:rPr/>
              <w:t xml:space="preserve">Exp., p. 2</w:t>
            </w:r>
          </w:p>
        </w:tc>
      </w:tr>
    </w:tbl>
    <w:p>
      <w:pPr>
        <w:pStyle w:val="NotaAPA"/>
      </w:pPr>
      <w:r>
        <w:rPr>
          <w:iCs/>
          <w:i/>
        </w:rPr>
        <w:t xml:space="preserve">Nota.</w:t>
      </w:r>
      <w:r>
        <w:t xml:space="preserve"> </w:t>
      </w:r>
      <w:r>
        <w:t xml:space="preserve">Elaborado con base en</w:t>
      </w:r>
      <w:r>
        <w:t xml:space="preserve"> </w:t>
      </w:r>
      <w:r>
        <w:t xml:space="preserve">UATF (2025)</w:t>
      </w:r>
      <w:r>
        <w:t xml:space="preserve"> </w:t>
      </w:r>
      <w:r>
        <w:t xml:space="preserve">y</w:t>
      </w:r>
      <w:r>
        <w:t xml:space="preserve"> </w:t>
      </w:r>
      <w:r>
        <w:t xml:space="preserve">UATF (s. f.-b, p. 2)</w:t>
      </w:r>
      <w:r>
        <w:t xml:space="preserve"> </w:t>
      </w:r>
      <w:r>
        <w:t xml:space="preserve">(Exp.). Existe una segunda versión de la planilla de cierre, en archivo digital, con un avance de Bs 2.075.082,47 (57,48 %)</w:t>
      </w:r>
      <w:r>
        <w:t xml:space="preserve"> </w:t>
      </w:r>
      <w:r>
        <w:t xml:space="preserve">(UATF, s. f.-c)</w:t>
      </w:r>
      <w:r>
        <w:t xml:space="preserve">; la diferencia se analiza en la Sección 2.5.2. El precio referencial implícito se obtuvo de la cláusula de la garantía adicional, que equivale a la diferencia entre el 85 % del precio referencial y la propuesta:</w:t>
      </w:r>
      <w:r>
        <w:t xml:space="preserve"> </w:t>
      </w:r>
      <m:oMath>
        <m:d>
          <m:dPr>
            <m:begChr m:val="("/>
            <m:endChr m:val=")"/>
            <m:sepChr m:val=""/>
            <m:grow/>
          </m:dPr>
          <m:e>
            <m:r>
              <m:t>3.367</m:t>
            </m:r>
            <m:r>
              <m:t>.031</m:t>
            </m:r>
            <m:r>
              <m:rPr>
                <m:sty m:val="p"/>
              </m:rPr>
              <m:t>,</m:t>
            </m:r>
            <m:r>
              <m:t>95</m:t>
            </m:r>
            <m:r>
              <m:rPr>
                <m:sty m:val="p"/>
              </m:rPr>
              <m:t>+</m:t>
            </m:r>
            <m:r>
              <m:t>32.908</m:t>
            </m:r>
          </m:e>
        </m:d>
        <m:r>
          <m:rPr>
            <m:sty m:val="p"/>
          </m:rPr>
          <m:t>/</m:t>
        </m:r>
        <m:r>
          <m:t>0</m:t>
        </m:r>
        <m:r>
          <m:rPr>
            <m:sty m:val="p"/>
          </m:rPr>
          <m:t>,</m:t>
        </m:r>
        <m:r>
          <m:t>85</m:t>
        </m:r>
      </m:oMath>
      <w:r>
        <w:t xml:space="preserve">. El contrato modificatorio respondió a actividades nuevas por el tipo de suelo, a la perforación de zapatas para anclajes, al recálculo de la estructura y al ajuste de volúmenes medidos en obra</w:t>
      </w:r>
      <w:r>
        <w:t xml:space="preserve"> </w:t>
      </w:r>
      <w:r>
        <w:t xml:space="preserve">(UATF, s. f.-b, p. 1)</w:t>
      </w:r>
      <w:r>
        <w:t xml:space="preserve">.</w:t>
      </w:r>
    </w:p>
    <w:p>
      <w:pPr>
        <w:pStyle w:val="BodyText"/>
      </w:pPr>
      <w:r>
        <w:t xml:space="preserve">Tres rasgos del contrato condicionan la gestión de la calidad del ítem. Primero, los precios unitarios incluyen la provisión de «materiales de calidad» y las «reparaciones por trabajos defectuosos», y no se pagan trabajos que excedan el precio salvo autorización expresa</w:t>
      </w:r>
      <w:r>
        <w:t xml:space="preserve"> </w:t>
      </w:r>
      <w:r>
        <w:t xml:space="preserve">(UATF, 2025, p. 92)</w:t>
      </w:r>
      <w:r>
        <w:t xml:space="preserve">; además, no procede ningún reajuste de precios</w:t>
      </w:r>
      <w:r>
        <w:t xml:space="preserve"> </w:t>
      </w:r>
      <w:r>
        <w:t xml:space="preserve">(UATF, 2025, p. 95)</w:t>
      </w:r>
      <w:r>
        <w:t xml:space="preserve">. En consecuencia, el desperdicio, los retrabajos y el alza de los materiales los absorbe el contratista. Segundo, el contrato asigna a la Supervisión la responsabilidad directa del control de calidad, pero exige al contratista ensayar los materiales a su costo antes de incorporarlos a la obra</w:t>
      </w:r>
      <w:r>
        <w:t xml:space="preserve"> </w:t>
      </w:r>
      <w:r>
        <w:t xml:space="preserve">(UATF, 2025, pp. 101–102)</w:t>
      </w:r>
      <w:r>
        <w:t xml:space="preserve">. Tercero, la medición debe ser neta y no se miden volúmenes excedentes que la Supervisión no haya aprobado por escrito</w:t>
      </w:r>
      <w:r>
        <w:t xml:space="preserve"> </w:t>
      </w:r>
      <w:r>
        <w:t xml:space="preserve">(UATF, 2025, p. 99)</w:t>
      </w:r>
      <w:r>
        <w:t xml:space="preserve">. La Tabla 18 reúne las cláusulas que se relacionan con la calidad y el control de materiales; son requisitos de la parte interesada principal y, por ello, entradas del SGC.</w:t>
      </w:r>
    </w:p>
    <w:p>
      <w:pPr>
        <w:pStyle w:val="Caption"/>
      </w:pPr>
      <w:bookmarkStart w:id="1415" w:name="tab18"/>
      <w:r>
        <w:t xml:space="preserve"/>
      </w:r>
      <w:r>
        <w:rPr>
          <w:bCs/>
          <w:b/>
        </w:rPr>
        <w:t xml:space="preserve">Tabla 18</w:t>
      </w:r>
      <w:r>
        <w:br/>
      </w:r>
      <w:r>
        <w:rPr>
          <w:iCs/>
          <w:i/>
        </w:rPr>
        <w:t xml:space="preserve">Cláusulas del contrato relacionadas con la calidad y el control de materiales</w:t>
      </w:r>
      <w:bookmarkEnd w:id="1415"/>
    </w:p>
    <w:tbl>
      <w:tblPr>
        <w:tblStyle w:val="Table"/>
        <w:tblW w:w="9359" w:type="dxa"/>
        <w:jc w:val="left"/>
        <w:tblLayout w:type="fixed"/>
        <w:tblCellMar>
          <w:top w:w="0" w:type="dxa"/>
          <w:left w:w="85" w:type="dxa"/>
          <w:bottom w:w="0" w:type="dxa"/>
          <w:right w:w="85" w:type="dxa"/>
        </w:tblCellMar>
        <w:tblLook w:firstRow="1" w:lastRow="0" w:firstColumn="0" w:lastColumn="0" w:noHBand="0" w:noVBand="0" w:val="0020"/>
      </w:tblPr>
      <w:tblGrid>
        <w:gridCol w:w="1251"/>
        <w:gridCol w:w="3341"/>
        <w:gridCol w:w="3459"/>
        <w:gridCol w:w="1308"/>
      </w:tblGrid>
      <w:tr>
        <w:trPr>
          <w:cantSplit/>
          <w:tblHeader w:val="true"/>
        </w:trPr>
        <w:tc>
          <w:tcPr>
            <w:tcW w:w="1251" w:type="dxa"/>
            <w:tcBorders>
              <w:top w:val="single" w:sz="8" w:space="0" w:color="000000"/>
              <w:bottom w:val="single" w:sz="4" w:space="0" w:color="000000"/>
            </w:tcBorders>
          </w:tcPr>
          <w:p>
            <w:pPr>
              <w:pStyle w:val="CeldaAPA"/>
              <w:jc w:val="center"/>
            </w:pPr>
            <w:r>
              <w:rPr>
                <w:bCs/>
                <w:b/>
              </w:rPr>
              <w:t xml:space="preserve">Cláusula</w:t>
            </w:r>
          </w:p>
        </w:tc>
        <w:tc>
          <w:tcPr>
            <w:tcW w:w="3341" w:type="dxa"/>
            <w:tcBorders>
              <w:top w:val="single" w:sz="8" w:space="0" w:color="000000"/>
              <w:bottom w:val="single" w:sz="4" w:space="0" w:color="000000"/>
            </w:tcBorders>
          </w:tcPr>
          <w:p>
            <w:pPr>
              <w:pStyle w:val="CeldaAPA"/>
              <w:jc w:val="center"/>
            </w:pPr>
            <w:r>
              <w:rPr>
                <w:bCs/>
                <w:b/>
              </w:rPr>
              <w:t xml:space="preserve">Contenido (paráfrasis)</w:t>
            </w:r>
          </w:p>
        </w:tc>
        <w:tc>
          <w:tcPr>
            <w:tcW w:w="3459" w:type="dxa"/>
            <w:tcBorders>
              <w:top w:val="single" w:sz="8" w:space="0" w:color="000000"/>
              <w:bottom w:val="single" w:sz="4" w:space="0" w:color="000000"/>
            </w:tcBorders>
          </w:tcPr>
          <w:p>
            <w:pPr>
              <w:pStyle w:val="CeldaAPA"/>
              <w:jc w:val="center"/>
            </w:pPr>
            <w:r>
              <w:rPr>
                <w:bCs/>
                <w:b/>
              </w:rPr>
              <w:t xml:space="preserve">Implicancia para el SGC</w:t>
            </w:r>
          </w:p>
        </w:tc>
        <w:tc>
          <w:tcPr>
            <w:tcW w:w="1308" w:type="dxa"/>
            <w:tcBorders>
              <w:top w:val="single" w:sz="8" w:space="0" w:color="000000"/>
              <w:bottom w:val="single" w:sz="4" w:space="0" w:color="000000"/>
            </w:tcBorders>
          </w:tcPr>
          <w:p>
            <w:pPr>
              <w:pStyle w:val="CeldaAPA"/>
              <w:jc w:val="center"/>
            </w:pPr>
            <w:r>
              <w:rPr>
                <w:bCs/>
                <w:b/>
              </w:rPr>
              <w:t xml:space="preserve">PAO2</w:t>
            </w:r>
          </w:p>
        </w:tc>
      </w:tr>
      <w:tr>
        <w:tc>
          <w:tcPr>
            <w:tcW w:w="1251" w:type="dxa"/>
          </w:tcPr>
          <w:p>
            <w:pPr>
              <w:pStyle w:val="CeldaAPA"/>
              <w:jc w:val="left"/>
            </w:pPr>
            <w:r>
              <w:rPr/>
              <w:t xml:space="preserve">5.ª</w:t>
            </w:r>
          </w:p>
        </w:tc>
        <w:tc>
          <w:tcPr>
            <w:tcW w:w="3341" w:type="dxa"/>
          </w:tcPr>
          <w:p>
            <w:pPr>
              <w:pStyle w:val="CeldaAPA"/>
              <w:jc w:val="left"/>
            </w:pPr>
            <w:r>
              <w:rPr/>
              <w:t xml:space="preserve">Los precios unitarios incluyen materiales de calidad y la reparación de trabajos defectuosos; no se paga lo que exceda el precio sin autorización escrita</w:t>
            </w:r>
          </w:p>
        </w:tc>
        <w:tc>
          <w:tcPr>
            <w:tcW w:w="3459" w:type="dxa"/>
          </w:tcPr>
          <w:p>
            <w:pPr>
              <w:pStyle w:val="CeldaAPA"/>
              <w:jc w:val="left"/>
            </w:pPr>
            <w:r>
              <w:rPr/>
              <w:t xml:space="preserve">El costo de no calidad recae en el contratista: el SGC protege su margen</w:t>
            </w:r>
          </w:p>
        </w:tc>
        <w:tc>
          <w:tcPr>
            <w:tcW w:w="1308" w:type="dxa"/>
          </w:tcPr>
          <w:p>
            <w:pPr>
              <w:pStyle w:val="CeldaAPA"/>
              <w:jc w:val="left"/>
            </w:pPr>
            <w:r>
              <w:rPr/>
              <w:t xml:space="preserve">p. 92</w:t>
            </w:r>
          </w:p>
        </w:tc>
      </w:tr>
      <w:tr>
        <w:tc>
          <w:tcPr>
            <w:tcW w:w="1251" w:type="dxa"/>
          </w:tcPr>
          <w:p>
            <w:pPr>
              <w:pStyle w:val="CeldaAPA"/>
              <w:jc w:val="left"/>
            </w:pPr>
            <w:r>
              <w:rPr/>
              <w:t xml:space="preserve">16.ª</w:t>
            </w:r>
          </w:p>
        </w:tc>
        <w:tc>
          <w:tcPr>
            <w:tcW w:w="3341" w:type="dxa"/>
          </w:tcPr>
          <w:p>
            <w:pPr>
              <w:pStyle w:val="CeldaAPA"/>
              <w:jc w:val="left"/>
            </w:pPr>
            <w:r>
              <w:rPr/>
              <w:t xml:space="preserve">No procede reajuste de precios</w:t>
            </w:r>
          </w:p>
        </w:tc>
        <w:tc>
          <w:tcPr>
            <w:tcW w:w="3459" w:type="dxa"/>
          </w:tcPr>
          <w:p>
            <w:pPr>
              <w:pStyle w:val="CeldaAPA"/>
              <w:jc w:val="left"/>
            </w:pPr>
            <w:r>
              <w:rPr/>
              <w:t xml:space="preserve">El desperdicio se paga a precios crecientes del mercado</w:t>
            </w:r>
          </w:p>
        </w:tc>
        <w:tc>
          <w:tcPr>
            <w:tcW w:w="1308" w:type="dxa"/>
          </w:tcPr>
          <w:p>
            <w:pPr>
              <w:pStyle w:val="CeldaAPA"/>
              <w:jc w:val="left"/>
            </w:pPr>
            <w:r>
              <w:rPr/>
              <w:t xml:space="preserve">p. 95</w:t>
            </w:r>
          </w:p>
        </w:tc>
      </w:tr>
      <w:tr>
        <w:tc>
          <w:tcPr>
            <w:tcW w:w="1251" w:type="dxa"/>
          </w:tcPr>
          <w:p>
            <w:pPr>
              <w:pStyle w:val="CeldaAPA"/>
              <w:jc w:val="left"/>
            </w:pPr>
            <w:r>
              <w:rPr/>
              <w:t xml:space="preserve">20.ª</w:t>
            </w:r>
          </w:p>
        </w:tc>
        <w:tc>
          <w:tcPr>
            <w:tcW w:w="3341" w:type="dxa"/>
          </w:tcPr>
          <w:p>
            <w:pPr>
              <w:pStyle w:val="CeldaAPA"/>
              <w:jc w:val="left"/>
            </w:pPr>
            <w:r>
              <w:rPr/>
              <w:t xml:space="preserve">El mal tiempo no extraordinario y las demoras en la entrega de materiales no son fuerza mayor; el contratista debe preverlos</w:t>
            </w:r>
          </w:p>
        </w:tc>
        <w:tc>
          <w:tcPr>
            <w:tcW w:w="3459" w:type="dxa"/>
          </w:tcPr>
          <w:p>
            <w:pPr>
              <w:pStyle w:val="CeldaAPA"/>
              <w:jc w:val="left"/>
            </w:pPr>
            <w:r>
              <w:rPr/>
              <w:t xml:space="preserve">Clima y abastecimiento son riesgos del contratista que deben planificarse</w:t>
            </w:r>
          </w:p>
        </w:tc>
        <w:tc>
          <w:tcPr>
            <w:tcW w:w="1308" w:type="dxa"/>
          </w:tcPr>
          <w:p>
            <w:pPr>
              <w:pStyle w:val="CeldaAPA"/>
              <w:jc w:val="left"/>
            </w:pPr>
            <w:r>
              <w:rPr/>
              <w:t xml:space="preserve">p. 96</w:t>
            </w:r>
          </w:p>
        </w:tc>
      </w:tr>
      <w:tr>
        <w:tc>
          <w:tcPr>
            <w:tcW w:w="1251" w:type="dxa"/>
          </w:tcPr>
          <w:p>
            <w:pPr>
              <w:pStyle w:val="CeldaAPA"/>
              <w:jc w:val="left"/>
            </w:pPr>
            <w:r>
              <w:rPr/>
              <w:t xml:space="preserve">25.ª</w:t>
            </w:r>
          </w:p>
        </w:tc>
        <w:tc>
          <w:tcPr>
            <w:tcW w:w="3341" w:type="dxa"/>
          </w:tcPr>
          <w:p>
            <w:pPr>
              <w:pStyle w:val="CeldaAPA"/>
              <w:jc w:val="left"/>
            </w:pPr>
            <w:r>
              <w:rPr/>
              <w:t xml:space="preserve">Libro de Órdenes abierto ante notario; cada orden con fecha, firma del Supervisor y constancia firmada del Director de Obra</w:t>
            </w:r>
          </w:p>
        </w:tc>
        <w:tc>
          <w:tcPr>
            <w:tcW w:w="3459" w:type="dxa"/>
          </w:tcPr>
          <w:p>
            <w:pPr>
              <w:pStyle w:val="CeldaAPA"/>
              <w:jc w:val="left"/>
            </w:pPr>
            <w:r>
              <w:rPr/>
              <w:t xml:space="preserve">Registro formal de liberaciones, instrucciones y no conformidades</w:t>
            </w:r>
          </w:p>
        </w:tc>
        <w:tc>
          <w:tcPr>
            <w:tcW w:w="1308" w:type="dxa"/>
          </w:tcPr>
          <w:p>
            <w:pPr>
              <w:pStyle w:val="CeldaAPA"/>
              <w:jc w:val="left"/>
            </w:pPr>
            <w:r>
              <w:rPr/>
              <w:t xml:space="preserve">p. 100</w:t>
            </w:r>
          </w:p>
        </w:tc>
      </w:tr>
      <w:tr>
        <w:tc>
          <w:tcPr>
            <w:tcW w:w="1251" w:type="dxa"/>
          </w:tcPr>
          <w:p>
            <w:pPr>
              <w:pStyle w:val="CeldaAPA"/>
              <w:jc w:val="left"/>
            </w:pPr>
            <w:r>
              <w:rPr/>
              <w:t xml:space="preserve">26.3</w:t>
            </w:r>
          </w:p>
        </w:tc>
        <w:tc>
          <w:tcPr>
            <w:tcW w:w="3341" w:type="dxa"/>
          </w:tcPr>
          <w:p>
            <w:pPr>
              <w:pStyle w:val="CeldaAPA"/>
              <w:jc w:val="left"/>
            </w:pPr>
            <w:r>
              <w:rPr/>
              <w:t xml:space="preserve">Control técnico del trabajo; notificación y corrección de defectos; el control de calidad es responsabilidad directa de la Supervisión</w:t>
            </w:r>
          </w:p>
        </w:tc>
        <w:tc>
          <w:tcPr>
            <w:tcW w:w="3459" w:type="dxa"/>
          </w:tcPr>
          <w:p>
            <w:pPr>
              <w:pStyle w:val="CeldaAPA"/>
              <w:jc w:val="left"/>
            </w:pPr>
            <w:r>
              <w:rPr/>
              <w:t xml:space="preserve">La Supervisión participa en los puntos de espera y en el cierre de no conformidades</w:t>
            </w:r>
          </w:p>
        </w:tc>
        <w:tc>
          <w:tcPr>
            <w:tcW w:w="1308" w:type="dxa"/>
          </w:tcPr>
          <w:p>
            <w:pPr>
              <w:pStyle w:val="CeldaAPA"/>
              <w:jc w:val="left"/>
            </w:pPr>
            <w:r>
              <w:rPr/>
              <w:t xml:space="preserve">p. 101</w:t>
            </w:r>
          </w:p>
        </w:tc>
      </w:tr>
      <w:tr>
        <w:tc>
          <w:tcPr>
            <w:tcW w:w="1251" w:type="dxa"/>
          </w:tcPr>
          <w:p>
            <w:pPr>
              <w:pStyle w:val="CeldaAPA"/>
              <w:jc w:val="left"/>
            </w:pPr>
            <w:r>
              <w:rPr/>
              <w:t xml:space="preserve">26.6</w:t>
            </w:r>
          </w:p>
        </w:tc>
        <w:tc>
          <w:tcPr>
            <w:tcW w:w="3341" w:type="dxa"/>
          </w:tcPr>
          <w:p>
            <w:pPr>
              <w:pStyle w:val="CeldaAPA"/>
              <w:jc w:val="left"/>
            </w:pPr>
            <w:r>
              <w:rPr/>
              <w:t xml:space="preserve">Materiales sujetos a inspección y ensayos antes de su incorporación; costo de los ensayos a cargo del contratista</w:t>
            </w:r>
          </w:p>
        </w:tc>
        <w:tc>
          <w:tcPr>
            <w:tcW w:w="3459" w:type="dxa"/>
          </w:tcPr>
          <w:p>
            <w:pPr>
              <w:pStyle w:val="CeldaAPA"/>
              <w:jc w:val="left"/>
            </w:pPr>
            <w:r>
              <w:rPr/>
              <w:t xml:space="preserve">Recepción documentada y ensayos previos al uso</w:t>
            </w:r>
          </w:p>
        </w:tc>
        <w:tc>
          <w:tcPr>
            <w:tcW w:w="1308" w:type="dxa"/>
          </w:tcPr>
          <w:p>
            <w:pPr>
              <w:pStyle w:val="CeldaAPA"/>
              <w:jc w:val="left"/>
            </w:pPr>
            <w:r>
              <w:rPr/>
              <w:t xml:space="preserve">p. 102</w:t>
            </w:r>
          </w:p>
        </w:tc>
      </w:tr>
      <w:tr>
        <w:tc>
          <w:tcPr>
            <w:tcW w:w="1251" w:type="dxa"/>
          </w:tcPr>
          <w:p>
            <w:pPr>
              <w:pStyle w:val="CeldaAPA"/>
              <w:jc w:val="left"/>
            </w:pPr>
            <w:r>
              <w:rPr/>
              <w:t xml:space="preserve">26.9</w:t>
            </w:r>
          </w:p>
        </w:tc>
        <w:tc>
          <w:tcPr>
            <w:tcW w:w="3341" w:type="dxa"/>
          </w:tcPr>
          <w:p>
            <w:pPr>
              <w:pStyle w:val="CeldaAPA"/>
              <w:jc w:val="left"/>
            </w:pPr>
            <w:r>
              <w:rPr/>
              <w:t xml:space="preserve">Acopio en zonas limpias aprobadas; materiales inspeccionados y aprobados antes de su uso</w:t>
            </w:r>
          </w:p>
        </w:tc>
        <w:tc>
          <w:tcPr>
            <w:tcW w:w="3459" w:type="dxa"/>
          </w:tcPr>
          <w:p>
            <w:pPr>
              <w:pStyle w:val="CeldaAPA"/>
              <w:jc w:val="left"/>
            </w:pPr>
            <w:r>
              <w:rPr/>
              <w:t xml:space="preserve">Almacén, preservación e inventario</w:t>
            </w:r>
          </w:p>
        </w:tc>
        <w:tc>
          <w:tcPr>
            <w:tcW w:w="1308" w:type="dxa"/>
          </w:tcPr>
          <w:p>
            <w:pPr>
              <w:pStyle w:val="CeldaAPA"/>
              <w:jc w:val="left"/>
            </w:pPr>
            <w:r>
              <w:rPr/>
              <w:t xml:space="preserve">p. 102</w:t>
            </w:r>
          </w:p>
        </w:tc>
      </w:tr>
      <w:tr>
        <w:tc>
          <w:tcPr>
            <w:tcW w:w="1251" w:type="dxa"/>
          </w:tcPr>
          <w:p>
            <w:pPr>
              <w:pStyle w:val="CeldaAPA"/>
              <w:jc w:val="left"/>
            </w:pPr>
            <w:r>
              <w:rPr/>
              <w:t xml:space="preserve">26.10</w:t>
            </w:r>
          </w:p>
        </w:tc>
        <w:tc>
          <w:tcPr>
            <w:tcW w:w="3341" w:type="dxa"/>
          </w:tcPr>
          <w:p>
            <w:pPr>
              <w:pStyle w:val="CeldaAPA"/>
              <w:jc w:val="left"/>
            </w:pPr>
            <w:r>
              <w:rPr/>
              <w:t xml:space="preserve">Inspección permanente; rechazo de material defectuoso; ningún trabajo se cubre sin aprobación previa</w:t>
            </w:r>
          </w:p>
        </w:tc>
        <w:tc>
          <w:tcPr>
            <w:tcW w:w="3459" w:type="dxa"/>
          </w:tcPr>
          <w:p>
            <w:pPr>
              <w:pStyle w:val="CeldaAPA"/>
              <w:jc w:val="left"/>
            </w:pPr>
            <w:r>
              <w:rPr/>
              <w:t xml:space="preserve">Puntos de espera del PPI antes de cubrir o vaciar</w:t>
            </w:r>
          </w:p>
        </w:tc>
        <w:tc>
          <w:tcPr>
            <w:tcW w:w="1308" w:type="dxa"/>
          </w:tcPr>
          <w:p>
            <w:pPr>
              <w:pStyle w:val="CeldaAPA"/>
              <w:jc w:val="left"/>
            </w:pPr>
            <w:r>
              <w:rPr/>
              <w:t xml:space="preserve">pp. 99, 102</w:t>
            </w:r>
          </w:p>
        </w:tc>
      </w:tr>
      <w:tr>
        <w:tc>
          <w:tcPr>
            <w:tcW w:w="1251" w:type="dxa"/>
          </w:tcPr>
          <w:p>
            <w:pPr>
              <w:pStyle w:val="CeldaAPA"/>
              <w:jc w:val="left"/>
            </w:pPr>
            <w:r>
              <w:rPr/>
              <w:t xml:space="preserve">26.11 a 26.13</w:t>
            </w:r>
          </w:p>
        </w:tc>
        <w:tc>
          <w:tcPr>
            <w:tcW w:w="3341" w:type="dxa"/>
          </w:tcPr>
          <w:p>
            <w:pPr>
              <w:pStyle w:val="CeldaAPA"/>
              <w:jc w:val="left"/>
            </w:pPr>
            <w:r>
              <w:rPr/>
              <w:t xml:space="preserve">Pruebas adicionales, corrección de defectos y estimación del costo de los no corregidos</w:t>
            </w:r>
          </w:p>
        </w:tc>
        <w:tc>
          <w:tcPr>
            <w:tcW w:w="3459" w:type="dxa"/>
          </w:tcPr>
          <w:p>
            <w:pPr>
              <w:pStyle w:val="CeldaAPA"/>
              <w:jc w:val="left"/>
            </w:pPr>
            <w:r>
              <w:rPr/>
              <w:t xml:space="preserve">Tratamiento de no conformidades y su costo</w:t>
            </w:r>
          </w:p>
        </w:tc>
        <w:tc>
          <w:tcPr>
            <w:tcW w:w="1308" w:type="dxa"/>
          </w:tcPr>
          <w:p>
            <w:pPr>
              <w:pStyle w:val="CeldaAPA"/>
              <w:jc w:val="left"/>
            </w:pPr>
            <w:r>
              <w:rPr/>
              <w:t xml:space="preserve">p. 99</w:t>
            </w:r>
          </w:p>
        </w:tc>
      </w:tr>
      <w:tr>
        <w:tc>
          <w:tcPr>
            <w:tcW w:w="1251" w:type="dxa"/>
          </w:tcPr>
          <w:p>
            <w:pPr>
              <w:pStyle w:val="CeldaAPA"/>
              <w:jc w:val="left"/>
            </w:pPr>
            <w:r>
              <w:rPr/>
              <w:t xml:space="preserve">27.ª</w:t>
            </w:r>
          </w:p>
        </w:tc>
        <w:tc>
          <w:tcPr>
            <w:tcW w:w="3341" w:type="dxa"/>
          </w:tcPr>
          <w:p>
            <w:pPr>
              <w:pStyle w:val="CeldaAPA"/>
              <w:jc w:val="left"/>
            </w:pPr>
            <w:r>
              <w:rPr/>
              <w:t xml:space="preserve">Medición conjunta y neta; no se miden volúmenes excedentes no aprobados por escrito</w:t>
            </w:r>
          </w:p>
        </w:tc>
        <w:tc>
          <w:tcPr>
            <w:tcW w:w="3459" w:type="dxa"/>
          </w:tcPr>
          <w:p>
            <w:pPr>
              <w:pStyle w:val="CeldaAPA"/>
              <w:jc w:val="left"/>
            </w:pPr>
            <w:r>
              <w:rPr/>
              <w:t xml:space="preserve">El desperdicio no es cantidad pagable; conciliación de cantidades antes de cada planilla</w:t>
            </w:r>
          </w:p>
        </w:tc>
        <w:tc>
          <w:tcPr>
            <w:tcW w:w="1308" w:type="dxa"/>
          </w:tcPr>
          <w:p>
            <w:pPr>
              <w:pStyle w:val="CeldaAPA"/>
              <w:jc w:val="left"/>
            </w:pPr>
            <w:r>
              <w:rPr/>
              <w:t xml:space="preserve">p. 99</w:t>
            </w:r>
          </w:p>
        </w:tc>
      </w:tr>
      <w:tr>
        <w:tc>
          <w:tcPr>
            <w:tcW w:w="1251" w:type="dxa"/>
          </w:tcPr>
          <w:p>
            <w:pPr>
              <w:pStyle w:val="CeldaAPA"/>
              <w:jc w:val="left"/>
            </w:pPr>
            <w:r>
              <w:rPr/>
              <w:t xml:space="preserve">32.ª</w:t>
            </w:r>
          </w:p>
        </w:tc>
        <w:tc>
          <w:tcPr>
            <w:tcW w:w="3341" w:type="dxa"/>
          </w:tcPr>
          <w:p>
            <w:pPr>
              <w:pStyle w:val="CeldaAPA"/>
              <w:jc w:val="left"/>
            </w:pPr>
            <w:r>
              <w:rPr/>
              <w:t xml:space="preserve">Cronograma aprobado como documento de control; multas por día de retraso en cada hito</w:t>
            </w:r>
          </w:p>
        </w:tc>
        <w:tc>
          <w:tcPr>
            <w:tcW w:w="3459" w:type="dxa"/>
          </w:tcPr>
          <w:p>
            <w:pPr>
              <w:pStyle w:val="CeldaAPA"/>
              <w:jc w:val="left"/>
            </w:pPr>
            <w:r>
              <w:rPr/>
              <w:t xml:space="preserve">El retraso por retrabajos o desabastecimiento tiene un costo contractual</w:t>
            </w:r>
          </w:p>
        </w:tc>
        <w:tc>
          <w:tcPr>
            <w:tcW w:w="1308" w:type="dxa"/>
          </w:tcPr>
          <w:p>
            <w:pPr>
              <w:pStyle w:val="CeldaAPA"/>
              <w:jc w:val="left"/>
            </w:pPr>
            <w:r>
              <w:rPr/>
              <w:t xml:space="preserve">pp. 105–106</w:t>
            </w:r>
          </w:p>
        </w:tc>
      </w:tr>
      <w:tr>
        <w:tc>
          <w:tcPr>
            <w:tcW w:w="1251" w:type="dxa"/>
            <w:tcBorders>
              <w:bottom w:val="single" w:sz="8" w:space="0" w:color="000000"/>
            </w:tcBorders>
          </w:tcPr>
          <w:p>
            <w:pPr>
              <w:pStyle w:val="CeldaAPA"/>
              <w:jc w:val="left"/>
            </w:pPr>
            <w:r>
              <w:rPr/>
              <w:t xml:space="preserve">33.ª</w:t>
            </w:r>
          </w:p>
        </w:tc>
        <w:tc>
          <w:tcPr>
            <w:tcW w:w="3341" w:type="dxa"/>
            <w:tcBorders>
              <w:bottom w:val="single" w:sz="8" w:space="0" w:color="000000"/>
            </w:tcBorders>
          </w:tcPr>
          <w:p>
            <w:pPr>
              <w:pStyle w:val="CeldaAPA"/>
              <w:jc w:val="left"/>
            </w:pPr>
            <w:r>
              <w:rPr/>
              <w:t xml:space="preserve">Obra defectuosa corregida por cuenta del contratista dentro del tercer día; retención de planillas</w:t>
            </w:r>
          </w:p>
        </w:tc>
        <w:tc>
          <w:tcPr>
            <w:tcW w:w="3459" w:type="dxa"/>
            <w:tcBorders>
              <w:bottom w:val="single" w:sz="8" w:space="0" w:color="000000"/>
            </w:tcBorders>
          </w:tcPr>
          <w:p>
            <w:pPr>
              <w:pStyle w:val="CeldaAPA"/>
              <w:jc w:val="left"/>
            </w:pPr>
            <w:r>
              <w:rPr/>
              <w:t xml:space="preserve">Costo de fallas internas y externas</w:t>
            </w:r>
          </w:p>
        </w:tc>
        <w:tc>
          <w:tcPr>
            <w:tcW w:w="1308" w:type="dxa"/>
            <w:tcBorders>
              <w:bottom w:val="single" w:sz="8" w:space="0" w:color="000000"/>
            </w:tcBorders>
          </w:tcPr>
          <w:p>
            <w:pPr>
              <w:pStyle w:val="CeldaAPA"/>
              <w:jc w:val="left"/>
            </w:pPr>
            <w:r>
              <w:rPr/>
              <w:t xml:space="preserve">p. 107</w:t>
            </w:r>
          </w:p>
        </w:tc>
      </w:tr>
    </w:tbl>
    <w:p>
      <w:pPr>
        <w:pStyle w:val="NotaAPA"/>
      </w:pPr>
      <w:r>
        <w:rPr>
          <w:iCs/>
          <w:i/>
        </w:rPr>
        <w:t xml:space="preserve">Nota.</w:t>
      </w:r>
      <w:r>
        <w:t xml:space="preserve"> </w:t>
      </w:r>
      <w:r>
        <w:t xml:space="preserve">Elaborado con base en el contrato de obra adjunto a la Planilla de avance N.</w:t>
      </w:r>
      <w:r>
        <w:rPr>
          <w:vertAlign w:val="superscript"/>
        </w:rPr>
        <w:t xml:space="preserve">o</w:t>
      </w:r>
      <w:r>
        <w:t xml:space="preserve"> 2</w:t>
      </w:r>
      <w:r>
        <w:t xml:space="preserve"> </w:t>
      </w:r>
      <w:r>
        <w:t xml:space="preserve">(UATF, 2025)</w:t>
      </w:r>
      <w:r>
        <w:t xml:space="preserve">. PAO2: página del archivo PDF de la planilla.</w:t>
      </w:r>
    </w:p>
    <w:p>
      <w:pPr>
        <w:pStyle w:val="Heading3"/>
      </w:pPr>
      <w:bookmarkStart w:id="124" w:name="tit92"/>
      <w:r>
        <w:t xml:space="preserve">2.2.3. Cronología de la ejecución</w:t>
      </w:r>
      <w:bookmarkEnd w:id="124"/>
    </w:p>
    <w:p>
      <w:pPr>
        <w:pStyle w:val="FirstParagraph"/>
      </w:pPr>
      <w:r>
        <w:t xml:space="preserve">La Tabla 19 ordena los hechos documentados desde la adjudicación hasta el cierre del contrato. Integra el Libro de Órdenes de la Planilla N.</w:t>
      </w:r>
      <w:r>
        <w:rPr>
          <w:vertAlign w:val="superscript"/>
        </w:rPr>
        <w:t xml:space="preserve">o</w:t>
      </w:r>
      <w:r>
        <w:t xml:space="preserve"> 2 (24 asientos, del 10/09 al 28/11/2025), los asientos posteriores copiados en el expediente del ítem 13, las cartas y certificados de los proveedores y los comunicados que describen el contexto de desabastecimiento.</w:t>
      </w:r>
    </w:p>
    <w:p>
      <w:pPr>
        <w:pStyle w:val="Caption"/>
      </w:pPr>
      <w:bookmarkStart w:id="1416" w:name="tab19"/>
      <w:r>
        <w:t xml:space="preserve"/>
      </w:r>
      <w:r>
        <w:rPr>
          <w:bCs/>
          <w:b/>
        </w:rPr>
        <w:t xml:space="preserve">Tabla 19</w:t>
      </w:r>
      <w:r>
        <w:br/>
      </w:r>
      <w:r>
        <w:rPr>
          <w:iCs/>
          <w:i/>
        </w:rPr>
        <w:t xml:space="preserve">Cronología de la ejecución del proyecto y de la primera losa</w:t>
      </w:r>
      <w:bookmarkEnd w:id="1416"/>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1545"/>
        <w:gridCol w:w="5970"/>
        <w:gridCol w:w="1845"/>
      </w:tblGrid>
      <w:tr>
        <w:trPr>
          <w:cantSplit/>
          <w:tblHeader w:val="true"/>
        </w:trPr>
        <w:tc>
          <w:tcPr>
            <w:tcW w:w="1545" w:type="dxa"/>
            <w:tcBorders>
              <w:top w:val="single" w:sz="8" w:space="0" w:color="000000"/>
              <w:bottom w:val="single" w:sz="4" w:space="0" w:color="000000"/>
            </w:tcBorders>
          </w:tcPr>
          <w:p>
            <w:pPr>
              <w:pStyle w:val="CeldaAPA"/>
              <w:jc w:val="center"/>
            </w:pPr>
            <w:r>
              <w:rPr>
                <w:bCs/>
                <w:b/>
              </w:rPr>
              <w:t xml:space="preserve">Fecha</w:t>
            </w:r>
          </w:p>
        </w:tc>
        <w:tc>
          <w:tcPr>
            <w:tcW w:w="5970" w:type="dxa"/>
            <w:tcBorders>
              <w:top w:val="single" w:sz="8" w:space="0" w:color="000000"/>
              <w:bottom w:val="single" w:sz="4" w:space="0" w:color="000000"/>
            </w:tcBorders>
          </w:tcPr>
          <w:p>
            <w:pPr>
              <w:pStyle w:val="CeldaAPA"/>
              <w:jc w:val="center"/>
            </w:pPr>
            <w:r>
              <w:rPr>
                <w:bCs/>
                <w:b/>
              </w:rPr>
              <w:t xml:space="preserve">Hecho</w:t>
            </w:r>
          </w:p>
        </w:tc>
        <w:tc>
          <w:tcPr>
            <w:tcW w:w="1845" w:type="dxa"/>
            <w:tcBorders>
              <w:top w:val="single" w:sz="8" w:space="0" w:color="000000"/>
              <w:bottom w:val="single" w:sz="4" w:space="0" w:color="000000"/>
            </w:tcBorders>
          </w:tcPr>
          <w:p>
            <w:pPr>
              <w:pStyle w:val="CeldaAPA"/>
              <w:jc w:val="center"/>
            </w:pPr>
            <w:r>
              <w:rPr>
                <w:bCs/>
                <w:b/>
              </w:rPr>
              <w:t xml:space="preserve">Fuente</w:t>
            </w:r>
          </w:p>
        </w:tc>
      </w:tr>
      <w:tr>
        <w:tc>
          <w:tcPr>
            <w:tcW w:w="1545" w:type="dxa"/>
          </w:tcPr>
          <w:p>
            <w:pPr>
              <w:pStyle w:val="CeldaAPA"/>
              <w:jc w:val="left"/>
            </w:pPr>
            <w:r>
              <w:rPr/>
              <w:t xml:space="preserve">04/04/2025</w:t>
            </w:r>
          </w:p>
        </w:tc>
        <w:tc>
          <w:tcPr>
            <w:tcW w:w="5970" w:type="dxa"/>
          </w:tcPr>
          <w:p>
            <w:pPr>
              <w:pStyle w:val="CeldaAPA"/>
              <w:jc w:val="left"/>
            </w:pPr>
            <w:r>
              <w:rPr/>
              <w:t xml:space="preserve">Adjudicación de la licitación a la Empresa Constructora Kodesh (R. A. N.</w:t>
            </w:r>
            <w:r>
              <w:rPr>
                <w:vertAlign w:val="superscript"/>
              </w:rPr>
              <w:t xml:space="preserve">o</w:t>
            </w:r>
            <w:r>
              <w:rPr/>
              <w:t xml:space="preserve"> 82-2025).</w:t>
            </w:r>
          </w:p>
        </w:tc>
        <w:tc>
          <w:tcPr>
            <w:tcW w:w="1845" w:type="dxa"/>
          </w:tcPr>
          <w:p>
            <w:pPr>
              <w:pStyle w:val="CeldaAPA"/>
              <w:jc w:val="left"/>
            </w:pPr>
            <w:r>
              <w:rPr/>
              <w:t xml:space="preserve">PAO2, p. 91</w:t>
            </w:r>
          </w:p>
        </w:tc>
      </w:tr>
      <w:tr>
        <w:tc>
          <w:tcPr>
            <w:tcW w:w="1545" w:type="dxa"/>
          </w:tcPr>
          <w:p>
            <w:pPr>
              <w:pStyle w:val="CeldaAPA"/>
              <w:jc w:val="left"/>
            </w:pPr>
            <w:r>
              <w:rPr/>
              <w:t xml:space="preserve">14/04/2025</w:t>
            </w:r>
          </w:p>
        </w:tc>
        <w:tc>
          <w:tcPr>
            <w:tcW w:w="5970" w:type="dxa"/>
          </w:tcPr>
          <w:p>
            <w:pPr>
              <w:pStyle w:val="CeldaAPA"/>
              <w:jc w:val="left"/>
            </w:pPr>
            <w:r>
              <w:rPr/>
              <w:t xml:space="preserve">Emisión de las boletas de garantía de cumplimiento (Bs 235.693,00) y adicional (Bs 32.908,00), con vigencia hasta el 14/04/2026.</w:t>
            </w:r>
          </w:p>
        </w:tc>
        <w:tc>
          <w:tcPr>
            <w:tcW w:w="1845" w:type="dxa"/>
          </w:tcPr>
          <w:p>
            <w:pPr>
              <w:pStyle w:val="CeldaAPA"/>
              <w:jc w:val="left"/>
            </w:pPr>
            <w:r>
              <w:rPr/>
              <w:t xml:space="preserve">PAO2, pp. 130–131</w:t>
            </w:r>
          </w:p>
        </w:tc>
      </w:tr>
      <w:tr>
        <w:tc>
          <w:tcPr>
            <w:tcW w:w="1545" w:type="dxa"/>
          </w:tcPr>
          <w:p>
            <w:pPr>
              <w:pStyle w:val="CeldaAPA"/>
              <w:jc w:val="left"/>
            </w:pPr>
            <w:r>
              <w:rPr/>
              <w:t xml:space="preserve">24/04/2025</w:t>
            </w:r>
          </w:p>
        </w:tc>
        <w:tc>
          <w:tcPr>
            <w:tcW w:w="5970" w:type="dxa"/>
          </w:tcPr>
          <w:p>
            <w:pPr>
              <w:pStyle w:val="CeldaAPA"/>
              <w:jc w:val="left"/>
            </w:pPr>
            <w:r>
              <w:rPr/>
              <w:t xml:space="preserve">Firma del contrato N.</w:t>
            </w:r>
            <w:r>
              <w:rPr>
                <w:vertAlign w:val="superscript"/>
              </w:rPr>
              <w:t xml:space="preserve">o</w:t>
            </w:r>
            <w:r>
              <w:rPr/>
              <w:t xml:space="preserve"> 02-2025.</w:t>
            </w:r>
          </w:p>
        </w:tc>
        <w:tc>
          <w:tcPr>
            <w:tcW w:w="1845" w:type="dxa"/>
          </w:tcPr>
          <w:p>
            <w:pPr>
              <w:pStyle w:val="CeldaAPA"/>
              <w:jc w:val="left"/>
            </w:pPr>
            <w:r>
              <w:rPr/>
              <w:t xml:space="preserve">PAO2, p. 112</w:t>
            </w:r>
          </w:p>
        </w:tc>
      </w:tr>
      <w:tr>
        <w:tc>
          <w:tcPr>
            <w:tcW w:w="1545" w:type="dxa"/>
          </w:tcPr>
          <w:p>
            <w:pPr>
              <w:pStyle w:val="CeldaAPA"/>
              <w:jc w:val="left"/>
            </w:pPr>
            <w:r>
              <w:rPr/>
              <w:t xml:space="preserve">06/05/2025</w:t>
            </w:r>
          </w:p>
        </w:tc>
        <w:tc>
          <w:tcPr>
            <w:tcW w:w="5970" w:type="dxa"/>
          </w:tcPr>
          <w:p>
            <w:pPr>
              <w:pStyle w:val="CeldaAPA"/>
              <w:jc w:val="left"/>
            </w:pPr>
            <w:r>
              <w:rPr/>
              <w:t xml:space="preserve">Orden de proceder y acta de inicio: Bs 3.367.031,95; 270 días; conclusión prevista el 30/01/2026.</w:t>
            </w:r>
          </w:p>
        </w:tc>
        <w:tc>
          <w:tcPr>
            <w:tcW w:w="1845" w:type="dxa"/>
          </w:tcPr>
          <w:p>
            <w:pPr>
              <w:pStyle w:val="CeldaAPA"/>
              <w:jc w:val="left"/>
            </w:pPr>
            <w:r>
              <w:rPr/>
              <w:t xml:space="preserve">PAO2, pp. 127–128</w:t>
            </w:r>
          </w:p>
        </w:tc>
      </w:tr>
      <w:tr>
        <w:tc>
          <w:tcPr>
            <w:tcW w:w="1545" w:type="dxa"/>
          </w:tcPr>
          <w:p>
            <w:pPr>
              <w:pStyle w:val="CeldaAPA"/>
              <w:jc w:val="left"/>
            </w:pPr>
            <w:r>
              <w:rPr/>
              <w:t xml:space="preserve">12/06/2025</w:t>
            </w:r>
          </w:p>
        </w:tc>
        <w:tc>
          <w:tcPr>
            <w:tcW w:w="5970" w:type="dxa"/>
          </w:tcPr>
          <w:p>
            <w:pPr>
              <w:pStyle w:val="CeldaAPA"/>
              <w:jc w:val="left"/>
            </w:pPr>
            <w:r>
              <w:rPr/>
              <w:t xml:space="preserve">FANCESA comunica la paralización temporal de su producción de cemento por falta de diésel.</w:t>
            </w:r>
          </w:p>
        </w:tc>
        <w:tc>
          <w:tcPr>
            <w:tcW w:w="1845" w:type="dxa"/>
          </w:tcPr>
          <w:p>
            <w:pPr>
              <w:pStyle w:val="CeldaAPA"/>
              <w:jc w:val="left"/>
            </w:pPr>
            <w:r>
              <w:rPr/>
              <w:t xml:space="preserve">FANCESA (2025)</w:t>
            </w:r>
            <w:r>
              <w:rPr/>
              <w:t xml:space="preserve">; Exp., p. 26</w:t>
            </w:r>
          </w:p>
        </w:tc>
      </w:tr>
      <w:tr>
        <w:tc>
          <w:tcPr>
            <w:tcW w:w="1545" w:type="dxa"/>
          </w:tcPr>
          <w:p>
            <w:pPr>
              <w:pStyle w:val="CeldaAPA"/>
              <w:jc w:val="left"/>
            </w:pPr>
            <w:r>
              <w:rPr/>
              <w:t xml:space="preserve">13/06/2025</w:t>
            </w:r>
          </w:p>
        </w:tc>
        <w:tc>
          <w:tcPr>
            <w:tcW w:w="5970" w:type="dxa"/>
          </w:tcPr>
          <w:p>
            <w:pPr>
              <w:pStyle w:val="CeldaAPA"/>
              <w:jc w:val="left"/>
            </w:pPr>
            <w:r>
              <w:rPr/>
              <w:t xml:space="preserve">La contratista solicita la protocolización del contrato; al 08/12/2025 seguía pendiente por falta de la firma del Rector.</w:t>
            </w:r>
          </w:p>
        </w:tc>
        <w:tc>
          <w:tcPr>
            <w:tcW w:w="1845" w:type="dxa"/>
          </w:tcPr>
          <w:p>
            <w:pPr>
              <w:pStyle w:val="CeldaAPA"/>
              <w:jc w:val="left"/>
            </w:pPr>
            <w:r>
              <w:rPr/>
              <w:t xml:space="preserve">PAO2, pp. 88–89</w:t>
            </w:r>
          </w:p>
        </w:tc>
      </w:tr>
      <w:tr>
        <w:tc>
          <w:tcPr>
            <w:tcW w:w="1545" w:type="dxa"/>
          </w:tcPr>
          <w:p>
            <w:pPr>
              <w:pStyle w:val="CeldaAPA"/>
              <w:jc w:val="left"/>
            </w:pPr>
            <w:r>
              <w:rPr/>
              <w:t xml:space="preserve">16/06/2025</w:t>
            </w:r>
          </w:p>
        </w:tc>
        <w:tc>
          <w:tcPr>
            <w:tcW w:w="5970" w:type="dxa"/>
          </w:tcPr>
          <w:p>
            <w:pPr>
              <w:pStyle w:val="CeldaAPA"/>
              <w:jc w:val="left"/>
            </w:pPr>
            <w:r>
              <w:rPr/>
              <w:t xml:space="preserve">Import Export Las Lomas Ltda. informa que, por el desabastecimiento de combustibles y los bloqueos de carreteras, de una compra de 20 t de fierro corrugado solo entregó el 30 %.</w:t>
            </w:r>
          </w:p>
        </w:tc>
        <w:tc>
          <w:tcPr>
            <w:tcW w:w="1845" w:type="dxa"/>
          </w:tcPr>
          <w:p>
            <w:pPr>
              <w:pStyle w:val="CeldaAPA"/>
              <w:jc w:val="left"/>
            </w:pPr>
            <w:r>
              <w:rPr/>
              <w:t xml:space="preserve">Import Export Las Lomas Ltda. (2025)</w:t>
            </w:r>
            <w:r>
              <w:rPr/>
              <w:t xml:space="preserve">; Exp., p. 27</w:t>
            </w:r>
          </w:p>
        </w:tc>
      </w:tr>
      <w:tr>
        <w:tc>
          <w:tcPr>
            <w:tcW w:w="1545" w:type="dxa"/>
          </w:tcPr>
          <w:p>
            <w:pPr>
              <w:pStyle w:val="CeldaAPA"/>
              <w:jc w:val="left"/>
            </w:pPr>
            <w:r>
              <w:rPr/>
              <w:t xml:space="preserve">04/09/2025</w:t>
            </w:r>
          </w:p>
        </w:tc>
        <w:tc>
          <w:tcPr>
            <w:tcW w:w="5970" w:type="dxa"/>
          </w:tcPr>
          <w:p>
            <w:pPr>
              <w:pStyle w:val="CeldaAPA"/>
              <w:jc w:val="left"/>
            </w:pPr>
            <w:r>
              <w:rPr/>
              <w:t xml:space="preserve">Inicio del periodo de la Planilla de avance N.</w:t>
            </w:r>
            <w:r>
              <w:rPr>
                <w:vertAlign w:val="superscript"/>
              </w:rPr>
              <w:t xml:space="preserve">o</w:t>
            </w:r>
            <w:r>
              <w:rPr/>
              <w:t xml:space="preserve"> 2.</w:t>
            </w:r>
          </w:p>
        </w:tc>
        <w:tc>
          <w:tcPr>
            <w:tcW w:w="1845" w:type="dxa"/>
          </w:tcPr>
          <w:p>
            <w:pPr>
              <w:pStyle w:val="CeldaAPA"/>
              <w:jc w:val="left"/>
            </w:pPr>
            <w:r>
              <w:rPr/>
              <w:t xml:space="preserve">PAO2, p. 3</w:t>
            </w:r>
          </w:p>
        </w:tc>
      </w:tr>
      <w:tr>
        <w:tc>
          <w:tcPr>
            <w:tcW w:w="1545" w:type="dxa"/>
          </w:tcPr>
          <w:p>
            <w:pPr>
              <w:pStyle w:val="CeldaAPA"/>
              <w:jc w:val="left"/>
            </w:pPr>
            <w:r>
              <w:rPr/>
              <w:t xml:space="preserve">10/09 a 31/10/2025</w:t>
            </w:r>
          </w:p>
        </w:tc>
        <w:tc>
          <w:tcPr>
            <w:tcW w:w="5970" w:type="dxa"/>
          </w:tcPr>
          <w:p>
            <w:pPr>
              <w:pStyle w:val="CeldaAPA"/>
              <w:jc w:val="left"/>
            </w:pPr>
            <w:r>
              <w:rPr/>
              <w:t xml:space="preserve">Siete solicitudes de verificación y vaciado (5 columnas de arranque y 7 ejes de vigas de arriostre; luego 75 columnas), todas autorizadas el mismo día. Lluvias notificadas el 09/09, 14/09, 17/09 y 15/10.</w:t>
            </w:r>
          </w:p>
        </w:tc>
        <w:tc>
          <w:tcPr>
            <w:tcW w:w="1845" w:type="dxa"/>
          </w:tcPr>
          <w:p>
            <w:pPr>
              <w:pStyle w:val="CeldaAPA"/>
              <w:jc w:val="left"/>
            </w:pPr>
            <w:r>
              <w:rPr/>
              <w:t xml:space="preserve">PAO2, pp. 114–121</w:t>
            </w:r>
          </w:p>
        </w:tc>
      </w:tr>
      <w:tr>
        <w:tc>
          <w:tcPr>
            <w:tcW w:w="1545" w:type="dxa"/>
          </w:tcPr>
          <w:p>
            <w:pPr>
              <w:pStyle w:val="CeldaAPA"/>
              <w:jc w:val="left"/>
            </w:pPr>
            <w:r>
              <w:rPr/>
              <w:t xml:space="preserve">20/09 a 11/10/2025</w:t>
            </w:r>
          </w:p>
        </w:tc>
        <w:tc>
          <w:tcPr>
            <w:tcW w:w="5970" w:type="dxa"/>
          </w:tcPr>
          <w:p>
            <w:pPr>
              <w:pStyle w:val="CeldaAPA"/>
              <w:jc w:val="left"/>
            </w:pPr>
            <w:r>
              <w:rPr/>
              <w:t xml:space="preserve">Fechas de elaboración de las 12 probetas de columnas y vigas del certificado N.</w:t>
            </w:r>
            <w:r>
              <w:rPr>
                <w:vertAlign w:val="superscript"/>
              </w:rPr>
              <w:t xml:space="preserve">o</w:t>
            </w:r>
            <w:r>
              <w:rPr/>
              <w:t xml:space="preserve"> 000293.</w:t>
            </w:r>
          </w:p>
        </w:tc>
        <w:tc>
          <w:tcPr>
            <w:tcW w:w="1845" w:type="dxa"/>
          </w:tcPr>
          <w:p>
            <w:pPr>
              <w:pStyle w:val="CeldaAPA"/>
              <w:jc w:val="left"/>
            </w:pPr>
            <w:r>
              <w:rPr/>
              <w:t xml:space="preserve">PAO2, p. 78</w:t>
            </w:r>
          </w:p>
        </w:tc>
      </w:tr>
      <w:tr>
        <w:tc>
          <w:tcPr>
            <w:tcW w:w="1545" w:type="dxa"/>
          </w:tcPr>
          <w:p>
            <w:pPr>
              <w:pStyle w:val="CeldaAPA"/>
              <w:jc w:val="left"/>
            </w:pPr>
            <w:r>
              <w:rPr/>
              <w:t xml:space="preserve">09/10/2025</w:t>
            </w:r>
          </w:p>
        </w:tc>
        <w:tc>
          <w:tcPr>
            <w:tcW w:w="5970" w:type="dxa"/>
          </w:tcPr>
          <w:p>
            <w:pPr>
              <w:pStyle w:val="CeldaAPA"/>
              <w:jc w:val="left"/>
            </w:pPr>
            <w:r>
              <w:rPr/>
              <w:t xml:space="preserve">La Cámara de la Construcción de Tarija se pronuncia sobre el alza del precio del cemento y la escasez de combustibles.</w:t>
            </w:r>
          </w:p>
        </w:tc>
        <w:tc>
          <w:tcPr>
            <w:tcW w:w="1845" w:type="dxa"/>
          </w:tcPr>
          <w:p>
            <w:pPr>
              <w:pStyle w:val="CeldaAPA"/>
              <w:jc w:val="left"/>
            </w:pPr>
            <w:r>
              <w:rPr/>
              <w:t xml:space="preserve">CADECO Tarija (2025)</w:t>
            </w:r>
            <w:r>
              <w:rPr/>
              <w:t xml:space="preserve">; Exp., p. 26</w:t>
            </w:r>
          </w:p>
        </w:tc>
      </w:tr>
      <w:tr>
        <w:tc>
          <w:tcPr>
            <w:tcW w:w="1545" w:type="dxa"/>
          </w:tcPr>
          <w:p>
            <w:pPr>
              <w:pStyle w:val="CeldaAPA"/>
              <w:jc w:val="left"/>
            </w:pPr>
            <w:r>
              <w:rPr/>
              <w:t xml:space="preserve">23/10 y 31/10/2025</w:t>
            </w:r>
          </w:p>
        </w:tc>
        <w:tc>
          <w:tcPr>
            <w:tcW w:w="5970" w:type="dxa"/>
          </w:tcPr>
          <w:p>
            <w:pPr>
              <w:pStyle w:val="CeldaAPA"/>
              <w:jc w:val="left"/>
            </w:pPr>
            <w:r>
              <w:rPr/>
              <w:t xml:space="preserve">La Supervisión instruye cuidar la dosificación (23/10) y el contenido de agua y la toma de muestras de hormigón (31/10).</w:t>
            </w:r>
          </w:p>
        </w:tc>
        <w:tc>
          <w:tcPr>
            <w:tcW w:w="1845" w:type="dxa"/>
          </w:tcPr>
          <w:p>
            <w:pPr>
              <w:pStyle w:val="CeldaAPA"/>
              <w:jc w:val="left"/>
            </w:pPr>
            <w:r>
              <w:rPr/>
              <w:t xml:space="preserve">PAO2, pp. 120–121</w:t>
            </w:r>
          </w:p>
        </w:tc>
      </w:tr>
      <w:tr>
        <w:tc>
          <w:tcPr>
            <w:tcW w:w="1545" w:type="dxa"/>
          </w:tcPr>
          <w:p>
            <w:pPr>
              <w:pStyle w:val="CeldaAPA"/>
              <w:jc w:val="left"/>
            </w:pPr>
            <w:r>
              <w:rPr/>
              <w:t xml:space="preserve">14/11/2025</w:t>
            </w:r>
          </w:p>
        </w:tc>
        <w:tc>
          <w:tcPr>
            <w:tcW w:w="5970" w:type="dxa"/>
          </w:tcPr>
          <w:p>
            <w:pPr>
              <w:pStyle w:val="CeldaAPA"/>
              <w:jc w:val="left"/>
            </w:pPr>
            <w:r>
              <w:rPr/>
              <w:t xml:space="preserve">«Se viene armando las vigas y losa del primer nivel»; lluvias del 12 y 13/11.</w:t>
            </w:r>
          </w:p>
        </w:tc>
        <w:tc>
          <w:tcPr>
            <w:tcW w:w="1845" w:type="dxa"/>
          </w:tcPr>
          <w:p>
            <w:pPr>
              <w:pStyle w:val="CeldaAPA"/>
              <w:jc w:val="left"/>
            </w:pPr>
            <w:r>
              <w:rPr/>
              <w:t xml:space="preserve">PAO2, p. 122</w:t>
            </w:r>
          </w:p>
        </w:tc>
      </w:tr>
      <w:tr>
        <w:tc>
          <w:tcPr>
            <w:tcW w:w="1545" w:type="dxa"/>
          </w:tcPr>
          <w:p>
            <w:pPr>
              <w:pStyle w:val="CeldaAPA"/>
              <w:jc w:val="left"/>
            </w:pPr>
            <w:r>
              <w:rPr/>
              <w:t xml:space="preserve">17/11/2025</w:t>
            </w:r>
          </w:p>
        </w:tc>
        <w:tc>
          <w:tcPr>
            <w:tcW w:w="5970" w:type="dxa"/>
          </w:tcPr>
          <w:p>
            <w:pPr>
              <w:pStyle w:val="CeldaAPA"/>
              <w:jc w:val="left"/>
            </w:pPr>
            <w:r>
              <w:rPr/>
              <w:t xml:space="preserve">La contratista informa que, por la escasez de combustible, los materiales tardan mucho en llegar.</w:t>
            </w:r>
          </w:p>
        </w:tc>
        <w:tc>
          <w:tcPr>
            <w:tcW w:w="1845" w:type="dxa"/>
          </w:tcPr>
          <w:p>
            <w:pPr>
              <w:pStyle w:val="CeldaAPA"/>
              <w:jc w:val="left"/>
            </w:pPr>
            <w:r>
              <w:rPr/>
              <w:t xml:space="preserve">PAO2, p. 123</w:t>
            </w:r>
          </w:p>
        </w:tc>
      </w:tr>
      <w:tr>
        <w:tc>
          <w:tcPr>
            <w:tcW w:w="1545" w:type="dxa"/>
          </w:tcPr>
          <w:p>
            <w:pPr>
              <w:pStyle w:val="CeldaAPA"/>
              <w:jc w:val="left"/>
            </w:pPr>
            <w:r>
              <w:rPr/>
              <w:t xml:space="preserve">21/11/2025</w:t>
            </w:r>
          </w:p>
        </w:tc>
        <w:tc>
          <w:tcPr>
            <w:tcW w:w="5970" w:type="dxa"/>
          </w:tcPr>
          <w:p>
            <w:pPr>
              <w:pStyle w:val="CeldaAPA"/>
              <w:jc w:val="left"/>
            </w:pPr>
            <w:r>
              <w:rPr/>
              <w:t xml:space="preserve">Continúa el armado de vigas y losa; lluvia. La Supervisión instruye documentar los hechos con reportes del SENAMHI.</w:t>
            </w:r>
          </w:p>
        </w:tc>
        <w:tc>
          <w:tcPr>
            <w:tcW w:w="1845" w:type="dxa"/>
          </w:tcPr>
          <w:p>
            <w:pPr>
              <w:pStyle w:val="CeldaAPA"/>
              <w:jc w:val="left"/>
            </w:pPr>
            <w:r>
              <w:rPr/>
              <w:t xml:space="preserve">PAO2, p. 124</w:t>
            </w:r>
          </w:p>
        </w:tc>
      </w:tr>
      <w:tr>
        <w:tc>
          <w:tcPr>
            <w:tcW w:w="1545" w:type="dxa"/>
          </w:tcPr>
          <w:p>
            <w:pPr>
              <w:pStyle w:val="CeldaAPA"/>
              <w:jc w:val="left"/>
            </w:pPr>
            <w:r>
              <w:rPr/>
              <w:t xml:space="preserve">27/11/2025</w:t>
            </w:r>
          </w:p>
        </w:tc>
        <w:tc>
          <w:tcPr>
            <w:tcW w:w="5970" w:type="dxa"/>
          </w:tcPr>
          <w:p>
            <w:pPr>
              <w:pStyle w:val="CeldaAPA"/>
              <w:jc w:val="left"/>
            </w:pPr>
            <w:r>
              <w:rPr/>
              <w:t xml:space="preserve">Certificados de calidad de PRETENSA (viguetas) y de UNICON (2.350 piezas de EPS de 20 </w:t>
            </w:r>
            <m:oMath>
              <m:r>
                <m:rPr>
                  <m:sty m:val="p"/>
                </m:rPr>
                <m:t>×</m:t>
              </m:r>
            </m:oMath>
            <w:r>
              <w:rPr/>
              <w:t xml:space="preserve"> 100 </w:t>
            </w:r>
            <m:oMath>
              <m:r>
                <m:rPr>
                  <m:sty m:val="p"/>
                </m:rPr>
                <m:t>×</m:t>
              </m:r>
            </m:oMath>
            <w:r>
              <w:rPr/>
              <w:t xml:space="preserve"> 44 cm).</w:t>
            </w:r>
          </w:p>
        </w:tc>
        <w:tc>
          <w:tcPr>
            <w:tcW w:w="1845" w:type="dxa"/>
          </w:tcPr>
          <w:p>
            <w:pPr>
              <w:pStyle w:val="CeldaAPA"/>
              <w:jc w:val="left"/>
            </w:pPr>
            <w:r>
              <w:rPr/>
              <w:t xml:space="preserve">PAO2, pp. 80–81</w:t>
            </w:r>
          </w:p>
        </w:tc>
      </w:tr>
      <w:tr>
        <w:tc>
          <w:tcPr>
            <w:tcW w:w="1545" w:type="dxa"/>
          </w:tcPr>
          <w:p>
            <w:pPr>
              <w:pStyle w:val="CeldaAPA"/>
              <w:jc w:val="left"/>
            </w:pPr>
            <w:r>
              <w:rPr/>
              <w:t xml:space="preserve">28/11/2025</w:t>
            </w:r>
          </w:p>
        </w:tc>
        <w:tc>
          <w:tcPr>
            <w:tcW w:w="5970" w:type="dxa"/>
          </w:tcPr>
          <w:p>
            <w:pPr>
              <w:pStyle w:val="CeldaAPA"/>
              <w:jc w:val="left"/>
            </w:pPr>
            <w:r>
              <w:rPr/>
              <w:t xml:space="preserve">El Director de Obra informa que concluyó el armado de la losa y pide su verificación; la Supervisión informa que verificó «la losa, instalaciones, agregados, etc.», autoriza el vaciado «desde dos frentes» y recomienda cumplir especificaciones, dosificaciones y curado. No instruye tomar probetas ni consta la fecha del hormigonado.</w:t>
            </w:r>
          </w:p>
        </w:tc>
        <w:tc>
          <w:tcPr>
            <w:tcW w:w="1845" w:type="dxa"/>
          </w:tcPr>
          <w:p>
            <w:pPr>
              <w:pStyle w:val="CeldaAPA"/>
              <w:jc w:val="left"/>
            </w:pPr>
            <w:r>
              <w:rPr/>
              <w:t xml:space="preserve">PAO2, p. 125</w:t>
            </w:r>
          </w:p>
        </w:tc>
      </w:tr>
      <w:tr>
        <w:tc>
          <w:tcPr>
            <w:tcW w:w="1545" w:type="dxa"/>
          </w:tcPr>
          <w:p>
            <w:pPr>
              <w:pStyle w:val="CeldaAPA"/>
              <w:jc w:val="left"/>
            </w:pPr>
            <w:r>
              <w:rPr/>
              <w:t xml:space="preserve">05/12/2025</w:t>
            </w:r>
          </w:p>
        </w:tc>
        <w:tc>
          <w:tcPr>
            <w:tcW w:w="5970" w:type="dxa"/>
          </w:tcPr>
          <w:p>
            <w:pPr>
              <w:pStyle w:val="CeldaAPA"/>
              <w:jc w:val="left"/>
            </w:pPr>
            <w:r>
              <w:rPr/>
              <w:t xml:space="preserve">Certificado de laboratorio N.</w:t>
            </w:r>
            <w:r>
              <w:rPr>
                <w:vertAlign w:val="superscript"/>
              </w:rPr>
              <w:t xml:space="preserve">o</w:t>
            </w:r>
            <w:r>
              <w:rPr/>
              <w:t xml:space="preserve"> 000293: 10 probetas de columnas y 2 de vigas; ninguna de la losa.</w:t>
            </w:r>
          </w:p>
        </w:tc>
        <w:tc>
          <w:tcPr>
            <w:tcW w:w="1845" w:type="dxa"/>
          </w:tcPr>
          <w:p>
            <w:pPr>
              <w:pStyle w:val="CeldaAPA"/>
              <w:jc w:val="left"/>
            </w:pPr>
            <w:r>
              <w:rPr/>
              <w:t xml:space="preserve">PAO2, p. 78</w:t>
            </w:r>
          </w:p>
        </w:tc>
      </w:tr>
      <w:tr>
        <w:tc>
          <w:tcPr>
            <w:tcW w:w="1545" w:type="dxa"/>
          </w:tcPr>
          <w:p>
            <w:pPr>
              <w:pStyle w:val="CeldaAPA"/>
              <w:jc w:val="left"/>
            </w:pPr>
            <w:r>
              <w:rPr/>
              <w:t xml:space="preserve">08/12/2025</w:t>
            </w:r>
          </w:p>
        </w:tc>
        <w:tc>
          <w:tcPr>
            <w:tcW w:w="5970" w:type="dxa"/>
          </w:tcPr>
          <w:p>
            <w:pPr>
              <w:pStyle w:val="CeldaAPA"/>
              <w:jc w:val="left"/>
            </w:pPr>
            <w:r>
              <w:rPr/>
              <w:t xml:space="preserve">Cierre de la Planilla N.</w:t>
            </w:r>
            <w:r>
              <w:rPr>
                <w:vertAlign w:val="superscript"/>
              </w:rPr>
              <w:t xml:space="preserve">o</w:t>
            </w:r>
            <w:r>
              <w:rPr/>
              <w:t xml:space="preserve"> 2 (95 días trabajados): se certifica la primera losa completa (1.109,84 m</w:t>
            </w:r>
            <w:r>
              <w:rPr>
                <w:vertAlign w:val="superscript"/>
              </w:rPr>
              <w:t xml:space="preserve">2</w:t>
            </w:r>
            <w:r>
              <w:rPr/>
              <w:t xml:space="preserve">; Bs 239.365,07) y 13.548,49 kg de acero, de los cuales 4.171,18 kg corresponden a «losa alivianada». La Supervisión aprueba la planilla el mismo día.</w:t>
            </w:r>
          </w:p>
        </w:tc>
        <w:tc>
          <w:tcPr>
            <w:tcW w:w="1845" w:type="dxa"/>
          </w:tcPr>
          <w:p>
            <w:pPr>
              <w:pStyle w:val="CeldaAPA"/>
              <w:jc w:val="left"/>
            </w:pPr>
            <w:r>
              <w:rPr/>
              <w:t xml:space="preserve">PAO2, pp. 5, 12, 16, 19–20</w:t>
            </w:r>
          </w:p>
        </w:tc>
      </w:tr>
      <w:tr>
        <w:tc>
          <w:tcPr>
            <w:tcW w:w="1545" w:type="dxa"/>
          </w:tcPr>
          <w:p>
            <w:pPr>
              <w:pStyle w:val="CeldaAPA"/>
              <w:jc w:val="left"/>
            </w:pPr>
            <w:r>
              <w:rPr/>
              <w:t xml:space="preserve">11/12/2025</w:t>
            </w:r>
          </w:p>
        </w:tc>
        <w:tc>
          <w:tcPr>
            <w:tcW w:w="5970" w:type="dxa"/>
          </w:tcPr>
          <w:p>
            <w:pPr>
              <w:pStyle w:val="CeldaAPA"/>
              <w:jc w:val="left"/>
            </w:pPr>
            <w:r>
              <w:rPr/>
              <w:t xml:space="preserve">El Fiscal de Obras y el Jefe de Infraestructura aprueban la planilla y se solicita su pago a la Dirección Administrativa y Financiera.</w:t>
            </w:r>
          </w:p>
        </w:tc>
        <w:tc>
          <w:tcPr>
            <w:tcW w:w="1845" w:type="dxa"/>
          </w:tcPr>
          <w:p>
            <w:pPr>
              <w:pStyle w:val="CeldaAPA"/>
              <w:jc w:val="left"/>
            </w:pPr>
            <w:r>
              <w:rPr/>
              <w:t xml:space="preserve">PAO2, pp. 2–4, 14</w:t>
            </w:r>
          </w:p>
        </w:tc>
      </w:tr>
      <w:tr>
        <w:tc>
          <w:tcPr>
            <w:tcW w:w="1545" w:type="dxa"/>
          </w:tcPr>
          <w:p>
            <w:pPr>
              <w:pStyle w:val="CeldaAPA"/>
              <w:jc w:val="left"/>
            </w:pPr>
            <w:r>
              <w:rPr/>
              <w:t xml:space="preserve">16/12/2025</w:t>
            </w:r>
          </w:p>
        </w:tc>
        <w:tc>
          <w:tcPr>
            <w:tcW w:w="5970" w:type="dxa"/>
          </w:tcPr>
          <w:p>
            <w:pPr>
              <w:pStyle w:val="CeldaAPA"/>
              <w:jc w:val="left"/>
            </w:pPr>
            <w:r>
              <w:rPr/>
              <w:t xml:space="preserve">Verificación y autorización del vaciado de las columnas del segundo nivel (los asientos llevan por error el año 2026).</w:t>
            </w:r>
          </w:p>
        </w:tc>
        <w:tc>
          <w:tcPr>
            <w:tcW w:w="1845" w:type="dxa"/>
          </w:tcPr>
          <w:p>
            <w:pPr>
              <w:pStyle w:val="CeldaAPA"/>
              <w:jc w:val="left"/>
            </w:pPr>
            <w:r>
              <w:rPr/>
              <w:t xml:space="preserve">Exp., p. 13</w:t>
            </w:r>
          </w:p>
        </w:tc>
      </w:tr>
      <w:tr>
        <w:tc>
          <w:tcPr>
            <w:tcW w:w="1545" w:type="dxa"/>
          </w:tcPr>
          <w:p>
            <w:pPr>
              <w:pStyle w:val="CeldaAPA"/>
              <w:jc w:val="left"/>
            </w:pPr>
            <w:r>
              <w:rPr/>
              <w:t xml:space="preserve">23/12/2025</w:t>
            </w:r>
          </w:p>
        </w:tc>
        <w:tc>
          <w:tcPr>
            <w:tcW w:w="5970" w:type="dxa"/>
          </w:tcPr>
          <w:p>
            <w:pPr>
              <w:pStyle w:val="CeldaAPA"/>
              <w:jc w:val="left"/>
            </w:pPr>
            <w:r>
              <w:rPr/>
              <w:t xml:space="preserve">Inicio programado del ítem 13 en el cronograma «actualizado» de 360 días (hasta el 21/04/2026), cuando la primera losa ya estaba ejecutada.</w:t>
            </w:r>
          </w:p>
        </w:tc>
        <w:tc>
          <w:tcPr>
            <w:tcW w:w="1845" w:type="dxa"/>
          </w:tcPr>
          <w:p>
            <w:pPr>
              <w:pStyle w:val="CeldaAPA"/>
              <w:jc w:val="left"/>
            </w:pPr>
            <w:r>
              <w:rPr/>
              <w:t xml:space="preserve">PAO2, p. 137</w:t>
            </w:r>
          </w:p>
        </w:tc>
      </w:tr>
      <w:tr>
        <w:tc>
          <w:tcPr>
            <w:tcW w:w="1545" w:type="dxa"/>
          </w:tcPr>
          <w:p>
            <w:pPr>
              <w:pStyle w:val="CeldaAPA"/>
              <w:jc w:val="left"/>
            </w:pPr>
            <w:r>
              <w:rPr/>
              <w:t xml:space="preserve">26/12/2025</w:t>
            </w:r>
          </w:p>
        </w:tc>
        <w:tc>
          <w:tcPr>
            <w:tcW w:w="5970" w:type="dxa"/>
          </w:tcPr>
          <w:p>
            <w:pPr>
              <w:pStyle w:val="CeldaAPA"/>
              <w:jc w:val="left"/>
            </w:pPr>
            <w:r>
              <w:rPr/>
              <w:t xml:space="preserve">Primera fecha en que el hormigón de la losa, vaciado después de la autorización del 28/11/2025, podía cumplir 28 días (cálculo propio).</w:t>
            </w:r>
          </w:p>
        </w:tc>
        <w:tc>
          <w:tcPr>
            <w:tcW w:w="1845" w:type="dxa"/>
          </w:tcPr>
          <w:p>
            <w:pPr>
              <w:pStyle w:val="CeldaAPA"/>
              <w:jc w:val="left"/>
            </w:pPr>
            <w:r>
              <w:rPr/>
              <w:t xml:space="preserve">—</w:t>
            </w:r>
          </w:p>
        </w:tc>
      </w:tr>
      <w:tr>
        <w:tc>
          <w:tcPr>
            <w:tcW w:w="1545" w:type="dxa"/>
          </w:tcPr>
          <w:p>
            <w:pPr>
              <w:pStyle w:val="CeldaAPA"/>
              <w:jc w:val="left"/>
            </w:pPr>
            <w:r>
              <w:rPr/>
              <w:t xml:space="preserve">05/01/2026</w:t>
            </w:r>
          </w:p>
        </w:tc>
        <w:tc>
          <w:tcPr>
            <w:tcW w:w="5970" w:type="dxa"/>
          </w:tcPr>
          <w:p>
            <w:pPr>
              <w:pStyle w:val="CeldaAPA"/>
              <w:jc w:val="left"/>
            </w:pPr>
            <w:r>
              <w:rPr/>
              <w:t xml:space="preserve">Carta notariada de intención de resolución del contrato por fuerza mayor, atribuida al D. S. N.</w:t>
            </w:r>
            <w:r>
              <w:rPr>
                <w:vertAlign w:val="superscript"/>
              </w:rPr>
              <w:t xml:space="preserve">o</w:t>
            </w:r>
            <w:r>
              <w:rPr/>
              <w:t xml:space="preserve"> 5503 (retiro de la subvención a la gasolina y al diésel); solicitud de paralización. La Supervisión instruye seguir el procedimiento contractual.</w:t>
            </w:r>
          </w:p>
        </w:tc>
        <w:tc>
          <w:tcPr>
            <w:tcW w:w="1845" w:type="dxa"/>
          </w:tcPr>
          <w:p>
            <w:pPr>
              <w:pStyle w:val="CeldaAPA"/>
              <w:jc w:val="left"/>
            </w:pPr>
            <w:r>
              <w:rPr/>
              <w:t xml:space="preserve">Exp., pp. 1, 14</w:t>
            </w:r>
          </w:p>
        </w:tc>
      </w:tr>
      <w:tr>
        <w:tc>
          <w:tcPr>
            <w:tcW w:w="1545" w:type="dxa"/>
          </w:tcPr>
          <w:p>
            <w:pPr>
              <w:pStyle w:val="CeldaAPA"/>
              <w:jc w:val="left"/>
            </w:pPr>
            <w:r>
              <w:rPr/>
              <w:t xml:space="preserve">10/02/2026</w:t>
            </w:r>
          </w:p>
        </w:tc>
        <w:tc>
          <w:tcPr>
            <w:tcW w:w="5970" w:type="dxa"/>
          </w:tcPr>
          <w:p>
            <w:pPr>
              <w:pStyle w:val="CeldaAPA"/>
              <w:jc w:val="left"/>
            </w:pPr>
            <w:r>
              <w:rPr/>
              <w:t xml:space="preserve">La UATF responde favorablemente a la solicitud de resolución concertada.</w:t>
            </w:r>
          </w:p>
        </w:tc>
        <w:tc>
          <w:tcPr>
            <w:tcW w:w="1845" w:type="dxa"/>
          </w:tcPr>
          <w:p>
            <w:pPr>
              <w:pStyle w:val="CeldaAPA"/>
              <w:jc w:val="left"/>
            </w:pPr>
            <w:r>
              <w:rPr/>
              <w:t xml:space="preserve">Exp., p. 1</w:t>
            </w:r>
          </w:p>
        </w:tc>
      </w:tr>
      <w:tr>
        <w:tc>
          <w:tcPr>
            <w:tcW w:w="1545" w:type="dxa"/>
          </w:tcPr>
          <w:p>
            <w:pPr>
              <w:pStyle w:val="CeldaAPA"/>
              <w:jc w:val="left"/>
            </w:pPr>
            <w:r>
              <w:rPr/>
              <w:t xml:space="preserve">16/03/2026</w:t>
            </w:r>
          </w:p>
        </w:tc>
        <w:tc>
          <w:tcPr>
            <w:tcW w:w="5970" w:type="dxa"/>
          </w:tcPr>
          <w:p>
            <w:pPr>
              <w:pStyle w:val="CeldaAPA"/>
              <w:jc w:val="left"/>
            </w:pPr>
            <w:r>
              <w:rPr/>
              <w:t xml:space="preserve">Planilla de avance N.</w:t>
            </w:r>
            <w:r>
              <w:rPr>
                <w:vertAlign w:val="superscript"/>
              </w:rPr>
              <w:t xml:space="preserve">o</w:t>
            </w:r>
            <w:r>
              <w:rPr/>
              <w:t xml:space="preserve"> 3 de cierre por resolución del contrato, firmada por la contratista y la Supervisión: Bs 16.837,41 en el periodo, avance total de 57,43 % y descuento de 1.862,81 kg de acero. Una segunda versión, en archivo digital, descuenta 1.915,16 kg y llega a 57,48 %.</w:t>
            </w:r>
          </w:p>
        </w:tc>
        <w:tc>
          <w:tcPr>
            <w:tcW w:w="1845" w:type="dxa"/>
          </w:tcPr>
          <w:p>
            <w:pPr>
              <w:pStyle w:val="CeldaAPA"/>
              <w:jc w:val="left"/>
            </w:pPr>
            <w:r>
              <w:rPr/>
              <w:t xml:space="preserve">Exp., p. 2;</w:t>
            </w:r>
            <w:r>
              <w:rPr/>
              <w:t xml:space="preserve"> </w:t>
            </w:r>
            <w:r>
              <w:rPr/>
              <w:t xml:space="preserve">UATF (s. f.-c)</w:t>
            </w:r>
          </w:p>
        </w:tc>
      </w:tr>
      <w:tr>
        <w:tc>
          <w:tcPr>
            <w:tcW w:w="1545" w:type="dxa"/>
          </w:tcPr>
          <w:p>
            <w:pPr>
              <w:pStyle w:val="CeldaAPA"/>
              <w:jc w:val="left"/>
            </w:pPr>
            <w:r>
              <w:rPr/>
              <w:t xml:space="preserve">30/03/2026</w:t>
            </w:r>
          </w:p>
        </w:tc>
        <w:tc>
          <w:tcPr>
            <w:tcW w:w="5970" w:type="dxa"/>
          </w:tcPr>
          <w:p>
            <w:pPr>
              <w:pStyle w:val="CeldaAPA"/>
              <w:jc w:val="left"/>
            </w:pPr>
            <w:r>
              <w:rPr/>
              <w:t xml:space="preserve">D. S. N.</w:t>
            </w:r>
            <w:r>
              <w:rPr>
                <w:vertAlign w:val="superscript"/>
              </w:rPr>
              <w:t xml:space="preserve">o</w:t>
            </w:r>
            <w:r>
              <w:rPr/>
              <w:t xml:space="preserve"> 5597 de ajuste de precios de materiales de construcción en contratos de obra, posterior a la paralización.</w:t>
            </w:r>
          </w:p>
        </w:tc>
        <w:tc>
          <w:tcPr>
            <w:tcW w:w="1845" w:type="dxa"/>
          </w:tcPr>
          <w:p>
            <w:pPr>
              <w:pStyle w:val="CeldaAPA"/>
              <w:jc w:val="left"/>
            </w:pPr>
            <w:r>
              <w:rPr/>
              <w:t xml:space="preserve">Estado Plurinacional de Bolivia (2026)</w:t>
            </w:r>
          </w:p>
        </w:tc>
      </w:tr>
      <w:tr>
        <w:tc>
          <w:tcPr>
            <w:tcW w:w="1545" w:type="dxa"/>
            <w:tcBorders>
              <w:bottom w:val="single" w:sz="8" w:space="0" w:color="000000"/>
            </w:tcBorders>
          </w:tcPr>
          <w:p>
            <w:pPr>
              <w:pStyle w:val="CeldaAPA"/>
              <w:jc w:val="left"/>
            </w:pPr>
            <w:r>
              <w:rPr/>
              <w:t xml:space="preserve">14/04/2026</w:t>
            </w:r>
          </w:p>
        </w:tc>
        <w:tc>
          <w:tcPr>
            <w:tcW w:w="5970" w:type="dxa"/>
            <w:tcBorders>
              <w:bottom w:val="single" w:sz="8" w:space="0" w:color="000000"/>
            </w:tcBorders>
          </w:tcPr>
          <w:p>
            <w:pPr>
              <w:pStyle w:val="CeldaAPA"/>
              <w:jc w:val="left"/>
            </w:pPr>
            <w:r>
              <w:rPr/>
              <w:t xml:space="preserve">Vencimiento de las boletas de garantía, 16 días antes de la entrega provisional vigente.</w:t>
            </w:r>
          </w:p>
        </w:tc>
        <w:tc>
          <w:tcPr>
            <w:tcW w:w="1845" w:type="dxa"/>
            <w:tcBorders>
              <w:bottom w:val="single" w:sz="8" w:space="0" w:color="000000"/>
            </w:tcBorders>
          </w:tcPr>
          <w:p>
            <w:pPr>
              <w:pStyle w:val="CeldaAPA"/>
              <w:jc w:val="left"/>
            </w:pPr>
            <w:r>
              <w:rPr/>
              <w:t xml:space="preserve">PAO2, pp. 130–131</w:t>
            </w:r>
          </w:p>
        </w:tc>
      </w:tr>
    </w:tbl>
    <w:p>
      <w:pPr>
        <w:pStyle w:val="NotaAPA"/>
      </w:pPr>
      <w:r>
        <w:rPr>
          <w:iCs/>
          <w:i/>
        </w:rPr>
        <w:t xml:space="preserve">Nota.</w:t>
      </w:r>
      <w:r>
        <w:t xml:space="preserve"> </w:t>
      </w:r>
      <w:r>
        <w:t xml:space="preserve">Elaborado con base en</w:t>
      </w:r>
      <w:r>
        <w:t xml:space="preserve"> </w:t>
      </w:r>
      <w:r>
        <w:t xml:space="preserve">UATF (2025)</w:t>
      </w:r>
      <w:r>
        <w:t xml:space="preserve"> </w:t>
      </w:r>
      <w:r>
        <w:t xml:space="preserve">(PAO2),</w:t>
      </w:r>
      <w:r>
        <w:t xml:space="preserve"> </w:t>
      </w:r>
      <w:r>
        <w:t xml:space="preserve">UATF (s. f.-b)</w:t>
      </w:r>
      <w:r>
        <w:t xml:space="preserve"> </w:t>
      </w:r>
      <w:r>
        <w:t xml:space="preserve">(Exp.),</w:t>
      </w:r>
      <w:r>
        <w:t xml:space="preserve"> </w:t>
      </w:r>
      <w:r>
        <w:t xml:space="preserve">UATF (s. f.-c)</w:t>
      </w:r>
      <w:r>
        <w:t xml:space="preserve">,</w:t>
      </w:r>
      <w:r>
        <w:t xml:space="preserve"> </w:t>
      </w:r>
      <w:r>
        <w:t xml:space="preserve">FANCESA (2025)</w:t>
      </w:r>
      <w:r>
        <w:t xml:space="preserve">,</w:t>
      </w:r>
      <w:r>
        <w:t xml:space="preserve"> </w:t>
      </w:r>
      <w:r>
        <w:t xml:space="preserve">Import Export Las Lomas Ltda. (2025)</w:t>
      </w:r>
      <w:r>
        <w:t xml:space="preserve">,</w:t>
      </w:r>
      <w:r>
        <w:t xml:space="preserve"> </w:t>
      </w:r>
      <w:r>
        <w:t xml:space="preserve">CADECO Tarija (2025)</w:t>
      </w:r>
      <w:r>
        <w:t xml:space="preserve"> </w:t>
      </w:r>
      <w:r>
        <w:t xml:space="preserve">y</w:t>
      </w:r>
      <w:r>
        <w:t xml:space="preserve"> </w:t>
      </w:r>
      <w:r>
        <w:t xml:space="preserve">Estado Plurinacional de Bolivia (2026)</w:t>
      </w:r>
      <w:r>
        <w:t xml:space="preserve">. Las páginas son las del archivo PDF. El año de la respuesta del 10 de febrero no figura en el expediente; se deduce de la secuencia de los hechos.</w:t>
      </w:r>
    </w:p>
    <w:p>
      <w:pPr>
        <w:pStyle w:val="Heading3"/>
      </w:pPr>
      <w:bookmarkStart w:id="128" w:name="tit93"/>
      <w:r>
        <w:t xml:space="preserve">2.2.4. Sistema de losa: planos, especificaciones y certificados</w:t>
      </w:r>
      <w:bookmarkEnd w:id="128"/>
    </w:p>
    <w:p>
      <w:pPr>
        <w:pStyle w:val="FirstParagraph"/>
      </w:pPr>
      <w:r>
        <w:t xml:space="preserve">La primera losa se divide en 41 paños, de 1,40 a 52,38 m</w:t>
      </w:r>
      <w:r>
        <w:rPr>
          <w:vertAlign w:val="superscript"/>
        </w:rPr>
        <w:t xml:space="preserve">2</w:t>
      </w:r>
      <w:r>
        <w:t xml:space="preserve"> </w:t>
      </w:r>
      <w:r>
        <w:t xml:space="preserve">cada uno, que suman 1.109,84 m</w:t>
      </w:r>
      <w:r>
        <w:rPr>
          <w:vertAlign w:val="superscript"/>
        </w:rPr>
        <w:t xml:space="preserve">2</w:t>
      </w:r>
      <w:r>
        <w:t xml:space="preserve"> </w:t>
      </w:r>
      <w:r>
        <w:t xml:space="preserve">(Figura 6). Las áreas son iguales en el Plano 01, en el plano adjunto a la planilla, en el cómputo métrico de la Planilla N.</w:t>
      </w:r>
      <w:r>
        <w:rPr>
          <w:vertAlign w:val="superscript"/>
        </w:rPr>
        <w:t xml:space="preserve">o</w:t>
      </w:r>
      <w:r>
        <w:t xml:space="preserve"> 2 y en el de la planilla de cierre</w:t>
      </w:r>
      <w:r>
        <w:t xml:space="preserve"> </w:t>
      </w:r>
      <w:r>
        <w:t xml:space="preserve">(UATF, 2025, pp. 28–29, 60)</w:t>
      </w:r>
      <w:r>
        <w:t xml:space="preserve">. El área media es de 27,07 m</w:t>
      </w:r>
      <w:r>
        <w:rPr>
          <w:vertAlign w:val="superscript"/>
        </w:rPr>
        <w:t xml:space="preserve">2</w:t>
      </w:r>
      <w:r>
        <w:t xml:space="preserve"> </w:t>
      </w:r>
      <w:r>
        <w:t xml:space="preserve">y la mediana de 33,87 m</w:t>
      </w:r>
      <w:r>
        <w:rPr>
          <w:vertAlign w:val="superscript"/>
        </w:rPr>
        <w:t xml:space="preserve">2</w:t>
      </w:r>
      <w:r>
        <w:t xml:space="preserve">; siete paños miden menos de 6 m</w:t>
      </w:r>
      <w:r>
        <w:rPr>
          <w:vertAlign w:val="superscript"/>
        </w:rPr>
        <w:t xml:space="preserve">2</w:t>
      </w:r>
      <w:r>
        <w:t xml:space="preserve"> </w:t>
      </w:r>
      <w:r>
        <w:t xml:space="preserve">y seis superan los 40 m</w:t>
      </w:r>
      <w:r>
        <w:rPr>
          <w:vertAlign w:val="superscript"/>
        </w:rPr>
        <w:t xml:space="preserve">2</w:t>
      </w:r>
      <w:r>
        <w:t xml:space="preserve"> </w:t>
      </w:r>
      <w:r>
        <w:t xml:space="preserve">(cálculo propio). La losa se apoya en vigas de hormigón armado de secciones variables, de 15 </w:t>
      </w:r>
      <m:oMath>
        <m:r>
          <m:rPr>
            <m:sty m:val="p"/>
          </m:rPr>
          <m:t>×</m:t>
        </m:r>
      </m:oMath>
      <w:r>
        <w:t xml:space="preserve"> 30 a 30 </w:t>
      </w:r>
      <m:oMath>
        <m:r>
          <m:rPr>
            <m:sty m:val="p"/>
          </m:rPr>
          <m:t>×</m:t>
        </m:r>
      </m:oMath>
      <w:r>
        <w:t xml:space="preserve"> 95 cm, además de una viga plana curva de 30 </w:t>
      </w:r>
      <m:oMath>
        <m:r>
          <m:rPr>
            <m:sty m:val="p"/>
          </m:rPr>
          <m:t>×</m:t>
        </m:r>
      </m:oMath>
      <w:r>
        <w:t xml:space="preserve"> 25 cm, y las viguetas siguen la dirección de los ejes literales o numéricos según el paño</w:t>
      </w:r>
      <w:r>
        <w:t xml:space="preserve"> </w:t>
      </w:r>
      <w:r>
        <w:t xml:space="preserve">(UATF, s. f.-d, Plano 03)</w:t>
      </w:r>
      <w:r>
        <w:t xml:space="preserve">.</w:t>
      </w:r>
    </w:p>
    <w:p>
      <w:pPr>
        <w:pStyle w:val="Caption"/>
      </w:pPr>
      <w:bookmarkStart w:id="1417" w:name="fig6"/>
      <w:r>
        <w:t xml:space="preserve"/>
      </w:r>
      <w:r>
        <w:rPr>
          <w:bCs/>
          <w:b/>
        </w:rPr>
        <w:t xml:space="preserve">Figura 6</w:t>
      </w:r>
      <w:r>
        <w:br/>
      </w:r>
      <w:r>
        <w:rPr>
          <w:iCs/>
          <w:i/>
        </w:rPr>
        <w:t xml:space="preserve">Geometría y paños de la primera losa del Edificio de Posgrado</w:t>
      </w:r>
      <w:bookmarkEnd w:id="1417"/>
    </w:p>
    <w:p>
      <w:pPr>
        <w:pStyle w:val="FiguraAPA"/>
      </w:pPr>
      <w:r>
        <w:drawing>
          <wp:inline>
            <wp:extent cx="5943599" cy="4969686"/>
            <wp:effectExtent b="0" l="0" r="0" t="0"/>
            <wp:docPr descr="image" title="" id="126" name="Picture"/>
            <a:graphic>
              <a:graphicData uri="http://schemas.openxmlformats.org/drawingml/2006/picture">
                <pic:pic>
                  <pic:nvPicPr>
                    <pic:cNvPr descr="/home/user/TesisSGC/05_Tesis_LaTeX/figuras/plano01_geometria_primera_losa.png" id="127" name="Picture"/>
                    <pic:cNvPicPr>
                      <a:picLocks noChangeArrowheads="1" noChangeAspect="1"/>
                    </pic:cNvPicPr>
                  </pic:nvPicPr>
                  <pic:blipFill>
                    <a:blip r:embed="rId125"/>
                    <a:stretch>
                      <a:fillRect/>
                    </a:stretch>
                  </pic:blipFill>
                  <pic:spPr bwMode="auto">
                    <a:xfrm>
                      <a:off x="0" y="0"/>
                      <a:ext cx="5943599" cy="4969686"/>
                    </a:xfrm>
                    <a:prstGeom prst="rect">
                      <a:avLst/>
                    </a:prstGeom>
                    <a:noFill/>
                    <a:ln w="9525">
                      <a:noFill/>
                      <a:headEnd/>
                      <a:tailEnd/>
                    </a:ln>
                  </pic:spPr>
                </pic:pic>
              </a:graphicData>
            </a:graphic>
          </wp:inline>
        </w:drawing>
      </w:r>
    </w:p>
    <w:p>
      <w:pPr>
        <w:pStyle w:val="NotaAPA"/>
      </w:pPr>
      <w:r>
        <w:rPr>
          <w:iCs/>
          <w:i/>
        </w:rPr>
        <w:t xml:space="preserve">Nota.</w:t>
      </w:r>
      <w:r>
        <w:t xml:space="preserve"> </w:t>
      </w:r>
      <w:r>
        <w:t xml:space="preserve">Tomado del Plano 01 «Geometría sistema de ejes primera losa» (escala original 1:100). Las áreas A1 a A41 son los paños computados en el ítem 13.</w:t>
      </w:r>
    </w:p>
    <w:p>
      <w:pPr>
        <w:pStyle w:val="BodyText"/>
      </w:pPr>
      <w:r>
        <w:t xml:space="preserve">La Tabla 20 reúne las características del sistema según los documentos del proyecto. La ET define la losa como un sistema de viguetas pretensadas de fabricación industrial con complemento de plastoformo de 20 cm de altura, nervios, diafragmas y sus refuerzos, que se vacía de manera monolítica con las vigas y por franjas</w:t>
      </w:r>
      <w:r>
        <w:t xml:space="preserve"> </w:t>
      </w:r>
      <w:r>
        <w:t xml:space="preserve">(UATF, s. f.-a, p. 3)</w:t>
      </w:r>
      <w:r>
        <w:t xml:space="preserve">. Los documentos no coinciden en la geometría del complemento, como se analiza en la Sección 2.5.2.</w:t>
      </w:r>
    </w:p>
    <w:p>
      <w:pPr>
        <w:pStyle w:val="Caption"/>
      </w:pPr>
      <w:bookmarkStart w:id="1418" w:name="tab20"/>
      <w:r>
        <w:t xml:space="preserve"/>
      </w:r>
      <w:r>
        <w:rPr>
          <w:bCs/>
          <w:b/>
        </w:rPr>
        <w:t xml:space="preserve">Tabla 20</w:t>
      </w:r>
      <w:r>
        <w:br/>
      </w:r>
      <w:r>
        <w:rPr>
          <w:iCs/>
          <w:i/>
        </w:rPr>
        <w:t xml:space="preserve">Características de la losa alivianada según los documentos del proyecto</w:t>
      </w:r>
      <w:bookmarkEnd w:id="1418"/>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2483"/>
        <w:gridCol w:w="4791"/>
        <w:gridCol w:w="2086"/>
      </w:tblGrid>
      <w:tr>
        <w:trPr>
          <w:cantSplit/>
          <w:tblHeader w:val="true"/>
        </w:trPr>
        <w:tc>
          <w:tcPr>
            <w:tcW w:w="2483" w:type="dxa"/>
            <w:tcBorders>
              <w:top w:val="single" w:sz="8" w:space="0" w:color="000000"/>
              <w:bottom w:val="single" w:sz="4" w:space="0" w:color="000000"/>
            </w:tcBorders>
          </w:tcPr>
          <w:p>
            <w:pPr>
              <w:pStyle w:val="CeldaAPA"/>
              <w:jc w:val="center"/>
            </w:pPr>
            <w:r>
              <w:rPr>
                <w:bCs/>
                <w:b/>
              </w:rPr>
              <w:t xml:space="preserve">Característica</w:t>
            </w:r>
          </w:p>
        </w:tc>
        <w:tc>
          <w:tcPr>
            <w:tcW w:w="4791" w:type="dxa"/>
            <w:tcBorders>
              <w:top w:val="single" w:sz="8" w:space="0" w:color="000000"/>
              <w:bottom w:val="single" w:sz="4" w:space="0" w:color="000000"/>
            </w:tcBorders>
          </w:tcPr>
          <w:p>
            <w:pPr>
              <w:pStyle w:val="CeldaAPA"/>
              <w:jc w:val="center"/>
            </w:pPr>
            <w:r>
              <w:rPr>
                <w:bCs/>
                <w:b/>
              </w:rPr>
              <w:t xml:space="preserve">Valor</w:t>
            </w:r>
          </w:p>
        </w:tc>
        <w:tc>
          <w:tcPr>
            <w:tcW w:w="2086" w:type="dxa"/>
            <w:tcBorders>
              <w:top w:val="single" w:sz="8" w:space="0" w:color="000000"/>
              <w:bottom w:val="single" w:sz="4" w:space="0" w:color="000000"/>
            </w:tcBorders>
          </w:tcPr>
          <w:p>
            <w:pPr>
              <w:pStyle w:val="CeldaAPA"/>
              <w:jc w:val="center"/>
            </w:pPr>
            <w:r>
              <w:rPr>
                <w:bCs/>
                <w:b/>
              </w:rPr>
              <w:t xml:space="preserve">Fuente</w:t>
            </w:r>
          </w:p>
        </w:tc>
      </w:tr>
      <w:tr>
        <w:tc>
          <w:tcPr>
            <w:tcW w:w="2483" w:type="dxa"/>
          </w:tcPr>
          <w:p>
            <w:pPr>
              <w:pStyle w:val="CeldaAPA"/>
              <w:jc w:val="left"/>
            </w:pPr>
            <w:r>
              <w:rPr/>
              <w:t xml:space="preserve">Espesor total</w:t>
            </w:r>
          </w:p>
        </w:tc>
        <w:tc>
          <w:tcPr>
            <w:tcW w:w="4791" w:type="dxa"/>
          </w:tcPr>
          <w:p>
            <w:pPr>
              <w:pStyle w:val="CeldaAPA"/>
              <w:jc w:val="left"/>
            </w:pPr>
            <w:r>
              <w:rPr/>
              <w:t xml:space="preserve">25 cm: complemento de 20 cm y carpeta de 5 cm</w:t>
            </w:r>
          </w:p>
        </w:tc>
        <w:tc>
          <w:tcPr>
            <w:tcW w:w="2086" w:type="dxa"/>
          </w:tcPr>
          <w:p>
            <w:pPr>
              <w:pStyle w:val="CeldaAPA"/>
              <w:jc w:val="left"/>
            </w:pPr>
            <w:r>
              <w:rPr/>
              <w:t xml:space="preserve">ET, p. 3; PRETENSA</w:t>
            </w:r>
          </w:p>
        </w:tc>
      </w:tr>
      <w:tr>
        <w:tc>
          <w:tcPr>
            <w:tcW w:w="2483" w:type="dxa"/>
          </w:tcPr>
          <w:p>
            <w:pPr>
              <w:pStyle w:val="CeldaAPA"/>
              <w:jc w:val="left"/>
            </w:pPr>
            <w:r>
              <w:rPr/>
              <w:t xml:space="preserve">Altura del complemento en el corte</w:t>
            </w:r>
          </w:p>
        </w:tc>
        <w:tc>
          <w:tcPr>
            <w:tcW w:w="4791" w:type="dxa"/>
          </w:tcPr>
          <w:p>
            <w:pPr>
              <w:pStyle w:val="CeldaAPA"/>
              <w:jc w:val="left"/>
            </w:pPr>
            <w:r>
              <w:rPr/>
              <w:t xml:space="preserve">0,15 m, con carpeta de 0,05 m</w:t>
            </w:r>
          </w:p>
        </w:tc>
        <w:tc>
          <w:tcPr>
            <w:tcW w:w="2086" w:type="dxa"/>
          </w:tcPr>
          <w:p>
            <w:pPr>
              <w:pStyle w:val="CeldaAPA"/>
              <w:jc w:val="left"/>
            </w:pPr>
            <w:r>
              <w:rPr/>
              <w:t xml:space="preserve">Plano 02</w:t>
            </w:r>
          </w:p>
        </w:tc>
      </w:tr>
      <w:tr>
        <w:tc>
          <w:tcPr>
            <w:tcW w:w="2483" w:type="dxa"/>
          </w:tcPr>
          <w:p>
            <w:pPr>
              <w:pStyle w:val="CeldaAPA"/>
              <w:jc w:val="left"/>
            </w:pPr>
            <w:r>
              <w:rPr/>
              <w:t xml:space="preserve">Separación entre ejes de viguetas</w:t>
            </w:r>
          </w:p>
        </w:tc>
        <w:tc>
          <w:tcPr>
            <w:tcW w:w="4791" w:type="dxa"/>
          </w:tcPr>
          <w:p>
            <w:pPr>
              <w:pStyle w:val="CeldaAPA"/>
              <w:jc w:val="left"/>
            </w:pPr>
            <w:r>
              <w:rPr/>
              <w:t xml:space="preserve">50 cm</w:t>
            </w:r>
          </w:p>
        </w:tc>
        <w:tc>
          <w:tcPr>
            <w:tcW w:w="2086" w:type="dxa"/>
          </w:tcPr>
          <w:p>
            <w:pPr>
              <w:pStyle w:val="CeldaAPA"/>
              <w:jc w:val="left"/>
            </w:pPr>
            <w:r>
              <w:rPr/>
              <w:t xml:space="preserve">PRETENSA</w:t>
            </w:r>
          </w:p>
        </w:tc>
      </w:tr>
      <w:tr>
        <w:tc>
          <w:tcPr>
            <w:tcW w:w="2483" w:type="dxa"/>
          </w:tcPr>
          <w:p>
            <w:pPr>
              <w:pStyle w:val="CeldaAPA"/>
              <w:jc w:val="left"/>
            </w:pPr>
            <w:r>
              <w:rPr/>
              <w:t xml:space="preserve">Luz máxima de vigueta</w:t>
            </w:r>
          </w:p>
        </w:tc>
        <w:tc>
          <w:tcPr>
            <w:tcW w:w="4791" w:type="dxa"/>
          </w:tcPr>
          <w:p>
            <w:pPr>
              <w:pStyle w:val="CeldaAPA"/>
              <w:jc w:val="left"/>
            </w:pPr>
            <w:r>
              <w:rPr/>
              <w:t xml:space="preserve">7,50 m, simplemente apoyada</w:t>
            </w:r>
          </w:p>
        </w:tc>
        <w:tc>
          <w:tcPr>
            <w:tcW w:w="2086" w:type="dxa"/>
          </w:tcPr>
          <w:p>
            <w:pPr>
              <w:pStyle w:val="CeldaAPA"/>
              <w:jc w:val="left"/>
            </w:pPr>
            <w:r>
              <w:rPr/>
              <w:t xml:space="preserve">PRETENSA</w:t>
            </w:r>
          </w:p>
        </w:tc>
      </w:tr>
      <w:tr>
        <w:tc>
          <w:tcPr>
            <w:tcW w:w="2483" w:type="dxa"/>
          </w:tcPr>
          <w:p>
            <w:pPr>
              <w:pStyle w:val="CeldaAPA"/>
              <w:jc w:val="left"/>
            </w:pPr>
            <w:r>
              <w:rPr/>
              <w:t xml:space="preserve">Sobrecarga admisible</w:t>
            </w:r>
          </w:p>
        </w:tc>
        <w:tc>
          <w:tcPr>
            <w:tcW w:w="4791" w:type="dxa"/>
          </w:tcPr>
          <w:p>
            <w:pPr>
              <w:pStyle w:val="CeldaAPA"/>
              <w:jc w:val="left"/>
            </w:pPr>
            <w:r>
              <w:rPr/>
              <w:t xml:space="preserve">400 kg/m</w:t>
            </w:r>
            <w:r>
              <w:rPr>
                <w:vertAlign w:val="superscript"/>
              </w:rPr>
              <w:t xml:space="preserve">2</w:t>
            </w:r>
          </w:p>
        </w:tc>
        <w:tc>
          <w:tcPr>
            <w:tcW w:w="2086" w:type="dxa"/>
          </w:tcPr>
          <w:p>
            <w:pPr>
              <w:pStyle w:val="CeldaAPA"/>
              <w:jc w:val="left"/>
            </w:pPr>
            <w:r>
              <w:rPr/>
              <w:t xml:space="preserve">PRETENSA</w:t>
            </w:r>
          </w:p>
        </w:tc>
      </w:tr>
      <w:tr>
        <w:tc>
          <w:tcPr>
            <w:tcW w:w="2483" w:type="dxa"/>
          </w:tcPr>
          <w:p>
            <w:pPr>
              <w:pStyle w:val="CeldaAPA"/>
              <w:jc w:val="left"/>
            </w:pPr>
            <w:r>
              <w:rPr/>
              <w:t xml:space="preserve">Viguetas</w:t>
            </w:r>
          </w:p>
        </w:tc>
        <w:tc>
          <w:tcPr>
            <w:tcW w:w="4791" w:type="dxa"/>
          </w:tcPr>
          <w:p>
            <w:pPr>
              <w:pStyle w:val="CeldaAPA"/>
              <w:jc w:val="left"/>
            </w:pPr>
            <w:r>
              <w:rPr/>
              <w:t xml:space="preserve">Hormigón de 350 a 400 kg/cm</w:t>
            </w:r>
            <w:r>
              <w:rPr>
                <w:vertAlign w:val="superscript"/>
              </w:rPr>
              <w:t xml:space="preserve">2</w:t>
            </w:r>
            <w:r>
              <w:rPr/>
              <w:t xml:space="preserve">; acero de pretensado con rotura de 18.000 kg/cm</w:t>
            </w:r>
            <w:r>
              <w:rPr>
                <w:vertAlign w:val="superscript"/>
              </w:rPr>
              <w:t xml:space="preserve">2</w:t>
            </w:r>
            <w:r>
              <w:rPr/>
              <w:t xml:space="preserve">; certificación IBNORCA e ISO</w:t>
            </w:r>
          </w:p>
        </w:tc>
        <w:tc>
          <w:tcPr>
            <w:tcW w:w="2086" w:type="dxa"/>
          </w:tcPr>
          <w:p>
            <w:pPr>
              <w:pStyle w:val="CeldaAPA"/>
              <w:jc w:val="left"/>
            </w:pPr>
            <w:r>
              <w:rPr/>
              <w:t xml:space="preserve">ET, p. 3</w:t>
            </w:r>
          </w:p>
        </w:tc>
      </w:tr>
      <w:tr>
        <w:tc>
          <w:tcPr>
            <w:tcW w:w="2483" w:type="dxa"/>
          </w:tcPr>
          <w:p>
            <w:pPr>
              <w:pStyle w:val="CeldaAPA"/>
              <w:jc w:val="left"/>
            </w:pPr>
            <w:r>
              <w:rPr/>
              <w:t xml:space="preserve">Hormigón de carpeta y nervios</w:t>
            </w:r>
          </w:p>
        </w:tc>
        <w:tc>
          <w:tcPr>
            <w:tcW w:w="4791" w:type="dxa"/>
          </w:tcPr>
          <w:p>
            <w:pPr>
              <w:pStyle w:val="CeldaAPA"/>
              <w:jc w:val="left"/>
            </w:pPr>
            <w:r>
              <w:rPr/>
              <w:t xml:space="preserve">H25 (f’c = 250 kg/cm</w:t>
            </w:r>
            <w:r>
              <w:rPr>
                <w:vertAlign w:val="superscript"/>
              </w:rPr>
              <w:t xml:space="preserve">2</w:t>
            </w:r>
            <w:r>
              <w:rPr/>
              <w:t xml:space="preserve"> </w:t>
            </w:r>
            <w:r>
              <w:rPr/>
              <w:t xml:space="preserve">a 28 días), cemento</w:t>
            </w:r>
            <w:r>
              <w:rPr/>
              <w:t xml:space="preserve"> </w:t>
            </w:r>
            <m:oMath>
              <m:r>
                <m:rPr>
                  <m:sty m:val="p"/>
                </m:rPr>
                <m:t>≥</m:t>
              </m:r>
            </m:oMath>
            <w:r>
              <w:rPr/>
              <w:t xml:space="preserve"> 400 kg/m</w:t>
            </w:r>
            <w:r>
              <w:rPr>
                <w:vertAlign w:val="superscript"/>
              </w:rPr>
              <w:t xml:space="preserve">3</w:t>
            </w:r>
            <w:r>
              <w:rPr/>
              <w:t xml:space="preserve">; el fabricante exige al menos 21 MPa</w:t>
            </w:r>
          </w:p>
        </w:tc>
        <w:tc>
          <w:tcPr>
            <w:tcW w:w="2086" w:type="dxa"/>
          </w:tcPr>
          <w:p>
            <w:pPr>
              <w:pStyle w:val="CeldaAPA"/>
              <w:jc w:val="left"/>
            </w:pPr>
            <w:r>
              <w:rPr/>
              <w:t xml:space="preserve">ET, pp. 3–4; PRETENSA</w:t>
            </w:r>
          </w:p>
        </w:tc>
      </w:tr>
      <w:tr>
        <w:tc>
          <w:tcPr>
            <w:tcW w:w="2483" w:type="dxa"/>
          </w:tcPr>
          <w:p>
            <w:pPr>
              <w:pStyle w:val="CeldaAPA"/>
              <w:jc w:val="left"/>
            </w:pPr>
            <w:r>
              <w:rPr/>
              <w:t xml:space="preserve">Armadura de distribución</w:t>
            </w:r>
          </w:p>
        </w:tc>
        <w:tc>
          <w:tcPr>
            <w:tcW w:w="4791" w:type="dxa"/>
          </w:tcPr>
          <w:p>
            <w:pPr>
              <w:pStyle w:val="CeldaAPA"/>
              <w:jc w:val="left"/>
            </w:pPr>
            <m:oMath>
              <m:r>
                <m:t>ϕ</m:t>
              </m:r>
            </m:oMath>
            <w:r>
              <w:rPr/>
              <w:t xml:space="preserve">6 c/20 cm en ambas direcciones</w:t>
            </w:r>
          </w:p>
        </w:tc>
        <w:tc>
          <w:tcPr>
            <w:tcW w:w="2086" w:type="dxa"/>
          </w:tcPr>
          <w:p>
            <w:pPr>
              <w:pStyle w:val="CeldaAPA"/>
              <w:jc w:val="left"/>
            </w:pPr>
            <w:r>
              <w:rPr/>
              <w:t xml:space="preserve">Plano 02</w:t>
            </w:r>
          </w:p>
        </w:tc>
      </w:tr>
      <w:tr>
        <w:tc>
          <w:tcPr>
            <w:tcW w:w="2483" w:type="dxa"/>
          </w:tcPr>
          <w:p>
            <w:pPr>
              <w:pStyle w:val="CeldaAPA"/>
              <w:jc w:val="left"/>
            </w:pPr>
            <w:r>
              <w:rPr/>
              <w:t xml:space="preserve">Nervios transversales</w:t>
            </w:r>
          </w:p>
        </w:tc>
        <w:tc>
          <w:tcPr>
            <w:tcW w:w="4791" w:type="dxa"/>
          </w:tcPr>
          <w:p>
            <w:pPr>
              <w:pStyle w:val="CeldaAPA"/>
              <w:jc w:val="left"/>
            </w:pPr>
            <w:r>
              <w:rPr/>
              <w:t xml:space="preserve">Sección de 0,10 </w:t>
            </w:r>
            <m:oMath>
              <m:r>
                <m:rPr>
                  <m:sty m:val="p"/>
                </m:rPr>
                <m:t>×</m:t>
              </m:r>
            </m:oMath>
            <w:r>
              <w:rPr/>
              <w:t xml:space="preserve"> 0,15 m con 2 </w:t>
            </w:r>
            <m:oMath>
              <m:r>
                <m:t>ϕ</m:t>
              </m:r>
            </m:oMath>
            <w:r>
              <w:rPr/>
              <w:t xml:space="preserve">10 inferiores y 2 </w:t>
            </w:r>
            <m:oMath>
              <m:r>
                <m:t>ϕ</m:t>
              </m:r>
            </m:oMath>
            <w:r>
              <w:rPr/>
              <w:t xml:space="preserve">10 superiores</w:t>
            </w:r>
          </w:p>
        </w:tc>
        <w:tc>
          <w:tcPr>
            <w:tcW w:w="2086" w:type="dxa"/>
          </w:tcPr>
          <w:p>
            <w:pPr>
              <w:pStyle w:val="CeldaAPA"/>
              <w:jc w:val="left"/>
            </w:pPr>
            <w:r>
              <w:rPr/>
              <w:t xml:space="preserve">Plano 02</w:t>
            </w:r>
          </w:p>
        </w:tc>
      </w:tr>
      <w:tr>
        <w:tc>
          <w:tcPr>
            <w:tcW w:w="2483" w:type="dxa"/>
          </w:tcPr>
          <w:p>
            <w:pPr>
              <w:pStyle w:val="CeldaAPA"/>
              <w:jc w:val="left"/>
            </w:pPr>
            <w:r>
              <w:rPr/>
              <w:t xml:space="preserve">Complemento según la ET</w:t>
            </w:r>
          </w:p>
        </w:tc>
        <w:tc>
          <w:tcPr>
            <w:tcW w:w="4791" w:type="dxa"/>
          </w:tcPr>
          <w:p>
            <w:pPr>
              <w:pStyle w:val="CeldaAPA"/>
              <w:jc w:val="left"/>
            </w:pPr>
            <w:r>
              <w:rPr/>
              <w:t xml:space="preserve">Plastoformo de 100 </w:t>
            </w:r>
            <m:oMath>
              <m:r>
                <m:rPr>
                  <m:sty m:val="p"/>
                </m:rPr>
                <m:t>×</m:t>
              </m:r>
            </m:oMath>
            <w:r>
              <w:rPr/>
              <w:t xml:space="preserve"> 50 </w:t>
            </w:r>
            <m:oMath>
              <m:r>
                <m:rPr>
                  <m:sty m:val="p"/>
                </m:rPr>
                <m:t>×</m:t>
              </m:r>
            </m:oMath>
            <w:r>
              <w:rPr/>
              <w:t xml:space="preserve"> 20 cm</w:t>
            </w:r>
          </w:p>
        </w:tc>
        <w:tc>
          <w:tcPr>
            <w:tcW w:w="2086" w:type="dxa"/>
          </w:tcPr>
          <w:p>
            <w:pPr>
              <w:pStyle w:val="CeldaAPA"/>
              <w:jc w:val="left"/>
            </w:pPr>
            <w:r>
              <w:rPr/>
              <w:t xml:space="preserve">ET, p. 3</w:t>
            </w:r>
          </w:p>
        </w:tc>
      </w:tr>
      <w:tr>
        <w:tc>
          <w:tcPr>
            <w:tcW w:w="2483" w:type="dxa"/>
          </w:tcPr>
          <w:p>
            <w:pPr>
              <w:pStyle w:val="CeldaAPA"/>
              <w:jc w:val="left"/>
            </w:pPr>
            <w:r>
              <w:rPr/>
              <w:t xml:space="preserve">Complemento suministrado</w:t>
            </w:r>
          </w:p>
        </w:tc>
        <w:tc>
          <w:tcPr>
            <w:tcW w:w="4791" w:type="dxa"/>
          </w:tcPr>
          <w:p>
            <w:pPr>
              <w:pStyle w:val="CeldaAPA"/>
              <w:jc w:val="left"/>
            </w:pPr>
            <w:r>
              <w:rPr/>
              <w:t xml:space="preserve">Plastobloq de 20 </w:t>
            </w:r>
            <m:oMath>
              <m:r>
                <m:rPr>
                  <m:sty m:val="p"/>
                </m:rPr>
                <m:t>×</m:t>
              </m:r>
            </m:oMath>
            <w:r>
              <w:rPr/>
              <w:t xml:space="preserve"> 100 </w:t>
            </w:r>
            <m:oMath>
              <m:r>
                <m:rPr>
                  <m:sty m:val="p"/>
                </m:rPr>
                <m:t>×</m:t>
              </m:r>
            </m:oMath>
            <w:r>
              <w:rPr/>
              <w:t xml:space="preserve"> 44 cm, densidad 10 kg/m</w:t>
            </w:r>
            <w:r>
              <w:rPr>
                <w:vertAlign w:val="superscript"/>
              </w:rPr>
              <w:t xml:space="preserve">3</w:t>
            </w:r>
            <w:r>
              <w:rPr/>
              <w:t xml:space="preserve">, 2.350 piezas</w:t>
            </w:r>
          </w:p>
        </w:tc>
        <w:tc>
          <w:tcPr>
            <w:tcW w:w="2086" w:type="dxa"/>
          </w:tcPr>
          <w:p>
            <w:pPr>
              <w:pStyle w:val="CeldaAPA"/>
              <w:jc w:val="left"/>
            </w:pPr>
            <w:r>
              <w:rPr/>
              <w:t xml:space="preserve">UNICON</w:t>
            </w:r>
          </w:p>
        </w:tc>
      </w:tr>
      <w:tr>
        <w:tc>
          <w:tcPr>
            <w:tcW w:w="2483" w:type="dxa"/>
            <w:tcBorders>
              <w:bottom w:val="single" w:sz="8" w:space="0" w:color="000000"/>
            </w:tcBorders>
          </w:tcPr>
          <w:p>
            <w:pPr>
              <w:pStyle w:val="CeldaAPA"/>
              <w:jc w:val="left"/>
            </w:pPr>
            <w:r>
              <w:rPr/>
              <w:t xml:space="preserve">Medición y pago</w:t>
            </w:r>
          </w:p>
        </w:tc>
        <w:tc>
          <w:tcPr>
            <w:tcW w:w="4791" w:type="dxa"/>
            <w:tcBorders>
              <w:bottom w:val="single" w:sz="8" w:space="0" w:color="000000"/>
            </w:tcBorders>
          </w:tcPr>
          <w:p>
            <w:pPr>
              <w:pStyle w:val="CeldaAPA"/>
              <w:jc w:val="left"/>
            </w:pPr>
            <w:r>
              <w:rPr/>
              <w:t xml:space="preserve">Ítem 13 por m</w:t>
            </w:r>
            <w:r>
              <w:rPr>
                <w:vertAlign w:val="superscript"/>
              </w:rPr>
              <w:t xml:space="preserve">2</w:t>
            </w:r>
            <w:r>
              <w:rPr/>
              <w:t xml:space="preserve"> </w:t>
            </w:r>
            <w:r>
              <w:rPr/>
              <w:t xml:space="preserve">(Bs 215,6753/m</w:t>
            </w:r>
            <w:r>
              <w:rPr>
                <w:vertAlign w:val="superscript"/>
              </w:rPr>
              <w:t xml:space="preserve">2</w:t>
            </w:r>
            <w:r>
              <w:rPr/>
              <w:t xml:space="preserve">); acero de la losa por kg en el ítem 8 (Bs 16,75584/kg)</w:t>
            </w:r>
          </w:p>
        </w:tc>
        <w:tc>
          <w:tcPr>
            <w:tcW w:w="2086" w:type="dxa"/>
            <w:tcBorders>
              <w:bottom w:val="single" w:sz="8" w:space="0" w:color="000000"/>
            </w:tcBorders>
          </w:tcPr>
          <w:p>
            <w:pPr>
              <w:pStyle w:val="CeldaAPA"/>
              <w:jc w:val="left"/>
            </w:pPr>
            <w:r>
              <w:rPr/>
              <w:t xml:space="preserve">PAO2, pp. 16, 20</w:t>
            </w:r>
          </w:p>
        </w:tc>
      </w:tr>
    </w:tbl>
    <w:p>
      <w:pPr>
        <w:pStyle w:val="NotaAPA"/>
      </w:pPr>
      <w:r>
        <w:rPr>
          <w:iCs/>
          <w:i/>
        </w:rPr>
        <w:t xml:space="preserve">Nota.</w:t>
      </w:r>
      <w:r>
        <w:t xml:space="preserve"> </w:t>
      </w:r>
      <w:r>
        <w:t xml:space="preserve">ET: especificaciones técnicas</w:t>
      </w:r>
      <w:r>
        <w:t xml:space="preserve"> </w:t>
      </w:r>
      <w:r>
        <w:t xml:space="preserve">(UATF, s. f.-a)</w:t>
      </w:r>
      <w:r>
        <w:t xml:space="preserve">; Plano 02: sección y detalles de la losa</w:t>
      </w:r>
      <w:r>
        <w:t xml:space="preserve"> </w:t>
      </w:r>
      <w:r>
        <w:t xml:space="preserve">(UATF, s. f.-d)</w:t>
      </w:r>
      <w:r>
        <w:t xml:space="preserve">, reproducido en el Anexo de planos; PRETENSA:</w:t>
      </w:r>
      <w:r>
        <w:t xml:space="preserve"> </w:t>
      </w:r>
      <w:r>
        <w:t xml:space="preserve">PRETENSA (2025)</w:t>
      </w:r>
      <w:r>
        <w:t xml:space="preserve">; UNICON:</w:t>
      </w:r>
      <w:r>
        <w:t xml:space="preserve"> </w:t>
      </w:r>
      <w:r>
        <w:t xml:space="preserve">UNICON (2025)</w:t>
      </w:r>
      <w:r>
        <w:t xml:space="preserve">; PAO2:</w:t>
      </w:r>
      <w:r>
        <w:t xml:space="preserve"> </w:t>
      </w:r>
      <w:r>
        <w:t xml:space="preserve">UATF (2025)</w:t>
      </w:r>
      <w:r>
        <w:t xml:space="preserve">.</w:t>
      </w:r>
    </w:p>
    <w:p>
      <w:pPr>
        <w:pStyle w:val="Heading2"/>
      </w:pPr>
      <w:bookmarkStart w:id="130" w:name="tit94"/>
      <w:r>
        <w:t xml:space="preserve">2.3. Definición de factores y variables</w:t>
      </w:r>
      <w:bookmarkEnd w:id="130"/>
    </w:p>
    <w:p>
      <w:pPr>
        <w:pStyle w:val="FirstParagraph"/>
      </w:pPr>
      <w:r>
        <w:t xml:space="preserve">Los factores del modelo se dividen en controlables, que el SGC puede modificar (recepción de materiales, despacho por paño, inspección antes del vaciado, control del hormigón y conciliación de cantidades), y no controlables, que dependen del entorno (precios, clima y abastecimiento). La Tabla 21 relaciona cada factor o variable con su indicador y con la forma en que se trata en el modelo de la Sección 2.7.2. Las dimensiones, indicadores e instrumentos de cada variable se detallan en el Anexo B.</w:t>
      </w:r>
    </w:p>
    <w:p>
      <w:pPr>
        <w:pStyle w:val="Caption"/>
      </w:pPr>
      <w:bookmarkStart w:id="1419" w:name="tab21"/>
      <w:r>
        <w:t xml:space="preserve"/>
      </w:r>
      <w:r>
        <w:rPr>
          <w:bCs/>
          <w:b/>
        </w:rPr>
        <w:t xml:space="preserve">Tabla 21</w:t>
      </w:r>
      <w:r>
        <w:br/>
      </w:r>
      <w:r>
        <w:rPr>
          <w:iCs/>
          <w:i/>
        </w:rPr>
        <w:t xml:space="preserve">Factores, variables e indicadores del modelo</w:t>
      </w:r>
      <w:bookmarkEnd w:id="1419"/>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2022"/>
        <w:gridCol w:w="1770"/>
        <w:gridCol w:w="2237"/>
        <w:gridCol w:w="3331"/>
      </w:tblGrid>
      <w:tr>
        <w:trPr>
          <w:cantSplit/>
          <w:tblHeader w:val="true"/>
        </w:trPr>
        <w:tc>
          <w:tcPr>
            <w:tcW w:w="2022" w:type="dxa"/>
            <w:tcBorders>
              <w:top w:val="single" w:sz="8" w:space="0" w:color="000000"/>
              <w:bottom w:val="single" w:sz="4" w:space="0" w:color="000000"/>
            </w:tcBorders>
          </w:tcPr>
          <w:p>
            <w:pPr>
              <w:pStyle w:val="CeldaAPA"/>
              <w:jc w:val="center"/>
            </w:pPr>
            <w:r>
              <w:rPr>
                <w:bCs/>
                <w:b/>
              </w:rPr>
              <w:t xml:space="preserve">Factor o variable</w:t>
            </w:r>
          </w:p>
        </w:tc>
        <w:tc>
          <w:tcPr>
            <w:tcW w:w="1770" w:type="dxa"/>
            <w:tcBorders>
              <w:top w:val="single" w:sz="8" w:space="0" w:color="000000"/>
              <w:bottom w:val="single" w:sz="4" w:space="0" w:color="000000"/>
            </w:tcBorders>
          </w:tcPr>
          <w:p>
            <w:pPr>
              <w:pStyle w:val="CeldaAPA"/>
              <w:jc w:val="center"/>
            </w:pPr>
            <w:r>
              <w:rPr>
                <w:bCs/>
                <w:b/>
              </w:rPr>
              <w:t xml:space="preserve">Tipo</w:t>
            </w:r>
          </w:p>
        </w:tc>
        <w:tc>
          <w:tcPr>
            <w:tcW w:w="2237" w:type="dxa"/>
            <w:tcBorders>
              <w:top w:val="single" w:sz="8" w:space="0" w:color="000000"/>
              <w:bottom w:val="single" w:sz="4" w:space="0" w:color="000000"/>
            </w:tcBorders>
          </w:tcPr>
          <w:p>
            <w:pPr>
              <w:pStyle w:val="CeldaAPA"/>
              <w:jc w:val="center"/>
            </w:pPr>
            <w:r>
              <w:rPr>
                <w:bCs/>
                <w:b/>
              </w:rPr>
              <w:t xml:space="preserve">Indicador y unidad</w:t>
            </w:r>
          </w:p>
        </w:tc>
        <w:tc>
          <w:tcPr>
            <w:tcW w:w="3331" w:type="dxa"/>
            <w:tcBorders>
              <w:top w:val="single" w:sz="8" w:space="0" w:color="000000"/>
              <w:bottom w:val="single" w:sz="4" w:space="0" w:color="000000"/>
            </w:tcBorders>
          </w:tcPr>
          <w:p>
            <w:pPr>
              <w:pStyle w:val="CeldaAPA"/>
              <w:jc w:val="center"/>
            </w:pPr>
            <w:r>
              <w:rPr>
                <w:bCs/>
                <w:b/>
              </w:rPr>
              <w:t xml:space="preserve">Tratamiento en el modelo</w:t>
            </w:r>
          </w:p>
        </w:tc>
      </w:tr>
      <w:tr>
        <w:tc>
          <w:tcPr>
            <w:tcW w:w="2022" w:type="dxa"/>
          </w:tcPr>
          <w:p>
            <w:pPr>
              <w:pStyle w:val="CeldaAPA"/>
              <w:jc w:val="left"/>
            </w:pPr>
            <w:r>
              <w:rPr/>
              <w:t xml:space="preserve">SGC (control de materiales y del proceso)</w:t>
            </w:r>
          </w:p>
        </w:tc>
        <w:tc>
          <w:tcPr>
            <w:tcW w:w="1770" w:type="dxa"/>
          </w:tcPr>
          <w:p>
            <w:pPr>
              <w:pStyle w:val="CeldaAPA"/>
              <w:jc w:val="left"/>
            </w:pPr>
            <w:r>
              <w:rPr/>
              <w:t xml:space="preserve">Independiente (</w:t>
            </w:r>
            <m:oMath>
              <m:r>
                <m:t>X</m:t>
              </m:r>
            </m:oMath>
            <w:r>
              <w:rPr/>
              <w:t xml:space="preserve">); controlable</w:t>
            </w:r>
          </w:p>
        </w:tc>
        <w:tc>
          <w:tcPr>
            <w:tcW w:w="2237" w:type="dxa"/>
          </w:tcPr>
          <w:p>
            <w:pPr>
              <w:pStyle w:val="CeldaAPA"/>
              <w:jc w:val="left"/>
            </w:pPr>
            <w:r>
              <w:rPr/>
              <w:t xml:space="preserve">Cumplimiento ISO 9001 (%); eficacias</w:t>
            </w:r>
            <w:r>
              <w:rPr/>
              <w:t xml:space="preserve"> </w:t>
            </w:r>
            <m:oMath>
              <m:sSub>
                <m:e>
                  <m:r>
                    <m:t>e</m:t>
                  </m:r>
                </m:e>
                <m:sub>
                  <m:r>
                    <m:t>i</m:t>
                  </m:r>
                </m:sub>
              </m:sSub>
            </m:oMath>
            <w:r>
              <w:rPr/>
              <w:t xml:space="preserve"> </w:t>
            </w:r>
            <w:r>
              <w:rPr/>
              <w:t xml:space="preserve">y</w:t>
            </w:r>
            <w:r>
              <w:rPr/>
              <w:t xml:space="preserve"> </w:t>
            </w:r>
            <m:oMath>
              <m:sSub>
                <m:e>
                  <m:r>
                    <m:t>e</m:t>
                  </m:r>
                </m:e>
                <m:sub>
                  <m:r>
                    <m:t>R</m:t>
                  </m:r>
                </m:sub>
              </m:sSub>
            </m:oMath>
          </w:p>
        </w:tc>
        <w:tc>
          <w:tcPr>
            <w:tcW w:w="3331" w:type="dxa"/>
          </w:tcPr>
          <w:p>
            <w:pPr>
              <w:pStyle w:val="CeldaAPA"/>
              <w:jc w:val="left"/>
            </w:pPr>
            <w:r>
              <w:rPr/>
              <w:t xml:space="preserve">Escenario de tratamiento (con SGC) frente al de control (sin SGC)</w:t>
            </w:r>
          </w:p>
        </w:tc>
      </w:tr>
      <w:tr>
        <w:tc>
          <w:tcPr>
            <w:tcW w:w="2022" w:type="dxa"/>
          </w:tcPr>
          <w:p>
            <w:pPr>
              <w:pStyle w:val="CeldaAPA"/>
              <w:jc w:val="left"/>
            </w:pPr>
            <w:r>
              <w:rPr/>
              <w:t xml:space="preserve">Costo unitario de ejecución</w:t>
            </w:r>
          </w:p>
        </w:tc>
        <w:tc>
          <w:tcPr>
            <w:tcW w:w="1770" w:type="dxa"/>
          </w:tcPr>
          <w:p>
            <w:pPr>
              <w:pStyle w:val="CeldaAPA"/>
              <w:jc w:val="left"/>
            </w:pPr>
            <w:r>
              <w:rPr/>
              <w:t xml:space="preserve">Dependiente (</w:t>
            </w:r>
            <m:oMath>
              <m:r>
                <m:t>Y</m:t>
              </m:r>
            </m:oMath>
            <w:r>
              <w:rPr/>
              <w:t xml:space="preserve">)</w:t>
            </w:r>
          </w:p>
        </w:tc>
        <w:tc>
          <w:tcPr>
            <w:tcW w:w="2237" w:type="dxa"/>
          </w:tcPr>
          <w:p>
            <w:pPr>
              <w:pStyle w:val="CeldaAPA"/>
              <w:jc w:val="left"/>
            </w:pPr>
            <m:oMath>
              <m:r>
                <m:t>C</m:t>
              </m:r>
              <m:r>
                <m:t>U</m:t>
              </m:r>
            </m:oMath>
            <w:r>
              <w:rPr/>
              <w:t xml:space="preserve"> </w:t>
            </w:r>
            <w:r>
              <w:rPr/>
              <w:t xml:space="preserve">(Bs/m</w:t>
            </w:r>
            <w:r>
              <w:rPr>
                <w:vertAlign w:val="superscript"/>
              </w:rPr>
              <w:t xml:space="preserve">2</w:t>
            </w:r>
            <w:r>
              <w:rPr/>
              <w:t xml:space="preserve">), ecuación (9)</w:t>
            </w:r>
          </w:p>
        </w:tc>
        <w:tc>
          <w:tcPr>
            <w:tcW w:w="3331" w:type="dxa"/>
          </w:tcPr>
          <w:p>
            <w:pPr>
              <w:pStyle w:val="CeldaAPA"/>
              <w:jc w:val="left"/>
            </w:pPr>
            <w:r>
              <w:rPr/>
              <w:t xml:space="preserve">Se descompone en costo directo teórico, CNC y costo de la calidad (ecuación 17)</w:t>
            </w:r>
          </w:p>
        </w:tc>
      </w:tr>
      <w:tr>
        <w:tc>
          <w:tcPr>
            <w:tcW w:w="2022" w:type="dxa"/>
          </w:tcPr>
          <w:p>
            <w:pPr>
              <w:pStyle w:val="CeldaAPA"/>
              <w:jc w:val="left"/>
            </w:pPr>
            <w:r>
              <w:rPr/>
              <w:t xml:space="preserve">Desperdicio de materiales</w:t>
            </w:r>
          </w:p>
        </w:tc>
        <w:tc>
          <w:tcPr>
            <w:tcW w:w="1770" w:type="dxa"/>
          </w:tcPr>
          <w:p>
            <w:pPr>
              <w:pStyle w:val="CeldaAPA"/>
              <w:jc w:val="left"/>
            </w:pPr>
            <w:r>
              <w:rPr/>
              <w:t xml:space="preserve">Dependiente (HE1)</w:t>
            </w:r>
          </w:p>
        </w:tc>
        <w:tc>
          <w:tcPr>
            <w:tcW w:w="2237" w:type="dxa"/>
          </w:tcPr>
          <w:p>
            <w:pPr>
              <w:pStyle w:val="CeldaAPA"/>
              <w:jc w:val="left"/>
            </w:pPr>
            <m:oMath>
              <m:r>
                <m:t>I</m:t>
              </m:r>
              <m:r>
                <m:t>D</m:t>
              </m:r>
              <m:sSub>
                <m:e>
                  <m:r>
                    <m:t>M</m:t>
                  </m:r>
                </m:e>
                <m:sub>
                  <m:r>
                    <m:t>i</m:t>
                  </m:r>
                </m:sub>
              </m:sSub>
            </m:oMath>
            <w:r>
              <w:rPr/>
              <w:t xml:space="preserve"> </w:t>
            </w:r>
            <w:r>
              <w:rPr/>
              <w:t xml:space="preserve">(%), ecuación (8)</w:t>
            </w:r>
          </w:p>
        </w:tc>
        <w:tc>
          <w:tcPr>
            <w:tcW w:w="3331" w:type="dxa"/>
          </w:tcPr>
          <w:p>
            <w:pPr>
              <w:pStyle w:val="CeldaAPA"/>
              <w:jc w:val="left"/>
            </w:pPr>
            <w:r>
              <w:rPr/>
              <w:t xml:space="preserve">Distribución triangular por material; línea base documentada o de literatura</w:t>
            </w:r>
          </w:p>
        </w:tc>
      </w:tr>
      <w:tr>
        <w:tc>
          <w:tcPr>
            <w:tcW w:w="2022" w:type="dxa"/>
          </w:tcPr>
          <w:p>
            <w:pPr>
              <w:pStyle w:val="CeldaAPA"/>
              <w:jc w:val="left"/>
            </w:pPr>
            <w:r>
              <w:rPr/>
              <w:t xml:space="preserve">Costo de no calidad</w:t>
            </w:r>
          </w:p>
        </w:tc>
        <w:tc>
          <w:tcPr>
            <w:tcW w:w="1770" w:type="dxa"/>
          </w:tcPr>
          <w:p>
            <w:pPr>
              <w:pStyle w:val="CeldaAPA"/>
              <w:jc w:val="left"/>
            </w:pPr>
            <w:r>
              <w:rPr/>
              <w:t xml:space="preserve">Dependiente (HE2)</w:t>
            </w:r>
          </w:p>
        </w:tc>
        <w:tc>
          <w:tcPr>
            <w:tcW w:w="2237" w:type="dxa"/>
          </w:tcPr>
          <w:p>
            <w:pPr>
              <w:pStyle w:val="CeldaAPA"/>
              <w:jc w:val="left"/>
            </w:pPr>
            <m:oMath>
              <m:r>
                <m:t>C</m:t>
              </m:r>
              <m:r>
                <m:t>N</m:t>
              </m:r>
              <m:r>
                <m:t>C</m:t>
              </m:r>
            </m:oMath>
            <w:r>
              <w:rPr/>
              <w:t xml:space="preserve"> </w:t>
            </w:r>
            <w:r>
              <w:rPr/>
              <w:t xml:space="preserve">(Bs/m</w:t>
            </w:r>
            <w:r>
              <w:rPr>
                <w:vertAlign w:val="superscript"/>
              </w:rPr>
              <w:t xml:space="preserve">2</w:t>
            </w:r>
            <w:r>
              <w:rPr/>
              <w:t xml:space="preserve">; %), ecuación (10)</w:t>
            </w:r>
          </w:p>
        </w:tc>
        <w:tc>
          <w:tcPr>
            <w:tcW w:w="3331" w:type="dxa"/>
          </w:tcPr>
          <w:p>
            <w:pPr>
              <w:pStyle w:val="CeldaAPA"/>
              <w:jc w:val="left"/>
            </w:pPr>
            <w:r>
              <w:rPr/>
              <w:t xml:space="preserve">Desperdicio valorado más retrabajo (ecuación 18)</w:t>
            </w:r>
          </w:p>
        </w:tc>
      </w:tr>
      <w:tr>
        <w:tc>
          <w:tcPr>
            <w:tcW w:w="2022" w:type="dxa"/>
          </w:tcPr>
          <w:p>
            <w:pPr>
              <w:pStyle w:val="CeldaAPA"/>
              <w:jc w:val="left"/>
            </w:pPr>
            <w:r>
              <w:rPr/>
              <w:t xml:space="preserve">Costo de la calidad</w:t>
            </w:r>
          </w:p>
        </w:tc>
        <w:tc>
          <w:tcPr>
            <w:tcW w:w="1770" w:type="dxa"/>
          </w:tcPr>
          <w:p>
            <w:pPr>
              <w:pStyle w:val="CeldaAPA"/>
              <w:jc w:val="left"/>
            </w:pPr>
            <w:r>
              <w:rPr/>
              <w:t xml:space="preserve">Interviniente</w:t>
            </w:r>
          </w:p>
        </w:tc>
        <w:tc>
          <w:tcPr>
            <w:tcW w:w="2237" w:type="dxa"/>
          </w:tcPr>
          <w:p>
            <w:pPr>
              <w:pStyle w:val="CeldaAPA"/>
              <w:jc w:val="left"/>
            </w:pPr>
            <m:oMath>
              <m:r>
                <m:t>C</m:t>
              </m:r>
              <m:r>
                <m:t>C</m:t>
              </m:r>
            </m:oMath>
            <w:r>
              <w:rPr/>
              <w:t xml:space="preserve"> </w:t>
            </w:r>
            <w:r>
              <w:rPr/>
              <w:t xml:space="preserve">(Bs/m</w:t>
            </w:r>
            <w:r>
              <w:rPr>
                <w:vertAlign w:val="superscript"/>
              </w:rPr>
              <w:t xml:space="preserve">2</w:t>
            </w:r>
            <w:r>
              <w:rPr/>
              <w:t xml:space="preserve">)</w:t>
            </w:r>
          </w:p>
        </w:tc>
        <w:tc>
          <w:tcPr>
            <w:tcW w:w="3331" w:type="dxa"/>
          </w:tcPr>
          <w:p>
            <w:pPr>
              <w:pStyle w:val="CeldaAPA"/>
              <w:jc w:val="left"/>
            </w:pPr>
            <w:r>
              <w:rPr/>
              <w:t xml:space="preserve">Costos de prevención y evaluación del SGC repartidos en el saldo</w:t>
            </w:r>
          </w:p>
        </w:tc>
      </w:tr>
      <w:tr>
        <w:tc>
          <w:tcPr>
            <w:tcW w:w="2022" w:type="dxa"/>
          </w:tcPr>
          <w:p>
            <w:pPr>
              <w:pStyle w:val="CeldaAPA"/>
              <w:jc w:val="left"/>
            </w:pPr>
            <w:r>
              <w:rPr/>
              <w:t xml:space="preserve">Geometría de los paños</w:t>
            </w:r>
          </w:p>
        </w:tc>
        <w:tc>
          <w:tcPr>
            <w:tcW w:w="1770" w:type="dxa"/>
          </w:tcPr>
          <w:p>
            <w:pPr>
              <w:pStyle w:val="CeldaAPA"/>
              <w:jc w:val="left"/>
            </w:pPr>
            <w:r>
              <w:rPr/>
              <w:t xml:space="preserve">Controlada</w:t>
            </w:r>
          </w:p>
        </w:tc>
        <w:tc>
          <w:tcPr>
            <w:tcW w:w="2237" w:type="dxa"/>
          </w:tcPr>
          <w:p>
            <w:pPr>
              <w:pStyle w:val="CeldaAPA"/>
              <w:jc w:val="left"/>
            </w:pPr>
            <w:r>
              <w:rPr/>
              <w:t xml:space="preserve">Área, número y longitud de viguetas</w:t>
            </w:r>
          </w:p>
        </w:tc>
        <w:tc>
          <w:tcPr>
            <w:tcW w:w="3331" w:type="dxa"/>
          </w:tcPr>
          <w:p>
            <w:pPr>
              <w:pStyle w:val="CeldaAPA"/>
              <w:jc w:val="left"/>
            </w:pPr>
            <w:r>
              <w:rPr/>
              <w:t xml:space="preserve">Igual en ambos escenarios (paños homólogos)</w:t>
            </w:r>
          </w:p>
        </w:tc>
      </w:tr>
      <w:tr>
        <w:tc>
          <w:tcPr>
            <w:tcW w:w="2022" w:type="dxa"/>
          </w:tcPr>
          <w:p>
            <w:pPr>
              <w:pStyle w:val="CeldaAPA"/>
              <w:jc w:val="left"/>
            </w:pPr>
            <w:r>
              <w:rPr/>
              <w:t xml:space="preserve">Precios de los insumos</w:t>
            </w:r>
          </w:p>
        </w:tc>
        <w:tc>
          <w:tcPr>
            <w:tcW w:w="1770" w:type="dxa"/>
          </w:tcPr>
          <w:p>
            <w:pPr>
              <w:pStyle w:val="CeldaAPA"/>
              <w:jc w:val="left"/>
            </w:pPr>
            <w:r>
              <w:rPr/>
              <w:t xml:space="preserve">Controlada</w:t>
            </w:r>
          </w:p>
        </w:tc>
        <w:tc>
          <w:tcPr>
            <w:tcW w:w="2237" w:type="dxa"/>
          </w:tcPr>
          <w:p>
            <w:pPr>
              <w:pStyle w:val="CeldaAPA"/>
              <w:jc w:val="left"/>
            </w:pPr>
            <w:r>
              <w:rPr/>
              <w:t xml:space="preserve">Bs a precios del contrato</w:t>
            </w:r>
          </w:p>
        </w:tc>
        <w:tc>
          <w:tcPr>
            <w:tcW w:w="3331" w:type="dxa"/>
          </w:tcPr>
          <w:p>
            <w:pPr>
              <w:pStyle w:val="CeldaAPA"/>
              <w:jc w:val="left"/>
            </w:pPr>
            <w:r>
              <w:rPr/>
              <w:t xml:space="preserve">Constantes en ambos escenarios</w:t>
            </w:r>
          </w:p>
        </w:tc>
      </w:tr>
      <w:tr>
        <w:tc>
          <w:tcPr>
            <w:tcW w:w="2022" w:type="dxa"/>
            <w:tcBorders>
              <w:bottom w:val="single" w:sz="8" w:space="0" w:color="000000"/>
            </w:tcBorders>
          </w:tcPr>
          <w:p>
            <w:pPr>
              <w:pStyle w:val="CeldaAPA"/>
              <w:jc w:val="left"/>
            </w:pPr>
            <w:r>
              <w:rPr/>
              <w:t xml:space="preserve">Clima, abastecimiento e inflación</w:t>
            </w:r>
          </w:p>
        </w:tc>
        <w:tc>
          <w:tcPr>
            <w:tcW w:w="1770" w:type="dxa"/>
            <w:tcBorders>
              <w:bottom w:val="single" w:sz="8" w:space="0" w:color="000000"/>
            </w:tcBorders>
          </w:tcPr>
          <w:p>
            <w:pPr>
              <w:pStyle w:val="CeldaAPA"/>
              <w:jc w:val="left"/>
            </w:pPr>
            <w:r>
              <w:rPr/>
              <w:t xml:space="preserve">No controlable</w:t>
            </w:r>
          </w:p>
        </w:tc>
        <w:tc>
          <w:tcPr>
            <w:tcW w:w="2237" w:type="dxa"/>
            <w:tcBorders>
              <w:bottom w:val="single" w:sz="8" w:space="0" w:color="000000"/>
            </w:tcBorders>
          </w:tcPr>
          <w:p>
            <w:pPr>
              <w:pStyle w:val="CeldaAPA"/>
              <w:jc w:val="left"/>
            </w:pPr>
            <w:r>
              <w:rPr/>
              <w:t xml:space="preserve">Días de lluvia; demoras; variación de precios</w:t>
            </w:r>
          </w:p>
        </w:tc>
        <w:tc>
          <w:tcPr>
            <w:tcW w:w="3331" w:type="dxa"/>
            <w:tcBorders>
              <w:bottom w:val="single" w:sz="8" w:space="0" w:color="000000"/>
            </w:tcBorders>
          </w:tcPr>
          <w:p>
            <w:pPr>
              <w:pStyle w:val="CeldaAPA"/>
              <w:jc w:val="left"/>
            </w:pPr>
            <w:r>
              <w:rPr/>
              <w:t xml:space="preserve">Fuera del modelo de costos; se gestionan como riesgos del SGC</w:t>
            </w:r>
          </w:p>
        </w:tc>
      </w:tr>
    </w:tbl>
    <w:p>
      <w:pPr>
        <w:pStyle w:val="NotaAPA"/>
      </w:pPr>
      <w:r>
        <w:rPr>
          <w:iCs/>
          <w:i/>
        </w:rPr>
        <w:t xml:space="preserve">Nota.</w:t>
      </w:r>
      <w:r>
        <w:t xml:space="preserve"> </w:t>
      </w:r>
      <w:r>
        <w:t xml:space="preserve">Elaboración propia. HE1 y HE2: hipótesis específicas. Las ecuaciones (17) y (18) se presentan en la Sección 2.7.2.</w:t>
      </w:r>
    </w:p>
    <w:p>
      <w:pPr>
        <w:pStyle w:val="BodyText"/>
      </w:pPr>
      <w:r>
        <w:t xml:space="preserve">Los indicadores principales se calculan de la siguiente manera.</w:t>
      </w:r>
    </w:p>
    <w:p>
      <w:pPr>
        <w:pStyle w:val="BodyText"/>
      </w:pPr>
      <w:r>
        <w:rPr>
          <w:bCs/>
          <w:b/>
        </w:rPr>
        <w:t xml:space="preserve">Índice de desperdicio del material</w:t>
      </w:r>
      <w:r>
        <w:rPr>
          <w:bCs/>
          <w:b/>
        </w:rPr>
        <w:t xml:space="preserve"> </w:t>
      </w:r>
      <m:oMath>
        <m:r>
          <m:t>i</m:t>
        </m:r>
      </m:oMath>
      <w:r>
        <w:rPr>
          <w:bCs/>
          <w:b/>
        </w:rPr>
        <w:t xml:space="preserve">:</w:t>
      </w:r>
    </w:p>
    <w:tbl>
      <w:tblPr>
        <w:tblW w:w="9360" w:type="dxa"/>
        <w:tblLayout w:type="fixed"/>
        <w:tblCellMar>
          <w:left w:w="0" w:type="dxa"/>
          <w:right w:w="0" w:type="dxa"/>
        </w:tblCellMar>
        <w:tblLook w:val="0000" w:firstRow="0" w:lastRow="0" w:firstColumn="0" w:lastColumn="0" w:noHBand="1" w:noVBand="1"/>
        <w:tblCaption w:val="Ecuación"/>
      </w:tblPr>
      <w:tblGrid>
        <w:gridCol w:w="1134"/>
        <w:gridCol w:w="7092"/>
        <w:gridCol w:w="1134"/>
      </w:tblGrid>
      <w:tr>
        <w:trPr>
          <w:cantSplit/>
        </w:trPr>
        <w:tc>
          <w:tcPr>
            <w:tcW w:w="1134" w:type="dxa"/>
            <w:vAlign w:val="center"/>
          </w:tcPr>
          <w:p>
            <w:pPr>
              <w:pStyle w:val="EcuacionAPA"/>
            </w:pPr>
          </w:p>
        </w:tc>
        <w:tc>
          <w:tcPr>
            <w:tcW w:w="7092" w:type="dxa"/>
            <w:vAlign w:val="center"/>
          </w:tcPr>
          <w:p>
            <w:pPr>
              <w:pStyle w:val="EcuacionAPA"/>
            </w:pPr>
            <m:oMathPara>
              <m:oMathParaPr>
                <m:jc m:val="center"/>
              </m:oMathParaPr>
              <m:oMath>
                <m:r>
                  <m:t>I</m:t>
                </m:r>
                <m:r>
                  <m:t>D</m:t>
                </m:r>
                <m:sSub>
                  <m:e>
                    <m:r>
                      <m:t>M</m:t>
                    </m:r>
                  </m:e>
                  <m:sub>
                    <m:r>
                      <m:t>i</m:t>
                    </m:r>
                  </m:sub>
                </m:sSub>
                <m:r>
                  <m:rPr>
                    <m:sty m:val="p"/>
                  </m:rPr>
                  <m:t>=</m:t>
                </m:r>
                <m:f>
                  <m:fPr>
                    <m:type m:val="bar"/>
                  </m:fPr>
                  <m:num>
                    <m:sSub>
                      <m:e>
                        <m:r>
                          <m:t>Q</m:t>
                        </m:r>
                      </m:e>
                      <m:sub>
                        <m:r>
                          <m:rPr>
                            <m:nor/>
                            <m:sty m:val="p"/>
                          </m:rPr>
                          <m:t>real</m:t>
                        </m:r>
                        <m:r>
                          <m:rPr>
                            <m:sty m:val="p"/>
                          </m:rPr>
                          <m:t>,</m:t>
                        </m:r>
                        <m:r>
                          <m:t>i</m:t>
                        </m:r>
                      </m:sub>
                    </m:sSub>
                    <m:r>
                      <m:rPr>
                        <m:sty m:val="p"/>
                      </m:rPr>
                      <m:t>−</m:t>
                    </m:r>
                    <m:sSub>
                      <m:e>
                        <m:r>
                          <m:t>Q</m:t>
                        </m:r>
                      </m:e>
                      <m:sub>
                        <m:r>
                          <m:rPr>
                            <m:nor/>
                            <m:sty m:val="p"/>
                          </m:rPr>
                          <m:t>teórica</m:t>
                        </m:r>
                        <m:r>
                          <m:rPr>
                            <m:sty m:val="p"/>
                          </m:rPr>
                          <m:t>,</m:t>
                        </m:r>
                        <m:r>
                          <m:t>i</m:t>
                        </m:r>
                      </m:sub>
                    </m:sSub>
                  </m:num>
                  <m:den>
                    <m:sSub>
                      <m:e>
                        <m:r>
                          <m:t>Q</m:t>
                        </m:r>
                      </m:e>
                      <m:sub>
                        <m:r>
                          <m:rPr>
                            <m:nor/>
                            <m:sty m:val="p"/>
                          </m:rPr>
                          <m:t>teórica</m:t>
                        </m:r>
                        <m:r>
                          <m:rPr>
                            <m:sty m:val="p"/>
                          </m:rPr>
                          <m:t>,</m:t>
                        </m:r>
                        <m:r>
                          <m:t>i</m:t>
                        </m:r>
                      </m:sub>
                    </m:sSub>
                  </m:den>
                </m:f>
                <m:r>
                  <m:rPr>
                    <m:sty m:val="p"/>
                  </m:rPr>
                  <m:t>×</m:t>
                </m:r>
                <m:r>
                  <m:t>100</m:t>
                </m:r>
              </m:oMath>
            </m:oMathPara>
          </w:p>
        </w:tc>
        <w:tc>
          <w:tcPr>
            <w:tcW w:w="1134" w:type="dxa"/>
            <w:vAlign w:val="center"/>
          </w:tcPr>
          <w:p>
            <w:pPr>
              <w:pStyle w:val="EcuacionAPA"/>
              <w:jc w:val="right"/>
            </w:pPr>
            <w:r>
              <w:t>(8)</w:t>
            </w:r>
          </w:p>
        </w:tc>
      </w:tr>
    </w:tbl>
    <w:p>
      <w:pPr>
        <w:pStyle w:val="FirstParagraph"/>
        <w:ind w:firstLine="0"/>
      </w:pPr>
      <w:r>
        <w:t xml:space="preserve"/>
      </w:r>
      <w:r>
        <w:t xml:space="preserve"/>
      </w:r>
      <w:r>
        <w:t xml:space="preserve">donde</w:t>
      </w:r>
      <w:r>
        <w:t xml:space="preserve"> </w:t>
      </w:r>
      <m:oMath>
        <m:sSub>
          <m:e>
            <m:r>
              <m:t>Q</m:t>
            </m:r>
          </m:e>
          <m:sub>
            <m:r>
              <m:rPr>
                <m:nor/>
                <m:sty m:val="p"/>
              </m:rPr>
              <m:t>real</m:t>
            </m:r>
            <m:r>
              <m:rPr>
                <m:sty m:val="p"/>
              </m:rPr>
              <m:t>,</m:t>
            </m:r>
            <m:r>
              <m:t>i</m:t>
            </m:r>
          </m:sub>
        </m:sSub>
      </m:oMath>
      <w:r>
        <w:t xml:space="preserve"> </w:t>
      </w:r>
      <w:r>
        <w:t xml:space="preserve">es la cantidad consumida (entregada menos sobrante recuperable) y</w:t>
      </w:r>
      <w:r>
        <w:t xml:space="preserve"> </w:t>
      </w:r>
      <m:oMath>
        <m:sSub>
          <m:e>
            <m:r>
              <m:t>Q</m:t>
            </m:r>
          </m:e>
          <m:sub>
            <m:r>
              <m:rPr>
                <m:nor/>
                <m:sty m:val="p"/>
              </m:rPr>
              <m:t>teórica</m:t>
            </m:r>
            <m:r>
              <m:rPr>
                <m:sty m:val="p"/>
              </m:rPr>
              <m:t>,</m:t>
            </m:r>
            <m:r>
              <m:t>i</m:t>
            </m:r>
          </m:sub>
        </m:sSub>
      </m:oMath>
      <w:r>
        <w:t xml:space="preserve"> </w:t>
      </w:r>
      <w:r>
        <w:t xml:space="preserve">es la cantidad según planos y cómputos. En el modelo,</w:t>
      </w:r>
      <w:r>
        <w:t xml:space="preserve"> </w:t>
      </w:r>
      <m:oMath>
        <m:r>
          <m:t>I</m:t>
        </m:r>
        <m:r>
          <m:t>D</m:t>
        </m:r>
        <m:sSub>
          <m:e>
            <m:r>
              <m:t>M</m:t>
            </m:r>
          </m:e>
          <m:sub>
            <m:r>
              <m:t>i</m:t>
            </m:r>
            <m:r>
              <m:rPr>
                <m:sty m:val="p"/>
              </m:rPr>
              <m:t>,</m:t>
            </m:r>
            <m:r>
              <m:t>s</m:t>
            </m:r>
          </m:sub>
        </m:sSub>
      </m:oMath>
      <w:r>
        <w:t xml:space="preserve"> </w:t>
      </w:r>
      <w:r>
        <w:t xml:space="preserve">es este mismo índice en el escenario</w:t>
      </w:r>
      <w:r>
        <w:t xml:space="preserve"> </w:t>
      </w:r>
      <m:oMath>
        <m:r>
          <m:t>s</m:t>
        </m:r>
      </m:oMath>
      <w:r>
        <w:t xml:space="preserve"> </w:t>
      </w:r>
      <w:r>
        <w:t xml:space="preserve">(sin o con SGC), expresado como fracción. Como el hormigón solo puede medirse por vaciado, para ese material la unidad del indicador es el vaciado y su desperdicio se asigna a los paños en proporción a su volumen teórico.</w:t>
      </w:r>
    </w:p>
    <w:p>
      <w:pPr>
        <w:pStyle w:val="BodyText"/>
      </w:pPr>
      <w:r>
        <w:rPr>
          <w:bCs/>
          <w:b/>
        </w:rPr>
        <w:t xml:space="preserve">Costo unitario a precios constantes del contrato:</w:t>
      </w:r>
    </w:p>
    <w:tbl>
      <w:tblPr>
        <w:tblW w:w="9360" w:type="dxa"/>
        <w:tblLayout w:type="fixed"/>
        <w:tblCellMar>
          <w:left w:w="0" w:type="dxa"/>
          <w:right w:w="0" w:type="dxa"/>
        </w:tblCellMar>
        <w:tblLook w:val="0000" w:firstRow="0" w:lastRow="0" w:firstColumn="0" w:lastColumn="0" w:noHBand="1" w:noVBand="1"/>
        <w:tblCaption w:val="Ecuación"/>
      </w:tblPr>
      <w:tblGrid>
        <w:gridCol w:w="1134"/>
        <w:gridCol w:w="7092"/>
        <w:gridCol w:w="1134"/>
      </w:tblGrid>
      <w:tr>
        <w:trPr>
          <w:cantSplit/>
        </w:trPr>
        <w:tc>
          <w:tcPr>
            <w:tcW w:w="1134" w:type="dxa"/>
            <w:vAlign w:val="center"/>
          </w:tcPr>
          <w:p>
            <w:pPr>
              <w:pStyle w:val="EcuacionAPA"/>
            </w:pPr>
          </w:p>
        </w:tc>
        <w:tc>
          <w:tcPr>
            <w:tcW w:w="7092" w:type="dxa"/>
            <w:vAlign w:val="center"/>
          </w:tcPr>
          <w:p>
            <w:pPr>
              <w:pStyle w:val="EcuacionAPA"/>
            </w:pPr>
            <m:oMathPara>
              <m:oMathParaPr>
                <m:jc m:val="center"/>
              </m:oMathParaPr>
              <m:oMath>
                <m:r>
                  <m:t>C</m:t>
                </m:r>
                <m:r>
                  <m:t>U</m:t>
                </m:r>
                <m:r>
                  <m:rPr>
                    <m:sty m:val="p"/>
                  </m:rPr>
                  <m:t>=</m:t>
                </m:r>
                <m:f>
                  <m:fPr>
                    <m:type m:val="bar"/>
                  </m:fPr>
                  <m:num>
                    <m:nary>
                      <m:naryPr>
                        <m:chr m:val="∑"/>
                        <m:limLoc m:val="undOvr"/>
                        <m:subHide m:val="off"/>
                        <m:supHide m:val="on"/>
                      </m:naryPr>
                      <m:sub>
                        <m:r>
                          <m:t>j</m:t>
                        </m:r>
                      </m:sub>
                      <m:sup>
                        <m:r>
                          <m:t>​</m:t>
                        </m:r>
                      </m:sup>
                      <m:e>
                        <m:sSub>
                          <m:e>
                            <m:r>
                              <m:t>Q</m:t>
                            </m:r>
                          </m:e>
                          <m:sub>
                            <m:r>
                              <m:t>j</m:t>
                            </m:r>
                          </m:sub>
                        </m:sSub>
                      </m:e>
                    </m:nary>
                    <m:r>
                      <m:t> </m:t>
                    </m:r>
                    <m:sSub>
                      <m:e>
                        <m:r>
                          <m:t>p</m:t>
                        </m:r>
                      </m:e>
                      <m:sub>
                        <m:r>
                          <m:t>j</m:t>
                        </m:r>
                      </m:sub>
                    </m:sSub>
                    <m:r>
                      <m:rPr>
                        <m:sty m:val="p"/>
                      </m:rPr>
                      <m:t>+</m:t>
                    </m:r>
                    <m:sSub>
                      <m:e>
                        <m:r>
                          <m:t>C</m:t>
                        </m:r>
                      </m:e>
                      <m:sub>
                        <m:r>
                          <m:t>M</m:t>
                        </m:r>
                        <m:r>
                          <m:t>O</m:t>
                        </m:r>
                      </m:sub>
                    </m:sSub>
                    <m:r>
                      <m:rPr>
                        <m:sty m:val="p"/>
                      </m:rPr>
                      <m:t>+</m:t>
                    </m:r>
                    <m:sSub>
                      <m:e>
                        <m:r>
                          <m:t>C</m:t>
                        </m:r>
                      </m:e>
                      <m:sub>
                        <m:r>
                          <m:t>E</m:t>
                        </m:r>
                        <m:r>
                          <m:t>Q</m:t>
                        </m:r>
                      </m:sub>
                    </m:sSub>
                  </m:num>
                  <m:den>
                    <m:r>
                      <m:t>A</m:t>
                    </m:r>
                  </m:den>
                </m:f>
              </m:oMath>
            </m:oMathPara>
          </w:p>
        </w:tc>
        <w:tc>
          <w:tcPr>
            <w:tcW w:w="1134" w:type="dxa"/>
            <w:vAlign w:val="center"/>
          </w:tcPr>
          <w:p>
            <w:pPr>
              <w:pStyle w:val="EcuacionAPA"/>
              <w:jc w:val="right"/>
            </w:pPr>
            <w:r>
              <w:t>(9)</w:t>
            </w:r>
          </w:p>
        </w:tc>
      </w:tr>
    </w:tbl>
    <w:p>
      <w:pPr>
        <w:pStyle w:val="FirstParagraph"/>
        <w:ind w:firstLine="0"/>
      </w:pPr>
      <w:r>
        <w:t xml:space="preserve"/>
      </w:r>
      <w:r>
        <w:t xml:space="preserve"/>
      </w:r>
      <w:r>
        <w:t xml:space="preserve">donde</w:t>
      </w:r>
      <w:r>
        <w:t xml:space="preserve"> </w:t>
      </w:r>
      <m:oMath>
        <m:sSub>
          <m:e>
            <m:r>
              <m:t>Q</m:t>
            </m:r>
          </m:e>
          <m:sub>
            <m:r>
              <m:t>j</m:t>
            </m:r>
          </m:sub>
        </m:sSub>
      </m:oMath>
      <w:r>
        <w:t xml:space="preserve"> </w:t>
      </w:r>
      <w:r>
        <w:t xml:space="preserve">es la cantidad real del insumo</w:t>
      </w:r>
      <w:r>
        <w:t xml:space="preserve"> </w:t>
      </w:r>
      <m:oMath>
        <m:r>
          <m:t>j</m:t>
        </m:r>
      </m:oMath>
      <w:r>
        <w:t xml:space="preserve">,</w:t>
      </w:r>
      <w:r>
        <w:t xml:space="preserve"> </w:t>
      </w:r>
      <m:oMath>
        <m:sSub>
          <m:e>
            <m:r>
              <m:t>p</m:t>
            </m:r>
          </m:e>
          <m:sub>
            <m:r>
              <m:t>j</m:t>
            </m:r>
          </m:sub>
        </m:sSub>
      </m:oMath>
      <w:r>
        <w:t xml:space="preserve"> </w:t>
      </w:r>
      <w:r>
        <w:t xml:space="preserve">su precio en el análisis de precios unitarios,</w:t>
      </w:r>
      <w:r>
        <w:t xml:space="preserve"> </w:t>
      </w:r>
      <m:oMath>
        <m:sSub>
          <m:e>
            <m:r>
              <m:t>C</m:t>
            </m:r>
          </m:e>
          <m:sub>
            <m:r>
              <m:t>M</m:t>
            </m:r>
            <m:r>
              <m:t>O</m:t>
            </m:r>
          </m:sub>
        </m:sSub>
      </m:oMath>
      <w:r>
        <w:t xml:space="preserve"> </w:t>
      </w:r>
      <w:r>
        <w:t xml:space="preserve">y</w:t>
      </w:r>
      <w:r>
        <w:t xml:space="preserve"> </w:t>
      </w:r>
      <m:oMath>
        <m:sSub>
          <m:e>
            <m:r>
              <m:t>C</m:t>
            </m:r>
          </m:e>
          <m:sub>
            <m:r>
              <m:t>E</m:t>
            </m:r>
            <m:r>
              <m:t>Q</m:t>
            </m:r>
          </m:sub>
        </m:sSub>
      </m:oMath>
      <w:r>
        <w:t xml:space="preserve"> </w:t>
      </w:r>
      <w:r>
        <w:t xml:space="preserve">los costos de mano de obra y equipo, y</w:t>
      </w:r>
      <w:r>
        <w:t xml:space="preserve"> </w:t>
      </w:r>
      <m:oMath>
        <m:r>
          <m:t>A</m:t>
        </m:r>
      </m:oMath>
      <w:r>
        <w:t xml:space="preserve"> </w:t>
      </w:r>
      <w:r>
        <w:t xml:space="preserve">la superficie ejecutada (m</w:t>
      </w:r>
      <w:r>
        <w:rPr>
          <w:vertAlign w:val="superscript"/>
        </w:rPr>
        <w:t xml:space="preserve">2</w:t>
      </w:r>
      <w:r>
        <w:t xml:space="preserve">). Si en la ecuación (9) se reemplaza la cantidad real por la teórica más el desperdicio,</w:t>
      </w:r>
      <w:r>
        <w:t xml:space="preserve"> </w:t>
      </w:r>
      <m:oMath>
        <m:sSub>
          <m:e>
            <m:r>
              <m:t>Q</m:t>
            </m:r>
          </m:e>
          <m:sub>
            <m:r>
              <m:t>j</m:t>
            </m:r>
          </m:sub>
        </m:sSub>
        <m:r>
          <m:rPr>
            <m:sty m:val="p"/>
          </m:rPr>
          <m:t>=</m:t>
        </m:r>
        <m:sSub>
          <m:e>
            <m:r>
              <m:t>q</m:t>
            </m:r>
          </m:e>
          <m:sub>
            <m:r>
              <m:t>t</m:t>
            </m:r>
            <m:r>
              <m:t>e</m:t>
            </m:r>
            <m:r>
              <m:t>o</m:t>
            </m:r>
            <m:r>
              <m:rPr>
                <m:sty m:val="p"/>
              </m:rPr>
              <m:t>,</m:t>
            </m:r>
            <m:r>
              <m:t>j</m:t>
            </m:r>
          </m:sub>
        </m:sSub>
        <m:r>
          <m:t> </m:t>
        </m:r>
        <m:r>
          <m:t>A</m:t>
        </m:r>
        <m:r>
          <m:t> </m:t>
        </m:r>
        <m:d>
          <m:dPr>
            <m:begChr m:val="("/>
            <m:endChr m:val=")"/>
            <m:sepChr m:val=""/>
            <m:grow/>
          </m:dPr>
          <m:e>
            <m:r>
              <m:t>1</m:t>
            </m:r>
            <m:r>
              <m:rPr>
                <m:sty m:val="p"/>
              </m:rPr>
              <m:t>+</m:t>
            </m:r>
            <m:r>
              <m:t>I</m:t>
            </m:r>
            <m:r>
              <m:t>D</m:t>
            </m:r>
            <m:sSub>
              <m:e>
                <m:r>
                  <m:t>M</m:t>
                </m:r>
              </m:e>
              <m:sub>
                <m:r>
                  <m:t>j</m:t>
                </m:r>
              </m:sub>
            </m:sSub>
          </m:e>
        </m:d>
      </m:oMath>
      <w:r>
        <w:t xml:space="preserve">, el costo unitario se separa en el costo directo teórico (</w:t>
      </w:r>
      <m:oMath>
        <m:r>
          <m:t>C</m:t>
        </m:r>
        <m:sSub>
          <m:e>
            <m:r>
              <m:t>D</m:t>
            </m:r>
          </m:e>
          <m:sub>
            <m:r>
              <m:t>t</m:t>
            </m:r>
            <m:r>
              <m:t>e</m:t>
            </m:r>
            <m:r>
              <m:t>o</m:t>
            </m:r>
          </m:sub>
        </m:sSub>
      </m:oMath>
      <w:r>
        <w:t xml:space="preserve">), que no depende del SGC, y el costo del desperdicio, que sí depende de él. Esa separación es la base de la ecuación (17), que añade el retrabajo y el costo de la calidad.</w:t>
      </w:r>
    </w:p>
    <w:p>
      <w:pPr>
        <w:pStyle w:val="BodyText"/>
      </w:pPr>
      <w:r>
        <w:rPr>
          <w:bCs/>
          <w:b/>
        </w:rPr>
        <w:t xml:space="preserve">Costo de la calidad y costo de no calidad (modelo PAF):</w:t>
      </w:r>
    </w:p>
    <w:tbl>
      <w:tblPr>
        <w:tblW w:w="9360" w:type="dxa"/>
        <w:tblLayout w:type="fixed"/>
        <w:tblCellMar>
          <w:left w:w="0" w:type="dxa"/>
          <w:right w:w="0" w:type="dxa"/>
        </w:tblCellMar>
        <w:tblLook w:val="0000" w:firstRow="0" w:lastRow="0" w:firstColumn="0" w:lastColumn="0" w:noHBand="1" w:noVBand="1"/>
        <w:tblCaption w:val="Ecuación"/>
      </w:tblPr>
      <w:tblGrid>
        <w:gridCol w:w="1134"/>
        <w:gridCol w:w="7092"/>
        <w:gridCol w:w="1134"/>
      </w:tblGrid>
      <w:tr>
        <w:trPr>
          <w:cantSplit/>
        </w:trPr>
        <w:tc>
          <w:tcPr>
            <w:tcW w:w="1134" w:type="dxa"/>
            <w:vAlign w:val="center"/>
          </w:tcPr>
          <w:p>
            <w:pPr>
              <w:pStyle w:val="EcuacionAPA"/>
            </w:pPr>
          </w:p>
        </w:tc>
        <w:tc>
          <w:tcPr>
            <w:tcW w:w="7092" w:type="dxa"/>
            <w:vAlign w:val="center"/>
          </w:tcPr>
          <w:p>
            <w:pPr>
              <w:pStyle w:val="EcuacionAPA"/>
            </w:pPr>
            <m:oMathPara>
              <m:oMathParaPr>
                <m:jc m:val="center"/>
              </m:oMathParaPr>
              <m:oMath>
                <m:r>
                  <m:t>C</m:t>
                </m:r>
                <m:r>
                  <m:t>C</m:t>
                </m:r>
                <m:r>
                  <m:rPr>
                    <m:sty m:val="p"/>
                  </m:rPr>
                  <m:t>=</m:t>
                </m:r>
                <m:sSub>
                  <m:e>
                    <m:r>
                      <m:t>C</m:t>
                    </m:r>
                  </m:e>
                  <m:sub>
                    <m:r>
                      <m:t>P</m:t>
                    </m:r>
                  </m:sub>
                </m:sSub>
                <m:r>
                  <m:rPr>
                    <m:sty m:val="p"/>
                  </m:rPr>
                  <m:t>+</m:t>
                </m:r>
                <m:sSub>
                  <m:e>
                    <m:r>
                      <m:t>C</m:t>
                    </m:r>
                  </m:e>
                  <m:sub>
                    <m:r>
                      <m:t>E</m:t>
                    </m:r>
                  </m:sub>
                </m:sSub>
                <m:r>
                  <m:rPr>
                    <m:sty m:val="p"/>
                  </m:rPr>
                  <m:t>,</m:t>
                </m:r>
                <m:r>
                  <m:t>  </m:t>
                </m:r>
                <m:r>
                  <m:t>C</m:t>
                </m:r>
                <m:r>
                  <m:t>N</m:t>
                </m:r>
                <m:r>
                  <m:t>C</m:t>
                </m:r>
                <m:r>
                  <m:rPr>
                    <m:sty m:val="p"/>
                  </m:rPr>
                  <m:t>=</m:t>
                </m:r>
                <m:sSub>
                  <m:e>
                    <m:r>
                      <m:t>C</m:t>
                    </m:r>
                  </m:e>
                  <m:sub>
                    <m:r>
                      <m:t>F</m:t>
                    </m:r>
                    <m:r>
                      <m:t>I</m:t>
                    </m:r>
                  </m:sub>
                </m:sSub>
                <m:r>
                  <m:rPr>
                    <m:sty m:val="p"/>
                  </m:rPr>
                  <m:t>+</m:t>
                </m:r>
                <m:sSub>
                  <m:e>
                    <m:r>
                      <m:t>C</m:t>
                    </m:r>
                  </m:e>
                  <m:sub>
                    <m:r>
                      <m:t>F</m:t>
                    </m:r>
                    <m:r>
                      <m:t>E</m:t>
                    </m:r>
                  </m:sub>
                </m:sSub>
                <m:r>
                  <m:rPr>
                    <m:sty m:val="p"/>
                  </m:rPr>
                  <m:t>,</m:t>
                </m:r>
                <m:r>
                  <m:t>  </m:t>
                </m:r>
                <m:r>
                  <m:rPr>
                    <m:sty m:val="p"/>
                  </m:rPr>
                  <m:t>%</m:t>
                </m:r>
                <m:r>
                  <m:t>C</m:t>
                </m:r>
                <m:r>
                  <m:t>N</m:t>
                </m:r>
                <m:r>
                  <m:t>C</m:t>
                </m:r>
                <m:r>
                  <m:rPr>
                    <m:sty m:val="p"/>
                  </m:rPr>
                  <m:t>=</m:t>
                </m:r>
                <m:f>
                  <m:fPr>
                    <m:type m:val="bar"/>
                  </m:fPr>
                  <m:num>
                    <m:r>
                      <m:t>C</m:t>
                    </m:r>
                    <m:r>
                      <m:t>N</m:t>
                    </m:r>
                    <m:r>
                      <m:t>C</m:t>
                    </m:r>
                  </m:num>
                  <m:den>
                    <m:sSub>
                      <m:e>
                        <m:r>
                          <m:t>C</m:t>
                        </m:r>
                      </m:e>
                      <m:sub>
                        <m:r>
                          <m:rPr>
                            <m:nor/>
                            <m:sty m:val="p"/>
                          </m:rPr>
                          <m:t>ítem</m:t>
                        </m:r>
                      </m:sub>
                    </m:sSub>
                  </m:den>
                </m:f>
                <m:r>
                  <m:rPr>
                    <m:sty m:val="p"/>
                  </m:rPr>
                  <m:t>×</m:t>
                </m:r>
                <m:r>
                  <m:t>100</m:t>
                </m:r>
              </m:oMath>
            </m:oMathPara>
          </w:p>
        </w:tc>
        <w:tc>
          <w:tcPr>
            <w:tcW w:w="1134" w:type="dxa"/>
            <w:vAlign w:val="center"/>
          </w:tcPr>
          <w:p>
            <w:pPr>
              <w:pStyle w:val="EcuacionAPA"/>
              <w:jc w:val="right"/>
            </w:pPr>
            <w:r>
              <w:t>(10)</w:t>
            </w:r>
          </w:p>
        </w:tc>
      </w:tr>
    </w:tbl>
    <w:p>
      <w:pPr>
        <w:pStyle w:val="FirstParagraph"/>
        <w:ind w:firstLine="0"/>
      </w:pPr>
      <w:r>
        <w:t xml:space="preserve"/>
      </w:r>
      <w:r>
        <w:t xml:space="preserve"/>
      </w:r>
      <w:r>
        <w:t xml:space="preserve">donde</w:t>
      </w:r>
      <w:r>
        <w:t xml:space="preserve"> </w:t>
      </w:r>
      <m:oMath>
        <m:sSub>
          <m:e>
            <m:r>
              <m:t>C</m:t>
            </m:r>
          </m:e>
          <m:sub>
            <m:r>
              <m:t>P</m:t>
            </m:r>
          </m:sub>
        </m:sSub>
      </m:oMath>
      <w:r>
        <w:t xml:space="preserve"> </w:t>
      </w:r>
      <w:r>
        <w:t xml:space="preserve">son los costos de prevención,</w:t>
      </w:r>
      <w:r>
        <w:t xml:space="preserve"> </w:t>
      </w:r>
      <m:oMath>
        <m:sSub>
          <m:e>
            <m:r>
              <m:t>C</m:t>
            </m:r>
          </m:e>
          <m:sub>
            <m:r>
              <m:t>E</m:t>
            </m:r>
          </m:sub>
        </m:sSub>
      </m:oMath>
      <w:r>
        <w:t xml:space="preserve"> </w:t>
      </w:r>
      <w:r>
        <w:t xml:space="preserve">los de evaluación,</w:t>
      </w:r>
      <w:r>
        <w:t xml:space="preserve"> </w:t>
      </w:r>
      <m:oMath>
        <m:sSub>
          <m:e>
            <m:r>
              <m:t>C</m:t>
            </m:r>
          </m:e>
          <m:sub>
            <m:r>
              <m:t>F</m:t>
            </m:r>
            <m:r>
              <m:t>I</m:t>
            </m:r>
          </m:sub>
        </m:sSub>
      </m:oMath>
      <w:r>
        <w:t xml:space="preserve"> </w:t>
      </w:r>
      <w:r>
        <w:t xml:space="preserve">los de fallas internas (desperdicio, retrabajo y reparaciones) y</w:t>
      </w:r>
      <w:r>
        <w:t xml:space="preserve"> </w:t>
      </w:r>
      <m:oMath>
        <m:sSub>
          <m:e>
            <m:r>
              <m:t>C</m:t>
            </m:r>
          </m:e>
          <m:sub>
            <m:r>
              <m:t>F</m:t>
            </m:r>
            <m:r>
              <m:t>E</m:t>
            </m:r>
          </m:sub>
        </m:sSub>
      </m:oMath>
      <w:r>
        <w:t xml:space="preserve"> </w:t>
      </w:r>
      <w:r>
        <w:t xml:space="preserve">los de fallas externas (sobremediciones corregidas, ampliaciones y multas). El modelo de la Sección 2.7.2 cuantifica las fallas internas, que consumen recursos de la losa; las fallas externas de la línea base se documentan en el diagnóstico (Sección 2.5.2), pero no se simulan, porque son correcciones de pago o sanciones y no consumo de materiales.</w:t>
      </w:r>
    </w:p>
    <w:p>
      <w:pPr>
        <w:pStyle w:val="BodyText"/>
      </w:pPr>
      <w:r>
        <w:rPr>
          <w:bCs/>
          <w:b/>
        </w:rPr>
        <w:t xml:space="preserve">Reducción relativa del costo en el paño homólogo</w:t>
      </w:r>
      <w:r>
        <w:rPr>
          <w:bCs/>
          <w:b/>
        </w:rPr>
        <w:t xml:space="preserve"> </w:t>
      </w:r>
      <m:oMath>
        <m:r>
          <m:t>k</m:t>
        </m:r>
      </m:oMath>
      <w:r>
        <w:rPr>
          <w:bCs/>
          <w:b/>
        </w:rPr>
        <w:t xml:space="preserve">:</w:t>
      </w:r>
    </w:p>
    <w:tbl>
      <w:tblPr>
        <w:tblW w:w="9360" w:type="dxa"/>
        <w:tblLayout w:type="fixed"/>
        <w:tblCellMar>
          <w:left w:w="0" w:type="dxa"/>
          <w:right w:w="0" w:type="dxa"/>
        </w:tblCellMar>
        <w:tblLook w:val="0000" w:firstRow="0" w:lastRow="0" w:firstColumn="0" w:lastColumn="0" w:noHBand="1" w:noVBand="1"/>
        <w:tblCaption w:val="Ecuación"/>
      </w:tblPr>
      <w:tblGrid>
        <w:gridCol w:w="1134"/>
        <w:gridCol w:w="7092"/>
        <w:gridCol w:w="1134"/>
      </w:tblGrid>
      <w:tr>
        <w:trPr>
          <w:cantSplit/>
        </w:trPr>
        <w:tc>
          <w:tcPr>
            <w:tcW w:w="1134" w:type="dxa"/>
            <w:vAlign w:val="center"/>
          </w:tcPr>
          <w:p>
            <w:pPr>
              <w:pStyle w:val="EcuacionAPA"/>
            </w:pPr>
          </w:p>
        </w:tc>
        <w:tc>
          <w:tcPr>
            <w:tcW w:w="7092" w:type="dxa"/>
            <w:vAlign w:val="center"/>
          </w:tcPr>
          <w:p>
            <w:pPr>
              <w:pStyle w:val="EcuacionAPA"/>
            </w:pPr>
            <m:oMathPara>
              <m:oMathParaPr>
                <m:jc m:val="center"/>
              </m:oMathParaPr>
              <m:oMath>
                <m:sSub>
                  <m:e>
                    <m:r>
                      <m:t>r</m:t>
                    </m:r>
                  </m:e>
                  <m:sub>
                    <m:r>
                      <m:t>k</m:t>
                    </m:r>
                  </m:sub>
                </m:sSub>
                <m:r>
                  <m:rPr>
                    <m:sty m:val="p"/>
                  </m:rPr>
                  <m:t>=</m:t>
                </m:r>
                <m:f>
                  <m:fPr>
                    <m:type m:val="bar"/>
                  </m:fPr>
                  <m:num>
                    <m:r>
                      <m:t>C</m:t>
                    </m:r>
                    <m:sSub>
                      <m:e>
                        <m:r>
                          <m:t>U</m:t>
                        </m:r>
                      </m:e>
                      <m:sub>
                        <m:r>
                          <m:rPr>
                            <m:nor/>
                            <m:sty m:val="p"/>
                          </m:rPr>
                          <m:t>sin</m:t>
                        </m:r>
                        <m:r>
                          <m:rPr>
                            <m:sty m:val="p"/>
                          </m:rPr>
                          <m:t>,</m:t>
                        </m:r>
                        <m:r>
                          <m:t>k</m:t>
                        </m:r>
                      </m:sub>
                    </m:sSub>
                    <m:r>
                      <m:rPr>
                        <m:sty m:val="p"/>
                      </m:rPr>
                      <m:t>−</m:t>
                    </m:r>
                    <m:r>
                      <m:t>C</m:t>
                    </m:r>
                    <m:sSub>
                      <m:e>
                        <m:r>
                          <m:t>U</m:t>
                        </m:r>
                      </m:e>
                      <m:sub>
                        <m:r>
                          <m:rPr>
                            <m:nor/>
                            <m:sty m:val="p"/>
                          </m:rPr>
                          <m:t>con</m:t>
                        </m:r>
                        <m:r>
                          <m:rPr>
                            <m:sty m:val="p"/>
                          </m:rPr>
                          <m:t>,</m:t>
                        </m:r>
                        <m:r>
                          <m:t>k</m:t>
                        </m:r>
                      </m:sub>
                    </m:sSub>
                  </m:num>
                  <m:den>
                    <m:r>
                      <m:t>C</m:t>
                    </m:r>
                    <m:sSub>
                      <m:e>
                        <m:r>
                          <m:t>U</m:t>
                        </m:r>
                      </m:e>
                      <m:sub>
                        <m:r>
                          <m:rPr>
                            <m:nor/>
                            <m:sty m:val="p"/>
                          </m:rPr>
                          <m:t>sin</m:t>
                        </m:r>
                        <m:r>
                          <m:rPr>
                            <m:sty m:val="p"/>
                          </m:rPr>
                          <m:t>,</m:t>
                        </m:r>
                        <m:r>
                          <m:t>k</m:t>
                        </m:r>
                      </m:sub>
                    </m:sSub>
                  </m:den>
                </m:f>
              </m:oMath>
            </m:oMathPara>
          </w:p>
        </w:tc>
        <w:tc>
          <w:tcPr>
            <w:tcW w:w="1134" w:type="dxa"/>
            <w:vAlign w:val="center"/>
          </w:tcPr>
          <w:p>
            <w:pPr>
              <w:pStyle w:val="EcuacionAPA"/>
              <w:jc w:val="right"/>
            </w:pPr>
            <w:r>
              <w:t>(11)</w:t>
            </w:r>
          </w:p>
        </w:tc>
      </w:tr>
    </w:tbl>
    <w:p>
      <w:pPr>
        <w:pStyle w:val="FirstParagraph"/>
        <w:ind w:firstLine="0"/>
      </w:pPr>
      <w:r>
        <w:t xml:space="preserve"/>
      </w:r>
      <w:r>
        <w:t xml:space="preserve"/>
      </w:r>
      <w:r>
        <w:t xml:space="preserve">La ecuación (11) es el indicador de la verificación futura con datos de obra, paño por paño (Sección 2.9.1); en la evaluación</w:t>
      </w:r>
      <w:r>
        <w:t xml:space="preserve"> </w:t>
      </w:r>
      <w:r>
        <w:rPr>
          <w:iCs/>
          <w:i/>
        </w:rPr>
        <w:t xml:space="preserve">ex ante</w:t>
      </w:r>
      <w:r>
        <w:t xml:space="preserve"> </w:t>
      </w:r>
      <w:r>
        <w:t xml:space="preserve">se aplica al costo unitario del saldo completo (ecuación 20).</w:t>
      </w:r>
    </w:p>
    <w:p>
      <w:pPr>
        <w:pStyle w:val="Heading2"/>
      </w:pPr>
      <w:bookmarkStart w:id="131" w:name="tit95"/>
      <w:r>
        <w:t xml:space="preserve">2.4. Población y muestra</w:t>
      </w:r>
      <w:bookmarkEnd w:id="131"/>
    </w:p>
    <w:p>
      <w:pPr>
        <w:pStyle w:val="FirstParagraph"/>
      </w:pPr>
      <w:r>
        <w:rPr>
          <w:bCs/>
          <w:b/>
        </w:rPr>
        <w:t xml:space="preserve">Población.</w:t>
      </w:r>
      <w:r>
        <w:t xml:space="preserve"> </w:t>
      </w:r>
      <w:r>
        <w:t xml:space="preserve">La población son las losas alivianadas con viguetas pretensadas de la fase contratada: tres losas con 3.344,44 m</w:t>
      </w:r>
      <w:r>
        <w:rPr>
          <w:vertAlign w:val="superscript"/>
        </w:rPr>
        <w:t xml:space="preserve">2</w:t>
      </w:r>
      <w:r>
        <w:t xml:space="preserve">, que es la cantidad del ítem 13 en el contrato modificado; la cantidad original era de 3.348,75 m</w:t>
      </w:r>
      <w:r>
        <w:rPr>
          <w:vertAlign w:val="superscript"/>
        </w:rPr>
        <w:t xml:space="preserve">2</w:t>
      </w:r>
      <w:r>
        <w:t xml:space="preserve"> </w:t>
      </w:r>
      <w:r>
        <w:t xml:space="preserve">(UATF, 2025, p. 16)</w:t>
      </w:r>
      <w:r>
        <w:t xml:space="preserve">.</w:t>
      </w:r>
    </w:p>
    <w:p>
      <w:pPr>
        <w:pStyle w:val="BodyText"/>
      </w:pPr>
      <w:r>
        <w:rPr>
          <w:bCs/>
          <w:b/>
        </w:rPr>
        <w:t xml:space="preserve">Unidad de análisis.</w:t>
      </w:r>
      <w:r>
        <w:t xml:space="preserve"> </w:t>
      </w:r>
      <w:r>
        <w:t xml:space="preserve">La unidad de análisis es el paño de losa, delimitado por vigas y caracterizado por su área, el número y la longitud de sus viguetas y el número de complementos. Para el hormigón, la unidad es el vaciado (Sección 2.3).</w:t>
      </w:r>
    </w:p>
    <w:p>
      <w:pPr>
        <w:pStyle w:val="BodyText"/>
      </w:pPr>
      <w:r>
        <w:rPr>
          <w:bCs/>
          <w:b/>
        </w:rPr>
        <w:t xml:space="preserve">Línea base censal.</w:t>
      </w:r>
      <w:r>
        <w:t xml:space="preserve"> </w:t>
      </w:r>
      <w:r>
        <w:t xml:space="preserve">La línea base estudia los 41 paños de la primera losa (1.109,84 m</w:t>
      </w:r>
      <w:r>
        <w:rPr>
          <w:vertAlign w:val="superscript"/>
        </w:rPr>
        <w:t xml:space="preserve">2</w:t>
      </w:r>
      <w:r>
        <w:t xml:space="preserve">), es decir, todos los paños ejecutados; por ello es un censo y no una muestra</w:t>
      </w:r>
      <w:r>
        <w:t xml:space="preserve"> </w:t>
      </w:r>
      <w:r>
        <w:t xml:space="preserve">(Hernández-Sampieri y Mendoza Torres, 2018, p. 196)</w:t>
      </w:r>
      <w:r>
        <w:t xml:space="preserve">. Su elección no fue probabilística: es la única losa que se ejecutó antes de la resolución del contrato</w:t>
      </w:r>
      <w:r>
        <w:t xml:space="preserve"> </w:t>
      </w:r>
      <w:r>
        <w:t xml:space="preserve">(Hernández-Sampieri y Mendoza Torres, 2018, p. 200)</w:t>
      </w:r>
      <w:r>
        <w:t xml:space="preserve">.</w:t>
      </w:r>
    </w:p>
    <w:p>
      <w:pPr>
        <w:pStyle w:val="BodyText"/>
      </w:pPr>
      <w:r>
        <w:rPr>
          <w:bCs/>
          <w:b/>
        </w:rPr>
        <w:t xml:space="preserve">Saldo y paños homólogos.</w:t>
      </w:r>
      <w:r>
        <w:t xml:space="preserve"> </w:t>
      </w:r>
      <w:r>
        <w:t xml:space="preserve">La evaluación</w:t>
      </w:r>
      <w:r>
        <w:t xml:space="preserve"> </w:t>
      </w:r>
      <w:r>
        <w:rPr>
          <w:iCs/>
          <w:i/>
        </w:rPr>
        <w:t xml:space="preserve">ex ante</w:t>
      </w:r>
      <w:r>
        <w:t xml:space="preserve"> </w:t>
      </w:r>
      <w:r>
        <w:t xml:space="preserve">se aplica al saldo no ejecutado del ítem: 2.234,60 m</w:t>
      </w:r>
      <w:r>
        <w:rPr>
          <w:vertAlign w:val="superscript"/>
        </w:rPr>
        <w:t xml:space="preserve">2</w:t>
      </w:r>
      <w:r>
        <w:t xml:space="preserve"> </w:t>
      </w:r>
      <w:r>
        <w:t xml:space="preserve">de la segunda y la tercera losa</w:t>
      </w:r>
      <w:r>
        <w:t xml:space="preserve"> </w:t>
      </w:r>
      <w:r>
        <w:t xml:space="preserve">(UATF, 2025, p. 16)</w:t>
      </w:r>
      <w:r>
        <w:t xml:space="preserve">. El cómputo del contrato modificado calcula la «segunda y tercera losa» con los mismos 41 paños de la primera, cada uno multiplicado por dos</w:t>
      </w:r>
      <w:r>
        <w:t xml:space="preserve"> </w:t>
      </w:r>
      <w:r>
        <w:t xml:space="preserve">(UATF, s. f.-b, pp. 18–19)</w:t>
      </w:r>
      <w:r>
        <w:t xml:space="preserve">. Solo cambian cinco áreas: A1 y A34 (38,11 m</w:t>
      </w:r>
      <w:r>
        <w:rPr>
          <w:vertAlign w:val="superscript"/>
        </w:rPr>
        <w:t xml:space="preserve">2</w:t>
      </w:r>
      <w:r>
        <w:t xml:space="preserve"> </w:t>
      </w:r>
      <w:r>
        <w:t xml:space="preserve">en lugar de 35,86), A2 y A35 (36,00 en lugar de 34,67) y A40 (28,76 en lugar de 28,46). Por ello cada losa superior mide 1.117,30 m</w:t>
      </w:r>
      <w:r>
        <w:rPr>
          <w:vertAlign w:val="superscript"/>
        </w:rPr>
        <w:t xml:space="preserve">2</w:t>
      </w:r>
      <w:r>
        <w:t xml:space="preserve">, 7,46 m</w:t>
      </w:r>
      <w:r>
        <w:rPr>
          <w:vertAlign w:val="superscript"/>
        </w:rPr>
        <w:t xml:space="preserve">2</w:t>
      </w:r>
      <w:r>
        <w:t xml:space="preserve"> </w:t>
      </w:r>
      <w:r>
        <w:t xml:space="preserve">(0,7 %) más que la primera, y las dos suman exactamente el saldo:</w:t>
      </w:r>
      <w:r>
        <w:t xml:space="preserve"> </w:t>
      </w:r>
      <m:oMath>
        <m:r>
          <m:t>2</m:t>
        </m:r>
        <m:r>
          <m:rPr>
            <m:sty m:val="p"/>
          </m:rPr>
          <m:t>×</m:t>
        </m:r>
        <m:r>
          <m:t>1.117</m:t>
        </m:r>
        <m:r>
          <m:rPr>
            <m:sty m:val="p"/>
          </m:rPr>
          <m:t>,</m:t>
        </m:r>
        <m:r>
          <m:t>30</m:t>
        </m:r>
        <m:r>
          <m:rPr>
            <m:sty m:val="p"/>
          </m:rPr>
          <m:t>=</m:t>
        </m:r>
        <m:r>
          <m:t>2.234</m:t>
        </m:r>
        <m:r>
          <m:rPr>
            <m:sty m:val="p"/>
          </m:rPr>
          <m:t>,</m:t>
        </m:r>
        <m:r>
          <m:t>60</m:t>
        </m:r>
      </m:oMath>
      <w:r>
        <w:t xml:space="preserve"> m</w:t>
      </w:r>
      <w:r>
        <w:rPr>
          <w:vertAlign w:val="superscript"/>
        </w:rPr>
        <w:t xml:space="preserve">2</w:t>
      </w:r>
      <w:r>
        <w:t xml:space="preserve"> </w:t>
      </w:r>
      <w:r>
        <w:t xml:space="preserve">(cálculo propio). Como la geometría, el número de paños y el sistema de viguetas se repiten, los paños de las losas superiores se consideran homólogos de los de la primera, y el modelo aplica al saldo las cantidades teóricas por m</w:t>
      </w:r>
      <w:r>
        <w:rPr>
          <w:vertAlign w:val="superscript"/>
        </w:rPr>
        <w:t xml:space="preserve">2</w:t>
      </w:r>
      <w:r>
        <w:t xml:space="preserve"> </w:t>
      </w:r>
      <w:r>
        <w:t xml:space="preserve">de la primera losa (Sección 2.5.4).</w:t>
      </w:r>
    </w:p>
    <w:p>
      <w:pPr>
        <w:pStyle w:val="BodyText"/>
      </w:pPr>
      <w:r>
        <w:t xml:space="preserve">El mismo cómputo explica una pequeña diferencia documental. Su total es de 3.344,74 m</w:t>
      </w:r>
      <w:r>
        <w:rPr>
          <w:vertAlign w:val="superscript"/>
        </w:rPr>
        <w:t xml:space="preserve">2</w:t>
      </w:r>
      <w:r>
        <w:t xml:space="preserve">, porque registra la primera losa con 1.110,14 m</w:t>
      </w:r>
      <w:r>
        <w:rPr>
          <w:vertAlign w:val="superscript"/>
        </w:rPr>
        <w:t xml:space="preserve">2</w:t>
      </w:r>
      <w:r>
        <w:t xml:space="preserve"> </w:t>
      </w:r>
      <w:r>
        <w:t xml:space="preserve">(A40 = 28,76 m</w:t>
      </w:r>
      <w:r>
        <w:rPr>
          <w:vertAlign w:val="superscript"/>
        </w:rPr>
        <w:t xml:space="preserve">2</w:t>
      </w:r>
      <w:r>
        <w:t xml:space="preserve">)</w:t>
      </w:r>
      <w:r>
        <w:t xml:space="preserve"> </w:t>
      </w:r>
      <w:r>
        <w:t xml:space="preserve">(UATF, s. f.-b, p. 18)</w:t>
      </w:r>
      <w:r>
        <w:t xml:space="preserve">; la tabla de tiempos de la contratista usa también 3.344,74 m</w:t>
      </w:r>
      <w:r>
        <w:rPr>
          <w:vertAlign w:val="superscript"/>
        </w:rPr>
        <w:t xml:space="preserve">2</w:t>
      </w:r>
      <w:r>
        <w:t xml:space="preserve"> </w:t>
      </w:r>
      <w:r>
        <w:t xml:space="preserve">(UATF, s. f.-b, p. 25)</w:t>
      </w:r>
      <w:r>
        <w:t xml:space="preserve">. El contrato modificado y las planillas, en cambio, consignan 3.344,44 m</w:t>
      </w:r>
      <w:r>
        <w:rPr>
          <w:vertAlign w:val="superscript"/>
        </w:rPr>
        <w:t xml:space="preserve">2</w:t>
      </w:r>
      <w:r>
        <w:t xml:space="preserve"> </w:t>
      </w:r>
      <w:r>
        <w:t xml:space="preserve">(UATF, 2025, p. 16)</w:t>
      </w:r>
      <w:r>
        <w:t xml:space="preserve">: la diferencia de 0,30 m</w:t>
      </w:r>
      <w:r>
        <w:rPr>
          <w:vertAlign w:val="superscript"/>
        </w:rPr>
        <w:t xml:space="preserve">2</w:t>
      </w:r>
      <w:r>
        <w:t xml:space="preserve"> </w:t>
      </w:r>
      <w:r>
        <w:t xml:space="preserve">corresponde al paño A40 de la primera losa, que se midió con 28,46 m</w:t>
      </w:r>
      <w:r>
        <w:rPr>
          <w:vertAlign w:val="superscript"/>
        </w:rPr>
        <w:t xml:space="preserve">2</w:t>
      </w:r>
      <w:r>
        <w:t xml:space="preserve"> </w:t>
      </w:r>
      <w:r>
        <w:t xml:space="preserve">(cálculo propio).</w:t>
      </w:r>
    </w:p>
    <w:p>
      <w:pPr>
        <w:pStyle w:val="Heading2"/>
      </w:pPr>
      <w:bookmarkStart w:id="153" w:name="tit96"/>
      <w:r>
        <w:t xml:space="preserve">2.5. Diagnóstico de la situación actual (línea base)</w:t>
      </w:r>
      <w:bookmarkEnd w:id="153"/>
    </w:p>
    <w:p>
      <w:pPr>
        <w:pStyle w:val="FirstParagraph"/>
      </w:pPr>
      <w:r>
        <w:t xml:space="preserve">El diagnóstico caracteriza la gestión de la calidad y el control de materiales con que se ejecutó la primera losa (OE1) y cuantifica su línea base (OE2). Tiene cuatro partes: las brechas frente a la norma ISO 9001:2026 (Sección 2.5.1), el análisis documental de la primera losa (Sección 2.5.2), las no conformidades y sus causas (Sección 2.5.3) y la línea base cuantitativa (Sección 2.5.4). Todos los hallazgos provienen de documentos del repositorio de la tesis y se citan con su página. Los que se refieren a cantidades o pagos se presentan como inconsistencias documentales que la Supervisión y la Fiscalización deben verificar con los respaldos que no forman parte de la documentación revisada; no constituyen una imputación de errores ni de pagos indebidos.</w:t>
      </w:r>
    </w:p>
    <w:p>
      <w:pPr>
        <w:pStyle w:val="Heading3"/>
      </w:pPr>
      <w:bookmarkStart w:id="135" w:name="tit97"/>
      <w:r>
        <w:t xml:space="preserve">2.5.1. Brechas frente a la norma ISO 9001:2026</w:t>
      </w:r>
      <w:bookmarkEnd w:id="135"/>
    </w:p>
    <w:p>
      <w:pPr>
        <w:pStyle w:val="FirstParagraph"/>
      </w:pPr>
      <w:r>
        <w:t xml:space="preserve">Para medir la distancia entre la gestión real y los requisitos de la norma se aplicó, de manera documental, la lista de verificación C.1 del Anexo C. La lista contiene 50 requisitos redactados por el autor para el proceso de la losa, a partir de la estructura de cláusulas 4 a 10 de la norma ISO 9001:2026</w:t>
      </w:r>
      <w:r>
        <w:t xml:space="preserve"> </w:t>
      </w:r>
      <w:r>
        <w:t xml:space="preserve">(ISO, 2026b)</w:t>
      </w:r>
      <w:r>
        <w:t xml:space="preserve">; dos de ellos no aplican: el diseño y desarrollo, que corresponde al proyectista de la UATF, y la propiedad del cliente, porque la entidad no suministró materiales. Cada uno de los 48 requisitos aplicables se calificó con 1 (cumple), 0,5 (cumple parcialmente) o 0 (no cumple o sin evidencia documental), con la evidencia encontrada en los documentos y su página. El porcentaje de cada cláusula es la suma de las calificaciones dividida entre el número de requisitos aplicables. La Tabla 22 y la Figura 7 presentan los resultados y los comparan con dos diagnósticos bolivianos recientes.</w:t>
      </w:r>
    </w:p>
    <w:p>
      <w:pPr>
        <w:pStyle w:val="Caption"/>
      </w:pPr>
      <w:bookmarkStart w:id="1420" w:name="tab22"/>
      <w:r>
        <w:t xml:space="preserve"/>
      </w:r>
      <w:r>
        <w:rPr>
          <w:bCs/>
          <w:b/>
        </w:rPr>
        <w:t xml:space="preserve">Tabla 22</w:t>
      </w:r>
      <w:r>
        <w:br/>
      </w:r>
      <w:r>
        <w:rPr>
          <w:iCs/>
          <w:i/>
        </w:rPr>
        <w:t xml:space="preserve">Cumplimiento de los requisitos de ISO 9001 por cláusula: primera losa y diagnósticos de referencia</w:t>
      </w:r>
      <w:bookmarkEnd w:id="1420"/>
    </w:p>
    <w:tbl>
      <w:tblPr>
        <w:tblStyle w:val="Table"/>
        <w:tblW w:w="9359" w:type="dxa"/>
        <w:jc w:val="left"/>
        <w:tblLayout w:type="fixed"/>
        <w:tblCellMar>
          <w:top w:w="0" w:type="dxa"/>
          <w:left w:w="85" w:type="dxa"/>
          <w:bottom w:w="0" w:type="dxa"/>
          <w:right w:w="85" w:type="dxa"/>
        </w:tblCellMar>
        <w:tblLook w:firstRow="1" w:lastRow="0" w:firstColumn="0" w:lastColumn="0" w:noHBand="0" w:noVBand="0" w:val="0020"/>
      </w:tblPr>
      <w:tblGrid>
        <w:gridCol w:w="2652"/>
        <w:gridCol w:w="1418"/>
        <w:gridCol w:w="1167"/>
        <w:gridCol w:w="1349"/>
        <w:gridCol w:w="1402"/>
        <w:gridCol w:w="1371"/>
      </w:tblGrid>
      <w:tr>
        <w:trPr>
          <w:cantSplit/>
          <w:tblHeader w:val="true"/>
        </w:trPr>
        <w:tc>
          <w:tcPr>
            <w:tcW w:w="2652" w:type="dxa"/>
            <w:tcBorders>
              <w:top w:val="single" w:sz="8" w:space="0" w:color="000000"/>
              <w:bottom w:val="single" w:sz="4" w:space="0" w:color="000000"/>
            </w:tcBorders>
          </w:tcPr>
          <w:p>
            <w:pPr>
              <w:pStyle w:val="CeldaAPA"/>
              <w:jc w:val="center"/>
            </w:pPr>
            <w:r>
              <w:rPr>
                <w:bCs/>
                <w:b/>
              </w:rPr>
              <w:t xml:space="preserve">Cláusula</w:t>
            </w:r>
          </w:p>
        </w:tc>
        <w:tc>
          <w:tcPr>
            <w:tcW w:w="1418" w:type="dxa"/>
            <w:tcBorders>
              <w:top w:val="single" w:sz="8" w:space="0" w:color="000000"/>
              <w:bottom w:val="single" w:sz="4" w:space="0" w:color="000000"/>
            </w:tcBorders>
          </w:tcPr>
          <w:p>
            <w:pPr>
              <w:pStyle w:val="CeldaAPA"/>
              <w:jc w:val="center"/>
            </w:pPr>
            <w:r>
              <w:rPr>
                <w:bCs/>
                <w:b/>
              </w:rPr>
              <w:t xml:space="preserve">Requisitos aplicables</w:t>
            </w:r>
          </w:p>
        </w:tc>
        <w:tc>
          <w:tcPr>
            <w:tcW w:w="1167" w:type="dxa"/>
            <w:tcBorders>
              <w:top w:val="single" w:sz="8" w:space="0" w:color="000000"/>
              <w:bottom w:val="single" w:sz="4" w:space="0" w:color="000000"/>
            </w:tcBorders>
          </w:tcPr>
          <w:p>
            <w:pPr>
              <w:pStyle w:val="CeldaAPA"/>
              <w:jc w:val="center"/>
            </w:pPr>
            <w:r>
              <w:rPr>
                <w:bCs/>
                <w:b/>
              </w:rPr>
              <w:t xml:space="preserve">Puntaje</w:t>
            </w:r>
          </w:p>
        </w:tc>
        <w:tc>
          <w:tcPr>
            <w:tcW w:w="1349" w:type="dxa"/>
            <w:tcBorders>
              <w:top w:val="single" w:sz="8" w:space="0" w:color="000000"/>
              <w:bottom w:val="single" w:sz="4" w:space="0" w:color="000000"/>
            </w:tcBorders>
          </w:tcPr>
          <w:p>
            <w:pPr>
              <w:pStyle w:val="CeldaAPA"/>
              <w:jc w:val="center"/>
            </w:pPr>
            <w:r>
              <w:rPr>
                <w:bCs/>
                <w:b/>
              </w:rPr>
              <w:t xml:space="preserve">Primera losa (esta tesis)</w:t>
            </w:r>
          </w:p>
        </w:tc>
        <w:tc>
          <w:tcPr>
            <w:tcW w:w="1402" w:type="dxa"/>
            <w:tcBorders>
              <w:top w:val="single" w:sz="8" w:space="0" w:color="000000"/>
              <w:bottom w:val="single" w:sz="4" w:space="0" w:color="000000"/>
            </w:tcBorders>
          </w:tcPr>
          <w:p>
            <w:pPr>
              <w:pStyle w:val="CeldaAPA"/>
              <w:jc w:val="center"/>
            </w:pPr>
            <w:r>
              <w:rPr>
                <w:bCs/>
                <w:b/>
              </w:rPr>
              <w:t xml:space="preserve">Mamani Calsina (2025)</w:t>
            </w:r>
          </w:p>
        </w:tc>
        <w:tc>
          <w:tcPr>
            <w:tcW w:w="1371" w:type="dxa"/>
            <w:tcBorders>
              <w:top w:val="single" w:sz="8" w:space="0" w:color="000000"/>
              <w:bottom w:val="single" w:sz="4" w:space="0" w:color="000000"/>
            </w:tcBorders>
          </w:tcPr>
          <w:p>
            <w:pPr>
              <w:pStyle w:val="CeldaAPA"/>
              <w:jc w:val="center"/>
            </w:pPr>
            <w:r>
              <w:rPr>
                <w:bCs/>
                <w:b/>
              </w:rPr>
              <w:t xml:space="preserve">Peña Callisaya (2024)</w:t>
            </w:r>
          </w:p>
        </w:tc>
      </w:tr>
      <w:tr>
        <w:tc>
          <w:tcPr>
            <w:tcW w:w="2652" w:type="dxa"/>
          </w:tcPr>
          <w:p>
            <w:pPr>
              <w:pStyle w:val="CeldaAPA"/>
              <w:jc w:val="left"/>
            </w:pPr>
            <w:r>
              <w:rPr/>
              <w:t xml:space="preserve">4. Contexto de la organización</w:t>
            </w:r>
          </w:p>
        </w:tc>
        <w:tc>
          <w:tcPr>
            <w:tcW w:w="1418" w:type="dxa"/>
          </w:tcPr>
          <w:p>
            <w:pPr>
              <w:pStyle w:val="CeldaAPA"/>
              <w:jc w:val="center"/>
            </w:pPr>
            <w:r>
              <w:rPr/>
              <w:t xml:space="preserve">4</w:t>
            </w:r>
          </w:p>
        </w:tc>
        <w:tc>
          <w:tcPr>
            <w:tcW w:w="1167" w:type="dxa"/>
          </w:tcPr>
          <w:p>
            <w:pPr>
              <w:pStyle w:val="CeldaAPA"/>
              <w:jc w:val="center"/>
            </w:pPr>
            <w:r>
              <w:rPr/>
              <w:t xml:space="preserve">1,0</w:t>
            </w:r>
          </w:p>
        </w:tc>
        <w:tc>
          <w:tcPr>
            <w:tcW w:w="1349" w:type="dxa"/>
          </w:tcPr>
          <w:p>
            <w:pPr>
              <w:pStyle w:val="CeldaAPA"/>
              <w:jc w:val="center"/>
            </w:pPr>
            <w:r>
              <w:rPr/>
              <w:t xml:space="preserve">25,0 %</w:t>
            </w:r>
          </w:p>
        </w:tc>
        <w:tc>
          <w:tcPr>
            <w:tcW w:w="1402" w:type="dxa"/>
          </w:tcPr>
          <w:p>
            <w:pPr>
              <w:pStyle w:val="CeldaAPA"/>
              <w:jc w:val="center"/>
            </w:pPr>
            <w:r>
              <w:rPr/>
              <w:t xml:space="preserve">19 %</w:t>
            </w:r>
          </w:p>
        </w:tc>
        <w:tc>
          <w:tcPr>
            <w:tcW w:w="1371" w:type="dxa"/>
          </w:tcPr>
          <w:p>
            <w:pPr>
              <w:pStyle w:val="CeldaAPA"/>
              <w:jc w:val="center"/>
            </w:pPr>
            <w:r>
              <w:rPr/>
              <w:t xml:space="preserve">30 %</w:t>
            </w:r>
          </w:p>
        </w:tc>
      </w:tr>
      <w:tr>
        <w:tc>
          <w:tcPr>
            <w:tcW w:w="2652" w:type="dxa"/>
          </w:tcPr>
          <w:p>
            <w:pPr>
              <w:pStyle w:val="CeldaAPA"/>
              <w:jc w:val="left"/>
            </w:pPr>
            <w:r>
              <w:rPr/>
              <w:t xml:space="preserve">5. Liderazgo</w:t>
            </w:r>
          </w:p>
        </w:tc>
        <w:tc>
          <w:tcPr>
            <w:tcW w:w="1418" w:type="dxa"/>
          </w:tcPr>
          <w:p>
            <w:pPr>
              <w:pStyle w:val="CeldaAPA"/>
              <w:jc w:val="center"/>
            </w:pPr>
            <w:r>
              <w:rPr/>
              <w:t xml:space="preserve">5</w:t>
            </w:r>
          </w:p>
        </w:tc>
        <w:tc>
          <w:tcPr>
            <w:tcW w:w="1167" w:type="dxa"/>
          </w:tcPr>
          <w:p>
            <w:pPr>
              <w:pStyle w:val="CeldaAPA"/>
              <w:jc w:val="center"/>
            </w:pPr>
            <w:r>
              <w:rPr/>
              <w:t xml:space="preserve">1,0</w:t>
            </w:r>
          </w:p>
        </w:tc>
        <w:tc>
          <w:tcPr>
            <w:tcW w:w="1349" w:type="dxa"/>
          </w:tcPr>
          <w:p>
            <w:pPr>
              <w:pStyle w:val="CeldaAPA"/>
              <w:jc w:val="center"/>
            </w:pPr>
            <w:r>
              <w:rPr/>
              <w:t xml:space="preserve">20,0 %</w:t>
            </w:r>
          </w:p>
        </w:tc>
        <w:tc>
          <w:tcPr>
            <w:tcW w:w="1402" w:type="dxa"/>
          </w:tcPr>
          <w:p>
            <w:pPr>
              <w:pStyle w:val="CeldaAPA"/>
              <w:jc w:val="center"/>
            </w:pPr>
            <w:r>
              <w:rPr/>
              <w:t xml:space="preserve">38 %</w:t>
            </w:r>
          </w:p>
        </w:tc>
        <w:tc>
          <w:tcPr>
            <w:tcW w:w="1371" w:type="dxa"/>
          </w:tcPr>
          <w:p>
            <w:pPr>
              <w:pStyle w:val="CeldaAPA"/>
              <w:jc w:val="center"/>
            </w:pPr>
            <w:r>
              <w:rPr/>
              <w:t xml:space="preserve">60 %</w:t>
            </w:r>
          </w:p>
        </w:tc>
      </w:tr>
      <w:tr>
        <w:tc>
          <w:tcPr>
            <w:tcW w:w="2652" w:type="dxa"/>
          </w:tcPr>
          <w:p>
            <w:pPr>
              <w:pStyle w:val="CeldaAPA"/>
              <w:jc w:val="left"/>
            </w:pPr>
            <w:r>
              <w:rPr/>
              <w:t xml:space="preserve">6. Planificación</w:t>
            </w:r>
          </w:p>
        </w:tc>
        <w:tc>
          <w:tcPr>
            <w:tcW w:w="1418" w:type="dxa"/>
          </w:tcPr>
          <w:p>
            <w:pPr>
              <w:pStyle w:val="CeldaAPA"/>
              <w:jc w:val="center"/>
            </w:pPr>
            <w:r>
              <w:rPr/>
              <w:t xml:space="preserve">4</w:t>
            </w:r>
          </w:p>
        </w:tc>
        <w:tc>
          <w:tcPr>
            <w:tcW w:w="1167" w:type="dxa"/>
          </w:tcPr>
          <w:p>
            <w:pPr>
              <w:pStyle w:val="CeldaAPA"/>
              <w:jc w:val="center"/>
            </w:pPr>
            <w:r>
              <w:rPr/>
              <w:t xml:space="preserve">0,5</w:t>
            </w:r>
          </w:p>
        </w:tc>
        <w:tc>
          <w:tcPr>
            <w:tcW w:w="1349" w:type="dxa"/>
          </w:tcPr>
          <w:p>
            <w:pPr>
              <w:pStyle w:val="CeldaAPA"/>
              <w:jc w:val="center"/>
            </w:pPr>
            <w:r>
              <w:rPr/>
              <w:t xml:space="preserve">12,5 %</w:t>
            </w:r>
          </w:p>
        </w:tc>
        <w:tc>
          <w:tcPr>
            <w:tcW w:w="1402" w:type="dxa"/>
          </w:tcPr>
          <w:p>
            <w:pPr>
              <w:pStyle w:val="CeldaAPA"/>
              <w:jc w:val="center"/>
            </w:pPr>
            <w:r>
              <w:rPr/>
              <w:t xml:space="preserve">26 %</w:t>
            </w:r>
          </w:p>
        </w:tc>
        <w:tc>
          <w:tcPr>
            <w:tcW w:w="1371" w:type="dxa"/>
          </w:tcPr>
          <w:p>
            <w:pPr>
              <w:pStyle w:val="CeldaAPA"/>
              <w:jc w:val="center"/>
            </w:pPr>
            <w:r>
              <w:rPr/>
              <w:t xml:space="preserve">26 %</w:t>
            </w:r>
          </w:p>
        </w:tc>
      </w:tr>
      <w:tr>
        <w:tc>
          <w:tcPr>
            <w:tcW w:w="2652" w:type="dxa"/>
          </w:tcPr>
          <w:p>
            <w:pPr>
              <w:pStyle w:val="CeldaAPA"/>
              <w:jc w:val="left"/>
            </w:pPr>
            <w:r>
              <w:rPr/>
              <w:t xml:space="preserve">7. Apoyo</w:t>
            </w:r>
          </w:p>
        </w:tc>
        <w:tc>
          <w:tcPr>
            <w:tcW w:w="1418" w:type="dxa"/>
          </w:tcPr>
          <w:p>
            <w:pPr>
              <w:pStyle w:val="CeldaAPA"/>
              <w:jc w:val="center"/>
            </w:pPr>
            <w:r>
              <w:rPr/>
              <w:t xml:space="preserve">10</w:t>
            </w:r>
          </w:p>
        </w:tc>
        <w:tc>
          <w:tcPr>
            <w:tcW w:w="1167" w:type="dxa"/>
          </w:tcPr>
          <w:p>
            <w:pPr>
              <w:pStyle w:val="CeldaAPA"/>
              <w:jc w:val="center"/>
            </w:pPr>
            <w:r>
              <w:rPr/>
              <w:t xml:space="preserve">2,5</w:t>
            </w:r>
          </w:p>
        </w:tc>
        <w:tc>
          <w:tcPr>
            <w:tcW w:w="1349" w:type="dxa"/>
          </w:tcPr>
          <w:p>
            <w:pPr>
              <w:pStyle w:val="CeldaAPA"/>
              <w:jc w:val="center"/>
            </w:pPr>
            <w:r>
              <w:rPr/>
              <w:t xml:space="preserve">25,0 %</w:t>
            </w:r>
          </w:p>
        </w:tc>
        <w:tc>
          <w:tcPr>
            <w:tcW w:w="1402" w:type="dxa"/>
          </w:tcPr>
          <w:p>
            <w:pPr>
              <w:pStyle w:val="CeldaAPA"/>
              <w:jc w:val="center"/>
            </w:pPr>
            <w:r>
              <w:rPr/>
              <w:t xml:space="preserve">26 %</w:t>
            </w:r>
          </w:p>
        </w:tc>
        <w:tc>
          <w:tcPr>
            <w:tcW w:w="1371" w:type="dxa"/>
          </w:tcPr>
          <w:p>
            <w:pPr>
              <w:pStyle w:val="CeldaAPA"/>
              <w:jc w:val="center"/>
            </w:pPr>
            <w:r>
              <w:rPr/>
              <w:t xml:space="preserve">47 %</w:t>
            </w:r>
          </w:p>
        </w:tc>
      </w:tr>
      <w:tr>
        <w:tc>
          <w:tcPr>
            <w:tcW w:w="2652" w:type="dxa"/>
          </w:tcPr>
          <w:p>
            <w:pPr>
              <w:pStyle w:val="CeldaAPA"/>
              <w:jc w:val="left"/>
            </w:pPr>
            <w:r>
              <w:rPr/>
              <w:t xml:space="preserve">8. Operación</w:t>
            </w:r>
          </w:p>
        </w:tc>
        <w:tc>
          <w:tcPr>
            <w:tcW w:w="1418" w:type="dxa"/>
          </w:tcPr>
          <w:p>
            <w:pPr>
              <w:pStyle w:val="CeldaAPA"/>
              <w:jc w:val="center"/>
            </w:pPr>
            <w:r>
              <w:rPr/>
              <w:t xml:space="preserve">14</w:t>
            </w:r>
          </w:p>
        </w:tc>
        <w:tc>
          <w:tcPr>
            <w:tcW w:w="1167" w:type="dxa"/>
          </w:tcPr>
          <w:p>
            <w:pPr>
              <w:pStyle w:val="CeldaAPA"/>
              <w:jc w:val="center"/>
            </w:pPr>
            <w:r>
              <w:rPr/>
              <w:t xml:space="preserve">2,5</w:t>
            </w:r>
          </w:p>
        </w:tc>
        <w:tc>
          <w:tcPr>
            <w:tcW w:w="1349" w:type="dxa"/>
          </w:tcPr>
          <w:p>
            <w:pPr>
              <w:pStyle w:val="CeldaAPA"/>
              <w:jc w:val="center"/>
            </w:pPr>
            <w:r>
              <w:rPr/>
              <w:t xml:space="preserve">17,9 %</w:t>
            </w:r>
          </w:p>
        </w:tc>
        <w:tc>
          <w:tcPr>
            <w:tcW w:w="1402" w:type="dxa"/>
          </w:tcPr>
          <w:p>
            <w:pPr>
              <w:pStyle w:val="CeldaAPA"/>
              <w:jc w:val="center"/>
            </w:pPr>
            <w:r>
              <w:rPr/>
              <w:t xml:space="preserve">37 %</w:t>
            </w:r>
          </w:p>
        </w:tc>
        <w:tc>
          <w:tcPr>
            <w:tcW w:w="1371" w:type="dxa"/>
          </w:tcPr>
          <w:p>
            <w:pPr>
              <w:pStyle w:val="CeldaAPA"/>
              <w:jc w:val="center"/>
            </w:pPr>
            <w:r>
              <w:rPr/>
              <w:t xml:space="preserve">42 %</w:t>
            </w:r>
          </w:p>
        </w:tc>
      </w:tr>
      <w:tr>
        <w:tc>
          <w:tcPr>
            <w:tcW w:w="2652" w:type="dxa"/>
          </w:tcPr>
          <w:p>
            <w:pPr>
              <w:pStyle w:val="CeldaAPA"/>
              <w:jc w:val="left"/>
            </w:pPr>
            <w:r>
              <w:rPr/>
              <w:t xml:space="preserve">9. Evaluación del desempeño</w:t>
            </w:r>
          </w:p>
        </w:tc>
        <w:tc>
          <w:tcPr>
            <w:tcW w:w="1418" w:type="dxa"/>
          </w:tcPr>
          <w:p>
            <w:pPr>
              <w:pStyle w:val="CeldaAPA"/>
              <w:jc w:val="center"/>
            </w:pPr>
            <w:r>
              <w:rPr/>
              <w:t xml:space="preserve">6</w:t>
            </w:r>
          </w:p>
        </w:tc>
        <w:tc>
          <w:tcPr>
            <w:tcW w:w="1167" w:type="dxa"/>
          </w:tcPr>
          <w:p>
            <w:pPr>
              <w:pStyle w:val="CeldaAPA"/>
              <w:jc w:val="center"/>
            </w:pPr>
            <w:r>
              <w:rPr/>
              <w:t xml:space="preserve">1,5</w:t>
            </w:r>
          </w:p>
        </w:tc>
        <w:tc>
          <w:tcPr>
            <w:tcW w:w="1349" w:type="dxa"/>
          </w:tcPr>
          <w:p>
            <w:pPr>
              <w:pStyle w:val="CeldaAPA"/>
              <w:jc w:val="center"/>
            </w:pPr>
            <w:r>
              <w:rPr/>
              <w:t xml:space="preserve">25,0 %</w:t>
            </w:r>
          </w:p>
        </w:tc>
        <w:tc>
          <w:tcPr>
            <w:tcW w:w="1402" w:type="dxa"/>
          </w:tcPr>
          <w:p>
            <w:pPr>
              <w:pStyle w:val="CeldaAPA"/>
              <w:jc w:val="center"/>
            </w:pPr>
            <w:r>
              <w:rPr/>
              <w:t xml:space="preserve">11 %</w:t>
            </w:r>
          </w:p>
        </w:tc>
        <w:tc>
          <w:tcPr>
            <w:tcW w:w="1371" w:type="dxa"/>
          </w:tcPr>
          <w:p>
            <w:pPr>
              <w:pStyle w:val="CeldaAPA"/>
              <w:jc w:val="center"/>
            </w:pPr>
            <w:r>
              <w:rPr/>
              <w:t xml:space="preserve">n. e.</w:t>
            </w:r>
          </w:p>
        </w:tc>
      </w:tr>
      <w:tr>
        <w:tc>
          <w:tcPr>
            <w:tcW w:w="2652" w:type="dxa"/>
          </w:tcPr>
          <w:p>
            <w:pPr>
              <w:pStyle w:val="CeldaAPA"/>
              <w:jc w:val="left"/>
            </w:pPr>
            <w:r>
              <w:rPr/>
              <w:t xml:space="preserve">10. Mejora</w:t>
            </w:r>
          </w:p>
        </w:tc>
        <w:tc>
          <w:tcPr>
            <w:tcW w:w="1418" w:type="dxa"/>
          </w:tcPr>
          <w:p>
            <w:pPr>
              <w:pStyle w:val="CeldaAPA"/>
              <w:jc w:val="center"/>
            </w:pPr>
            <w:r>
              <w:rPr/>
              <w:t xml:space="preserve">5</w:t>
            </w:r>
          </w:p>
        </w:tc>
        <w:tc>
          <w:tcPr>
            <w:tcW w:w="1167" w:type="dxa"/>
          </w:tcPr>
          <w:p>
            <w:pPr>
              <w:pStyle w:val="CeldaAPA"/>
              <w:jc w:val="center"/>
            </w:pPr>
            <w:r>
              <w:rPr/>
              <w:t xml:space="preserve">0,5</w:t>
            </w:r>
          </w:p>
        </w:tc>
        <w:tc>
          <w:tcPr>
            <w:tcW w:w="1349" w:type="dxa"/>
          </w:tcPr>
          <w:p>
            <w:pPr>
              <w:pStyle w:val="CeldaAPA"/>
              <w:jc w:val="center"/>
            </w:pPr>
            <w:r>
              <w:rPr/>
              <w:t xml:space="preserve">10,0 %</w:t>
            </w:r>
          </w:p>
        </w:tc>
        <w:tc>
          <w:tcPr>
            <w:tcW w:w="1402" w:type="dxa"/>
          </w:tcPr>
          <w:p>
            <w:pPr>
              <w:pStyle w:val="CeldaAPA"/>
              <w:jc w:val="center"/>
            </w:pPr>
            <w:r>
              <w:rPr/>
              <w:t xml:space="preserve">24 %</w:t>
            </w:r>
          </w:p>
        </w:tc>
        <w:tc>
          <w:tcPr>
            <w:tcW w:w="1371" w:type="dxa"/>
          </w:tcPr>
          <w:p>
            <w:pPr>
              <w:pStyle w:val="CeldaAPA"/>
              <w:jc w:val="center"/>
            </w:pPr>
            <w:r>
              <w:rPr/>
              <w:t xml:space="preserve">n. e.</w:t>
            </w:r>
          </w:p>
        </w:tc>
      </w:tr>
      <w:tr>
        <w:tc>
          <w:tcPr>
            <w:tcW w:w="2652" w:type="dxa"/>
            <w:tcBorders>
              <w:top w:val="single" w:sz="4" w:space="0" w:color="000000"/>
              <w:bottom w:val="single" w:sz="8" w:space="0" w:color="000000"/>
            </w:tcBorders>
          </w:tcPr>
          <w:p>
            <w:pPr>
              <w:pStyle w:val="CeldaAPA"/>
              <w:jc w:val="left"/>
            </w:pPr>
            <w:r>
              <w:rPr>
                <w:bCs/>
                <w:b/>
              </w:rPr>
              <w:t xml:space="preserve">Global</w:t>
            </w:r>
          </w:p>
        </w:tc>
        <w:tc>
          <w:tcPr>
            <w:tcW w:w="1418" w:type="dxa"/>
            <w:tcBorders>
              <w:top w:val="single" w:sz="4" w:space="0" w:color="000000"/>
              <w:bottom w:val="single" w:sz="8" w:space="0" w:color="000000"/>
            </w:tcBorders>
          </w:tcPr>
          <w:p>
            <w:pPr>
              <w:pStyle w:val="CeldaAPA"/>
              <w:jc w:val="center"/>
            </w:pPr>
            <w:r>
              <w:rPr>
                <w:bCs/>
                <w:b/>
              </w:rPr>
              <w:t xml:space="preserve">48</w:t>
            </w:r>
          </w:p>
        </w:tc>
        <w:tc>
          <w:tcPr>
            <w:tcW w:w="1167" w:type="dxa"/>
            <w:tcBorders>
              <w:top w:val="single" w:sz="4" w:space="0" w:color="000000"/>
              <w:bottom w:val="single" w:sz="8" w:space="0" w:color="000000"/>
            </w:tcBorders>
          </w:tcPr>
          <w:p>
            <w:pPr>
              <w:pStyle w:val="CeldaAPA"/>
              <w:jc w:val="center"/>
            </w:pPr>
            <w:r>
              <w:rPr>
                <w:bCs/>
                <w:b/>
              </w:rPr>
              <w:t xml:space="preserve">9,5</w:t>
            </w:r>
          </w:p>
        </w:tc>
        <w:tc>
          <w:tcPr>
            <w:tcW w:w="1349" w:type="dxa"/>
            <w:tcBorders>
              <w:top w:val="single" w:sz="4" w:space="0" w:color="000000"/>
              <w:bottom w:val="single" w:sz="8" w:space="0" w:color="000000"/>
            </w:tcBorders>
          </w:tcPr>
          <w:p>
            <w:pPr>
              <w:pStyle w:val="CeldaAPA"/>
              <w:jc w:val="center"/>
            </w:pPr>
            <w:r>
              <w:rPr>
                <w:bCs/>
                <w:b/>
              </w:rPr>
              <w:t xml:space="preserve">19,8 %</w:t>
            </w:r>
          </w:p>
        </w:tc>
        <w:tc>
          <w:tcPr>
            <w:tcW w:w="1402" w:type="dxa"/>
            <w:tcBorders>
              <w:top w:val="single" w:sz="4" w:space="0" w:color="000000"/>
              <w:bottom w:val="single" w:sz="8" w:space="0" w:color="000000"/>
            </w:tcBorders>
          </w:tcPr>
          <w:p>
            <w:pPr>
              <w:pStyle w:val="CeldaAPA"/>
              <w:jc w:val="center"/>
            </w:pPr>
            <w:r>
              <w:rPr>
                <w:bCs/>
                <w:b/>
              </w:rPr>
              <w:t xml:space="preserve">24 %</w:t>
            </w:r>
          </w:p>
        </w:tc>
        <w:tc>
          <w:tcPr>
            <w:tcW w:w="1371" w:type="dxa"/>
            <w:tcBorders>
              <w:top w:val="single" w:sz="4" w:space="0" w:color="000000"/>
              <w:bottom w:val="single" w:sz="8" w:space="0" w:color="000000"/>
            </w:tcBorders>
          </w:tcPr>
          <w:p>
            <w:pPr>
              <w:pStyle w:val="CeldaAPA"/>
              <w:jc w:val="center"/>
            </w:pPr>
            <w:r>
              <w:rPr>
                <w:bCs/>
                <w:b/>
              </w:rPr>
              <w:t xml:space="preserve">43 %</w:t>
            </w:r>
          </w:p>
        </w:tc>
      </w:tr>
    </w:tbl>
    <w:p>
      <w:pPr>
        <w:pStyle w:val="NotaAPA"/>
      </w:pPr>
      <w:r>
        <w:rPr>
          <w:iCs/>
          <w:i/>
        </w:rPr>
        <w:t xml:space="preserve">Nota.</w:t>
      </w:r>
      <w:r>
        <w:t xml:space="preserve"> </w:t>
      </w:r>
      <w:r>
        <w:t xml:space="preserve">Elaboración propia con la lista de verificación C.1 (Anexo C). Los diagnósticos de referencia corresponden a dos plantas industriales de viguetas pretensadas: Prensocret</w:t>
      </w:r>
      <w:r>
        <w:t xml:space="preserve"> </w:t>
      </w:r>
      <w:r>
        <w:t xml:space="preserve">(Mamani Calsina, 2025, pp. 47, 49)</w:t>
      </w:r>
      <w:r>
        <w:t xml:space="preserve"> </w:t>
      </w:r>
      <w:r>
        <w:t xml:space="preserve">e ISOCRET</w:t>
      </w:r>
      <w:r>
        <w:t xml:space="preserve"> </w:t>
      </w:r>
      <w:r>
        <w:t xml:space="preserve">(Peña Callisaya, 2024, p. 71)</w:t>
      </w:r>
      <w:r>
        <w:t xml:space="preserve">, evaluadas con la edición 2015 de la norma y con escalas de calificación propias. n. e.: cláusula no evaluada. El cumplimiento global de esta tesis es el puntaje total entre los requisitos aplicables (9,5/48); el promedio simple de las siete cláusulas es 19,3 %.</w:t>
      </w:r>
    </w:p>
    <w:p>
      <w:pPr>
        <w:pStyle w:val="Caption"/>
      </w:pPr>
      <w:bookmarkStart w:id="1421" w:name="fig7"/>
      <w:r>
        <w:t xml:space="preserve"/>
      </w:r>
      <w:r>
        <w:rPr>
          <w:bCs/>
          <w:b/>
        </w:rPr>
        <w:t xml:space="preserve">Figura 7</w:t>
      </w:r>
      <w:r>
        <w:br/>
      </w:r>
      <w:r>
        <w:rPr>
          <w:iCs/>
          <w:i/>
        </w:rPr>
        <w:t xml:space="preserve">Cumplimiento de los requisitos de ISO 9001 por cláusula en la primera losa y en dos diagnósticos de referencia</w:t>
      </w:r>
      <w:bookmarkEnd w:id="1421"/>
    </w:p>
    <w:p>
      <w:pPr>
        <w:pStyle w:val="FiguraAPA"/>
      </w:pPr>
      <w:r>
        <w:drawing>
          <wp:inline>
            <wp:extent cx="5943599" cy="3291839"/>
            <wp:effectExtent b="0" l="0" r="0" t="0"/>
            <wp:docPr descr="image" title="" id="133" name="Picture"/>
            <a:graphic>
              <a:graphicData uri="http://schemas.openxmlformats.org/drawingml/2006/picture">
                <pic:pic>
                  <pic:nvPicPr>
                    <pic:cNvPr descr="/home/user/TesisSGC/05_Tesis_LaTeX/figuras/fig_brechas_iso9001.png" id="134" name="Picture"/>
                    <pic:cNvPicPr>
                      <a:picLocks noChangeArrowheads="1" noChangeAspect="1"/>
                    </pic:cNvPicPr>
                  </pic:nvPicPr>
                  <pic:blipFill>
                    <a:blip r:embed="rId132"/>
                    <a:stretch>
                      <a:fillRect/>
                    </a:stretch>
                  </pic:blipFill>
                  <pic:spPr bwMode="auto">
                    <a:xfrm>
                      <a:off x="0" y="0"/>
                      <a:ext cx="5943599" cy="3291839"/>
                    </a:xfrm>
                    <a:prstGeom prst="rect">
                      <a:avLst/>
                    </a:prstGeom>
                    <a:noFill/>
                    <a:ln w="9525">
                      <a:noFill/>
                      <a:headEnd/>
                      <a:tailEnd/>
                    </a:ln>
                  </pic:spPr>
                </pic:pic>
              </a:graphicData>
            </a:graphic>
          </wp:inline>
        </w:drawing>
      </w:r>
    </w:p>
    <w:p>
      <w:pPr>
        <w:pStyle w:val="NotaAPA"/>
      </w:pPr>
      <w:r>
        <w:rPr>
          <w:iCs/>
          <w:i/>
        </w:rPr>
        <w:t xml:space="preserve">Nota.</w:t>
      </w:r>
      <w:r>
        <w:t xml:space="preserve"> </w:t>
      </w:r>
      <w:r>
        <w:t xml:space="preserve">Elaboración propia con los datos de la Tabla 22. Las referencias son plantas de viguetas pretensadas</w:t>
      </w:r>
      <w:r>
        <w:t xml:space="preserve"> </w:t>
      </w:r>
      <w:r>
        <w:t xml:space="preserve">(Mamani Calsina, 2025; Peña Callisaya, 2024)</w:t>
      </w:r>
      <w:r>
        <w:t xml:space="preserve">; n. e.: no evaluado. Figura generada con el script</w:t>
      </w:r>
      <w:r>
        <w:t xml:space="preserve"> </w:t>
      </w:r>
      <w:r>
        <w:rPr>
          <w:rStyle w:val="VerbatimChar"/>
        </w:rPr>
        <w:t xml:space="preserve">cap2_diagnostico_figuras.py</w:t>
      </w:r>
      <w:r>
        <w:t xml:space="preserve"> </w:t>
      </w:r>
      <w:r>
        <w:t xml:space="preserve">de la carpeta de extracción de datos de obra.</w:t>
      </w:r>
    </w:p>
    <w:p>
      <w:pPr>
        <w:pStyle w:val="BodyText"/>
      </w:pPr>
      <w:r>
        <w:t xml:space="preserve">El cumplimiento global fue de 19,8 %. Ningún requisito alcanzó el cumplimiento pleno: 19 se cumplieron parcialmente y 29 no se cumplieron. Con la escala de</w:t>
      </w:r>
      <w:r>
        <w:t xml:space="preserve"> </w:t>
      </w:r>
      <w:r>
        <w:t xml:space="preserve">Mamani Calsina (2025, p. 42)</w:t>
      </w:r>
      <w:r>
        <w:t xml:space="preserve">, todas las cláusulas se ubican en el rango «deficiente o no implementado» (0 a 25 %); con el criterio de</w:t>
      </w:r>
      <w:r>
        <w:t xml:space="preserve"> </w:t>
      </w:r>
      <w:r>
        <w:t xml:space="preserve">Peña Callisaya (2024, p. 70)</w:t>
      </w:r>
      <w:r>
        <w:t xml:space="preserve">, que recomienda diseñar el sistema cuando el resultado no supera el 50 %, el caso exige diseñar un SGC y no solo mejorar prácticas existentes. Las cláusulas más débiles fueron la mejora (10,0 %), porque no hubo registro de no conformidades ni análisis de causas, y la planificación (12,5 %), porque los riesgos de suministro, precios y clima no se identificaron antes de materializarse. La operación (17,9 %) concentró la mayor cantidad de requisitos incumplidos (9 de 14), en particular el control del hormigón, la verificación de los suministros, la trazabilidad y el control de las salidas no conformes. Los puntajes parciales provienen sobre todo de controles contractuales que sí funcionaron: el Libro de Órdenes como canal de comunicación, la verificación del armado antes de cada vaciado, la medición conjunta de cantidades y los cambios contractuales tramitados formalmente.</w:t>
      </w:r>
    </w:p>
    <w:p>
      <w:pPr>
        <w:pStyle w:val="BodyText"/>
      </w:pPr>
      <w:r>
        <w:t xml:space="preserve">El resultado es menor que el de las dos plantas industriales de viguetas pretensadas tomadas como referencia: 24 % en Prensocret, con un mínimo de 11 % en la evaluación del desempeño</w:t>
      </w:r>
      <w:r>
        <w:t xml:space="preserve"> </w:t>
      </w:r>
      <w:r>
        <w:t xml:space="preserve">(Mamani Calsina, 2025, pp. 48–49)</w:t>
      </w:r>
      <w:r>
        <w:t xml:space="preserve">, y 43 % en ISOCRET, con un mínimo de 26 % en la planificación</w:t>
      </w:r>
      <w:r>
        <w:t xml:space="preserve"> </w:t>
      </w:r>
      <w:r>
        <w:t xml:space="preserve">(Peña Callisaya, 2024, p. 71)</w:t>
      </w:r>
      <w:r>
        <w:t xml:space="preserve">. La diferencia es coherente con la naturaleza de cada organización: una planta tiene procesos repetitivos, personal estable y documentación propia, mientras que la ejecución de una losa en una obra pública es un proceso temporal, cuyo control descansa casi por completo en la Supervisión. Coinciden, en cambio, en que la planificación, la evaluación y la mejora están entre las cláusulas más débiles. La comparación es solo indicativa, porque las escalas, la edición de la norma y las técnicas difieren: Peña Callisaya se basó en entrevistas y observación de los procesos</w:t>
      </w:r>
      <w:r>
        <w:t xml:space="preserve"> </w:t>
      </w:r>
      <w:r>
        <w:t xml:space="preserve">(Peña Callisaya, 2024, p. 67)</w:t>
      </w:r>
      <w:r>
        <w:t xml:space="preserve"> </w:t>
      </w:r>
      <w:r>
        <w:t xml:space="preserve">y no evaluó las cláusulas 9 y 10.</w:t>
      </w:r>
    </w:p>
    <w:p>
      <w:pPr>
        <w:pStyle w:val="BodyText"/>
      </w:pPr>
      <w:r>
        <w:rPr>
          <w:bCs/>
          <w:b/>
        </w:rPr>
        <w:t xml:space="preserve">Limitación.</w:t>
      </w:r>
      <w:r>
        <w:t xml:space="preserve"> </w:t>
      </w:r>
      <w:r>
        <w:t xml:space="preserve">La evaluación fue documental y la realizó el investigador. Una calificación de 0 indica que el requisito no dejó evidencia en los documentos revisados, no que la práctica no haya existido. Las entrevistas de la guía C.7 (Anexo C) a la Dirección de Obra, a la Supervisión y a la Fiscalización quedan como verificación complementaria.</w:t>
      </w:r>
      <w:r>
        <w:t xml:space="preserve"> </w:t>
      </w:r>
      <w:r>
        <w:rPr>
          <w:rStyle w:val="Pendiente"/>
          <w:bCs/>
          <w:b/>
        </w:rPr>
        <w:t xml:space="preserve">[Pendiente:</w:t>
      </w:r>
      <w:r>
        <w:rPr>
          <w:rStyle w:val="Pendiente"/>
        </w:rPr>
        <w:t xml:space="preserve"> </w:t>
      </w:r>
      <w:r>
        <w:rPr>
          <w:rStyle w:val="Pendiente"/>
        </w:rPr>
        <w:t xml:space="preserve">aplicar la guía de entrevista C.7 y ajustar, si corresponde, las calificaciones de la lista C.1.</w:t>
      </w:r>
      <w:r>
        <w:rPr>
          <w:rStyle w:val="Pendiente"/>
          <w:bCs/>
          <w:b/>
        </w:rPr>
        <w:t xml:space="preserve">]</w:t>
      </w:r>
    </w:p>
    <w:p>
      <w:pPr>
        <w:pStyle w:val="Heading3"/>
      </w:pPr>
      <w:bookmarkStart w:id="144" w:name="tit98"/>
      <w:r>
        <w:t xml:space="preserve">2.5.2. Análisis documental de la primera losa</w:t>
      </w:r>
      <w:bookmarkEnd w:id="144"/>
    </w:p>
    <w:p>
      <w:pPr>
        <w:pStyle w:val="FirstParagraph"/>
      </w:pPr>
      <w:r>
        <w:t xml:space="preserve">El análisis documental revisó, página por página, la Planilla de avance N.</w:t>
      </w:r>
      <w:r>
        <w:rPr>
          <w:vertAlign w:val="superscript"/>
        </w:rPr>
        <w:t xml:space="preserve">o</w:t>
      </w:r>
      <w:r>
        <w:t xml:space="preserve"> 2, de 139 páginas, que incluye el informe de Supervisión, los cómputos, los croquis, las fotografías, el certificado de laboratorio, los certificados de materiales, el contrato, el Libro de Órdenes y los cronogramas</w:t>
      </w:r>
      <w:r>
        <w:t xml:space="preserve"> </w:t>
      </w:r>
      <w:r>
        <w:t xml:space="preserve">(UATF, 2025)</w:t>
      </w:r>
      <w:r>
        <w:t xml:space="preserve">; la planilla y los cómputos de cierre</w:t>
      </w:r>
      <w:r>
        <w:t xml:space="preserve"> </w:t>
      </w:r>
      <w:r>
        <w:t xml:space="preserve">(UATF, s. f.-c)</w:t>
      </w:r>
      <w:r>
        <w:t xml:space="preserve">; el expediente del ítem 13</w:t>
      </w:r>
      <w:r>
        <w:t xml:space="preserve"> </w:t>
      </w:r>
      <w:r>
        <w:t xml:space="preserve">(UATF, s. f.-b)</w:t>
      </w:r>
      <w:r>
        <w:t xml:space="preserve">; las ET</w:t>
      </w:r>
      <w:r>
        <w:t xml:space="preserve"> </w:t>
      </w:r>
      <w:r>
        <w:t xml:space="preserve">(UATF, s. f.-a)</w:t>
      </w:r>
      <w:r>
        <w:t xml:space="preserve">, y los planos 01 a 03. Cada dato se contrastó en al menos dos fuentes. Las coincidencias confirmaron el dato; por ejemplo, las 41 áreas de paño y su total de 1.109,84 m</w:t>
      </w:r>
      <w:r>
        <w:rPr>
          <w:vertAlign w:val="superscript"/>
        </w:rPr>
        <w:t xml:space="preserve">2</w:t>
      </w:r>
      <w:r>
        <w:t xml:space="preserve"> </w:t>
      </w:r>
      <w:r>
        <w:t xml:space="preserve">son idénticas en cuatro documentos. Las diferencias se registraron como hallazgos y se agrupan en siete temas.</w:t>
      </w:r>
    </w:p>
    <w:p>
      <w:pPr>
        <w:pStyle w:val="Heading4"/>
      </w:pPr>
      <w:bookmarkStart w:id="136" w:name="tit99"/>
      <w:r>
        <w:t xml:space="preserve">2.5.2.1. Control de la resistencia del hormigón.</w:t>
      </w:r>
      <w:bookmarkEnd w:id="136"/>
    </w:p>
    <w:p>
      <w:pPr>
        <w:pStyle w:val="FirstParagraph"/>
      </w:pPr>
      <w:r>
        <w:t xml:space="preserve">El certificado de laboratorio N.</w:t>
      </w:r>
      <w:r>
        <w:rPr>
          <w:vertAlign w:val="superscript"/>
        </w:rPr>
        <w:t xml:space="preserve">o</w:t>
      </w:r>
      <w:r>
        <w:t xml:space="preserve"> 000293 es el único registro de ensayos de compresión adjunto a la Planilla N.</w:t>
      </w:r>
      <w:r>
        <w:rPr>
          <w:vertAlign w:val="superscript"/>
        </w:rPr>
        <w:t xml:space="preserve">o</w:t>
      </w:r>
      <w:r>
        <w:t xml:space="preserve"> 2. Comprende 12 probetas cilíndricas de 6 </w:t>
      </w:r>
      <m:oMath>
        <m:r>
          <m:rPr>
            <m:sty m:val="p"/>
          </m:rPr>
          <m:t>×</m:t>
        </m:r>
      </m:oMath>
      <w:r>
        <w:t xml:space="preserve"> 12 pulgadas (área de 182,4 cm</w:t>
      </w:r>
      <w:r>
        <w:rPr>
          <w:vertAlign w:val="superscript"/>
        </w:rPr>
        <w:t xml:space="preserve">2</w:t>
      </w:r>
      <w:r>
        <w:t xml:space="preserve">) de columnas y vigas, ensayadas el 5 de diciembre de 2025 a edades de 55 a 76 días y «proyectadas» a 28 días con un factor de tiempo (Tabla 23). El laboratorio aclaró que «las probetas fueron traidas [</w:t>
      </w:r>
      <w:r>
        <w:rPr>
          <w:iCs/>
          <w:i/>
        </w:rPr>
        <w:t xml:space="preserve">sic</w:t>
      </w:r>
      <w:r>
        <w:t xml:space="preserve">] y elaboradas por la empresa solicitante»</w:t>
      </w:r>
      <w:r>
        <w:t xml:space="preserve"> </w:t>
      </w:r>
      <w:r>
        <w:t xml:space="preserve">(UATF, 2025, p. 78)</w:t>
      </w:r>
      <w:r>
        <w:t xml:space="preserve">.</w:t>
      </w:r>
    </w:p>
    <w:p>
      <w:pPr>
        <w:pStyle w:val="Caption"/>
      </w:pPr>
      <w:bookmarkStart w:id="1422" w:name="tab23"/>
      <w:r>
        <w:t xml:space="preserve"/>
      </w:r>
      <w:r>
        <w:rPr>
          <w:bCs/>
          <w:b/>
        </w:rPr>
        <w:t xml:space="preserve">Tabla 23</w:t>
      </w:r>
      <w:r>
        <w:br/>
      </w:r>
      <w:r>
        <w:rPr>
          <w:iCs/>
          <w:i/>
        </w:rPr>
        <w:t xml:space="preserve">Resultados del certificado de laboratorio N.</w:t>
      </w:r>
      <w:r>
        <w:rPr>
          <w:vertAlign w:val="superscript"/>
          <w:iCs/>
          <w:i/>
        </w:rPr>
        <w:t xml:space="preserve">o</w:t>
      </w:r>
      <w:r>
        <w:rPr>
          <w:iCs/>
          <w:i/>
        </w:rPr>
        <w:t xml:space="preserve"> 000293 por probeta</w:t>
      </w:r>
      <w:bookmarkEnd w:id="1422"/>
    </w:p>
    <w:tbl>
      <w:tblPr>
        <w:tblStyle w:val="Table"/>
        <w:tblW w:w="9698" w:type="dxa"/>
        <w:jc w:val="left"/>
        <w:tblLayout w:type="fixed"/>
        <w:tblCellMar>
          <w:top w:w="0" w:type="dxa"/>
          <w:left w:w="85" w:type="dxa"/>
          <w:bottom w:w="0" w:type="dxa"/>
          <w:right w:w="85" w:type="dxa"/>
        </w:tblCellMar>
        <w:tblLook w:firstRow="1" w:lastRow="0" w:firstColumn="0" w:lastColumn="0" w:noHBand="0" w:noVBand="0" w:val="0020"/>
      </w:tblPr>
      <w:tblGrid>
        <w:gridCol w:w="666"/>
        <w:gridCol w:w="1369"/>
        <w:gridCol w:w="1545"/>
        <w:gridCol w:w="1005"/>
        <w:gridCol w:w="961"/>
        <w:gridCol w:w="1553"/>
        <w:gridCol w:w="1046"/>
        <w:gridCol w:w="1553"/>
      </w:tblGrid>
      <w:tr>
        <w:trPr>
          <w:cantSplit/>
          <w:tblHeader w:val="true"/>
        </w:trPr>
        <w:tc>
          <w:tcPr>
            <w:tcW w:w="666" w:type="dxa"/>
            <w:tcBorders>
              <w:top w:val="single" w:sz="8" w:space="0" w:color="000000"/>
              <w:bottom w:val="single" w:sz="4" w:space="0" w:color="000000"/>
            </w:tcBorders>
          </w:tcPr>
          <w:p>
            <w:pPr>
              <w:pStyle w:val="CeldaAPA"/>
              <w:jc w:val="center"/>
            </w:pPr>
            <w:r>
              <w:rPr>
                <w:bCs/>
                <w:b/>
              </w:rPr>
              <w:t xml:space="preserve">N.</w:t>
            </w:r>
            <w:r>
              <w:rPr>
                <w:vertAlign w:val="superscript"/>
                <w:bCs/>
                <w:b/>
              </w:rPr>
              <w:t xml:space="preserve">o</w:t>
            </w:r>
          </w:p>
        </w:tc>
        <w:tc>
          <w:tcPr>
            <w:tcW w:w="1369" w:type="dxa"/>
            <w:tcBorders>
              <w:top w:val="single" w:sz="8" w:space="0" w:color="000000"/>
              <w:bottom w:val="single" w:sz="4" w:space="0" w:color="000000"/>
            </w:tcBorders>
          </w:tcPr>
          <w:p>
            <w:pPr>
              <w:pStyle w:val="CeldaAPA"/>
              <w:jc w:val="center"/>
            </w:pPr>
            <w:r>
              <w:rPr>
                <w:bCs/>
                <w:b/>
              </w:rPr>
              <w:t xml:space="preserve">Elemento</w:t>
            </w:r>
          </w:p>
        </w:tc>
        <w:tc>
          <w:tcPr>
            <w:tcW w:w="1545" w:type="dxa"/>
            <w:tcBorders>
              <w:top w:val="single" w:sz="8" w:space="0" w:color="000000"/>
              <w:bottom w:val="single" w:sz="4" w:space="0" w:color="000000"/>
            </w:tcBorders>
          </w:tcPr>
          <w:p>
            <w:pPr>
              <w:pStyle w:val="CeldaAPA"/>
              <w:jc w:val="center"/>
            </w:pPr>
            <w:r>
              <w:rPr>
                <w:bCs/>
                <w:b/>
              </w:rPr>
              <w:t xml:space="preserve">Fecha de la probeta</w:t>
            </w:r>
          </w:p>
        </w:tc>
        <w:tc>
          <w:tcPr>
            <w:tcW w:w="1005" w:type="dxa"/>
            <w:tcBorders>
              <w:top w:val="single" w:sz="8" w:space="0" w:color="000000"/>
              <w:bottom w:val="single" w:sz="4" w:space="0" w:color="000000"/>
            </w:tcBorders>
          </w:tcPr>
          <w:p>
            <w:pPr>
              <w:pStyle w:val="CeldaAPA"/>
              <w:jc w:val="center"/>
            </w:pPr>
            <w:r>
              <w:rPr>
                <w:bCs/>
                <w:b/>
              </w:rPr>
              <w:t xml:space="preserve">Edad (días)</w:t>
            </w:r>
          </w:p>
        </w:tc>
        <w:tc>
          <w:tcPr>
            <w:tcW w:w="961" w:type="dxa"/>
            <w:tcBorders>
              <w:top w:val="single" w:sz="8" w:space="0" w:color="000000"/>
              <w:bottom w:val="single" w:sz="4" w:space="0" w:color="000000"/>
            </w:tcBorders>
          </w:tcPr>
          <w:p>
            <w:pPr>
              <w:pStyle w:val="CeldaAPA"/>
              <w:jc w:val="center"/>
            </w:pPr>
            <w:r>
              <w:rPr>
                <w:bCs/>
                <w:b/>
              </w:rPr>
              <w:t xml:space="preserve">Carga (kg)</w:t>
            </w:r>
          </w:p>
        </w:tc>
        <w:tc>
          <w:tcPr>
            <w:tcW w:w="1553" w:type="dxa"/>
            <w:tcBorders>
              <w:top w:val="single" w:sz="8" w:space="0" w:color="000000"/>
              <w:bottom w:val="single" w:sz="4" w:space="0" w:color="000000"/>
            </w:tcBorders>
          </w:tcPr>
          <w:p>
            <w:pPr>
              <w:pStyle w:val="CeldaAPA"/>
              <w:jc w:val="center"/>
            </w:pPr>
            <w:r>
              <w:rPr>
                <w:bCs/>
                <w:b/>
              </w:rPr>
              <w:t xml:space="preserve">Resistencia a la edad de ensayo (kg/cm</w:t>
            </w:r>
            <w:r>
              <w:rPr>
                <w:vertAlign w:val="superscript"/>
                <w:bCs/>
                <w:b/>
              </w:rPr>
              <w:t xml:space="preserve">2</w:t>
            </w:r>
            <w:r>
              <w:rPr>
                <w:bCs/>
                <w:b/>
              </w:rPr>
              <w:t xml:space="preserve">)</w:t>
            </w:r>
          </w:p>
        </w:tc>
        <w:tc>
          <w:tcPr>
            <w:tcW w:w="1046" w:type="dxa"/>
            <w:tcBorders>
              <w:top w:val="single" w:sz="8" w:space="0" w:color="000000"/>
              <w:bottom w:val="single" w:sz="4" w:space="0" w:color="000000"/>
            </w:tcBorders>
          </w:tcPr>
          <w:p>
            <w:pPr>
              <w:pStyle w:val="CeldaAPA"/>
              <w:jc w:val="center"/>
            </w:pPr>
            <w:r>
              <w:rPr>
                <w:bCs/>
                <w:b/>
              </w:rPr>
              <w:t xml:space="preserve">Factor de tiempo</w:t>
            </w:r>
          </w:p>
        </w:tc>
        <w:tc>
          <w:tcPr>
            <w:tcW w:w="1553" w:type="dxa"/>
            <w:tcBorders>
              <w:top w:val="single" w:sz="8" w:space="0" w:color="000000"/>
              <w:bottom w:val="single" w:sz="4" w:space="0" w:color="000000"/>
            </w:tcBorders>
          </w:tcPr>
          <w:p>
            <w:pPr>
              <w:pStyle w:val="CeldaAPA"/>
              <w:jc w:val="center"/>
            </w:pPr>
            <w:r>
              <w:rPr>
                <w:bCs/>
                <w:b/>
              </w:rPr>
              <w:t xml:space="preserve">Resistencia proyectada a 28 días (kg/cm</w:t>
            </w:r>
            <w:r>
              <w:rPr>
                <w:vertAlign w:val="superscript"/>
                <w:bCs/>
                <w:b/>
              </w:rPr>
              <w:t xml:space="preserve">2</w:t>
            </w:r>
            <w:r>
              <w:rPr>
                <w:bCs/>
                <w:b/>
              </w:rPr>
              <w:t xml:space="preserve">)</w:t>
            </w:r>
          </w:p>
        </w:tc>
      </w:tr>
      <w:tr>
        <w:tc>
          <w:tcPr>
            <w:tcW w:w="666" w:type="dxa"/>
          </w:tcPr>
          <w:p>
            <w:pPr>
              <w:pStyle w:val="CeldaAPA"/>
              <w:jc w:val="center"/>
            </w:pPr>
            <w:r>
              <w:rPr/>
              <w:t xml:space="preserve">1</w:t>
            </w:r>
          </w:p>
        </w:tc>
        <w:tc>
          <w:tcPr>
            <w:tcW w:w="1369" w:type="dxa"/>
          </w:tcPr>
          <w:p>
            <w:pPr>
              <w:pStyle w:val="CeldaAPA"/>
              <w:jc w:val="left"/>
            </w:pPr>
            <w:r>
              <w:rPr/>
              <w:t xml:space="preserve">Columna</w:t>
            </w:r>
          </w:p>
        </w:tc>
        <w:tc>
          <w:tcPr>
            <w:tcW w:w="1545" w:type="dxa"/>
          </w:tcPr>
          <w:p>
            <w:pPr>
              <w:pStyle w:val="CeldaAPA"/>
              <w:jc w:val="center"/>
            </w:pPr>
            <w:r>
              <w:rPr/>
              <w:t xml:space="preserve">01/10/2025</w:t>
            </w:r>
          </w:p>
        </w:tc>
        <w:tc>
          <w:tcPr>
            <w:tcW w:w="1005" w:type="dxa"/>
          </w:tcPr>
          <w:p>
            <w:pPr>
              <w:pStyle w:val="CeldaAPA"/>
              <w:jc w:val="center"/>
            </w:pPr>
            <w:r>
              <w:rPr/>
              <w:t xml:space="preserve">65</w:t>
            </w:r>
          </w:p>
        </w:tc>
        <w:tc>
          <w:tcPr>
            <w:tcW w:w="961" w:type="dxa"/>
          </w:tcPr>
          <w:p>
            <w:pPr>
              <w:pStyle w:val="CeldaAPA"/>
              <w:jc w:val="center"/>
            </w:pPr>
            <w:r>
              <w:rPr/>
              <w:t xml:space="preserve">56.200</w:t>
            </w:r>
          </w:p>
        </w:tc>
        <w:tc>
          <w:tcPr>
            <w:tcW w:w="1553" w:type="dxa"/>
          </w:tcPr>
          <w:p>
            <w:pPr>
              <w:pStyle w:val="CeldaAPA"/>
              <w:jc w:val="center"/>
            </w:pPr>
            <w:r>
              <w:rPr/>
              <w:t xml:space="preserve">308,1</w:t>
            </w:r>
          </w:p>
        </w:tc>
        <w:tc>
          <w:tcPr>
            <w:tcW w:w="1046" w:type="dxa"/>
          </w:tcPr>
          <w:p>
            <w:pPr>
              <w:pStyle w:val="CeldaAPA"/>
              <w:jc w:val="center"/>
            </w:pPr>
            <w:r>
              <w:rPr/>
              <w:t xml:space="preserve">0,877</w:t>
            </w:r>
          </w:p>
        </w:tc>
        <w:tc>
          <w:tcPr>
            <w:tcW w:w="1553" w:type="dxa"/>
          </w:tcPr>
          <w:p>
            <w:pPr>
              <w:pStyle w:val="CeldaAPA"/>
              <w:jc w:val="center"/>
            </w:pPr>
            <w:r>
              <w:rPr/>
              <w:t xml:space="preserve">270,2</w:t>
            </w:r>
          </w:p>
        </w:tc>
      </w:tr>
      <w:tr>
        <w:tc>
          <w:tcPr>
            <w:tcW w:w="666" w:type="dxa"/>
          </w:tcPr>
          <w:p>
            <w:pPr>
              <w:pStyle w:val="CeldaAPA"/>
              <w:jc w:val="center"/>
            </w:pPr>
            <w:r>
              <w:rPr/>
              <w:t xml:space="preserve">2</w:t>
            </w:r>
          </w:p>
        </w:tc>
        <w:tc>
          <w:tcPr>
            <w:tcW w:w="1369" w:type="dxa"/>
          </w:tcPr>
          <w:p>
            <w:pPr>
              <w:pStyle w:val="CeldaAPA"/>
              <w:jc w:val="left"/>
            </w:pPr>
            <w:r>
              <w:rPr/>
              <w:t xml:space="preserve">Columna</w:t>
            </w:r>
          </w:p>
        </w:tc>
        <w:tc>
          <w:tcPr>
            <w:tcW w:w="1545" w:type="dxa"/>
          </w:tcPr>
          <w:p>
            <w:pPr>
              <w:pStyle w:val="CeldaAPA"/>
              <w:jc w:val="center"/>
            </w:pPr>
            <w:r>
              <w:rPr/>
              <w:t xml:space="preserve">02/10/2025</w:t>
            </w:r>
          </w:p>
        </w:tc>
        <w:tc>
          <w:tcPr>
            <w:tcW w:w="1005" w:type="dxa"/>
          </w:tcPr>
          <w:p>
            <w:pPr>
              <w:pStyle w:val="CeldaAPA"/>
              <w:jc w:val="center"/>
            </w:pPr>
            <w:r>
              <w:rPr/>
              <w:t xml:space="preserve">64</w:t>
            </w:r>
          </w:p>
        </w:tc>
        <w:tc>
          <w:tcPr>
            <w:tcW w:w="961" w:type="dxa"/>
          </w:tcPr>
          <w:p>
            <w:pPr>
              <w:pStyle w:val="CeldaAPA"/>
              <w:jc w:val="center"/>
            </w:pPr>
            <w:r>
              <w:rPr/>
              <w:t xml:space="preserve">53.200</w:t>
            </w:r>
          </w:p>
        </w:tc>
        <w:tc>
          <w:tcPr>
            <w:tcW w:w="1553" w:type="dxa"/>
          </w:tcPr>
          <w:p>
            <w:pPr>
              <w:pStyle w:val="CeldaAPA"/>
              <w:jc w:val="center"/>
            </w:pPr>
            <w:r>
              <w:rPr/>
              <w:t xml:space="preserve">291,6</w:t>
            </w:r>
          </w:p>
        </w:tc>
        <w:tc>
          <w:tcPr>
            <w:tcW w:w="1046" w:type="dxa"/>
          </w:tcPr>
          <w:p>
            <w:pPr>
              <w:pStyle w:val="CeldaAPA"/>
              <w:jc w:val="center"/>
            </w:pPr>
            <w:r>
              <w:rPr/>
              <w:t xml:space="preserve">0,879</w:t>
            </w:r>
          </w:p>
        </w:tc>
        <w:tc>
          <w:tcPr>
            <w:tcW w:w="1553" w:type="dxa"/>
          </w:tcPr>
          <w:p>
            <w:pPr>
              <w:pStyle w:val="CeldaAPA"/>
              <w:jc w:val="center"/>
            </w:pPr>
            <w:r>
              <w:rPr/>
              <w:t xml:space="preserve">256,2</w:t>
            </w:r>
          </w:p>
        </w:tc>
      </w:tr>
      <w:tr>
        <w:tc>
          <w:tcPr>
            <w:tcW w:w="666" w:type="dxa"/>
          </w:tcPr>
          <w:p>
            <w:pPr>
              <w:pStyle w:val="CeldaAPA"/>
              <w:jc w:val="center"/>
            </w:pPr>
            <w:r>
              <w:rPr/>
              <w:t xml:space="preserve">3</w:t>
            </w:r>
          </w:p>
        </w:tc>
        <w:tc>
          <w:tcPr>
            <w:tcW w:w="1369" w:type="dxa"/>
          </w:tcPr>
          <w:p>
            <w:pPr>
              <w:pStyle w:val="CeldaAPA"/>
              <w:jc w:val="left"/>
            </w:pPr>
            <w:r>
              <w:rPr/>
              <w:t xml:space="preserve">Columna</w:t>
            </w:r>
          </w:p>
        </w:tc>
        <w:tc>
          <w:tcPr>
            <w:tcW w:w="1545" w:type="dxa"/>
          </w:tcPr>
          <w:p>
            <w:pPr>
              <w:pStyle w:val="CeldaAPA"/>
              <w:jc w:val="center"/>
            </w:pPr>
            <w:r>
              <w:rPr/>
              <w:t xml:space="preserve">02/10/2025</w:t>
            </w:r>
          </w:p>
        </w:tc>
        <w:tc>
          <w:tcPr>
            <w:tcW w:w="1005" w:type="dxa"/>
          </w:tcPr>
          <w:p>
            <w:pPr>
              <w:pStyle w:val="CeldaAPA"/>
              <w:jc w:val="center"/>
            </w:pPr>
            <w:r>
              <w:rPr/>
              <w:t xml:space="preserve">64</w:t>
            </w:r>
          </w:p>
        </w:tc>
        <w:tc>
          <w:tcPr>
            <w:tcW w:w="961" w:type="dxa"/>
          </w:tcPr>
          <w:p>
            <w:pPr>
              <w:pStyle w:val="CeldaAPA"/>
              <w:jc w:val="center"/>
            </w:pPr>
            <w:r>
              <w:rPr/>
              <w:t xml:space="preserve">53.600</w:t>
            </w:r>
          </w:p>
        </w:tc>
        <w:tc>
          <w:tcPr>
            <w:tcW w:w="1553" w:type="dxa"/>
          </w:tcPr>
          <w:p>
            <w:pPr>
              <w:pStyle w:val="CeldaAPA"/>
              <w:jc w:val="center"/>
            </w:pPr>
            <w:r>
              <w:rPr/>
              <w:t xml:space="preserve">293,8</w:t>
            </w:r>
          </w:p>
        </w:tc>
        <w:tc>
          <w:tcPr>
            <w:tcW w:w="1046" w:type="dxa"/>
          </w:tcPr>
          <w:p>
            <w:pPr>
              <w:pStyle w:val="CeldaAPA"/>
              <w:jc w:val="center"/>
            </w:pPr>
            <w:r>
              <w:rPr/>
              <w:t xml:space="preserve">0,879</w:t>
            </w:r>
          </w:p>
        </w:tc>
        <w:tc>
          <w:tcPr>
            <w:tcW w:w="1553" w:type="dxa"/>
          </w:tcPr>
          <w:p>
            <w:pPr>
              <w:pStyle w:val="CeldaAPA"/>
              <w:jc w:val="center"/>
            </w:pPr>
            <w:r>
              <w:rPr/>
              <w:t xml:space="preserve">258,2</w:t>
            </w:r>
          </w:p>
        </w:tc>
      </w:tr>
      <w:tr>
        <w:tc>
          <w:tcPr>
            <w:tcW w:w="666" w:type="dxa"/>
          </w:tcPr>
          <w:p>
            <w:pPr>
              <w:pStyle w:val="CeldaAPA"/>
              <w:jc w:val="center"/>
            </w:pPr>
            <w:r>
              <w:rPr/>
              <w:t xml:space="preserve">4</w:t>
            </w:r>
          </w:p>
        </w:tc>
        <w:tc>
          <w:tcPr>
            <w:tcW w:w="1369" w:type="dxa"/>
          </w:tcPr>
          <w:p>
            <w:pPr>
              <w:pStyle w:val="CeldaAPA"/>
              <w:jc w:val="left"/>
            </w:pPr>
            <w:r>
              <w:rPr/>
              <w:t xml:space="preserve">Columna</w:t>
            </w:r>
          </w:p>
        </w:tc>
        <w:tc>
          <w:tcPr>
            <w:tcW w:w="1545" w:type="dxa"/>
          </w:tcPr>
          <w:p>
            <w:pPr>
              <w:pStyle w:val="CeldaAPA"/>
              <w:jc w:val="center"/>
            </w:pPr>
            <w:r>
              <w:rPr/>
              <w:t xml:space="preserve">04/10/2025</w:t>
            </w:r>
          </w:p>
        </w:tc>
        <w:tc>
          <w:tcPr>
            <w:tcW w:w="1005" w:type="dxa"/>
          </w:tcPr>
          <w:p>
            <w:pPr>
              <w:pStyle w:val="CeldaAPA"/>
              <w:jc w:val="center"/>
            </w:pPr>
            <w:r>
              <w:rPr/>
              <w:t xml:space="preserve">62</w:t>
            </w:r>
          </w:p>
        </w:tc>
        <w:tc>
          <w:tcPr>
            <w:tcW w:w="961" w:type="dxa"/>
          </w:tcPr>
          <w:p>
            <w:pPr>
              <w:pStyle w:val="CeldaAPA"/>
              <w:jc w:val="center"/>
            </w:pPr>
            <w:r>
              <w:rPr/>
              <w:t xml:space="preserve">56.000</w:t>
            </w:r>
          </w:p>
        </w:tc>
        <w:tc>
          <w:tcPr>
            <w:tcW w:w="1553" w:type="dxa"/>
          </w:tcPr>
          <w:p>
            <w:pPr>
              <w:pStyle w:val="CeldaAPA"/>
              <w:jc w:val="center"/>
            </w:pPr>
            <w:r>
              <w:rPr/>
              <w:t xml:space="preserve">307,0</w:t>
            </w:r>
          </w:p>
        </w:tc>
        <w:tc>
          <w:tcPr>
            <w:tcW w:w="1046" w:type="dxa"/>
          </w:tcPr>
          <w:p>
            <w:pPr>
              <w:pStyle w:val="CeldaAPA"/>
              <w:jc w:val="center"/>
            </w:pPr>
            <w:r>
              <w:rPr/>
              <w:t xml:space="preserve">0,882</w:t>
            </w:r>
          </w:p>
        </w:tc>
        <w:tc>
          <w:tcPr>
            <w:tcW w:w="1553" w:type="dxa"/>
          </w:tcPr>
          <w:p>
            <w:pPr>
              <w:pStyle w:val="CeldaAPA"/>
              <w:jc w:val="center"/>
            </w:pPr>
            <w:r>
              <w:rPr/>
              <w:t xml:space="preserve">270,8</w:t>
            </w:r>
          </w:p>
        </w:tc>
      </w:tr>
      <w:tr>
        <w:tc>
          <w:tcPr>
            <w:tcW w:w="666" w:type="dxa"/>
          </w:tcPr>
          <w:p>
            <w:pPr>
              <w:pStyle w:val="CeldaAPA"/>
              <w:jc w:val="center"/>
            </w:pPr>
            <w:r>
              <w:rPr/>
              <w:t xml:space="preserve">5</w:t>
            </w:r>
          </w:p>
        </w:tc>
        <w:tc>
          <w:tcPr>
            <w:tcW w:w="1369" w:type="dxa"/>
          </w:tcPr>
          <w:p>
            <w:pPr>
              <w:pStyle w:val="CeldaAPA"/>
              <w:jc w:val="left"/>
            </w:pPr>
            <w:r>
              <w:rPr/>
              <w:t xml:space="preserve">Columna</w:t>
            </w:r>
          </w:p>
        </w:tc>
        <w:tc>
          <w:tcPr>
            <w:tcW w:w="1545" w:type="dxa"/>
          </w:tcPr>
          <w:p>
            <w:pPr>
              <w:pStyle w:val="CeldaAPA"/>
              <w:jc w:val="center"/>
            </w:pPr>
            <w:r>
              <w:rPr/>
              <w:t xml:space="preserve">04/10/2025</w:t>
            </w:r>
          </w:p>
        </w:tc>
        <w:tc>
          <w:tcPr>
            <w:tcW w:w="1005" w:type="dxa"/>
          </w:tcPr>
          <w:p>
            <w:pPr>
              <w:pStyle w:val="CeldaAPA"/>
              <w:jc w:val="center"/>
            </w:pPr>
            <w:r>
              <w:rPr/>
              <w:t xml:space="preserve">62</w:t>
            </w:r>
          </w:p>
        </w:tc>
        <w:tc>
          <w:tcPr>
            <w:tcW w:w="961" w:type="dxa"/>
          </w:tcPr>
          <w:p>
            <w:pPr>
              <w:pStyle w:val="CeldaAPA"/>
              <w:jc w:val="center"/>
            </w:pPr>
            <w:r>
              <w:rPr/>
              <w:t xml:space="preserve">55.000</w:t>
            </w:r>
          </w:p>
        </w:tc>
        <w:tc>
          <w:tcPr>
            <w:tcW w:w="1553" w:type="dxa"/>
          </w:tcPr>
          <w:p>
            <w:pPr>
              <w:pStyle w:val="CeldaAPA"/>
              <w:jc w:val="center"/>
            </w:pPr>
            <w:r>
              <w:rPr/>
              <w:t xml:space="preserve">301,5</w:t>
            </w:r>
          </w:p>
        </w:tc>
        <w:tc>
          <w:tcPr>
            <w:tcW w:w="1046" w:type="dxa"/>
          </w:tcPr>
          <w:p>
            <w:pPr>
              <w:pStyle w:val="CeldaAPA"/>
              <w:jc w:val="center"/>
            </w:pPr>
            <w:r>
              <w:rPr/>
              <w:t xml:space="preserve">0,882</w:t>
            </w:r>
          </w:p>
        </w:tc>
        <w:tc>
          <w:tcPr>
            <w:tcW w:w="1553" w:type="dxa"/>
          </w:tcPr>
          <w:p>
            <w:pPr>
              <w:pStyle w:val="CeldaAPA"/>
              <w:jc w:val="center"/>
            </w:pPr>
            <w:r>
              <w:rPr/>
              <w:t xml:space="preserve">266,0</w:t>
            </w:r>
          </w:p>
        </w:tc>
      </w:tr>
      <w:tr>
        <w:tc>
          <w:tcPr>
            <w:tcW w:w="666" w:type="dxa"/>
          </w:tcPr>
          <w:p>
            <w:pPr>
              <w:pStyle w:val="CeldaAPA"/>
              <w:jc w:val="center"/>
            </w:pPr>
            <w:r>
              <w:rPr/>
              <w:t xml:space="preserve">6</w:t>
            </w:r>
          </w:p>
        </w:tc>
        <w:tc>
          <w:tcPr>
            <w:tcW w:w="1369" w:type="dxa"/>
          </w:tcPr>
          <w:p>
            <w:pPr>
              <w:pStyle w:val="CeldaAPA"/>
              <w:jc w:val="left"/>
            </w:pPr>
            <w:r>
              <w:rPr/>
              <w:t xml:space="preserve">Columna</w:t>
            </w:r>
          </w:p>
        </w:tc>
        <w:tc>
          <w:tcPr>
            <w:tcW w:w="1545" w:type="dxa"/>
          </w:tcPr>
          <w:p>
            <w:pPr>
              <w:pStyle w:val="CeldaAPA"/>
              <w:jc w:val="center"/>
            </w:pPr>
            <w:r>
              <w:rPr/>
              <w:t xml:space="preserve">08/10/2025</w:t>
            </w:r>
          </w:p>
        </w:tc>
        <w:tc>
          <w:tcPr>
            <w:tcW w:w="1005" w:type="dxa"/>
          </w:tcPr>
          <w:p>
            <w:pPr>
              <w:pStyle w:val="CeldaAPA"/>
              <w:jc w:val="center"/>
            </w:pPr>
            <w:r>
              <w:rPr/>
              <w:t xml:space="preserve">58</w:t>
            </w:r>
          </w:p>
        </w:tc>
        <w:tc>
          <w:tcPr>
            <w:tcW w:w="961" w:type="dxa"/>
          </w:tcPr>
          <w:p>
            <w:pPr>
              <w:pStyle w:val="CeldaAPA"/>
              <w:jc w:val="center"/>
            </w:pPr>
            <w:r>
              <w:rPr/>
              <w:t xml:space="preserve">59.000</w:t>
            </w:r>
          </w:p>
        </w:tc>
        <w:tc>
          <w:tcPr>
            <w:tcW w:w="1553" w:type="dxa"/>
          </w:tcPr>
          <w:p>
            <w:pPr>
              <w:pStyle w:val="CeldaAPA"/>
              <w:jc w:val="center"/>
            </w:pPr>
            <w:r>
              <w:rPr/>
              <w:t xml:space="preserve">323,4</w:t>
            </w:r>
          </w:p>
        </w:tc>
        <w:tc>
          <w:tcPr>
            <w:tcW w:w="1046" w:type="dxa"/>
          </w:tcPr>
          <w:p>
            <w:pPr>
              <w:pStyle w:val="CeldaAPA"/>
              <w:jc w:val="center"/>
            </w:pPr>
            <w:r>
              <w:rPr/>
              <w:t xml:space="preserve">0,890</w:t>
            </w:r>
          </w:p>
        </w:tc>
        <w:tc>
          <w:tcPr>
            <w:tcW w:w="1553" w:type="dxa"/>
          </w:tcPr>
          <w:p>
            <w:pPr>
              <w:pStyle w:val="CeldaAPA"/>
              <w:jc w:val="center"/>
            </w:pPr>
            <w:r>
              <w:rPr/>
              <w:t xml:space="preserve">287,8</w:t>
            </w:r>
          </w:p>
        </w:tc>
      </w:tr>
      <w:tr>
        <w:tc>
          <w:tcPr>
            <w:tcW w:w="666" w:type="dxa"/>
          </w:tcPr>
          <w:p>
            <w:pPr>
              <w:pStyle w:val="CeldaAPA"/>
              <w:jc w:val="center"/>
            </w:pPr>
            <w:r>
              <w:rPr/>
              <w:t xml:space="preserve">7</w:t>
            </w:r>
          </w:p>
        </w:tc>
        <w:tc>
          <w:tcPr>
            <w:tcW w:w="1369" w:type="dxa"/>
          </w:tcPr>
          <w:p>
            <w:pPr>
              <w:pStyle w:val="CeldaAPA"/>
              <w:jc w:val="left"/>
            </w:pPr>
            <w:r>
              <w:rPr/>
              <w:t xml:space="preserve">Columna</w:t>
            </w:r>
          </w:p>
        </w:tc>
        <w:tc>
          <w:tcPr>
            <w:tcW w:w="1545" w:type="dxa"/>
          </w:tcPr>
          <w:p>
            <w:pPr>
              <w:pStyle w:val="CeldaAPA"/>
              <w:jc w:val="center"/>
            </w:pPr>
            <w:r>
              <w:rPr/>
              <w:t xml:space="preserve">08/10/2025</w:t>
            </w:r>
          </w:p>
        </w:tc>
        <w:tc>
          <w:tcPr>
            <w:tcW w:w="1005" w:type="dxa"/>
          </w:tcPr>
          <w:p>
            <w:pPr>
              <w:pStyle w:val="CeldaAPA"/>
              <w:jc w:val="center"/>
            </w:pPr>
            <w:r>
              <w:rPr/>
              <w:t xml:space="preserve">58</w:t>
            </w:r>
          </w:p>
        </w:tc>
        <w:tc>
          <w:tcPr>
            <w:tcW w:w="961" w:type="dxa"/>
          </w:tcPr>
          <w:p>
            <w:pPr>
              <w:pStyle w:val="CeldaAPA"/>
              <w:jc w:val="center"/>
            </w:pPr>
            <w:r>
              <w:rPr/>
              <w:t xml:space="preserve">52.000</w:t>
            </w:r>
          </w:p>
        </w:tc>
        <w:tc>
          <w:tcPr>
            <w:tcW w:w="1553" w:type="dxa"/>
          </w:tcPr>
          <w:p>
            <w:pPr>
              <w:pStyle w:val="CeldaAPA"/>
              <w:jc w:val="center"/>
            </w:pPr>
            <w:r>
              <w:rPr/>
              <w:t xml:space="preserve">285,1</w:t>
            </w:r>
          </w:p>
        </w:tc>
        <w:tc>
          <w:tcPr>
            <w:tcW w:w="1046" w:type="dxa"/>
          </w:tcPr>
          <w:p>
            <w:pPr>
              <w:pStyle w:val="CeldaAPA"/>
              <w:jc w:val="center"/>
            </w:pPr>
            <w:r>
              <w:rPr/>
              <w:t xml:space="preserve">0,890</w:t>
            </w:r>
          </w:p>
        </w:tc>
        <w:tc>
          <w:tcPr>
            <w:tcW w:w="1553" w:type="dxa"/>
          </w:tcPr>
          <w:p>
            <w:pPr>
              <w:pStyle w:val="CeldaAPA"/>
              <w:jc w:val="center"/>
            </w:pPr>
            <w:r>
              <w:rPr/>
              <w:t xml:space="preserve">253,6</w:t>
            </w:r>
          </w:p>
        </w:tc>
      </w:tr>
      <w:tr>
        <w:tc>
          <w:tcPr>
            <w:tcW w:w="666" w:type="dxa"/>
          </w:tcPr>
          <w:p>
            <w:pPr>
              <w:pStyle w:val="CeldaAPA"/>
              <w:jc w:val="center"/>
            </w:pPr>
            <w:r>
              <w:rPr/>
              <w:t xml:space="preserve">8</w:t>
            </w:r>
          </w:p>
        </w:tc>
        <w:tc>
          <w:tcPr>
            <w:tcW w:w="1369" w:type="dxa"/>
          </w:tcPr>
          <w:p>
            <w:pPr>
              <w:pStyle w:val="CeldaAPA"/>
              <w:jc w:val="left"/>
            </w:pPr>
            <w:r>
              <w:rPr/>
              <w:t xml:space="preserve">Columna</w:t>
            </w:r>
          </w:p>
        </w:tc>
        <w:tc>
          <w:tcPr>
            <w:tcW w:w="1545" w:type="dxa"/>
          </w:tcPr>
          <w:p>
            <w:pPr>
              <w:pStyle w:val="CeldaAPA"/>
              <w:jc w:val="center"/>
            </w:pPr>
            <w:r>
              <w:rPr/>
              <w:t xml:space="preserve">11/10/2025</w:t>
            </w:r>
          </w:p>
        </w:tc>
        <w:tc>
          <w:tcPr>
            <w:tcW w:w="1005" w:type="dxa"/>
          </w:tcPr>
          <w:p>
            <w:pPr>
              <w:pStyle w:val="CeldaAPA"/>
              <w:jc w:val="center"/>
            </w:pPr>
            <w:r>
              <w:rPr/>
              <w:t xml:space="preserve">55</w:t>
            </w:r>
          </w:p>
        </w:tc>
        <w:tc>
          <w:tcPr>
            <w:tcW w:w="961" w:type="dxa"/>
          </w:tcPr>
          <w:p>
            <w:pPr>
              <w:pStyle w:val="CeldaAPA"/>
              <w:jc w:val="center"/>
            </w:pPr>
            <w:r>
              <w:rPr/>
              <w:t xml:space="preserve">54.000</w:t>
            </w:r>
          </w:p>
        </w:tc>
        <w:tc>
          <w:tcPr>
            <w:tcW w:w="1553" w:type="dxa"/>
          </w:tcPr>
          <w:p>
            <w:pPr>
              <w:pStyle w:val="CeldaAPA"/>
              <w:jc w:val="center"/>
            </w:pPr>
            <w:r>
              <w:rPr/>
              <w:t xml:space="preserve">296,0</w:t>
            </w:r>
          </w:p>
        </w:tc>
        <w:tc>
          <w:tcPr>
            <w:tcW w:w="1046" w:type="dxa"/>
          </w:tcPr>
          <w:p>
            <w:pPr>
              <w:pStyle w:val="CeldaAPA"/>
              <w:jc w:val="center"/>
            </w:pPr>
            <w:r>
              <w:rPr/>
              <w:t xml:space="preserve">0,896</w:t>
            </w:r>
          </w:p>
        </w:tc>
        <w:tc>
          <w:tcPr>
            <w:tcW w:w="1553" w:type="dxa"/>
          </w:tcPr>
          <w:p>
            <w:pPr>
              <w:pStyle w:val="CeldaAPA"/>
              <w:jc w:val="center"/>
            </w:pPr>
            <w:r>
              <w:rPr/>
              <w:t xml:space="preserve">265,3</w:t>
            </w:r>
          </w:p>
        </w:tc>
      </w:tr>
      <w:tr>
        <w:tc>
          <w:tcPr>
            <w:tcW w:w="666" w:type="dxa"/>
          </w:tcPr>
          <w:p>
            <w:pPr>
              <w:pStyle w:val="CeldaAPA"/>
              <w:jc w:val="center"/>
            </w:pPr>
            <w:r>
              <w:rPr/>
              <w:t xml:space="preserve">9</w:t>
            </w:r>
          </w:p>
        </w:tc>
        <w:tc>
          <w:tcPr>
            <w:tcW w:w="1369" w:type="dxa"/>
          </w:tcPr>
          <w:p>
            <w:pPr>
              <w:pStyle w:val="CeldaAPA"/>
              <w:jc w:val="left"/>
            </w:pPr>
            <w:r>
              <w:rPr/>
              <w:t xml:space="preserve">Columna</w:t>
            </w:r>
          </w:p>
        </w:tc>
        <w:tc>
          <w:tcPr>
            <w:tcW w:w="1545" w:type="dxa"/>
          </w:tcPr>
          <w:p>
            <w:pPr>
              <w:pStyle w:val="CeldaAPA"/>
              <w:jc w:val="center"/>
            </w:pPr>
            <w:r>
              <w:rPr/>
              <w:t xml:space="preserve">11/10/2025</w:t>
            </w:r>
          </w:p>
        </w:tc>
        <w:tc>
          <w:tcPr>
            <w:tcW w:w="1005" w:type="dxa"/>
          </w:tcPr>
          <w:p>
            <w:pPr>
              <w:pStyle w:val="CeldaAPA"/>
              <w:jc w:val="center"/>
            </w:pPr>
            <w:r>
              <w:rPr/>
              <w:t xml:space="preserve">55</w:t>
            </w:r>
          </w:p>
        </w:tc>
        <w:tc>
          <w:tcPr>
            <w:tcW w:w="961" w:type="dxa"/>
          </w:tcPr>
          <w:p>
            <w:pPr>
              <w:pStyle w:val="CeldaAPA"/>
              <w:jc w:val="center"/>
            </w:pPr>
            <w:r>
              <w:rPr/>
              <w:t xml:space="preserve">55.000</w:t>
            </w:r>
          </w:p>
        </w:tc>
        <w:tc>
          <w:tcPr>
            <w:tcW w:w="1553" w:type="dxa"/>
          </w:tcPr>
          <w:p>
            <w:pPr>
              <w:pStyle w:val="CeldaAPA"/>
              <w:jc w:val="center"/>
            </w:pPr>
            <w:r>
              <w:rPr/>
              <w:t xml:space="preserve">301,5</w:t>
            </w:r>
          </w:p>
        </w:tc>
        <w:tc>
          <w:tcPr>
            <w:tcW w:w="1046" w:type="dxa"/>
          </w:tcPr>
          <w:p>
            <w:pPr>
              <w:pStyle w:val="CeldaAPA"/>
              <w:jc w:val="center"/>
            </w:pPr>
            <w:r>
              <w:rPr/>
              <w:t xml:space="preserve">0,896</w:t>
            </w:r>
          </w:p>
        </w:tc>
        <w:tc>
          <w:tcPr>
            <w:tcW w:w="1553" w:type="dxa"/>
          </w:tcPr>
          <w:p>
            <w:pPr>
              <w:pStyle w:val="CeldaAPA"/>
              <w:jc w:val="center"/>
            </w:pPr>
            <w:r>
              <w:rPr/>
              <w:t xml:space="preserve">270,2</w:t>
            </w:r>
          </w:p>
        </w:tc>
      </w:tr>
      <w:tr>
        <w:tc>
          <w:tcPr>
            <w:tcW w:w="666" w:type="dxa"/>
          </w:tcPr>
          <w:p>
            <w:pPr>
              <w:pStyle w:val="CeldaAPA"/>
              <w:jc w:val="center"/>
            </w:pPr>
            <w:r>
              <w:rPr/>
              <w:t xml:space="preserve">10</w:t>
            </w:r>
          </w:p>
        </w:tc>
        <w:tc>
          <w:tcPr>
            <w:tcW w:w="1369" w:type="dxa"/>
          </w:tcPr>
          <w:p>
            <w:pPr>
              <w:pStyle w:val="CeldaAPA"/>
              <w:jc w:val="left"/>
            </w:pPr>
            <w:r>
              <w:rPr/>
              <w:t xml:space="preserve">Columna</w:t>
            </w:r>
          </w:p>
        </w:tc>
        <w:tc>
          <w:tcPr>
            <w:tcW w:w="1545" w:type="dxa"/>
          </w:tcPr>
          <w:p>
            <w:pPr>
              <w:pStyle w:val="CeldaAPA"/>
              <w:jc w:val="center"/>
            </w:pPr>
            <w:r>
              <w:rPr/>
              <w:t xml:space="preserve">20/09/2025</w:t>
            </w:r>
          </w:p>
        </w:tc>
        <w:tc>
          <w:tcPr>
            <w:tcW w:w="1005" w:type="dxa"/>
          </w:tcPr>
          <w:p>
            <w:pPr>
              <w:pStyle w:val="CeldaAPA"/>
              <w:jc w:val="center"/>
            </w:pPr>
            <w:r>
              <w:rPr/>
              <w:t xml:space="preserve">76</w:t>
            </w:r>
          </w:p>
        </w:tc>
        <w:tc>
          <w:tcPr>
            <w:tcW w:w="961" w:type="dxa"/>
          </w:tcPr>
          <w:p>
            <w:pPr>
              <w:pStyle w:val="CeldaAPA"/>
              <w:jc w:val="center"/>
            </w:pPr>
            <w:r>
              <w:rPr/>
              <w:t xml:space="preserve">58.000</w:t>
            </w:r>
          </w:p>
        </w:tc>
        <w:tc>
          <w:tcPr>
            <w:tcW w:w="1553" w:type="dxa"/>
          </w:tcPr>
          <w:p>
            <w:pPr>
              <w:pStyle w:val="CeldaAPA"/>
              <w:jc w:val="center"/>
            </w:pPr>
            <w:r>
              <w:rPr/>
              <w:t xml:space="preserve">318,0</w:t>
            </w:r>
          </w:p>
        </w:tc>
        <w:tc>
          <w:tcPr>
            <w:tcW w:w="1046" w:type="dxa"/>
          </w:tcPr>
          <w:p>
            <w:pPr>
              <w:pStyle w:val="CeldaAPA"/>
              <w:jc w:val="center"/>
            </w:pPr>
            <w:r>
              <w:rPr/>
              <w:t xml:space="preserve">0,861</w:t>
            </w:r>
          </w:p>
        </w:tc>
        <w:tc>
          <w:tcPr>
            <w:tcW w:w="1553" w:type="dxa"/>
          </w:tcPr>
          <w:p>
            <w:pPr>
              <w:pStyle w:val="CeldaAPA"/>
              <w:jc w:val="center"/>
            </w:pPr>
            <w:r>
              <w:rPr/>
              <w:t xml:space="preserve">273,7</w:t>
            </w:r>
          </w:p>
        </w:tc>
      </w:tr>
      <w:tr>
        <w:tc>
          <w:tcPr>
            <w:tcW w:w="666" w:type="dxa"/>
          </w:tcPr>
          <w:p>
            <w:pPr>
              <w:pStyle w:val="CeldaAPA"/>
              <w:jc w:val="center"/>
            </w:pPr>
            <w:r>
              <w:rPr/>
              <w:t xml:space="preserve">11</w:t>
            </w:r>
          </w:p>
        </w:tc>
        <w:tc>
          <w:tcPr>
            <w:tcW w:w="1369" w:type="dxa"/>
          </w:tcPr>
          <w:p>
            <w:pPr>
              <w:pStyle w:val="CeldaAPA"/>
              <w:jc w:val="left"/>
            </w:pPr>
            <w:r>
              <w:rPr/>
              <w:t xml:space="preserve">Viga</w:t>
            </w:r>
          </w:p>
        </w:tc>
        <w:tc>
          <w:tcPr>
            <w:tcW w:w="1545" w:type="dxa"/>
          </w:tcPr>
          <w:p>
            <w:pPr>
              <w:pStyle w:val="CeldaAPA"/>
              <w:jc w:val="center"/>
            </w:pPr>
            <w:r>
              <w:rPr/>
              <w:t xml:space="preserve">20/09/2025</w:t>
            </w:r>
          </w:p>
        </w:tc>
        <w:tc>
          <w:tcPr>
            <w:tcW w:w="1005" w:type="dxa"/>
          </w:tcPr>
          <w:p>
            <w:pPr>
              <w:pStyle w:val="CeldaAPA"/>
              <w:jc w:val="center"/>
            </w:pPr>
            <w:r>
              <w:rPr/>
              <w:t xml:space="preserve">76</w:t>
            </w:r>
          </w:p>
        </w:tc>
        <w:tc>
          <w:tcPr>
            <w:tcW w:w="961" w:type="dxa"/>
          </w:tcPr>
          <w:p>
            <w:pPr>
              <w:pStyle w:val="CeldaAPA"/>
              <w:jc w:val="center"/>
            </w:pPr>
            <w:r>
              <w:rPr/>
              <w:t xml:space="preserve">55.400</w:t>
            </w:r>
          </w:p>
        </w:tc>
        <w:tc>
          <w:tcPr>
            <w:tcW w:w="1553" w:type="dxa"/>
          </w:tcPr>
          <w:p>
            <w:pPr>
              <w:pStyle w:val="CeldaAPA"/>
              <w:jc w:val="center"/>
            </w:pPr>
            <w:r>
              <w:rPr/>
              <w:t xml:space="preserve">303,7</w:t>
            </w:r>
          </w:p>
        </w:tc>
        <w:tc>
          <w:tcPr>
            <w:tcW w:w="1046" w:type="dxa"/>
          </w:tcPr>
          <w:p>
            <w:pPr>
              <w:pStyle w:val="CeldaAPA"/>
              <w:jc w:val="center"/>
            </w:pPr>
            <w:r>
              <w:rPr/>
              <w:t xml:space="preserve">0,861</w:t>
            </w:r>
          </w:p>
        </w:tc>
        <w:tc>
          <w:tcPr>
            <w:tcW w:w="1553" w:type="dxa"/>
          </w:tcPr>
          <w:p>
            <w:pPr>
              <w:pStyle w:val="CeldaAPA"/>
              <w:jc w:val="center"/>
            </w:pPr>
            <w:r>
              <w:rPr/>
              <w:t xml:space="preserve">261,4</w:t>
            </w:r>
          </w:p>
        </w:tc>
      </w:tr>
      <w:tr>
        <w:tc>
          <w:tcPr>
            <w:tcW w:w="666" w:type="dxa"/>
          </w:tcPr>
          <w:p>
            <w:pPr>
              <w:pStyle w:val="CeldaAPA"/>
              <w:jc w:val="center"/>
            </w:pPr>
            <w:r>
              <w:rPr/>
              <w:t xml:space="preserve">12</w:t>
            </w:r>
          </w:p>
        </w:tc>
        <w:tc>
          <w:tcPr>
            <w:tcW w:w="1369" w:type="dxa"/>
          </w:tcPr>
          <w:p>
            <w:pPr>
              <w:pStyle w:val="CeldaAPA"/>
              <w:jc w:val="left"/>
            </w:pPr>
            <w:r>
              <w:rPr/>
              <w:t xml:space="preserve">Viga</w:t>
            </w:r>
          </w:p>
        </w:tc>
        <w:tc>
          <w:tcPr>
            <w:tcW w:w="1545" w:type="dxa"/>
          </w:tcPr>
          <w:p>
            <w:pPr>
              <w:pStyle w:val="CeldaAPA"/>
              <w:jc w:val="center"/>
            </w:pPr>
            <w:r>
              <w:rPr/>
              <w:t xml:space="preserve">20/09/2025</w:t>
            </w:r>
          </w:p>
        </w:tc>
        <w:tc>
          <w:tcPr>
            <w:tcW w:w="1005" w:type="dxa"/>
          </w:tcPr>
          <w:p>
            <w:pPr>
              <w:pStyle w:val="CeldaAPA"/>
              <w:jc w:val="center"/>
            </w:pPr>
            <w:r>
              <w:rPr/>
              <w:t xml:space="preserve">76</w:t>
            </w:r>
          </w:p>
        </w:tc>
        <w:tc>
          <w:tcPr>
            <w:tcW w:w="961" w:type="dxa"/>
          </w:tcPr>
          <w:p>
            <w:pPr>
              <w:pStyle w:val="CeldaAPA"/>
              <w:jc w:val="center"/>
            </w:pPr>
            <w:r>
              <w:rPr/>
              <w:t xml:space="preserve">53.400</w:t>
            </w:r>
          </w:p>
        </w:tc>
        <w:tc>
          <w:tcPr>
            <w:tcW w:w="1553" w:type="dxa"/>
          </w:tcPr>
          <w:p>
            <w:pPr>
              <w:pStyle w:val="CeldaAPA"/>
              <w:jc w:val="center"/>
            </w:pPr>
            <w:r>
              <w:rPr/>
              <w:t xml:space="preserve">292,7</w:t>
            </w:r>
          </w:p>
        </w:tc>
        <w:tc>
          <w:tcPr>
            <w:tcW w:w="1046" w:type="dxa"/>
          </w:tcPr>
          <w:p>
            <w:pPr>
              <w:pStyle w:val="CeldaAPA"/>
              <w:jc w:val="center"/>
            </w:pPr>
            <w:r>
              <w:rPr/>
              <w:t xml:space="preserve">0,861</w:t>
            </w:r>
          </w:p>
        </w:tc>
        <w:tc>
          <w:tcPr>
            <w:tcW w:w="1553" w:type="dxa"/>
          </w:tcPr>
          <w:p>
            <w:pPr>
              <w:pStyle w:val="CeldaAPA"/>
              <w:jc w:val="center"/>
            </w:pPr>
            <w:r>
              <w:rPr/>
              <w:t xml:space="preserve">252,0</w:t>
            </w:r>
          </w:p>
        </w:tc>
      </w:tr>
      <w:tr>
        <w:tc>
          <w:tcPr>
            <w:tcW w:w="8145" w:type="dxa"/>
            <w:gridSpan w:val="7"/>
            <w:tcBorders>
              <w:top w:val="single" w:sz="4" w:space="0" w:color="000000"/>
            </w:tcBorders>
          </w:tcPr>
          <w:p>
            <w:pPr>
              <w:pStyle w:val="CeldaAPA"/>
              <w:jc w:val="left"/>
            </w:pPr>
            <w:r>
              <w:rPr/>
              <w:t xml:space="preserve">Columnas (</w:t>
            </w:r>
            <m:oMath>
              <m:r>
                <m:t>n</m:t>
              </m:r>
              <m:r>
                <m:rPr>
                  <m:sty m:val="p"/>
                </m:rPr>
                <m:t>=</m:t>
              </m:r>
              <m:r>
                <m:t>10</m:t>
              </m:r>
            </m:oMath>
            <w:r>
              <w:rPr/>
              <w:t xml:space="preserve">): media 267,2; desviación estándar 9,9; CV 3,7 %</w:t>
            </w:r>
          </w:p>
        </w:tc>
        <w:tc>
          <w:tcPr>
            <w:tcW w:w="1553" w:type="dxa"/>
            <w:tcBorders>
              <w:top w:val="single" w:sz="4" w:space="0" w:color="000000"/>
            </w:tcBorders>
          </w:tcPr>
          <w:p>
            <w:pPr>
              <w:pStyle w:val="CeldaAPA"/>
              <w:jc w:val="center"/>
            </w:pPr>
            <w:r>
              <w:rPr/>
              <w:t xml:space="preserve">253,6 – 287,8</w:t>
            </w:r>
          </w:p>
        </w:tc>
      </w:tr>
      <w:tr>
        <w:tc>
          <w:tcPr>
            <w:tcW w:w="8145" w:type="dxa"/>
            <w:gridSpan w:val="7"/>
          </w:tcPr>
          <w:p>
            <w:pPr>
              <w:pStyle w:val="CeldaAPA"/>
              <w:jc w:val="left"/>
            </w:pPr>
            <w:r>
              <w:rPr/>
              <w:t xml:space="preserve">Vigas (</w:t>
            </w:r>
            <m:oMath>
              <m:r>
                <m:t>n</m:t>
              </m:r>
              <m:r>
                <m:rPr>
                  <m:sty m:val="p"/>
                </m:rPr>
                <m:t>=</m:t>
              </m:r>
              <m:r>
                <m:t>2</m:t>
              </m:r>
            </m:oMath>
            <w:r>
              <w:rPr/>
              <w:t xml:space="preserve">): media 256,7; desviación estándar 6,6; CV 2,6 %</w:t>
            </w:r>
          </w:p>
        </w:tc>
        <w:tc>
          <w:tcPr>
            <w:tcW w:w="1553" w:type="dxa"/>
          </w:tcPr>
          <w:p>
            <w:pPr>
              <w:pStyle w:val="CeldaAPA"/>
              <w:jc w:val="center"/>
            </w:pPr>
            <w:r>
              <w:rPr/>
              <w:t xml:space="preserve">252,0 – 261,4</w:t>
            </w:r>
          </w:p>
        </w:tc>
      </w:tr>
      <w:tr>
        <w:tc>
          <w:tcPr>
            <w:tcW w:w="8145" w:type="dxa"/>
            <w:gridSpan w:val="7"/>
            <w:tcBorders>
              <w:bottom w:val="single" w:sz="8" w:space="0" w:color="000000"/>
            </w:tcBorders>
          </w:tcPr>
          <w:p>
            <w:pPr>
              <w:pStyle w:val="CeldaAPA"/>
              <w:jc w:val="left"/>
            </w:pPr>
            <w:r>
              <w:rPr/>
              <w:t xml:space="preserve">Losa alivianada</w:t>
            </w:r>
          </w:p>
        </w:tc>
        <w:tc>
          <w:tcPr>
            <w:tcW w:w="1553" w:type="dxa"/>
            <w:tcBorders>
              <w:bottom w:val="single" w:sz="8" w:space="0" w:color="000000"/>
            </w:tcBorders>
          </w:tcPr>
          <w:p>
            <w:pPr>
              <w:pStyle w:val="CeldaAPA"/>
              <w:jc w:val="center"/>
            </w:pPr>
            <w:r>
              <w:rPr/>
              <w:t xml:space="preserve">sin ensayos</w:t>
            </w:r>
          </w:p>
        </w:tc>
      </w:tr>
    </w:tbl>
    <w:p>
      <w:pPr>
        <w:pStyle w:val="NotaAPA"/>
      </w:pPr>
      <w:r>
        <w:rPr>
          <w:iCs/>
          <w:i/>
        </w:rPr>
        <w:t xml:space="preserve">Nota.</w:t>
      </w:r>
      <w:r>
        <w:t xml:space="preserve"> </w:t>
      </w:r>
      <w:r>
        <w:t xml:space="preserve">Transcrito del certificado del Laboratorio de Resistencia de Materiales y Tecnología del Hormigón de la Carrera de Ingeniería Civil de la UATF</w:t>
      </w:r>
      <w:r>
        <w:t xml:space="preserve"> </w:t>
      </w:r>
      <w:r>
        <w:t xml:space="preserve">(Laboratorio de Resistencia de Materiales y Tecnología del Hormigón, 2025)</w:t>
      </w:r>
      <w:r>
        <w:t xml:space="preserve">, adjunto a la Planilla de avance N.</w:t>
      </w:r>
      <w:r>
        <w:rPr>
          <w:vertAlign w:val="superscript"/>
        </w:rPr>
        <w:t xml:space="preserve">o</w:t>
      </w:r>
      <w:r>
        <w:t xml:space="preserve"> 2</w:t>
      </w:r>
      <w:r>
        <w:t xml:space="preserve"> </w:t>
      </w:r>
      <w:r>
        <w:t xml:space="preserve">(UATF, 2025, p. 78)</w:t>
      </w:r>
      <w:r>
        <w:t xml:space="preserve">. El certificado no tiene columna de fecha de ensayo; la fecha de la probeta más la edad coincide con el 05/12/2025 en las 12 filas. Estadísticos: cálculo propio. CV: coeficiente de variación.</w:t>
      </w:r>
    </w:p>
    <w:p>
      <w:pPr>
        <w:pStyle w:val="BodyText"/>
      </w:pPr>
      <w:r>
        <w:t xml:space="preserve">Los valores proyectados superan f’c = 250 kg/cm</w:t>
      </w:r>
      <w:r>
        <w:rPr>
          <w:vertAlign w:val="superscript"/>
        </w:rPr>
        <w:t xml:space="preserve">2</w:t>
      </w:r>
      <w:r>
        <w:t xml:space="preserve">, pero el control presenta cinco debilidades:</w:t>
      </w:r>
      <w:r>
        <w:t xml:space="preserve"> </w:t>
      </w:r>
      <w:r>
        <w:t xml:space="preserve">(i) no hay probetas de la losa alivianada, aunque el criterio de superficie de ACI 318-25 exige al menos una muestra por cada</w:t>
      </w:r>
      <w:r>
        <w:t xml:space="preserve"> </w:t>
      </w:r>
      <m:oMath>
        <m:r>
          <m:rPr>
            <m:sty m:val="p"/>
          </m:rPr>
          <m:t>≈</m:t>
        </m:r>
      </m:oMath>
      <w:r>
        <w:t xml:space="preserve"> 464,5 m</w:t>
      </w:r>
      <w:r>
        <w:rPr>
          <w:vertAlign w:val="superscript"/>
        </w:rPr>
        <w:t xml:space="preserve">2</w:t>
      </w:r>
      <w:r>
        <w:t xml:space="preserve"> </w:t>
      </w:r>
      <w:r>
        <w:t xml:space="preserve">de losa, es decir, al menos tres muestras para la primera losa</w:t>
      </w:r>
      <w:r>
        <w:t xml:space="preserve"> </w:t>
      </w:r>
      <w:r>
        <w:t xml:space="preserve">(ACI Committee 318, 2025, p. 603)</w:t>
      </w:r>
      <w:r>
        <w:t xml:space="preserve">; (ii) las probetas no se ensayaron a la edad especificada de 28 días, sino a 55–76 días, y se convirtieron con un factor de tiempo cuyo origen no se declara; (iii) las elaboró la propia contratista, sin muestreo independiente ni planilla de muestreo, cuando la norma exige que los ensayos del hormigón fresco y la elaboración de probetas estén a cargo de técnicos certificados</w:t>
      </w:r>
      <w:r>
        <w:t xml:space="preserve"> </w:t>
      </w:r>
      <w:r>
        <w:t xml:space="preserve">(ACI Committee 318, 2025, p. 602)</w:t>
      </w:r>
      <w:r>
        <w:t xml:space="preserve">; (iv) el certificado no identifica la muestra ni la amasada de cada probeta, de modo que no pueden formarse «ensayos de resistencia» como promedio de dos probetas de una misma muestra</w:t>
      </w:r>
      <w:r>
        <w:t xml:space="preserve"> </w:t>
      </w:r>
      <w:r>
        <w:t xml:space="preserve">(ACI Committee 318, 2025, p. 601)</w:t>
      </w:r>
      <w:r>
        <w:t xml:space="preserve">; y (v) cuatro de los doce valores están por debajo de 260 kg/cm</w:t>
      </w:r>
      <w:r>
        <w:rPr>
          <w:vertAlign w:val="superscript"/>
        </w:rPr>
        <w:t xml:space="preserve">2</w:t>
      </w:r>
      <w:r>
        <w:t xml:space="preserve">, con poco margen sobre la resistencia especificada.</w:t>
      </w:r>
      <w:r>
        <w:t xml:space="preserve"> </w:t>
      </w:r>
      <w:r>
        <w:t xml:space="preserve">Además, la primera losa se certificó para pago el 8 de diciembre de 2025</w:t>
      </w:r>
      <w:r>
        <w:t xml:space="preserve"> </w:t>
      </w:r>
      <w:r>
        <w:t xml:space="preserve">(UATF, 2025, p. 16)</w:t>
      </w:r>
      <w:r>
        <w:t xml:space="preserve">, antes del 26 de diciembre, primera fecha en que su hormigón, vaciado después de la autorización del 28 de noviembre, podía cumplir 28 días (cálculo propio). En la documentación revisada no constan ensayos posteriores del hormigón de la losa.</w:t>
      </w:r>
    </w:p>
    <w:p>
      <w:pPr>
        <w:pStyle w:val="Heading4"/>
      </w:pPr>
      <w:bookmarkStart w:id="137" w:name="tit100"/>
      <w:r>
        <w:t xml:space="preserve">2.5.2.2. Recomendaciones y afirmaciones de la Supervisión.</w:t>
      </w:r>
      <w:bookmarkEnd w:id="137"/>
    </w:p>
    <w:p>
      <w:pPr>
        <w:pStyle w:val="FirstParagraph"/>
      </w:pPr>
      <w:r>
        <w:t xml:space="preserve">En su informe de la Planilla N.</w:t>
      </w:r>
      <w:r>
        <w:rPr>
          <w:vertAlign w:val="superscript"/>
        </w:rPr>
        <w:t xml:space="preserve">o</w:t>
      </w:r>
      <w:r>
        <w:t xml:space="preserve"> 2, la Supervisión recomendó a la contratista «presentar las garantías de todos los materiales empleados en obra», «realizar la rotura de probetas de los elementos vaciados» y «presentar las dosificaciones para los diferentes tipos de elementos»</w:t>
      </w:r>
      <w:r>
        <w:t xml:space="preserve"> </w:t>
      </w:r>
      <w:r>
        <w:t xml:space="preserve">(UATF, 2025, p. 9)</w:t>
      </w:r>
      <w:r>
        <w:t xml:space="preserve">. Al cierre del periodo en que se ejecutó la losa no se contaba, por tanto, con esos controles básicos. Dos páginas después, el mismo informe afirma que «los trabajos realizados durante el periodo presentan buena calidad», que se verificaron los materiales, los encofrados y las armaduras, y que se realizó la rotura de probetas en el laboratorio de la UATF</w:t>
      </w:r>
      <w:r>
        <w:t xml:space="preserve"> </w:t>
      </w:r>
      <w:r>
        <w:t xml:space="preserve">(UATF, 2025, p. 11)</w:t>
      </w:r>
      <w:r>
        <w:t xml:space="preserve">. Ninguna de las dos páginas indica qué elementos se ensayaron ni con qué registros se verificaron los materiales. La calificación de la calidad carece de evidencia objetiva y contradice las recomendaciones de la p. 9; para la losa, el único certificado disponible no contiene ninguna probeta.</w:t>
      </w:r>
    </w:p>
    <w:p>
      <w:pPr>
        <w:pStyle w:val="Heading4"/>
      </w:pPr>
      <w:bookmarkStart w:id="138" w:name="tit101"/>
      <w:r>
        <w:t xml:space="preserve">2.5.2.3. Libro de Órdenes.</w:t>
      </w:r>
      <w:bookmarkEnd w:id="138"/>
    </w:p>
    <w:p>
      <w:pPr>
        <w:pStyle w:val="FirstParagraph"/>
      </w:pPr>
      <w:r>
        <w:t xml:space="preserve">La copia del Libro de Órdenes adjunta a la Planilla N.</w:t>
      </w:r>
      <w:r>
        <w:rPr>
          <w:vertAlign w:val="superscript"/>
        </w:rPr>
        <w:t xml:space="preserve">o</w:t>
      </w:r>
      <w:r>
        <w:t xml:space="preserve"> 2 comprende 12 hojas notariales (N.</w:t>
      </w:r>
      <w:r>
        <w:rPr>
          <w:vertAlign w:val="superscript"/>
        </w:rPr>
        <w:t xml:space="preserve">o</w:t>
      </w:r>
      <w:r>
        <w:t xml:space="preserve"> 000019 a 000030) con 24 asientos, del 10 de septiembre al 28 de noviembre de 2025</w:t>
      </w:r>
      <w:r>
        <w:t xml:space="preserve"> </w:t>
      </w:r>
      <w:r>
        <w:t xml:space="preserve">(UATF, 2025, pp. 114–125)</w:t>
      </w:r>
      <w:r>
        <w:t xml:space="preserve">. La Tabla 24 resume su contenido.</w:t>
      </w:r>
    </w:p>
    <w:p>
      <w:pPr>
        <w:pStyle w:val="Caption"/>
      </w:pPr>
      <w:bookmarkStart w:id="1423" w:name="tab24"/>
      <w:r>
        <w:t xml:space="preserve"/>
      </w:r>
      <w:r>
        <w:rPr>
          <w:bCs/>
          <w:b/>
        </w:rPr>
        <w:t xml:space="preserve">Tabla 24</w:t>
      </w:r>
      <w:r>
        <w:br/>
      </w:r>
      <w:r>
        <w:rPr>
          <w:iCs/>
          <w:i/>
        </w:rPr>
        <w:t xml:space="preserve">Síntesis del Libro de Órdenes del periodo de ejecución de la primera losa</w:t>
      </w:r>
      <w:bookmarkEnd w:id="1423"/>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3277"/>
        <w:gridCol w:w="1803"/>
        <w:gridCol w:w="4280"/>
      </w:tblGrid>
      <w:tr>
        <w:trPr>
          <w:cantSplit/>
          <w:tblHeader w:val="true"/>
        </w:trPr>
        <w:tc>
          <w:tcPr>
            <w:tcW w:w="3277" w:type="dxa"/>
            <w:tcBorders>
              <w:top w:val="single" w:sz="8" w:space="0" w:color="000000"/>
              <w:bottom w:val="single" w:sz="4" w:space="0" w:color="000000"/>
            </w:tcBorders>
          </w:tcPr>
          <w:p>
            <w:pPr>
              <w:pStyle w:val="CeldaAPA"/>
              <w:jc w:val="center"/>
            </w:pPr>
            <w:r>
              <w:rPr>
                <w:bCs/>
                <w:b/>
              </w:rPr>
              <w:t xml:space="preserve">Indicador</w:t>
            </w:r>
          </w:p>
        </w:tc>
        <w:tc>
          <w:tcPr>
            <w:tcW w:w="1803" w:type="dxa"/>
            <w:tcBorders>
              <w:top w:val="single" w:sz="8" w:space="0" w:color="000000"/>
              <w:bottom w:val="single" w:sz="4" w:space="0" w:color="000000"/>
            </w:tcBorders>
          </w:tcPr>
          <w:p>
            <w:pPr>
              <w:pStyle w:val="CeldaAPA"/>
              <w:jc w:val="center"/>
            </w:pPr>
            <w:r>
              <w:rPr>
                <w:bCs/>
                <w:b/>
              </w:rPr>
              <w:t xml:space="preserve">Valor</w:t>
            </w:r>
          </w:p>
        </w:tc>
        <w:tc>
          <w:tcPr>
            <w:tcW w:w="4280" w:type="dxa"/>
            <w:tcBorders>
              <w:top w:val="single" w:sz="8" w:space="0" w:color="000000"/>
              <w:bottom w:val="single" w:sz="4" w:space="0" w:color="000000"/>
            </w:tcBorders>
          </w:tcPr>
          <w:p>
            <w:pPr>
              <w:pStyle w:val="CeldaAPA"/>
              <w:jc w:val="center"/>
            </w:pPr>
            <w:r>
              <w:rPr>
                <w:bCs/>
                <w:b/>
              </w:rPr>
              <w:t xml:space="preserve">Observación</w:t>
            </w:r>
          </w:p>
        </w:tc>
      </w:tr>
      <w:tr>
        <w:tc>
          <w:tcPr>
            <w:tcW w:w="3277" w:type="dxa"/>
          </w:tcPr>
          <w:p>
            <w:pPr>
              <w:pStyle w:val="CeldaAPA"/>
              <w:jc w:val="left"/>
            </w:pPr>
            <w:r>
              <w:rPr/>
              <w:t xml:space="preserve">Asientos</w:t>
            </w:r>
          </w:p>
        </w:tc>
        <w:tc>
          <w:tcPr>
            <w:tcW w:w="1803" w:type="dxa"/>
          </w:tcPr>
          <w:p>
            <w:pPr>
              <w:pStyle w:val="CeldaAPA"/>
              <w:jc w:val="left"/>
            </w:pPr>
            <w:r>
              <w:rPr/>
              <w:t xml:space="preserve">24 (12 del Director de Obra y 12 de la Supervisión)</w:t>
            </w:r>
          </w:p>
        </w:tc>
        <w:tc>
          <w:tcPr>
            <w:tcW w:w="4280" w:type="dxa"/>
          </w:tcPr>
          <w:p>
            <w:pPr>
              <w:pStyle w:val="CeldaAPA"/>
              <w:jc w:val="left"/>
            </w:pPr>
            <w:r>
              <w:rPr/>
              <w:t xml:space="preserve">Respuesta de la Supervisión el mismo día en los 12 casos</w:t>
            </w:r>
          </w:p>
        </w:tc>
      </w:tr>
      <w:tr>
        <w:tc>
          <w:tcPr>
            <w:tcW w:w="3277" w:type="dxa"/>
          </w:tcPr>
          <w:p>
            <w:pPr>
              <w:pStyle w:val="CeldaAPA"/>
              <w:jc w:val="left"/>
            </w:pPr>
            <w:r>
              <w:rPr/>
              <w:t xml:space="preserve">Solicitudes de verificación y vaciado</w:t>
            </w:r>
          </w:p>
        </w:tc>
        <w:tc>
          <w:tcPr>
            <w:tcW w:w="1803" w:type="dxa"/>
          </w:tcPr>
          <w:p>
            <w:pPr>
              <w:pStyle w:val="CeldaAPA"/>
              <w:jc w:val="left"/>
            </w:pPr>
            <w:r>
              <w:rPr/>
              <w:t xml:space="preserve">8</w:t>
            </w:r>
          </w:p>
        </w:tc>
        <w:tc>
          <w:tcPr>
            <w:tcW w:w="4280" w:type="dxa"/>
          </w:tcPr>
          <w:p>
            <w:pPr>
              <w:pStyle w:val="CeldaAPA"/>
              <w:jc w:val="left"/>
            </w:pPr>
            <w:r>
              <w:rPr/>
              <w:t xml:space="preserve">8 autorizadas el mismo día (100 %)</w:t>
            </w:r>
          </w:p>
        </w:tc>
      </w:tr>
      <w:tr>
        <w:tc>
          <w:tcPr>
            <w:tcW w:w="3277" w:type="dxa"/>
          </w:tcPr>
          <w:p>
            <w:pPr>
              <w:pStyle w:val="CeldaAPA"/>
              <w:jc w:val="left"/>
            </w:pPr>
            <w:r>
              <w:rPr/>
              <w:t xml:space="preserve">Elementos cuyo vaciado se autorizó</w:t>
            </w:r>
          </w:p>
        </w:tc>
        <w:tc>
          <w:tcPr>
            <w:tcW w:w="1803" w:type="dxa"/>
          </w:tcPr>
          <w:p>
            <w:pPr>
              <w:pStyle w:val="CeldaAPA"/>
              <w:jc w:val="left"/>
            </w:pPr>
            <w:r>
              <w:rPr/>
              <w:t xml:space="preserve">5 columnas de arranque, 7 ejes de vigas de arriostre, 75 columnas y la losa del primer nivel</w:t>
            </w:r>
          </w:p>
        </w:tc>
        <w:tc>
          <w:tcPr>
            <w:tcW w:w="4280" w:type="dxa"/>
          </w:tcPr>
          <w:p>
            <w:pPr>
              <w:pStyle w:val="CeldaAPA"/>
              <w:jc w:val="left"/>
            </w:pPr>
            <w:r>
              <w:rPr/>
              <w:t xml:space="preserve">La losa, el 28/11/2025, «desde dos frentes»</w:t>
            </w:r>
          </w:p>
        </w:tc>
      </w:tr>
      <w:tr>
        <w:tc>
          <w:tcPr>
            <w:tcW w:w="3277" w:type="dxa"/>
          </w:tcPr>
          <w:p>
            <w:pPr>
              <w:pStyle w:val="CeldaAPA"/>
              <w:jc w:val="left"/>
            </w:pPr>
            <w:r>
              <w:rPr/>
              <w:t xml:space="preserve">No conformidades, rechazos, órdenes de corrección o retrabajos</w:t>
            </w:r>
          </w:p>
        </w:tc>
        <w:tc>
          <w:tcPr>
            <w:tcW w:w="1803" w:type="dxa"/>
          </w:tcPr>
          <w:p>
            <w:pPr>
              <w:pStyle w:val="CeldaAPA"/>
              <w:jc w:val="left"/>
            </w:pPr>
            <w:r>
              <w:rPr/>
              <w:t xml:space="preserve">0</w:t>
            </w:r>
          </w:p>
        </w:tc>
        <w:tc>
          <w:tcPr>
            <w:tcW w:w="4280" w:type="dxa"/>
          </w:tcPr>
          <w:p>
            <w:pPr>
              <w:pStyle w:val="CeldaAPA"/>
              <w:jc w:val="left"/>
            </w:pPr>
            <w:r>
              <w:rPr/>
              <w:t xml:space="preserve">Ningún asiento registra defectos</w:t>
            </w:r>
          </w:p>
        </w:tc>
      </w:tr>
      <w:tr>
        <w:tc>
          <w:tcPr>
            <w:tcW w:w="3277" w:type="dxa"/>
          </w:tcPr>
          <w:p>
            <w:pPr>
              <w:pStyle w:val="CeldaAPA"/>
              <w:jc w:val="left"/>
            </w:pPr>
            <w:r>
              <w:rPr/>
              <w:t xml:space="preserve">Instrucciones de calidad</w:t>
            </w:r>
          </w:p>
        </w:tc>
        <w:tc>
          <w:tcPr>
            <w:tcW w:w="1803" w:type="dxa"/>
          </w:tcPr>
          <w:p>
            <w:pPr>
              <w:pStyle w:val="CeldaAPA"/>
              <w:jc w:val="left"/>
            </w:pPr>
            <w:r>
              <w:rPr/>
              <w:t xml:space="preserve">3 específicas y 3 genéricas</w:t>
            </w:r>
          </w:p>
        </w:tc>
        <w:tc>
          <w:tcPr>
            <w:tcW w:w="4280" w:type="dxa"/>
          </w:tcPr>
          <w:p>
            <w:pPr>
              <w:pStyle w:val="CeldaAPA"/>
              <w:jc w:val="left"/>
            </w:pPr>
            <w:r>
              <w:rPr/>
              <w:t xml:space="preserve">Dosificación (23/10); contenido de agua y toma de muestras (31/10); especificaciones, dosificaciones y curado (28/11), sin registro asociado</w:t>
            </w:r>
          </w:p>
        </w:tc>
      </w:tr>
      <w:tr>
        <w:tc>
          <w:tcPr>
            <w:tcW w:w="3277" w:type="dxa"/>
          </w:tcPr>
          <w:p>
            <w:pPr>
              <w:pStyle w:val="CeldaAPA"/>
              <w:jc w:val="left"/>
            </w:pPr>
            <w:r>
              <w:rPr/>
              <w:t xml:space="preserve">Instrucción de muestreo al autorizar la losa</w:t>
            </w:r>
          </w:p>
        </w:tc>
        <w:tc>
          <w:tcPr>
            <w:tcW w:w="1803" w:type="dxa"/>
          </w:tcPr>
          <w:p>
            <w:pPr>
              <w:pStyle w:val="CeldaAPA"/>
              <w:jc w:val="left"/>
            </w:pPr>
            <w:r>
              <w:rPr/>
              <w:t xml:space="preserve">No</w:t>
            </w:r>
          </w:p>
        </w:tc>
        <w:tc>
          <w:tcPr>
            <w:tcW w:w="4280" w:type="dxa"/>
          </w:tcPr>
          <w:p>
            <w:pPr>
              <w:pStyle w:val="CeldaAPA"/>
              <w:jc w:val="left"/>
            </w:pPr>
            <w:r>
              <w:rPr/>
              <w:t xml:space="preserve">Sí se instruyó el 31/10/2025 para columnas</w:t>
            </w:r>
          </w:p>
        </w:tc>
      </w:tr>
      <w:tr>
        <w:tc>
          <w:tcPr>
            <w:tcW w:w="3277" w:type="dxa"/>
          </w:tcPr>
          <w:p>
            <w:pPr>
              <w:pStyle w:val="CeldaAPA"/>
              <w:jc w:val="left"/>
            </w:pPr>
            <w:r>
              <w:rPr/>
              <w:t xml:space="preserve">Días de lluvia notificados</w:t>
            </w:r>
          </w:p>
        </w:tc>
        <w:tc>
          <w:tcPr>
            <w:tcW w:w="1803" w:type="dxa"/>
          </w:tcPr>
          <w:p>
            <w:pPr>
              <w:pStyle w:val="CeldaAPA"/>
              <w:jc w:val="left"/>
            </w:pPr>
            <w:r>
              <w:rPr/>
              <w:t xml:space="preserve">7</w:t>
            </w:r>
          </w:p>
        </w:tc>
        <w:tc>
          <w:tcPr>
            <w:tcW w:w="4280" w:type="dxa"/>
          </w:tcPr>
          <w:p>
            <w:pPr>
              <w:pStyle w:val="CeldaAPA"/>
              <w:jc w:val="left"/>
            </w:pPr>
            <w:r>
              <w:rPr/>
              <w:t xml:space="preserve">09/09, 14/09, 17/09, 15/10, 12/11, 13/11 y 21/11/2025</w:t>
            </w:r>
          </w:p>
        </w:tc>
      </w:tr>
      <w:tr>
        <w:tc>
          <w:tcPr>
            <w:tcW w:w="3277" w:type="dxa"/>
          </w:tcPr>
          <w:p>
            <w:pPr>
              <w:pStyle w:val="CeldaAPA"/>
              <w:jc w:val="left"/>
            </w:pPr>
            <w:r>
              <w:rPr/>
              <w:t xml:space="preserve">Demoras de materiales por escasez de combustible</w:t>
            </w:r>
          </w:p>
        </w:tc>
        <w:tc>
          <w:tcPr>
            <w:tcW w:w="1803" w:type="dxa"/>
          </w:tcPr>
          <w:p>
            <w:pPr>
              <w:pStyle w:val="CeldaAPA"/>
              <w:jc w:val="left"/>
            </w:pPr>
            <w:r>
              <w:rPr/>
              <w:t xml:space="preserve">1 asiento</w:t>
            </w:r>
          </w:p>
        </w:tc>
        <w:tc>
          <w:tcPr>
            <w:tcW w:w="4280" w:type="dxa"/>
          </w:tcPr>
          <w:p>
            <w:pPr>
              <w:pStyle w:val="CeldaAPA"/>
              <w:jc w:val="left"/>
            </w:pPr>
            <w:r>
              <w:rPr/>
              <w:t xml:space="preserve">17/11/2025</w:t>
            </w:r>
          </w:p>
        </w:tc>
      </w:tr>
      <w:tr>
        <w:tc>
          <w:tcPr>
            <w:tcW w:w="3277" w:type="dxa"/>
          </w:tcPr>
          <w:p>
            <w:pPr>
              <w:pStyle w:val="CeldaAPA"/>
              <w:jc w:val="left"/>
            </w:pPr>
            <w:r>
              <w:rPr/>
              <w:t xml:space="preserve">Constancia firmada del Director de Obra</w:t>
            </w:r>
          </w:p>
        </w:tc>
        <w:tc>
          <w:tcPr>
            <w:tcW w:w="1803" w:type="dxa"/>
          </w:tcPr>
          <w:p>
            <w:pPr>
              <w:pStyle w:val="CeldaAPA"/>
              <w:jc w:val="left"/>
            </w:pPr>
            <w:r>
              <w:rPr/>
              <w:t xml:space="preserve">0 de 12 hojas</w:t>
            </w:r>
          </w:p>
        </w:tc>
        <w:tc>
          <w:tcPr>
            <w:tcW w:w="4280" w:type="dxa"/>
          </w:tcPr>
          <w:p>
            <w:pPr>
              <w:pStyle w:val="CeldaAPA"/>
              <w:jc w:val="left"/>
            </w:pPr>
            <w:r>
              <w:rPr/>
              <w:t xml:space="preserve">Exigida por la cláusula 25.ª</w:t>
            </w:r>
          </w:p>
        </w:tc>
      </w:tr>
      <w:tr>
        <w:tc>
          <w:tcPr>
            <w:tcW w:w="3277" w:type="dxa"/>
            <w:tcBorders>
              <w:bottom w:val="single" w:sz="8" w:space="0" w:color="000000"/>
            </w:tcBorders>
          </w:tcPr>
          <w:p>
            <w:pPr>
              <w:pStyle w:val="CeldaAPA"/>
              <w:jc w:val="left"/>
            </w:pPr>
            <w:r>
              <w:rPr/>
              <w:t xml:space="preserve">Encabezado (contratante, obra, fecha)</w:t>
            </w:r>
          </w:p>
        </w:tc>
        <w:tc>
          <w:tcPr>
            <w:tcW w:w="1803" w:type="dxa"/>
            <w:tcBorders>
              <w:bottom w:val="single" w:sz="8" w:space="0" w:color="000000"/>
            </w:tcBorders>
          </w:tcPr>
          <w:p>
            <w:pPr>
              <w:pStyle w:val="CeldaAPA"/>
              <w:jc w:val="left"/>
            </w:pPr>
            <w:r>
              <w:rPr/>
              <w:t xml:space="preserve">Vacío en las 12 hojas</w:t>
            </w:r>
          </w:p>
        </w:tc>
        <w:tc>
          <w:tcPr>
            <w:tcW w:w="4280" w:type="dxa"/>
            <w:tcBorders>
              <w:bottom w:val="single" w:sz="8" w:space="0" w:color="000000"/>
            </w:tcBorders>
          </w:tcPr>
          <w:p>
            <w:pPr>
              <w:pStyle w:val="CeldaAPA"/>
              <w:jc w:val="left"/>
            </w:pPr>
            <w:r>
              <w:rPr/>
              <w:t xml:space="preserve">—</w:t>
            </w:r>
          </w:p>
        </w:tc>
      </w:tr>
    </w:tbl>
    <w:p>
      <w:pPr>
        <w:pStyle w:val="NotaAPA"/>
      </w:pPr>
      <w:r>
        <w:rPr>
          <w:iCs/>
          <w:i/>
        </w:rPr>
        <w:t xml:space="preserve">Nota.</w:t>
      </w:r>
      <w:r>
        <w:t xml:space="preserve"> </w:t>
      </w:r>
      <w:r>
        <w:t xml:space="preserve">Elaborado con base en</w:t>
      </w:r>
      <w:r>
        <w:t xml:space="preserve"> </w:t>
      </w:r>
      <w:r>
        <w:t xml:space="preserve">UATF (2025, pp. 100, 114–125)</w:t>
      </w:r>
      <w:r>
        <w:t xml:space="preserve">. Cálculos propios sobre la transcripción completa de los 24 asientos.</w:t>
      </w:r>
    </w:p>
    <w:p>
      <w:pPr>
        <w:pStyle w:val="BodyText"/>
      </w:pPr>
      <w:r>
        <w:t xml:space="preserve">El Libro de Órdenes funcionó como canal de comunicación, pero no como registro de control de la calidad. Todas las solicitudes se aprobaron el mismo día sin observaciones; las instrucciones sobre dosificación, contenido de agua y curado se repitieron sin que conste una dosificación aprobada, un control de asentamiento o un registro de curado. El 28 de noviembre de 2025 la Supervisión informó que había verificado «la losa, instalaciones, agregados, etc.» y autorizó el vaciado «desde dos frentes»; a diferencia de la autorización del 31 de octubre para columnas, no instruyó tomar probetas</w:t>
      </w:r>
      <w:r>
        <w:t xml:space="preserve"> </w:t>
      </w:r>
      <w:r>
        <w:t xml:space="preserve">(UATF, 2025, pp. 121, 125)</w:t>
      </w:r>
      <w:r>
        <w:t xml:space="preserve">. No se registró la fecha real del hormigonado; como la losa se certificó completa en la planilla cerrada el 8 de diciembre, se infiere que se vació entre esas dos fechas. Que no haya no conformidades registradas no prueba que no hubiera defectos: muestra que el instrumento contractual de control no dejó constancia de ellos. Los asientos posteriores, copiados en el expediente del ítem 13, registran la autorización del vaciado de las columnas del segundo nivel, el 16 de diciembre, y la carta notariada del 5 de enero de 2026</w:t>
      </w:r>
      <w:r>
        <w:t xml:space="preserve"> </w:t>
      </w:r>
      <w:r>
        <w:t xml:space="preserve">(UATF, s. f.-b, pp. 13–14)</w:t>
      </w:r>
      <w:r>
        <w:t xml:space="preserve">.</w:t>
      </w:r>
    </w:p>
    <w:p>
      <w:pPr>
        <w:pStyle w:val="Heading4"/>
      </w:pPr>
      <w:bookmarkStart w:id="139" w:name="tit102"/>
      <w:r>
        <w:t xml:space="preserve">2.5.2.4. Coherencia técnica de los documentos.</w:t>
      </w:r>
      <w:bookmarkEnd w:id="139"/>
    </w:p>
    <w:p>
      <w:pPr>
        <w:pStyle w:val="FirstParagraph"/>
      </w:pPr>
      <w:r>
        <w:t xml:space="preserve">Los documentos del proyecto describen de manera distinta el complemento de la losa:</w:t>
      </w:r>
      <w:r>
        <w:t xml:space="preserve"> </w:t>
      </w:r>
      <w:r>
        <w:t xml:space="preserve">(a) la ET exige plastoformo de 100 </w:t>
      </w:r>
      <m:oMath>
        <m:r>
          <m:rPr>
            <m:sty m:val="p"/>
          </m:rPr>
          <m:t>×</m:t>
        </m:r>
      </m:oMath>
      <w:r>
        <w:t xml:space="preserve"> 50 </w:t>
      </w:r>
      <m:oMath>
        <m:r>
          <m:rPr>
            <m:sty m:val="p"/>
          </m:rPr>
          <m:t>×</m:t>
        </m:r>
      </m:oMath>
      <w:r>
        <w:t xml:space="preserve"> 20 cm</w:t>
      </w:r>
      <w:r>
        <w:t xml:space="preserve"> </w:t>
      </w:r>
      <w:r>
        <w:t xml:space="preserve">(UATF, s. f.-a, p. 3)</w:t>
      </w:r>
      <w:r>
        <w:t xml:space="preserve">; (b) el corte transversal del Plano 02 acota un complemento de 0,15 m de altura con una carpeta de 0,05 m, es decir, una losa de 20 cm</w:t>
      </w:r>
      <w:r>
        <w:t xml:space="preserve"> </w:t>
      </w:r>
      <w:r>
        <w:t xml:space="preserve">(UATF, s. f.-d, Plano 02)</w:t>
      </w:r>
      <w:r>
        <w:t xml:space="preserve">; y (c) el certificado del proveedor corresponde a 2.350 piezas de Plastobloq de 20 </w:t>
      </w:r>
      <m:oMath>
        <m:r>
          <m:rPr>
            <m:sty m:val="p"/>
          </m:rPr>
          <m:t>×</m:t>
        </m:r>
      </m:oMath>
      <w:r>
        <w:t xml:space="preserve"> 100 </w:t>
      </w:r>
      <m:oMath>
        <m:r>
          <m:rPr>
            <m:sty m:val="p"/>
          </m:rPr>
          <m:t>×</m:t>
        </m:r>
      </m:oMath>
      <w:r>
        <w:t xml:space="preserve"> 44 cm</w:t>
      </w:r>
      <w:r>
        <w:t xml:space="preserve"> </w:t>
      </w:r>
      <w:r>
        <w:t xml:space="preserve">(UNICON, 2025)</w:t>
      </w:r>
      <w:r>
        <w:t xml:space="preserve">, compatibles con la separación de 50 cm entre ejes de viguetas que indica el fabricante de las viguetas</w:t>
      </w:r>
      <w:r>
        <w:t xml:space="preserve"> </w:t>
      </w:r>
      <w:r>
        <w:t xml:space="preserve">(PRETENSA, 2025)</w:t>
      </w:r>
      <w:r>
        <w:t xml:space="preserve">.</w:t>
      </w:r>
      <w:r>
        <w:t xml:space="preserve"> </w:t>
      </w:r>
      <w:r>
        <w:t xml:space="preserve">No se encontró una orden de cambio ni una aclaración que resuelva estas diferencias. Los planos tampoco son completos ni del todo coherentes. El Plano 02 detalla un nervio transversal de 0,10 </w:t>
      </w:r>
      <m:oMath>
        <m:r>
          <m:rPr>
            <m:sty m:val="p"/>
          </m:rPr>
          <m:t>×</m:t>
        </m:r>
      </m:oMath>
      <w:r>
        <w:t xml:space="preserve"> 0,15 m con cuatro barras de</w:t>
      </w:r>
      <w:r>
        <w:t xml:space="preserve"> </w:t>
      </w:r>
      <m:oMath>
        <m:r>
          <m:t>ϕ</m:t>
        </m:r>
      </m:oMath>
      <w:r>
        <w:t xml:space="preserve">10 y la armadura de momentos negativos sobre los apoyos, pero ningún plano ubica los nervios ni fija el diámetro, la separación o la longitud de los negativos: las leyendas remiten a una «armadura de acuerdo a planos» que no figura en el juego de planos revisado. En el Plano 03, la etiqueta del paño A7 indica 10 viguetas y hay 19 dibujadas; los paños A34 a A36 y A38 llevan la etiqueta 20 y tienen 18 o 19 viguetas dibujadas; y el paño A16 tiene la etiqueta 2 sin viguetas dibujadas</w:t>
      </w:r>
      <w:r>
        <w:t xml:space="preserve"> </w:t>
      </w:r>
      <w:r>
        <w:t xml:space="preserve">(UATF, s. f.-d)</w:t>
      </w:r>
      <w:r>
        <w:t xml:space="preserve">. Estas omisiones impiden calcular sin supuestos la cantidad teórica de acero, que es justamente la base para controlar lo que se mide y se paga (Sección 2.5.4). Además, la ET exige cumplir la norma CBH-87 y las normas bolivianas de cemento (NB 2.1-001 a 2.1-014), áridos (NB 596-91 a 612-91) y agua (NB 587-91 y 588-91)</w:t>
      </w:r>
      <w:r>
        <w:t xml:space="preserve"> </w:t>
      </w:r>
      <w:r>
        <w:t xml:space="preserve">(UATF, s. f.-a, pp. 1–2)</w:t>
      </w:r>
      <w:r>
        <w:t xml:space="preserve">, y no menciona la NB 1225001, basada en el código ACI 318. Por último, la ET del ítem 13 incluye entre los materiales del ítem el «fierro corrugado (parrilla de compresión y refuerzo momentos negativos)»</w:t>
      </w:r>
      <w:r>
        <w:t xml:space="preserve"> </w:t>
      </w:r>
      <w:r>
        <w:t xml:space="preserve">(UATF, s. f.-a, p. 3)</w:t>
      </w:r>
      <w:r>
        <w:t xml:space="preserve">, mientras que el acero de la losa se midió y pagó en el ítem 8</w:t>
      </w:r>
      <w:r>
        <w:t xml:space="preserve"> </w:t>
      </w:r>
      <w:r>
        <w:t xml:space="preserve">(UATF, 2025, p. 20)</w:t>
      </w:r>
      <w:r>
        <w:t xml:space="preserve">. Sin el análisis de precios unitarios contractual del ítem 13, que no forma parte de la documentación revisada, no puede saberse si ese precio incluye el acero; la superposición debe verificarse.</w:t>
      </w:r>
    </w:p>
    <w:p>
      <w:pPr>
        <w:pStyle w:val="Heading4"/>
      </w:pPr>
      <w:bookmarkStart w:id="140" w:name="tit103"/>
      <w:r>
        <w:t xml:space="preserve">2.5.2.5. Control de cantidades.</w:t>
      </w:r>
      <w:bookmarkEnd w:id="140"/>
    </w:p>
    <w:p>
      <w:pPr>
        <w:pStyle w:val="FirstParagraph"/>
      </w:pPr>
      <w:r>
        <w:rPr>
          <w:bCs/>
          <w:b/>
        </w:rPr>
        <w:t xml:space="preserve">Ítem 13.</w:t>
      </w:r>
      <w:r>
        <w:t xml:space="preserve"> </w:t>
      </w:r>
      <w:r>
        <w:t xml:space="preserve">La primera losa se certificó completa en la Planilla N.</w:t>
      </w:r>
      <w:r>
        <w:rPr>
          <w:vertAlign w:val="superscript"/>
        </w:rPr>
        <w:t xml:space="preserve">o</w:t>
      </w:r>
      <w:r>
        <w:t xml:space="preserve"> 2: 1.109,84 m</w:t>
      </w:r>
      <w:r>
        <w:rPr>
          <w:vertAlign w:val="superscript"/>
        </w:rPr>
        <w:t xml:space="preserve">2</w:t>
      </w:r>
      <w:r>
        <w:t xml:space="preserve"> </w:t>
      </w:r>
      <w:r>
        <w:t xml:space="preserve">por Bs 239.365,07, el 33,18 % de la cantidad modificada, sin avance anterior</w:t>
      </w:r>
      <w:r>
        <w:t xml:space="preserve"> </w:t>
      </w:r>
      <w:r>
        <w:t xml:space="preserve">(UATF, 2025, p. 16)</w:t>
      </w:r>
      <w:r>
        <w:t xml:space="preserve">. El cómputo lista los 41 paños solo con su área, sin dimensiones ni cantidades de materiales</w:t>
      </w:r>
      <w:r>
        <w:t xml:space="preserve"> </w:t>
      </w:r>
      <w:r>
        <w:t xml:space="preserve">(UATF, 2025, pp. 28–29)</w:t>
      </w:r>
      <w:r>
        <w:t xml:space="preserve">.</w:t>
      </w:r>
    </w:p>
    <w:p>
      <w:pPr>
        <w:pStyle w:val="BodyText"/>
      </w:pPr>
      <w:r>
        <w:rPr>
          <w:bCs/>
          <w:b/>
        </w:rPr>
        <w:t xml:space="preserve">Acero de la losa.</w:t>
      </w:r>
      <w:r>
        <w:t xml:space="preserve"> </w:t>
      </w:r>
      <w:r>
        <w:t xml:space="preserve">En el mismo periodo, el ítem 8 certificó 13.548,49 kg (Bs 227.016,33): 9.377,31 kg de vigas y una línea «LOSA ALIVIANADA» de 1,00 </w:t>
      </w:r>
      <m:oMath>
        <m:r>
          <m:rPr>
            <m:sty m:val="p"/>
          </m:rPr>
          <m:t>×</m:t>
        </m:r>
      </m:oMath>
      <w:r>
        <w:t xml:space="preserve"> 4.171,18 kg, anotada en las columnas de largo y volumen y sin planilla de armado que la respalde</w:t>
      </w:r>
      <w:r>
        <w:t xml:space="preserve"> </w:t>
      </w:r>
      <w:r>
        <w:t xml:space="preserve">(UATF, 2025, pp. 19–20)</w:t>
      </w:r>
      <w:r>
        <w:t xml:space="preserve">. Esa cantidad equivale a 3,76 kg/m</w:t>
      </w:r>
      <w:r>
        <w:rPr>
          <w:vertAlign w:val="superscript"/>
        </w:rPr>
        <w:t xml:space="preserve">2</w:t>
      </w:r>
      <w:r>
        <w:t xml:space="preserve"> </w:t>
      </w:r>
      <w:r>
        <w:t xml:space="preserve">(cálculo propio) y se compara con la cantidad teórica en la Sección 2.5.4.</w:t>
      </w:r>
    </w:p>
    <w:p>
      <w:pPr>
        <w:pStyle w:val="BodyText"/>
      </w:pPr>
      <w:r>
        <w:rPr>
          <w:bCs/>
          <w:b/>
        </w:rPr>
        <w:t xml:space="preserve">Planilla de cierre en dos versiones.</w:t>
      </w:r>
      <w:r>
        <w:t xml:space="preserve"> </w:t>
      </w:r>
      <w:r>
        <w:t xml:space="preserve">El documento oficial de cierre es la Planilla de avance N.</w:t>
      </w:r>
      <w:r>
        <w:rPr>
          <w:vertAlign w:val="superscript"/>
        </w:rPr>
        <w:t xml:space="preserve">o</w:t>
      </w:r>
      <w:r>
        <w:t xml:space="preserve"> 3 firmada el 16 de marzo de 2026, que paga Bs 16.837,41 en el periodo, llega a un avance total de Bs 2.073.392,68 (57,43 %) y descuenta 1.862,81 kg de acero (Bs </w:t>
      </w:r>
      <m:oMath>
        <m:r>
          <m:rPr>
            <m:sty m:val="p"/>
          </m:rPr>
          <m:t>−</m:t>
        </m:r>
      </m:oMath>
      <w:r>
        <w:t xml:space="preserve">31.212,95), el 3,55 % de los 52.424,65 kg acumulados; el acumulado del ítem 8 queda en 50.561,84 kg, la misma cifra que usa el detalle de descuento por agua potable</w:t>
      </w:r>
      <w:r>
        <w:t xml:space="preserve"> </w:t>
      </w:r>
      <w:r>
        <w:t xml:space="preserve">(UATF, s. f.-b, pp. 2, 12)</w:t>
      </w:r>
      <w:r>
        <w:t xml:space="preserve">. Existe una segunda versión del mismo documento en archivo digital, que descuenta 1.915,16 kg (Bs </w:t>
      </w:r>
      <m:oMath>
        <m:r>
          <m:rPr>
            <m:sty m:val="p"/>
          </m:rPr>
          <m:t>−</m:t>
        </m:r>
      </m:oMath>
      <w:r>
        <w:t xml:space="preserve">32.090,11; 3,65 %), deja un acumulado de 50.509,49 kg, paga además la limpieza general (Bs 2.566,96) y suma Bs 18.527,21 en el periodo y 57,48 % de avance</w:t>
      </w:r>
      <w:r>
        <w:t xml:space="preserve"> </w:t>
      </w:r>
      <w:r>
        <w:t xml:space="preserve">(UATF, s. f.-c)</w:t>
      </w:r>
      <w:r>
        <w:t xml:space="preserve">. Las dos versiones difieren en 52,35 kg de acero (</w:t>
      </w:r>
      <m:oMath>
        <m:r>
          <m:rPr>
            <m:sty m:val="p"/>
          </m:rPr>
          <m:t>≈</m:t>
        </m:r>
      </m:oMath>
      <w:r>
        <w:t xml:space="preserve"> Bs 877,17) y en el pago de la limpieza general; la Supervisión y la Fiscalización deben verificar cuál se tramitó. El cómputo métrico de la versión digital es, además, la única fuente que desglosa el acero por elementos: en él, la línea de la losa aparece como 3 </w:t>
      </w:r>
      <m:oMath>
        <m:r>
          <m:rPr>
            <m:sty m:val="p"/>
          </m:rPr>
          <m:t>×</m:t>
        </m:r>
      </m:oMath>
      <w:r>
        <w:t xml:space="preserve"> 4.171,18 kg = 12.513,54 kg, aunque solo se ejecutó una losa</w:t>
      </w:r>
      <w:r>
        <w:t xml:space="preserve"> </w:t>
      </w:r>
      <w:r>
        <w:t xml:space="preserve">(UATF, s. f.-c, hoja «Cómputos métricos», filas 375–541)</w:t>
      </w:r>
      <w:r>
        <w:t xml:space="preserve">. Como el total de ese cómputo bajó respecto del acumulado anterior, las demás partidas debieron bajar 10.257,78 kg. La Tabla 25 concilia ambos documentos por grupos de elementos.</w:t>
      </w:r>
    </w:p>
    <w:p>
      <w:pPr>
        <w:pStyle w:val="Caption"/>
      </w:pPr>
      <w:bookmarkStart w:id="1424" w:name="tab25"/>
      <w:r>
        <w:t xml:space="preserve"/>
      </w:r>
      <w:r>
        <w:rPr>
          <w:bCs/>
          <w:b/>
        </w:rPr>
        <w:t xml:space="preserve">Tabla 25</w:t>
      </w:r>
      <w:r>
        <w:br/>
      </w:r>
      <w:r>
        <w:rPr>
          <w:iCs/>
          <w:i/>
        </w:rPr>
        <w:t xml:space="preserve">Conciliación del acero acumulado entre la Planilla N.</w:t>
      </w:r>
      <w:r>
        <w:rPr>
          <w:vertAlign w:val="superscript"/>
          <w:iCs/>
          <w:i/>
        </w:rPr>
        <w:t xml:space="preserve">o</w:t>
      </w:r>
      <w:r>
        <w:rPr>
          <w:iCs/>
          <w:i/>
        </w:rPr>
        <w:t xml:space="preserve"> 2 y el cómputo de cierre, por grupos de elementos</w:t>
      </w:r>
      <w:bookmarkEnd w:id="1424"/>
    </w:p>
    <w:tbl>
      <w:tblPr>
        <w:tblStyle w:val="Table"/>
        <w:tblW w:w="9359" w:type="dxa"/>
        <w:jc w:val="left"/>
        <w:tblLayout w:type="fixed"/>
        <w:tblCellMar>
          <w:top w:w="0" w:type="dxa"/>
          <w:left w:w="85" w:type="dxa"/>
          <w:bottom w:w="0" w:type="dxa"/>
          <w:right w:w="85" w:type="dxa"/>
        </w:tblCellMar>
        <w:tblLook w:firstRow="1" w:lastRow="0" w:firstColumn="0" w:lastColumn="0" w:noHBand="0" w:noVBand="0" w:val="0020"/>
      </w:tblPr>
      <w:tblGrid>
        <w:gridCol w:w="3050"/>
        <w:gridCol w:w="2103"/>
        <w:gridCol w:w="2103"/>
        <w:gridCol w:w="2103"/>
      </w:tblGrid>
      <w:tr>
        <w:trPr>
          <w:cantSplit/>
          <w:tblHeader w:val="true"/>
        </w:trPr>
        <w:tc>
          <w:tcPr>
            <w:tcW w:w="3050" w:type="dxa"/>
            <w:tcBorders>
              <w:top w:val="single" w:sz="8" w:space="0" w:color="000000"/>
              <w:bottom w:val="single" w:sz="4" w:space="0" w:color="000000"/>
            </w:tcBorders>
          </w:tcPr>
          <w:p>
            <w:pPr>
              <w:pStyle w:val="CeldaAPA"/>
              <w:jc w:val="center"/>
            </w:pPr>
            <w:r>
              <w:rPr>
                <w:bCs/>
                <w:b/>
              </w:rPr>
              <w:t xml:space="preserve">Grupo de elementos</w:t>
            </w:r>
          </w:p>
        </w:tc>
        <w:tc>
          <w:tcPr>
            <w:tcW w:w="2103" w:type="dxa"/>
            <w:tcBorders>
              <w:top w:val="single" w:sz="8" w:space="0" w:color="000000"/>
              <w:bottom w:val="single" w:sz="4" w:space="0" w:color="000000"/>
            </w:tcBorders>
          </w:tcPr>
          <w:p>
            <w:pPr>
              <w:pStyle w:val="CeldaAPA"/>
              <w:jc w:val="center"/>
            </w:pPr>
            <w:r>
              <w:rPr>
                <w:bCs/>
                <w:b/>
              </w:rPr>
              <w:t xml:space="preserve">Acumulado en la PAO N.</w:t>
            </w:r>
            <w:r>
              <w:rPr>
                <w:vertAlign w:val="superscript"/>
                <w:bCs/>
                <w:b/>
              </w:rPr>
              <w:t xml:space="preserve">o</w:t>
            </w:r>
            <w:r>
              <w:rPr>
                <w:bCs/>
                <w:b/>
              </w:rPr>
              <w:t xml:space="preserve"> 2 (kg)</w:t>
            </w:r>
          </w:p>
        </w:tc>
        <w:tc>
          <w:tcPr>
            <w:tcW w:w="2103" w:type="dxa"/>
            <w:tcBorders>
              <w:top w:val="single" w:sz="8" w:space="0" w:color="000000"/>
              <w:bottom w:val="single" w:sz="4" w:space="0" w:color="000000"/>
            </w:tcBorders>
          </w:tcPr>
          <w:p>
            <w:pPr>
              <w:pStyle w:val="CeldaAPA"/>
              <w:jc w:val="center"/>
            </w:pPr>
            <w:r>
              <w:rPr>
                <w:bCs/>
                <w:b/>
              </w:rPr>
              <w:t xml:space="preserve">Cómputo de cierre, versión digital (kg)</w:t>
            </w:r>
          </w:p>
        </w:tc>
        <w:tc>
          <w:tcPr>
            <w:tcW w:w="2103" w:type="dxa"/>
            <w:tcBorders>
              <w:top w:val="single" w:sz="8" w:space="0" w:color="000000"/>
              <w:bottom w:val="single" w:sz="4" w:space="0" w:color="000000"/>
            </w:tcBorders>
          </w:tcPr>
          <w:p>
            <w:pPr>
              <w:pStyle w:val="CeldaAPA"/>
              <w:jc w:val="center"/>
            </w:pPr>
            <w:r>
              <w:rPr>
                <w:bCs/>
                <w:b/>
              </w:rPr>
              <w:t xml:space="preserve">Diferencia (kg)</w:t>
            </w:r>
          </w:p>
        </w:tc>
      </w:tr>
      <w:tr>
        <w:tc>
          <w:tcPr>
            <w:tcW w:w="3050" w:type="dxa"/>
          </w:tcPr>
          <w:p>
            <w:pPr>
              <w:pStyle w:val="CeldaAPA"/>
              <w:jc w:val="left"/>
            </w:pPr>
            <w:r>
              <w:rPr/>
              <w:t xml:space="preserve">Zapatas a encalzar y zapatas nuevas</w:t>
            </w:r>
          </w:p>
        </w:tc>
        <w:tc>
          <w:tcPr>
            <w:tcW w:w="2103" w:type="dxa"/>
            <w:vMerge w:val="restart"/>
          </w:tcPr>
          <w:p>
            <w:pPr>
              <w:pStyle w:val="CeldaAPA"/>
              <w:jc w:val="right"/>
            </w:pPr>
            <w:r>
              <w:rPr/>
              <w:t xml:space="preserve">38.876,16</w:t>
            </w:r>
            <w:r>
              <w:rPr>
                <w:vertAlign w:val="superscript"/>
              </w:rPr>
              <w:t xml:space="preserve">a</w:t>
            </w:r>
          </w:p>
        </w:tc>
        <w:tc>
          <w:tcPr>
            <w:tcW w:w="2103" w:type="dxa"/>
          </w:tcPr>
          <w:p>
            <w:pPr>
              <w:pStyle w:val="CeldaAPA"/>
              <w:jc w:val="right"/>
            </w:pPr>
            <w:r>
              <w:rPr/>
              <w:t xml:space="preserve">8.527,47</w:t>
            </w:r>
          </w:p>
        </w:tc>
        <w:tc>
          <w:tcPr>
            <w:tcW w:w="2103" w:type="dxa"/>
            <w:vMerge w:val="restart"/>
          </w:tcPr>
          <w:p>
            <w:pPr>
              <w:pStyle w:val="CeldaAPA"/>
              <w:jc w:val="right"/>
            </w:pPr>
            <m:oMath>
              <m:r>
                <m:rPr>
                  <m:sty m:val="p"/>
                </m:rPr>
                <m:t>−</m:t>
              </m:r>
            </m:oMath>
            <w:r>
              <w:rPr/>
              <w:t xml:space="preserve">10.215,02</w:t>
            </w:r>
          </w:p>
        </w:tc>
      </w:tr>
      <w:tr>
        <w:tc>
          <w:tcPr>
            <w:tcW w:w="3050" w:type="dxa"/>
          </w:tcPr>
          <w:p>
            <w:pPr>
              <w:pStyle w:val="CeldaAPA"/>
              <w:jc w:val="left"/>
            </w:pPr>
            <w:r>
              <w:rPr/>
              <w:t xml:space="preserve">Columnas a encamisar, nuevas y que se mantienen</w:t>
            </w:r>
          </w:p>
        </w:tc>
        <w:tc>
          <w:tcPr>
            <w:tcW w:w="2103" w:type="dxa"/>
            <w:gridSpan w:val="1"/>
            <w:vMerge w:val="continue"/>
          </w:tcPr>
          <w:p>
            <w:pPr>
              <w:pStyle w:val="CeldaAPA"/>
            </w:pPr>
          </w:p>
        </w:tc>
        <w:tc>
          <w:tcPr>
            <w:tcW w:w="2103" w:type="dxa"/>
          </w:tcPr>
          <w:p>
            <w:pPr>
              <w:pStyle w:val="CeldaAPA"/>
              <w:jc w:val="right"/>
            </w:pPr>
            <w:r>
              <w:rPr/>
              <w:t xml:space="preserve">17.780,20</w:t>
            </w:r>
          </w:p>
        </w:tc>
        <w:tc>
          <w:tcPr>
            <w:tcW w:w="2103" w:type="dxa"/>
            <w:gridSpan w:val="1"/>
            <w:vMerge w:val="continue"/>
          </w:tcPr>
          <w:p>
            <w:pPr>
              <w:pStyle w:val="CeldaAPA"/>
            </w:pPr>
          </w:p>
        </w:tc>
      </w:tr>
      <w:tr>
        <w:tc>
          <w:tcPr>
            <w:tcW w:w="3050" w:type="dxa"/>
          </w:tcPr>
          <w:p>
            <w:pPr>
              <w:pStyle w:val="CeldaAPA"/>
              <w:jc w:val="left"/>
            </w:pPr>
            <w:r>
              <w:rPr/>
              <w:t xml:space="preserve">Vigas de arriostre</w:t>
            </w:r>
          </w:p>
        </w:tc>
        <w:tc>
          <w:tcPr>
            <w:tcW w:w="2103" w:type="dxa"/>
            <w:gridSpan w:val="1"/>
            <w:vMerge w:val="continue"/>
          </w:tcPr>
          <w:p>
            <w:pPr>
              <w:pStyle w:val="CeldaAPA"/>
            </w:pPr>
          </w:p>
        </w:tc>
        <w:tc>
          <w:tcPr>
            <w:tcW w:w="2103" w:type="dxa"/>
          </w:tcPr>
          <w:p>
            <w:pPr>
              <w:pStyle w:val="CeldaAPA"/>
              <w:jc w:val="right"/>
            </w:pPr>
            <w:r>
              <w:rPr/>
              <w:t xml:space="preserve">2.353,47</w:t>
            </w:r>
          </w:p>
        </w:tc>
        <w:tc>
          <w:tcPr>
            <w:tcW w:w="2103" w:type="dxa"/>
            <w:gridSpan w:val="1"/>
            <w:vMerge w:val="continue"/>
          </w:tcPr>
          <w:p>
            <w:pPr>
              <w:pStyle w:val="CeldaAPA"/>
            </w:pPr>
          </w:p>
        </w:tc>
      </w:tr>
      <w:tr>
        <w:tc>
          <w:tcPr>
            <w:tcW w:w="3050" w:type="dxa"/>
          </w:tcPr>
          <w:p>
            <w:pPr>
              <w:pStyle w:val="CeldaAPA"/>
              <w:jc w:val="left"/>
            </w:pPr>
            <w:r>
              <w:rPr/>
              <w:t xml:space="preserve">Vigas de H</w:t>
            </w:r>
            <w:r>
              <w:rPr>
                <w:vertAlign w:val="superscript"/>
              </w:rPr>
              <w:t xml:space="preserve">o</w:t>
            </w:r>
            <w:r>
              <w:rPr/>
              <w:t xml:space="preserve">A</w:t>
            </w:r>
            <w:r>
              <w:rPr>
                <w:vertAlign w:val="superscript"/>
              </w:rPr>
              <w:t xml:space="preserve">o</w:t>
            </w:r>
          </w:p>
        </w:tc>
        <w:tc>
          <w:tcPr>
            <w:tcW w:w="2103" w:type="dxa"/>
          </w:tcPr>
          <w:p>
            <w:pPr>
              <w:pStyle w:val="CeldaAPA"/>
              <w:jc w:val="right"/>
            </w:pPr>
            <w:r>
              <w:rPr/>
              <w:t xml:space="preserve">9.377,31</w:t>
            </w:r>
          </w:p>
        </w:tc>
        <w:tc>
          <w:tcPr>
            <w:tcW w:w="2103" w:type="dxa"/>
          </w:tcPr>
          <w:p>
            <w:pPr>
              <w:pStyle w:val="CeldaAPA"/>
              <w:jc w:val="right"/>
            </w:pPr>
            <w:r>
              <w:rPr/>
              <w:t xml:space="preserve">9.334,55</w:t>
            </w:r>
          </w:p>
        </w:tc>
        <w:tc>
          <w:tcPr>
            <w:tcW w:w="2103" w:type="dxa"/>
          </w:tcPr>
          <w:p>
            <w:pPr>
              <w:pStyle w:val="CeldaAPA"/>
              <w:jc w:val="right"/>
            </w:pPr>
            <m:oMath>
              <m:r>
                <m:rPr>
                  <m:sty m:val="p"/>
                </m:rPr>
                <m:t>−</m:t>
              </m:r>
            </m:oMath>
            <w:r>
              <w:rPr/>
              <w:t xml:space="preserve">42,76</w:t>
            </w:r>
          </w:p>
        </w:tc>
      </w:tr>
      <w:tr>
        <w:tc>
          <w:tcPr>
            <w:tcW w:w="3050" w:type="dxa"/>
          </w:tcPr>
          <w:p>
            <w:pPr>
              <w:pStyle w:val="CeldaAPA"/>
              <w:jc w:val="left"/>
            </w:pPr>
            <w:r>
              <w:rPr/>
              <w:t xml:space="preserve">Losa alivianada</w:t>
            </w:r>
          </w:p>
        </w:tc>
        <w:tc>
          <w:tcPr>
            <w:tcW w:w="2103" w:type="dxa"/>
          </w:tcPr>
          <w:p>
            <w:pPr>
              <w:pStyle w:val="CeldaAPA"/>
              <w:jc w:val="right"/>
            </w:pPr>
            <w:r>
              <w:rPr/>
              <w:t xml:space="preserve">4.171,18 (1 </w:t>
            </w:r>
            <m:oMath>
              <m:r>
                <m:rPr>
                  <m:sty m:val="p"/>
                </m:rPr>
                <m:t>×</m:t>
              </m:r>
            </m:oMath>
            <w:r>
              <w:rPr/>
              <w:t xml:space="preserve"> 4.171,18)</w:t>
            </w:r>
          </w:p>
        </w:tc>
        <w:tc>
          <w:tcPr>
            <w:tcW w:w="2103" w:type="dxa"/>
          </w:tcPr>
          <w:p>
            <w:pPr>
              <w:pStyle w:val="CeldaAPA"/>
              <w:jc w:val="right"/>
            </w:pPr>
            <w:r>
              <w:rPr/>
              <w:t xml:space="preserve">12.513,54 (3 </w:t>
            </w:r>
            <m:oMath>
              <m:r>
                <m:rPr>
                  <m:sty m:val="p"/>
                </m:rPr>
                <m:t>×</m:t>
              </m:r>
            </m:oMath>
            <w:r>
              <w:rPr/>
              <w:t xml:space="preserve"> 4.171,18)</w:t>
            </w:r>
          </w:p>
        </w:tc>
        <w:tc>
          <w:tcPr>
            <w:tcW w:w="2103" w:type="dxa"/>
          </w:tcPr>
          <w:p>
            <w:pPr>
              <w:pStyle w:val="CeldaAPA"/>
              <w:jc w:val="right"/>
            </w:pPr>
            <w:r>
              <w:rPr/>
              <w:t xml:space="preserve">+8.342,36</w:t>
            </w:r>
          </w:p>
        </w:tc>
      </w:tr>
      <w:tr>
        <w:tc>
          <w:tcPr>
            <w:tcW w:w="3050" w:type="dxa"/>
          </w:tcPr>
          <w:p>
            <w:pPr>
              <w:pStyle w:val="CeldaAPA"/>
              <w:jc w:val="left"/>
            </w:pPr>
            <w:r>
              <w:rPr/>
              <w:t xml:space="preserve">Gradas del primer nivel</w:t>
            </w:r>
          </w:p>
        </w:tc>
        <w:tc>
          <w:tcPr>
            <w:tcW w:w="2103" w:type="dxa"/>
          </w:tcPr>
          <w:p>
            <w:pPr>
              <w:pStyle w:val="CeldaAPA"/>
              <w:jc w:val="right"/>
            </w:pPr>
            <w:r>
              <w:rPr/>
              <w:t xml:space="preserve">—</w:t>
            </w:r>
          </w:p>
        </w:tc>
        <w:tc>
          <w:tcPr>
            <w:tcW w:w="2103" w:type="dxa"/>
          </w:tcPr>
          <w:p>
            <w:pPr>
              <w:pStyle w:val="CeldaAPA"/>
              <w:jc w:val="right"/>
            </w:pPr>
            <w:r>
              <w:rPr/>
              <w:t xml:space="preserve">773,92</w:t>
            </w:r>
            <w:r>
              <w:rPr>
                <w:vertAlign w:val="superscript"/>
              </w:rPr>
              <w:t xml:space="preserve">b</w:t>
            </w:r>
          </w:p>
        </w:tc>
        <w:tc>
          <w:tcPr>
            <w:tcW w:w="2103" w:type="dxa"/>
          </w:tcPr>
          <w:p>
            <w:pPr>
              <w:pStyle w:val="CeldaAPA"/>
              <w:jc w:val="right"/>
            </w:pPr>
            <w:r>
              <w:rPr/>
              <w:t xml:space="preserve">—</w:t>
            </w:r>
          </w:p>
        </w:tc>
      </w:tr>
      <w:tr>
        <w:tc>
          <w:tcPr>
            <w:tcW w:w="3050" w:type="dxa"/>
            <w:tcBorders>
              <w:top w:val="single" w:sz="4" w:space="0" w:color="000000"/>
            </w:tcBorders>
          </w:tcPr>
          <w:p>
            <w:pPr>
              <w:pStyle w:val="CeldaAPA"/>
              <w:jc w:val="left"/>
            </w:pPr>
            <w:r>
              <w:rPr/>
              <w:t xml:space="preserve">Total del cómputo de cierre (versión digital)</w:t>
            </w:r>
          </w:p>
        </w:tc>
        <w:tc>
          <w:tcPr>
            <w:tcW w:w="2103" w:type="dxa"/>
            <w:tcBorders>
              <w:top w:val="single" w:sz="4" w:space="0" w:color="000000"/>
            </w:tcBorders>
          </w:tcPr>
          <w:p>
            <w:pPr>
              <w:pStyle w:val="CeldaAPA"/>
              <w:jc w:val="right"/>
            </w:pPr>
            <w:r>
              <w:rPr/>
              <w:t xml:space="preserve">52.424,65</w:t>
            </w:r>
          </w:p>
        </w:tc>
        <w:tc>
          <w:tcPr>
            <w:tcW w:w="2103" w:type="dxa"/>
            <w:tcBorders>
              <w:top w:val="single" w:sz="4" w:space="0" w:color="000000"/>
            </w:tcBorders>
          </w:tcPr>
          <w:p>
            <w:pPr>
              <w:pStyle w:val="CeldaAPA"/>
              <w:jc w:val="right"/>
            </w:pPr>
            <w:r>
              <w:rPr/>
              <w:t xml:space="preserve">50.509,23</w:t>
            </w:r>
          </w:p>
        </w:tc>
        <w:tc>
          <w:tcPr>
            <w:tcW w:w="2103" w:type="dxa"/>
            <w:tcBorders>
              <w:top w:val="single" w:sz="4" w:space="0" w:color="000000"/>
            </w:tcBorders>
          </w:tcPr>
          <w:p>
            <w:pPr>
              <w:pStyle w:val="CeldaAPA"/>
              <w:jc w:val="right"/>
            </w:pPr>
            <m:oMath>
              <m:r>
                <m:rPr>
                  <m:sty m:val="p"/>
                </m:rPr>
                <m:t>−</m:t>
              </m:r>
            </m:oMath>
            <w:r>
              <w:rPr/>
              <w:t xml:space="preserve">1.915,42</w:t>
            </w:r>
          </w:p>
        </w:tc>
      </w:tr>
      <w:tr>
        <w:tc>
          <w:tcPr>
            <w:tcW w:w="3050" w:type="dxa"/>
          </w:tcPr>
          <w:p>
            <w:pPr>
              <w:pStyle w:val="CeldaAPA"/>
              <w:jc w:val="left"/>
            </w:pPr>
            <w:r>
              <w:rPr/>
              <w:t xml:space="preserve">Planilla de cierre, versión digital</w:t>
            </w:r>
          </w:p>
        </w:tc>
        <w:tc>
          <w:tcPr>
            <w:tcW w:w="2103" w:type="dxa"/>
          </w:tcPr>
          <w:p>
            <w:pPr>
              <w:pStyle w:val="CeldaAPA"/>
              <w:jc w:val="right"/>
            </w:pPr>
            <w:r>
              <w:rPr/>
              <w:t xml:space="preserve">52.424,65</w:t>
            </w:r>
          </w:p>
        </w:tc>
        <w:tc>
          <w:tcPr>
            <w:tcW w:w="2103" w:type="dxa"/>
          </w:tcPr>
          <w:p>
            <w:pPr>
              <w:pStyle w:val="CeldaAPA"/>
              <w:jc w:val="right"/>
            </w:pPr>
            <w:r>
              <w:rPr/>
              <w:t xml:space="preserve">50.509,49</w:t>
            </w:r>
          </w:p>
        </w:tc>
        <w:tc>
          <w:tcPr>
            <w:tcW w:w="2103" w:type="dxa"/>
          </w:tcPr>
          <w:p>
            <w:pPr>
              <w:pStyle w:val="CeldaAPA"/>
              <w:jc w:val="right"/>
            </w:pPr>
            <m:oMath>
              <m:r>
                <m:rPr>
                  <m:sty m:val="p"/>
                </m:rPr>
                <m:t>−</m:t>
              </m:r>
            </m:oMath>
            <w:r>
              <w:rPr/>
              <w:t xml:space="preserve">1.915,16</w:t>
            </w:r>
          </w:p>
        </w:tc>
      </w:tr>
      <w:tr>
        <w:tc>
          <w:tcPr>
            <w:tcW w:w="3050" w:type="dxa"/>
            <w:tcBorders>
              <w:bottom w:val="single" w:sz="8" w:space="0" w:color="000000"/>
            </w:tcBorders>
          </w:tcPr>
          <w:p>
            <w:pPr>
              <w:pStyle w:val="CeldaAPA"/>
              <w:jc w:val="left"/>
            </w:pPr>
            <w:r>
              <w:rPr/>
              <w:t xml:space="preserve">Planilla de cierre firmada (oficial) y descuento por agua potable</w:t>
            </w:r>
          </w:p>
        </w:tc>
        <w:tc>
          <w:tcPr>
            <w:tcW w:w="2103" w:type="dxa"/>
            <w:tcBorders>
              <w:bottom w:val="single" w:sz="8" w:space="0" w:color="000000"/>
            </w:tcBorders>
          </w:tcPr>
          <w:p>
            <w:pPr>
              <w:pStyle w:val="CeldaAPA"/>
              <w:jc w:val="right"/>
            </w:pPr>
            <w:r>
              <w:rPr/>
              <w:t xml:space="preserve">52.424,65</w:t>
            </w:r>
          </w:p>
        </w:tc>
        <w:tc>
          <w:tcPr>
            <w:tcW w:w="2103" w:type="dxa"/>
            <w:tcBorders>
              <w:bottom w:val="single" w:sz="8" w:space="0" w:color="000000"/>
            </w:tcBorders>
          </w:tcPr>
          <w:p>
            <w:pPr>
              <w:pStyle w:val="CeldaAPA"/>
              <w:jc w:val="right"/>
            </w:pPr>
            <w:r>
              <w:rPr/>
              <w:t xml:space="preserve">50.561,84</w:t>
            </w:r>
            <w:r>
              <w:rPr>
                <w:vertAlign w:val="superscript"/>
              </w:rPr>
              <w:t xml:space="preserve">c</w:t>
            </w:r>
          </w:p>
        </w:tc>
        <w:tc>
          <w:tcPr>
            <w:tcW w:w="2103" w:type="dxa"/>
            <w:tcBorders>
              <w:bottom w:val="single" w:sz="8" w:space="0" w:color="000000"/>
            </w:tcBorders>
          </w:tcPr>
          <w:p>
            <w:pPr>
              <w:pStyle w:val="CeldaAPA"/>
              <w:jc w:val="right"/>
            </w:pPr>
            <m:oMath>
              <m:r>
                <m:rPr>
                  <m:sty m:val="p"/>
                </m:rPr>
                <m:t>−</m:t>
              </m:r>
            </m:oMath>
            <w:r>
              <w:rPr/>
              <w:t xml:space="preserve">1.862,81</w:t>
            </w:r>
          </w:p>
        </w:tc>
      </w:tr>
    </w:tbl>
    <w:p>
      <w:pPr>
        <w:pStyle w:val="NotaAPA"/>
      </w:pPr>
      <w:r>
        <w:rPr>
          <w:iCs/>
          <w:i/>
        </w:rPr>
        <w:t xml:space="preserve">Nota.</w:t>
      </w:r>
      <w:r>
        <w:t xml:space="preserve"> </w:t>
      </w:r>
      <w:r>
        <w:t xml:space="preserve">Elaboración propia (cálculos propios) con base en</w:t>
      </w:r>
      <w:r>
        <w:t xml:space="preserve"> </w:t>
      </w:r>
      <w:r>
        <w:t xml:space="preserve">UATF (2025, pp. 16, 19–20)</w:t>
      </w:r>
      <w:r>
        <w:t xml:space="preserve">,</w:t>
      </w:r>
      <w:r>
        <w:t xml:space="preserve"> </w:t>
      </w:r>
      <w:r>
        <w:t xml:space="preserve">UATF (s. f.-c)</w:t>
      </w:r>
      <w:r>
        <w:t xml:space="preserve"> </w:t>
      </w:r>
      <w:r>
        <w:t xml:space="preserve">(hoja «Cómputos métricos», filas 375 a 541; subtotales por grupo: zapatas a encalzar 3.629,47; zapatas nuevas 4.898,00; columnas a encamisar 4.170,02; columnas nuevas 11.395,18; columnas que se mantienen 2.215,00) y</w:t>
      </w:r>
      <w:r>
        <w:t xml:space="preserve"> </w:t>
      </w:r>
      <w:r>
        <w:t xml:space="preserve">UATF (s. f.-b, pp. 2, 12)</w:t>
      </w:r>
      <w:r>
        <w:t xml:space="preserve">.</w:t>
      </w:r>
      <w:r>
        <w:t xml:space="preserve"> </w:t>
      </w:r>
      <w:r>
        <w:rPr>
          <w:vertAlign w:val="superscript"/>
        </w:rPr>
        <w:t xml:space="preserve">a</w:t>
      </w:r>
      <w:r>
        <w:t xml:space="preserve"> Avance de la Planilla N.</w:t>
      </w:r>
      <w:r>
        <w:rPr>
          <w:vertAlign w:val="superscript"/>
        </w:rPr>
        <w:t xml:space="preserve">o</w:t>
      </w:r>
      <w:r>
        <w:t xml:space="preserve"> 1, sin desglose por elementos en los documentos revisados; por diferencia corresponde a los elementos distintos de las vigas y la losa.</w:t>
      </w:r>
      <w:r>
        <w:t xml:space="preserve"> </w:t>
      </w:r>
      <w:r>
        <w:rPr>
          <w:vertAlign w:val="superscript"/>
        </w:rPr>
        <w:t xml:space="preserve">b</w:t>
      </w:r>
      <w:r>
        <w:t xml:space="preserve"> Anotado sin cantidad parcial; no se suma al total.</w:t>
      </w:r>
      <w:r>
        <w:t xml:space="preserve"> </w:t>
      </w:r>
      <w:r>
        <w:rPr>
          <w:vertAlign w:val="superscript"/>
        </w:rPr>
        <w:t xml:space="preserve">c</w:t>
      </w:r>
      <w:r>
        <w:t xml:space="preserve"> Sin desglose por elementos: la versión firmada no adjunta un cómputo del acero.</w:t>
      </w:r>
    </w:p>
    <w:p>
      <w:pPr>
        <w:pStyle w:val="BodyText"/>
      </w:pPr>
      <w:r>
        <w:t xml:space="preserve">La conciliación muestra cuatro inconsistencias que la Supervisión y la Fiscalización deben verificar. Primera, la línea de la losa pasa de 1 a 3 veces 4.171,18 kg sin respaldo, lo que llevaría la cuantía a 11,28 kg/m</w:t>
      </w:r>
      <w:r>
        <w:rPr>
          <w:vertAlign w:val="superscript"/>
        </w:rPr>
        <w:t xml:space="preserve">2</w:t>
      </w:r>
      <w:r>
        <w:t xml:space="preserve"> </w:t>
      </w:r>
      <w:r>
        <w:t xml:space="preserve">para la losa ejecutada. Segunda, la reducción de 10.215,02 kg en zapatas, columnas y vigas de arriostre no tiene explicación línea por línea; con la documentación disponible no puede saberse cuál de las dos cifras es la correcta. Tercera, coexisten tres cifras del acero acumulado: 52.424,65 kg en la Planilla N.</w:t>
      </w:r>
      <w:r>
        <w:rPr>
          <w:vertAlign w:val="superscript"/>
        </w:rPr>
        <w:t xml:space="preserve">o</w:t>
      </w:r>
      <w:r>
        <w:t xml:space="preserve"> 2, 50.561,84 kg en la planilla de cierre firmada y 50.509,49 kg en su versión digital, más un total de 50.509,23 kg en el cómputo de la versión digital, que difiere en 0,26 kg de su propia planilla. Cuarta, la tabla de tiempos con la que la contratista sustentó la ampliación de plazo N.</w:t>
      </w:r>
      <w:r>
        <w:rPr>
          <w:vertAlign w:val="superscript"/>
        </w:rPr>
        <w:t xml:space="preserve">o</w:t>
      </w:r>
      <w:r>
        <w:t xml:space="preserve"> 2 usa para el ítem 8 una cantidad autorizada de 85.777,46 kg, 7.797,95 kg más que los 77.979,51 kg del contrato modificatorio</w:t>
      </w:r>
      <w:r>
        <w:t xml:space="preserve"> </w:t>
      </w:r>
      <w:r>
        <w:t xml:space="preserve">(UATF, s. f.-b, pp. 17, 25)</w:t>
      </w:r>
      <w:r>
        <w:t xml:space="preserve">. A esto se suma la posible superposición del acero de la losa entre los ítems 8 y 13 descrita antes. En conjunto, estos hallazgos no prueban un error ni un pago indebido, pero muestran que las cantidades se controlaron al cierre del contrato y no en el mes en que se originaron, que es lo que el procedimiento de conciliación del SGC propone corregir (Sección 2.6.6).</w:t>
      </w:r>
    </w:p>
    <w:p>
      <w:pPr>
        <w:pStyle w:val="BodyText"/>
      </w:pPr>
      <w:r>
        <w:rPr>
          <w:bCs/>
          <w:b/>
        </w:rPr>
        <w:t xml:space="preserve">Otras correcciones.</w:t>
      </w:r>
      <w:r>
        <w:t xml:space="preserve"> </w:t>
      </w:r>
      <w:r>
        <w:t xml:space="preserve">La Planilla N.</w:t>
      </w:r>
      <w:r>
        <w:rPr>
          <w:vertAlign w:val="superscript"/>
        </w:rPr>
        <w:t xml:space="preserve">o</w:t>
      </w:r>
      <w:r>
        <w:t xml:space="preserve"> 2 corrigió la excavación del ítem 4 en</w:t>
      </w:r>
      <w:r>
        <w:t xml:space="preserve"> </w:t>
      </w:r>
      <m:oMath>
        <m:r>
          <m:rPr>
            <m:sty m:val="p"/>
          </m:rPr>
          <m:t>−</m:t>
        </m:r>
      </m:oMath>
      <w:r>
        <w:t xml:space="preserve">5,66 m</w:t>
      </w:r>
      <w:r>
        <w:rPr>
          <w:vertAlign w:val="superscript"/>
        </w:rPr>
        <w:t xml:space="preserve">3</w:t>
      </w:r>
      <w:r>
        <w:t xml:space="preserve"> </w:t>
      </w:r>
      <w:r>
        <w:t xml:space="preserve">(Bs </w:t>
      </w:r>
      <m:oMath>
        <m:r>
          <m:rPr>
            <m:sty m:val="p"/>
          </m:rPr>
          <m:t>−</m:t>
        </m:r>
      </m:oMath>
      <w:r>
        <w:t xml:space="preserve">403,14), porque la Planilla N.</w:t>
      </w:r>
      <w:r>
        <w:rPr>
          <w:vertAlign w:val="superscript"/>
        </w:rPr>
        <w:t xml:space="preserve">o</w:t>
      </w:r>
      <w:r>
        <w:t xml:space="preserve"> 1 había certificado más de lo que luego se computó</w:t>
      </w:r>
      <w:r>
        <w:t xml:space="preserve"> </w:t>
      </w:r>
      <w:r>
        <w:t xml:space="preserve">(UATF, 2025, pp. 16, 18)</w:t>
      </w:r>
      <w:r>
        <w:t xml:space="preserve">. Además, las cantidades del contrato original y del actualizado difieren entre</w:t>
      </w:r>
      <w:r>
        <w:t xml:space="preserve"> </w:t>
      </w:r>
      <m:oMath>
        <m:r>
          <m:rPr>
            <m:sty m:val="p"/>
          </m:rPr>
          <m:t>−</m:t>
        </m:r>
      </m:oMath>
      <w:r>
        <w:t xml:space="preserve">80,8 % y +46,7 % según el ítem (acero, +32,1 %; hormigón de zapatas, +16,0 %; escaleras, +46,7 %; columnas,</w:t>
      </w:r>
      <w:r>
        <w:t xml:space="preserve"> </w:t>
      </w:r>
      <m:oMath>
        <m:r>
          <m:rPr>
            <m:sty m:val="p"/>
          </m:rPr>
          <m:t>−</m:t>
        </m:r>
      </m:oMath>
      <w:r>
        <w:t xml:space="preserve">8,5 %; vigas,</w:t>
      </w:r>
      <w:r>
        <w:t xml:space="preserve"> </w:t>
      </w:r>
      <m:oMath>
        <m:r>
          <m:rPr>
            <m:sty m:val="p"/>
          </m:rPr>
          <m:t>−</m:t>
        </m:r>
      </m:oMath>
      <w:r>
        <w:t xml:space="preserve">7,9 %), y la Supervisión anunció otra orden de cambio por incremento de volúmenes</w:t>
      </w:r>
      <w:r>
        <w:t xml:space="preserve"> </w:t>
      </w:r>
      <w:r>
        <w:t xml:space="preserve">(UATF, 2025, pp. 11, 16)</w:t>
      </w:r>
      <w:r>
        <w:t xml:space="preserve">.</w:t>
      </w:r>
    </w:p>
    <w:p>
      <w:pPr>
        <w:pStyle w:val="Heading4"/>
      </w:pPr>
      <w:bookmarkStart w:id="141" w:name="tit104"/>
      <w:r>
        <w:t xml:space="preserve">2.5.2.6. Suministro y gestión de materiales.</w:t>
      </w:r>
      <w:bookmarkEnd w:id="141"/>
    </w:p>
    <w:p>
      <w:pPr>
        <w:pStyle w:val="FirstParagraph"/>
      </w:pPr>
      <w:r>
        <w:t xml:space="preserve">El abastecimiento fue el punto más expuesto al entorno. La Supervisión informó que se hicieron «modificaciones estructurales debido a la inexistencia de viguetas en el mercado de los tamaños requeridos»</w:t>
      </w:r>
      <w:r>
        <w:t xml:space="preserve"> </w:t>
      </w:r>
      <w:r>
        <w:t xml:space="preserve">(UATF, 2025, p. 11)</w:t>
      </w:r>
      <w:r>
        <w:t xml:space="preserve">, sin que se adjunte un documento que describa el cambio, su cálculo o su aprobación. El distribuidor de acero comunicó el 16 de junio de 2025 que, de una compra de 20 toneladas de fierro corrugado, solo había entregado el 30 %, por el desabastecimiento de combustibles y los bloqueos de carreteras</w:t>
      </w:r>
      <w:r>
        <w:t xml:space="preserve"> </w:t>
      </w:r>
      <w:r>
        <w:t xml:space="preserve">(Import Export Las Lomas Ltda., 2025)</w:t>
      </w:r>
      <w:r>
        <w:t xml:space="preserve">, y el 17 de noviembre de 2025, en pleno armado de la losa, la contratista informó que los materiales tardaban mucho en llegar por la misma causa</w:t>
      </w:r>
      <w:r>
        <w:t xml:space="preserve"> </w:t>
      </w:r>
      <w:r>
        <w:t xml:space="preserve">(UATF, 2025, p. 123)</w:t>
      </w:r>
      <w:r>
        <w:t xml:space="preserve">. Ninguno de estos hechos dio lugar a una acción documentada sobre los proveedores ni a un plan de compras anticipado.</w:t>
      </w:r>
    </w:p>
    <w:p>
      <w:pPr>
        <w:pStyle w:val="BodyText"/>
      </w:pPr>
      <w:r>
        <w:t xml:space="preserve">La recepción de materiales fue documental y tardía. Los certificados de PRETENSA y de UNICON están fechados el 27 de noviembre de 2025, después de que comenzara el armado de la losa (14 de noviembre); no llevan firma, y el de las viguetas no indica cantidad, lote ni resultados de ensayo</w:t>
      </w:r>
      <w:r>
        <w:t xml:space="preserve"> </w:t>
      </w:r>
      <w:r>
        <w:t xml:space="preserve">(UATF, 2025, pp. 80–81, 122)</w:t>
      </w:r>
      <w:r>
        <w:t xml:space="preserve">. Los certificados de acero corresponden a barras de 20, 16, 12, 9,5 y 8 mm producidas entre abril y mayo de 2025 y emitidos al distribuidor; no hay certificados de las barras de 6 y 10 mm que, según el Plano 02, forman la parrilla y los nervios de la losa, ni de cemento y áridos</w:t>
      </w:r>
      <w:r>
        <w:t xml:space="preserve"> </w:t>
      </w:r>
      <w:r>
        <w:t xml:space="preserve">(UATF, 2025, pp. 82–86)</w:t>
      </w:r>
      <w:r>
        <w:t xml:space="preserve">. La masa lineal certificada de las barras es entre 1,8 % y 5,8 % menor que la nominal (cálculo propio): un balance por peso que no lo considere confundiría esa diferencia con desperdicio.</w:t>
      </w:r>
    </w:p>
    <w:p>
      <w:pPr>
        <w:pStyle w:val="BodyText"/>
      </w:pPr>
      <w:r>
        <w:t xml:space="preserve">La gestión de los materiales en obra fue mínima. El plan de acopio de la contratista «consiste en transportar el material y ubicarlo cerca de la obra con el resguardo necesario y satisfactorio»</w:t>
      </w:r>
      <w:r>
        <w:t xml:space="preserve"> </w:t>
      </w:r>
      <w:r>
        <w:t xml:space="preserve">(UATF, 2025, p. 10)</w:t>
      </w:r>
      <w:r>
        <w:t xml:space="preserve">, sin criterios de recepción, almacenamiento ni control de existencias, pese a que el contrato exige acopiar en zonas aprobadas e inspeccionar los materiales antes de su uso</w:t>
      </w:r>
      <w:r>
        <w:t xml:space="preserve"> </w:t>
      </w:r>
      <w:r>
        <w:t xml:space="preserve">(UATF, 2025, p. 102)</w:t>
      </w:r>
      <w:r>
        <w:t xml:space="preserve">. No se encontraron notas de remisión, kardex ni vales de salida. De las 2.350 piezas de EPS entregadas</w:t>
      </w:r>
      <w:r>
        <w:t xml:space="preserve"> </w:t>
      </w:r>
      <w:r>
        <w:t xml:space="preserve">(UNICON, 2025)</w:t>
      </w:r>
      <w:r>
        <w:t xml:space="preserve"> </w:t>
      </w:r>
      <w:r>
        <w:t xml:space="preserve">no consta cuántas se colocaron, cuántas sobraron ni si toda la entrega correspondió a la primera losa. Las fotografías muestran material y restos dispersos en el terreno, el vaciado con carretillas y la parrilla de la carpeta pisada durante el hormigonado, sin separadores visibles a la resolución disponible</w:t>
      </w:r>
      <w:r>
        <w:t xml:space="preserve"> </w:t>
      </w:r>
      <w:r>
        <w:t xml:space="preserve">(UATF, 2025, pp. 75–76)</w:t>
      </w:r>
      <w:r>
        <w:t xml:space="preserve">; ese tránsito sobre los complementos colocados es una causa conocida de mayor consumo de hormigón de la carpeta</w:t>
      </w:r>
      <w:r>
        <w:t xml:space="preserve"> </w:t>
      </w:r>
      <w:r>
        <w:t xml:space="preserve">(Concretec, 2016)</w:t>
      </w:r>
      <w:r>
        <w:t xml:space="preserve">.</w:t>
      </w:r>
    </w:p>
    <w:p>
      <w:pPr>
        <w:pStyle w:val="Heading4"/>
      </w:pPr>
      <w:bookmarkStart w:id="142" w:name="tit105"/>
      <w:r>
        <w:t xml:space="preserve">2.5.2.7. Planificación y plazo.</w:t>
      </w:r>
      <w:bookmarkEnd w:id="142"/>
    </w:p>
    <w:p>
      <w:pPr>
        <w:pStyle w:val="FirstParagraph"/>
      </w:pPr>
      <w:r>
        <w:t xml:space="preserve">El cronograma de actividades «actualizado» a 360 días programó la losa alivianada del 23 de diciembre de 2025 al 21 de abril de 2026 y todo el acero estructural del 19 de junio al 28 de julio de 2025</w:t>
      </w:r>
      <w:r>
        <w:t xml:space="preserve"> </w:t>
      </w:r>
      <w:r>
        <w:t xml:space="preserve">(UATF, 2025, p. 137)</w:t>
      </w:r>
      <w:r>
        <w:t xml:space="preserve">. Según el Libro de Órdenes, la losa se armó en noviembre y su vaciado se autorizó el 28 de noviembre, 25 días antes del inicio programado, y el acero se armó entre septiembre y noviembre</w:t>
      </w:r>
      <w:r>
        <w:t xml:space="preserve"> </w:t>
      </w:r>
      <w:r>
        <w:t xml:space="preserve">(UATF, 2025, pp. 114–125)</w:t>
      </w:r>
      <w:r>
        <w:t xml:space="preserve">. El cronograma, que el contrato define como documento fundamental de control</w:t>
      </w:r>
      <w:r>
        <w:t xml:space="preserve"> </w:t>
      </w:r>
      <w:r>
        <w:t xml:space="preserve">(UATF, 2025, p. 105)</w:t>
      </w:r>
      <w:r>
        <w:t xml:space="preserve">, no reflejaba la secuencia real. Al 8 de diciembre de 2025 el avance acumulado era de 56,97 % frente a 60,00 % previsto: un retraso de 3,03 puntos que la Supervisión reconoció</w:t>
      </w:r>
      <w:r>
        <w:t xml:space="preserve"> </w:t>
      </w:r>
      <w:r>
        <w:t xml:space="preserve">(UATF, 2025, p. 10)</w:t>
      </w:r>
      <w:r>
        <w:t xml:space="preserve">. El mismo informe consigna un «desfase del periodo» de 3,03 %, cuando el del periodo es de 1,07 % (29,00 % previsto frente a 27,93 % ejecutado; cálculo propio). Con el cronograma de desembolsos, interpolado linealmente entre los días 209 y 270, el avance previsto al 8 de diciembre sería de</w:t>
      </w:r>
      <w:r>
        <w:t xml:space="preserve"> </w:t>
      </w:r>
      <m:oMath>
        <m:r>
          <m:rPr>
            <m:sty m:val="p"/>
          </m:rPr>
          <m:t>≈</m:t>
        </m:r>
      </m:oMath>
      <w:r>
        <w:t xml:space="preserve"> 63,8 % (cálculo propio con supuestos)</w:t>
      </w:r>
      <w:r>
        <w:t xml:space="preserve"> </w:t>
      </w:r>
      <w:r>
        <w:t xml:space="preserve">(UATF, 2025, p. 139)</w:t>
      </w:r>
      <w:r>
        <w:t xml:space="preserve">.</w:t>
      </w:r>
    </w:p>
    <w:p>
      <w:pPr>
        <w:pStyle w:val="Heading4"/>
      </w:pPr>
      <w:bookmarkStart w:id="143" w:name="tit106"/>
      <w:r>
        <w:t xml:space="preserve">2.5.2.8. Otros hallazgos de control documental.</w:t>
      </w:r>
      <w:bookmarkEnd w:id="143"/>
    </w:p>
    <w:p>
      <w:pPr>
        <w:pStyle w:val="FirstParagraph"/>
      </w:pPr>
      <w:r>
        <w:t xml:space="preserve">Se registraron además inconsistencias menores que muestran un control débil de la información documentada: el certificado de avance consigna un anticipo del 10 % en un contrato sin anticipo</w:t>
      </w:r>
      <w:r>
        <w:t xml:space="preserve"> </w:t>
      </w:r>
      <w:r>
        <w:t xml:space="preserve">(UATF, 2025, p. 14)</w:t>
      </w:r>
      <w:r>
        <w:t xml:space="preserve">; una columna tipo 5 tiene 6 unidades en el rótulo y 7 en la planilla de armado, y una hoja de armado está duplicada</w:t>
      </w:r>
      <w:r>
        <w:t xml:space="preserve"> </w:t>
      </w:r>
      <w:r>
        <w:t xml:space="preserve">(UATF, 2025, pp. 38, 51–52)</w:t>
      </w:r>
      <w:r>
        <w:t xml:space="preserve">; las boletas de garantía vencen el 14 de abril de 2026, 16 días antes de la entrega provisional vigente, y equivalen al 7 % del monto original</w:t>
      </w:r>
      <w:r>
        <w:t xml:space="preserve"> </w:t>
      </w:r>
      <w:r>
        <w:t xml:space="preserve">(UATF, 2025, pp. 130–131)</w:t>
      </w:r>
      <w:r>
        <w:t xml:space="preserve">; dos de los tres certificados del seguro obligatorio de accidentes adjuntos vencieron el 3 de junio de 2025</w:t>
      </w:r>
      <w:r>
        <w:t xml:space="preserve"> </w:t>
      </w:r>
      <w:r>
        <w:t xml:space="preserve">(UATF, 2025, pp. 134–135)</w:t>
      </w:r>
      <w:r>
        <w:t xml:space="preserve">; el contrato seguía sin protocolizar al 8 de diciembre de 2025</w:t>
      </w:r>
      <w:r>
        <w:t xml:space="preserve"> </w:t>
      </w:r>
      <w:r>
        <w:t xml:space="preserve">(UATF, 2025, p. 88)</w:t>
      </w:r>
      <w:r>
        <w:t xml:space="preserve">; y el archivo de la planilla de cierre conserva una hoja de un contrato de 2023 de otra empresa</w:t>
      </w:r>
      <w:r>
        <w:t xml:space="preserve"> </w:t>
      </w:r>
      <w:r>
        <w:t xml:space="preserve">(UATF, s. f.-c)</w:t>
      </w:r>
      <w:r>
        <w:t xml:space="preserve">.</w:t>
      </w:r>
    </w:p>
    <w:p>
      <w:pPr>
        <w:pStyle w:val="Heading3"/>
      </w:pPr>
      <w:bookmarkStart w:id="151" w:name="tit107"/>
      <w:r>
        <w:t xml:space="preserve">2.5.3. No conformidades y análisis de causas</w:t>
      </w:r>
      <w:bookmarkEnd w:id="151"/>
    </w:p>
    <w:p>
      <w:pPr>
        <w:pStyle w:val="FirstParagraph"/>
      </w:pPr>
      <w:r>
        <w:t xml:space="preserve">A partir del análisis documental y de la lista de verificación, el investigador identificó 22 no conformidades (NC) respecto de los requisitos de la norma ISO 9001:2026, del contrato, de las ET y de la normativa del hormigón (Tabla 26). Cada NC se clasificó en una categoría del método 6M (materiales, método, mano de obra, medición, maquinaria y medio ambiente) o en la categoría de gestión, que reúne las fallas de planificación, documentación y dirección. Como no existe un registro de NC de la obra, la tabla es una reconstrucción documental y no un registro levantado durante la ejecución.</w:t>
      </w:r>
    </w:p>
    <w:p>
      <w:pPr>
        <w:pStyle w:val="Caption"/>
      </w:pPr>
      <w:bookmarkStart w:id="1425" w:name="tab26"/>
      <w:r>
        <w:t xml:space="preserve"/>
      </w:r>
      <w:r>
        <w:rPr>
          <w:bCs/>
          <w:b/>
        </w:rPr>
        <w:t xml:space="preserve">Tabla 26</w:t>
      </w:r>
      <w:r>
        <w:br/>
      </w:r>
      <w:r>
        <w:rPr>
          <w:iCs/>
          <w:i/>
        </w:rPr>
        <w:t xml:space="preserve">No conformidades identificadas en la ejecución de la primera losa</w:t>
      </w:r>
      <w:bookmarkEnd w:id="1425"/>
    </w:p>
    <w:tbl>
      <w:tblPr>
        <w:tblStyle w:val="Table"/>
        <w:tblW w:w="9359" w:type="dxa"/>
        <w:jc w:val="left"/>
        <w:tblLayout w:type="fixed"/>
        <w:tblCellMar>
          <w:top w:w="0" w:type="dxa"/>
          <w:left w:w="85" w:type="dxa"/>
          <w:bottom w:w="0" w:type="dxa"/>
          <w:right w:w="85" w:type="dxa"/>
        </w:tblCellMar>
        <w:tblLook w:firstRow="1" w:lastRow="0" w:firstColumn="0" w:lastColumn="0" w:noHBand="0" w:noVBand="0" w:val="0020"/>
      </w:tblPr>
      <w:tblGrid>
        <w:gridCol w:w="1083"/>
        <w:gridCol w:w="3191"/>
        <w:gridCol w:w="1610"/>
        <w:gridCol w:w="2087"/>
        <w:gridCol w:w="1388"/>
      </w:tblGrid>
      <w:tr>
        <w:trPr>
          <w:cantSplit/>
          <w:tblHeader w:val="true"/>
        </w:trPr>
        <w:tc>
          <w:tcPr>
            <w:tcW w:w="1083" w:type="dxa"/>
            <w:tcBorders>
              <w:top w:val="single" w:sz="8" w:space="0" w:color="000000"/>
              <w:bottom w:val="single" w:sz="4" w:space="0" w:color="000000"/>
            </w:tcBorders>
          </w:tcPr>
          <w:p>
            <w:pPr>
              <w:pStyle w:val="CeldaAPA"/>
              <w:jc w:val="center"/>
            </w:pPr>
            <w:r>
              <w:rPr>
                <w:bCs/>
                <w:b/>
              </w:rPr>
              <w:t xml:space="preserve">Código</w:t>
            </w:r>
          </w:p>
        </w:tc>
        <w:tc>
          <w:tcPr>
            <w:tcW w:w="3191" w:type="dxa"/>
            <w:tcBorders>
              <w:top w:val="single" w:sz="8" w:space="0" w:color="000000"/>
              <w:bottom w:val="single" w:sz="4" w:space="0" w:color="000000"/>
            </w:tcBorders>
          </w:tcPr>
          <w:p>
            <w:pPr>
              <w:pStyle w:val="CeldaAPA"/>
              <w:jc w:val="center"/>
            </w:pPr>
            <w:r>
              <w:rPr>
                <w:bCs/>
                <w:b/>
              </w:rPr>
              <w:t xml:space="preserve">Descripción</w:t>
            </w:r>
          </w:p>
        </w:tc>
        <w:tc>
          <w:tcPr>
            <w:tcW w:w="1610" w:type="dxa"/>
            <w:tcBorders>
              <w:top w:val="single" w:sz="8" w:space="0" w:color="000000"/>
              <w:bottom w:val="single" w:sz="4" w:space="0" w:color="000000"/>
            </w:tcBorders>
          </w:tcPr>
          <w:p>
            <w:pPr>
              <w:pStyle w:val="CeldaAPA"/>
              <w:jc w:val="center"/>
            </w:pPr>
            <w:r>
              <w:rPr>
                <w:bCs/>
                <w:b/>
              </w:rPr>
              <w:t xml:space="preserve">Evidencia</w:t>
            </w:r>
          </w:p>
        </w:tc>
        <w:tc>
          <w:tcPr>
            <w:tcW w:w="2087" w:type="dxa"/>
            <w:tcBorders>
              <w:top w:val="single" w:sz="8" w:space="0" w:color="000000"/>
              <w:bottom w:val="single" w:sz="4" w:space="0" w:color="000000"/>
            </w:tcBorders>
          </w:tcPr>
          <w:p>
            <w:pPr>
              <w:pStyle w:val="CeldaAPA"/>
              <w:jc w:val="center"/>
            </w:pPr>
            <w:r>
              <w:rPr>
                <w:bCs/>
                <w:b/>
              </w:rPr>
              <w:t xml:space="preserve">Requisito afectado</w:t>
            </w:r>
          </w:p>
        </w:tc>
        <w:tc>
          <w:tcPr>
            <w:tcW w:w="1388" w:type="dxa"/>
            <w:tcBorders>
              <w:top w:val="single" w:sz="8" w:space="0" w:color="000000"/>
              <w:bottom w:val="single" w:sz="4" w:space="0" w:color="000000"/>
            </w:tcBorders>
          </w:tcPr>
          <w:p>
            <w:pPr>
              <w:pStyle w:val="CeldaAPA"/>
              <w:jc w:val="center"/>
            </w:pPr>
            <w:r>
              <w:rPr>
                <w:bCs/>
                <w:b/>
              </w:rPr>
              <w:t xml:space="preserve">Categoría</w:t>
            </w:r>
          </w:p>
        </w:tc>
      </w:tr>
      <w:tr>
        <w:tc>
          <w:tcPr>
            <w:tcW w:w="1083" w:type="dxa"/>
          </w:tcPr>
          <w:p>
            <w:pPr>
              <w:pStyle w:val="CeldaAPA"/>
              <w:jc w:val="left"/>
            </w:pPr>
            <w:r>
              <w:rPr/>
              <w:t xml:space="preserve">NC-01</w:t>
            </w:r>
          </w:p>
        </w:tc>
        <w:tc>
          <w:tcPr>
            <w:tcW w:w="3191" w:type="dxa"/>
          </w:tcPr>
          <w:p>
            <w:pPr>
              <w:pStyle w:val="CeldaAPA"/>
              <w:jc w:val="left"/>
            </w:pPr>
            <w:r>
              <w:rPr/>
              <w:t xml:space="preserve">El hormigón de la losa no tiene ensayos de resistencia; la losa se certificó para pago antes de la primera fecha en que podía tener 28 días</w:t>
            </w:r>
          </w:p>
        </w:tc>
        <w:tc>
          <w:tcPr>
            <w:tcW w:w="1610" w:type="dxa"/>
          </w:tcPr>
          <w:p>
            <w:pPr>
              <w:pStyle w:val="CeldaAPA"/>
              <w:jc w:val="left"/>
            </w:pPr>
            <w:r>
              <w:rPr/>
              <w:t xml:space="preserve">PAO2, pp. 16, 78, 125</w:t>
            </w:r>
          </w:p>
        </w:tc>
        <w:tc>
          <w:tcPr>
            <w:tcW w:w="2087" w:type="dxa"/>
          </w:tcPr>
          <w:p>
            <w:pPr>
              <w:pStyle w:val="CeldaAPA"/>
              <w:jc w:val="left"/>
            </w:pPr>
            <w:r>
              <w:rPr/>
              <w:t xml:space="preserve">ISO 8.5.1 y 8.6; ACI 318-25, 26.12; cl. 26.6</w:t>
            </w:r>
          </w:p>
        </w:tc>
        <w:tc>
          <w:tcPr>
            <w:tcW w:w="1388" w:type="dxa"/>
          </w:tcPr>
          <w:p>
            <w:pPr>
              <w:pStyle w:val="CeldaAPA"/>
              <w:jc w:val="left"/>
            </w:pPr>
            <w:r>
              <w:rPr/>
              <w:t xml:space="preserve">Medición</w:t>
            </w:r>
          </w:p>
        </w:tc>
      </w:tr>
      <w:tr>
        <w:tc>
          <w:tcPr>
            <w:tcW w:w="1083" w:type="dxa"/>
          </w:tcPr>
          <w:p>
            <w:pPr>
              <w:pStyle w:val="CeldaAPA"/>
              <w:jc w:val="left"/>
            </w:pPr>
            <w:r>
              <w:rPr/>
              <w:t xml:space="preserve">NC-02</w:t>
            </w:r>
          </w:p>
        </w:tc>
        <w:tc>
          <w:tcPr>
            <w:tcW w:w="3191" w:type="dxa"/>
          </w:tcPr>
          <w:p>
            <w:pPr>
              <w:pStyle w:val="CeldaAPA"/>
              <w:jc w:val="left"/>
            </w:pPr>
            <w:r>
              <w:rPr/>
              <w:t xml:space="preserve">Probetas de columnas y vigas ensayadas a 55–76 días y proyectadas con un factor sin fuente; elaboradas por la contratista y sin identificación de la muestra</w:t>
            </w:r>
          </w:p>
        </w:tc>
        <w:tc>
          <w:tcPr>
            <w:tcW w:w="1610" w:type="dxa"/>
          </w:tcPr>
          <w:p>
            <w:pPr>
              <w:pStyle w:val="CeldaAPA"/>
              <w:jc w:val="left"/>
            </w:pPr>
            <w:r>
              <w:rPr/>
              <w:t xml:space="preserve">PAO2, p. 78</w:t>
            </w:r>
          </w:p>
        </w:tc>
        <w:tc>
          <w:tcPr>
            <w:tcW w:w="2087" w:type="dxa"/>
          </w:tcPr>
          <w:p>
            <w:pPr>
              <w:pStyle w:val="CeldaAPA"/>
              <w:jc w:val="left"/>
            </w:pPr>
            <w:r>
              <w:rPr/>
              <w:t xml:space="preserve">ISO 7.1.5 y 8.5.2; ACI 318-25, 26.12</w:t>
            </w:r>
          </w:p>
        </w:tc>
        <w:tc>
          <w:tcPr>
            <w:tcW w:w="1388" w:type="dxa"/>
          </w:tcPr>
          <w:p>
            <w:pPr>
              <w:pStyle w:val="CeldaAPA"/>
              <w:jc w:val="left"/>
            </w:pPr>
            <w:r>
              <w:rPr/>
              <w:t xml:space="preserve">Medición</w:t>
            </w:r>
          </w:p>
        </w:tc>
      </w:tr>
      <w:tr>
        <w:tc>
          <w:tcPr>
            <w:tcW w:w="1083" w:type="dxa"/>
          </w:tcPr>
          <w:p>
            <w:pPr>
              <w:pStyle w:val="CeldaAPA"/>
              <w:jc w:val="left"/>
            </w:pPr>
            <w:r>
              <w:rPr/>
              <w:t xml:space="preserve">NC-03</w:t>
            </w:r>
          </w:p>
        </w:tc>
        <w:tc>
          <w:tcPr>
            <w:tcW w:w="3191" w:type="dxa"/>
          </w:tcPr>
          <w:p>
            <w:pPr>
              <w:pStyle w:val="CeldaAPA"/>
              <w:jc w:val="left"/>
            </w:pPr>
            <w:r>
              <w:rPr/>
              <w:t xml:space="preserve">Sin dosificación aprobada ni registros de asentamiento y curado, pese a tres instrucciones de la Supervisión</w:t>
            </w:r>
          </w:p>
        </w:tc>
        <w:tc>
          <w:tcPr>
            <w:tcW w:w="1610" w:type="dxa"/>
          </w:tcPr>
          <w:p>
            <w:pPr>
              <w:pStyle w:val="CeldaAPA"/>
              <w:jc w:val="left"/>
            </w:pPr>
            <w:r>
              <w:rPr/>
              <w:t xml:space="preserve">PAO2, pp. 9, 120, 121, 125</w:t>
            </w:r>
          </w:p>
        </w:tc>
        <w:tc>
          <w:tcPr>
            <w:tcW w:w="2087" w:type="dxa"/>
          </w:tcPr>
          <w:p>
            <w:pPr>
              <w:pStyle w:val="CeldaAPA"/>
              <w:jc w:val="left"/>
            </w:pPr>
            <w:r>
              <w:rPr/>
              <w:t xml:space="preserve">ISO 8.5.1; ET; ACI 318-25, 26.4 y 26.5</w:t>
            </w:r>
          </w:p>
        </w:tc>
        <w:tc>
          <w:tcPr>
            <w:tcW w:w="1388" w:type="dxa"/>
          </w:tcPr>
          <w:p>
            <w:pPr>
              <w:pStyle w:val="CeldaAPA"/>
              <w:jc w:val="left"/>
            </w:pPr>
            <w:r>
              <w:rPr/>
              <w:t xml:space="preserve">Método</w:t>
            </w:r>
          </w:p>
        </w:tc>
      </w:tr>
      <w:tr>
        <w:tc>
          <w:tcPr>
            <w:tcW w:w="1083" w:type="dxa"/>
          </w:tcPr>
          <w:p>
            <w:pPr>
              <w:pStyle w:val="CeldaAPA"/>
              <w:jc w:val="left"/>
            </w:pPr>
            <w:r>
              <w:rPr/>
              <w:t xml:space="preserve">NC-04</w:t>
            </w:r>
          </w:p>
        </w:tc>
        <w:tc>
          <w:tcPr>
            <w:tcW w:w="3191" w:type="dxa"/>
          </w:tcPr>
          <w:p>
            <w:pPr>
              <w:pStyle w:val="CeldaAPA"/>
              <w:jc w:val="left"/>
            </w:pPr>
            <w:r>
              <w:rPr/>
              <w:t xml:space="preserve">Certificados de viguetas y EPS posteriores al inicio del armado y sin firma; el de viguetas sin cantidad, lote ni ensayos; sin inspección de recepción</w:t>
            </w:r>
          </w:p>
        </w:tc>
        <w:tc>
          <w:tcPr>
            <w:tcW w:w="1610" w:type="dxa"/>
          </w:tcPr>
          <w:p>
            <w:pPr>
              <w:pStyle w:val="CeldaAPA"/>
              <w:jc w:val="left"/>
            </w:pPr>
            <w:r>
              <w:rPr/>
              <w:t xml:space="preserve">PAO2, pp. 80–81, 122</w:t>
            </w:r>
          </w:p>
        </w:tc>
        <w:tc>
          <w:tcPr>
            <w:tcW w:w="2087" w:type="dxa"/>
          </w:tcPr>
          <w:p>
            <w:pPr>
              <w:pStyle w:val="CeldaAPA"/>
              <w:jc w:val="left"/>
            </w:pPr>
            <w:r>
              <w:rPr/>
              <w:t xml:space="preserve">ISO 8.4.2; cl. 26.6</w:t>
            </w:r>
          </w:p>
        </w:tc>
        <w:tc>
          <w:tcPr>
            <w:tcW w:w="1388" w:type="dxa"/>
          </w:tcPr>
          <w:p>
            <w:pPr>
              <w:pStyle w:val="CeldaAPA"/>
              <w:jc w:val="left"/>
            </w:pPr>
            <w:r>
              <w:rPr/>
              <w:t xml:space="preserve">Materiales</w:t>
            </w:r>
          </w:p>
        </w:tc>
      </w:tr>
      <w:tr>
        <w:tc>
          <w:tcPr>
            <w:tcW w:w="1083" w:type="dxa"/>
          </w:tcPr>
          <w:p>
            <w:pPr>
              <w:pStyle w:val="CeldaAPA"/>
              <w:jc w:val="left"/>
            </w:pPr>
            <w:r>
              <w:rPr/>
              <w:t xml:space="preserve">NC-05</w:t>
            </w:r>
          </w:p>
        </w:tc>
        <w:tc>
          <w:tcPr>
            <w:tcW w:w="3191" w:type="dxa"/>
          </w:tcPr>
          <w:p>
            <w:pPr>
              <w:pStyle w:val="CeldaAPA"/>
              <w:jc w:val="left"/>
            </w:pPr>
            <w:r>
              <w:rPr/>
              <w:t xml:space="preserve">Sin certificados de las barras de</w:t>
            </w:r>
            <w:r>
              <w:rPr/>
              <w:t xml:space="preserve"> </w:t>
            </w:r>
            <m:oMath>
              <m:r>
                <m:t>ϕ</m:t>
              </m:r>
            </m:oMath>
            <w:r>
              <w:rPr/>
              <w:t xml:space="preserve">6 y</w:t>
            </w:r>
            <w:r>
              <w:rPr/>
              <w:t xml:space="preserve"> </w:t>
            </w:r>
            <m:oMath>
              <m:r>
                <m:t>ϕ</m:t>
              </m:r>
            </m:oMath>
            <w:r>
              <w:rPr/>
              <w:t xml:space="preserve">10 de la losa, ni de cemento y áridos</w:t>
            </w:r>
          </w:p>
        </w:tc>
        <w:tc>
          <w:tcPr>
            <w:tcW w:w="1610" w:type="dxa"/>
          </w:tcPr>
          <w:p>
            <w:pPr>
              <w:pStyle w:val="CeldaAPA"/>
              <w:jc w:val="left"/>
            </w:pPr>
            <w:r>
              <w:rPr/>
              <w:t xml:space="preserve">PAO2, pp. 82–86; Plano 02</w:t>
            </w:r>
          </w:p>
        </w:tc>
        <w:tc>
          <w:tcPr>
            <w:tcW w:w="2087" w:type="dxa"/>
          </w:tcPr>
          <w:p>
            <w:pPr>
              <w:pStyle w:val="CeldaAPA"/>
              <w:jc w:val="left"/>
            </w:pPr>
            <w:r>
              <w:rPr/>
              <w:t xml:space="preserve">ISO 8.4.2; ET; ACI 318-25, 26.6</w:t>
            </w:r>
          </w:p>
        </w:tc>
        <w:tc>
          <w:tcPr>
            <w:tcW w:w="1388" w:type="dxa"/>
          </w:tcPr>
          <w:p>
            <w:pPr>
              <w:pStyle w:val="CeldaAPA"/>
              <w:jc w:val="left"/>
            </w:pPr>
            <w:r>
              <w:rPr/>
              <w:t xml:space="preserve">Materiales</w:t>
            </w:r>
          </w:p>
        </w:tc>
      </w:tr>
      <w:tr>
        <w:tc>
          <w:tcPr>
            <w:tcW w:w="1083" w:type="dxa"/>
          </w:tcPr>
          <w:p>
            <w:pPr>
              <w:pStyle w:val="CeldaAPA"/>
              <w:jc w:val="left"/>
            </w:pPr>
            <w:r>
              <w:rPr/>
              <w:t xml:space="preserve">NC-06</w:t>
            </w:r>
          </w:p>
        </w:tc>
        <w:tc>
          <w:tcPr>
            <w:tcW w:w="3191" w:type="dxa"/>
          </w:tcPr>
          <w:p>
            <w:pPr>
              <w:pStyle w:val="CeldaAPA"/>
              <w:jc w:val="left"/>
            </w:pPr>
            <w:r>
              <w:rPr/>
              <w:t xml:space="preserve">Tres geometrías del complemento EPS (ET, Plano 02 y certificado) sin aclaración ni orden de cambio</w:t>
            </w:r>
          </w:p>
        </w:tc>
        <w:tc>
          <w:tcPr>
            <w:tcW w:w="1610" w:type="dxa"/>
          </w:tcPr>
          <w:p>
            <w:pPr>
              <w:pStyle w:val="CeldaAPA"/>
              <w:jc w:val="left"/>
            </w:pPr>
            <w:r>
              <w:rPr/>
              <w:t xml:space="preserve">ET, p. 3; Plano 02; PAO2, p. 81</w:t>
            </w:r>
          </w:p>
        </w:tc>
        <w:tc>
          <w:tcPr>
            <w:tcW w:w="2087" w:type="dxa"/>
          </w:tcPr>
          <w:p>
            <w:pPr>
              <w:pStyle w:val="CeldaAPA"/>
              <w:jc w:val="left"/>
            </w:pPr>
            <w:r>
              <w:rPr/>
              <w:t xml:space="preserve">ISO 7.5.3 y 8.2.3</w:t>
            </w:r>
          </w:p>
        </w:tc>
        <w:tc>
          <w:tcPr>
            <w:tcW w:w="1388" w:type="dxa"/>
          </w:tcPr>
          <w:p>
            <w:pPr>
              <w:pStyle w:val="CeldaAPA"/>
              <w:jc w:val="left"/>
            </w:pPr>
            <w:r>
              <w:rPr/>
              <w:t xml:space="preserve">Gestión</w:t>
            </w:r>
          </w:p>
        </w:tc>
      </w:tr>
      <w:tr>
        <w:tc>
          <w:tcPr>
            <w:tcW w:w="1083" w:type="dxa"/>
          </w:tcPr>
          <w:p>
            <w:pPr>
              <w:pStyle w:val="CeldaAPA"/>
              <w:jc w:val="left"/>
            </w:pPr>
            <w:r>
              <w:rPr/>
              <w:t xml:space="preserve">NC-07</w:t>
            </w:r>
          </w:p>
        </w:tc>
        <w:tc>
          <w:tcPr>
            <w:tcW w:w="3191" w:type="dxa"/>
          </w:tcPr>
          <w:p>
            <w:pPr>
              <w:pStyle w:val="CeldaAPA"/>
              <w:jc w:val="left"/>
            </w:pPr>
            <w:r>
              <w:rPr/>
              <w:t xml:space="preserve">ET con la CBH-87 y normas bolivianas antiguas de cemento, áridos y agua</w:t>
            </w:r>
          </w:p>
        </w:tc>
        <w:tc>
          <w:tcPr>
            <w:tcW w:w="1610" w:type="dxa"/>
          </w:tcPr>
          <w:p>
            <w:pPr>
              <w:pStyle w:val="CeldaAPA"/>
              <w:jc w:val="left"/>
            </w:pPr>
            <w:r>
              <w:rPr/>
              <w:t xml:space="preserve">ET, pp. 1–2</w:t>
            </w:r>
          </w:p>
        </w:tc>
        <w:tc>
          <w:tcPr>
            <w:tcW w:w="2087" w:type="dxa"/>
          </w:tcPr>
          <w:p>
            <w:pPr>
              <w:pStyle w:val="CeldaAPA"/>
              <w:jc w:val="left"/>
            </w:pPr>
            <w:r>
              <w:rPr/>
              <w:t xml:space="preserve">ISO 7.5.3 y 8.2.2</w:t>
            </w:r>
          </w:p>
        </w:tc>
        <w:tc>
          <w:tcPr>
            <w:tcW w:w="1388" w:type="dxa"/>
          </w:tcPr>
          <w:p>
            <w:pPr>
              <w:pStyle w:val="CeldaAPA"/>
              <w:jc w:val="left"/>
            </w:pPr>
            <w:r>
              <w:rPr/>
              <w:t xml:space="preserve">Gestión</w:t>
            </w:r>
          </w:p>
        </w:tc>
      </w:tr>
      <w:tr>
        <w:tc>
          <w:tcPr>
            <w:tcW w:w="1083" w:type="dxa"/>
          </w:tcPr>
          <w:p>
            <w:pPr>
              <w:pStyle w:val="CeldaAPA"/>
              <w:jc w:val="left"/>
            </w:pPr>
            <w:r>
              <w:rPr/>
              <w:t xml:space="preserve">NC-08</w:t>
            </w:r>
          </w:p>
        </w:tc>
        <w:tc>
          <w:tcPr>
            <w:tcW w:w="3191" w:type="dxa"/>
          </w:tcPr>
          <w:p>
            <w:pPr>
              <w:pStyle w:val="CeldaAPA"/>
              <w:jc w:val="left"/>
            </w:pPr>
            <w:r>
              <w:rPr/>
              <w:t xml:space="preserve">Modificaciones estructurales por falta de viguetas de los tamaños requeridos, sin documento del cambio ni de su aprobación</w:t>
            </w:r>
          </w:p>
        </w:tc>
        <w:tc>
          <w:tcPr>
            <w:tcW w:w="1610" w:type="dxa"/>
          </w:tcPr>
          <w:p>
            <w:pPr>
              <w:pStyle w:val="CeldaAPA"/>
              <w:jc w:val="left"/>
            </w:pPr>
            <w:r>
              <w:rPr/>
              <w:t xml:space="preserve">PAO2, p. 11</w:t>
            </w:r>
          </w:p>
        </w:tc>
        <w:tc>
          <w:tcPr>
            <w:tcW w:w="2087" w:type="dxa"/>
          </w:tcPr>
          <w:p>
            <w:pPr>
              <w:pStyle w:val="CeldaAPA"/>
              <w:jc w:val="left"/>
            </w:pPr>
            <w:r>
              <w:rPr/>
              <w:t xml:space="preserve">ISO 6.3, 8.4.1 y 8.5.6</w:t>
            </w:r>
          </w:p>
        </w:tc>
        <w:tc>
          <w:tcPr>
            <w:tcW w:w="1388" w:type="dxa"/>
          </w:tcPr>
          <w:p>
            <w:pPr>
              <w:pStyle w:val="CeldaAPA"/>
              <w:jc w:val="left"/>
            </w:pPr>
            <w:r>
              <w:rPr/>
              <w:t xml:space="preserve">Materiales</w:t>
            </w:r>
          </w:p>
        </w:tc>
      </w:tr>
      <w:tr>
        <w:tc>
          <w:tcPr>
            <w:tcW w:w="1083" w:type="dxa"/>
          </w:tcPr>
          <w:p>
            <w:pPr>
              <w:pStyle w:val="CeldaAPA"/>
              <w:jc w:val="left"/>
            </w:pPr>
            <w:r>
              <w:rPr/>
              <w:t xml:space="preserve">NC-09</w:t>
            </w:r>
          </w:p>
        </w:tc>
        <w:tc>
          <w:tcPr>
            <w:tcW w:w="3191" w:type="dxa"/>
          </w:tcPr>
          <w:p>
            <w:pPr>
              <w:pStyle w:val="CeldaAPA"/>
              <w:jc w:val="left"/>
            </w:pPr>
            <w:r>
              <w:rPr/>
              <w:t xml:space="preserve">Libro de Órdenes con encabezados vacíos y sin la constancia firmada del Director de Obra en las 12 hojas</w:t>
            </w:r>
          </w:p>
        </w:tc>
        <w:tc>
          <w:tcPr>
            <w:tcW w:w="1610" w:type="dxa"/>
          </w:tcPr>
          <w:p>
            <w:pPr>
              <w:pStyle w:val="CeldaAPA"/>
              <w:jc w:val="left"/>
            </w:pPr>
            <w:r>
              <w:rPr/>
              <w:t xml:space="preserve">PAO2, pp. 114–125</w:t>
            </w:r>
          </w:p>
        </w:tc>
        <w:tc>
          <w:tcPr>
            <w:tcW w:w="2087" w:type="dxa"/>
          </w:tcPr>
          <w:p>
            <w:pPr>
              <w:pStyle w:val="CeldaAPA"/>
              <w:jc w:val="left"/>
            </w:pPr>
            <w:r>
              <w:rPr/>
              <w:t xml:space="preserve">ISO 7.4 y 7.5.2; cl. 25.ª</w:t>
            </w:r>
          </w:p>
        </w:tc>
        <w:tc>
          <w:tcPr>
            <w:tcW w:w="1388" w:type="dxa"/>
          </w:tcPr>
          <w:p>
            <w:pPr>
              <w:pStyle w:val="CeldaAPA"/>
              <w:jc w:val="left"/>
            </w:pPr>
            <w:r>
              <w:rPr/>
              <w:t xml:space="preserve">Gestión</w:t>
            </w:r>
          </w:p>
        </w:tc>
      </w:tr>
      <w:tr>
        <w:tc>
          <w:tcPr>
            <w:tcW w:w="1083" w:type="dxa"/>
          </w:tcPr>
          <w:p>
            <w:pPr>
              <w:pStyle w:val="CeldaAPA"/>
              <w:jc w:val="left"/>
            </w:pPr>
            <w:r>
              <w:rPr/>
              <w:t xml:space="preserve">NC-10</w:t>
            </w:r>
          </w:p>
        </w:tc>
        <w:tc>
          <w:tcPr>
            <w:tcW w:w="3191" w:type="dxa"/>
          </w:tcPr>
          <w:p>
            <w:pPr>
              <w:pStyle w:val="CeldaAPA"/>
              <w:jc w:val="left"/>
            </w:pPr>
            <w:r>
              <w:rPr/>
              <w:t xml:space="preserve">Liberaciones de vaciado sin lista de verificación ni criterios; la de la losa no instruye muestreo ni registra la fecha del hormigonado</w:t>
            </w:r>
          </w:p>
        </w:tc>
        <w:tc>
          <w:tcPr>
            <w:tcW w:w="1610" w:type="dxa"/>
          </w:tcPr>
          <w:p>
            <w:pPr>
              <w:pStyle w:val="CeldaAPA"/>
              <w:jc w:val="left"/>
            </w:pPr>
            <w:r>
              <w:rPr/>
              <w:t xml:space="preserve">PAO2, pp. 114–125</w:t>
            </w:r>
          </w:p>
        </w:tc>
        <w:tc>
          <w:tcPr>
            <w:tcW w:w="2087" w:type="dxa"/>
          </w:tcPr>
          <w:p>
            <w:pPr>
              <w:pStyle w:val="CeldaAPA"/>
              <w:jc w:val="left"/>
            </w:pPr>
            <w:r>
              <w:rPr/>
              <w:t xml:space="preserve">ISO 8.5.1 y 8.6; ACI 318-25, 26.13</w:t>
            </w:r>
          </w:p>
        </w:tc>
        <w:tc>
          <w:tcPr>
            <w:tcW w:w="1388" w:type="dxa"/>
          </w:tcPr>
          <w:p>
            <w:pPr>
              <w:pStyle w:val="CeldaAPA"/>
              <w:jc w:val="left"/>
            </w:pPr>
            <w:r>
              <w:rPr/>
              <w:t xml:space="preserve">Método</w:t>
            </w:r>
          </w:p>
        </w:tc>
      </w:tr>
      <w:tr>
        <w:tc>
          <w:tcPr>
            <w:tcW w:w="1083" w:type="dxa"/>
          </w:tcPr>
          <w:p>
            <w:pPr>
              <w:pStyle w:val="CeldaAPA"/>
              <w:jc w:val="left"/>
            </w:pPr>
            <w:r>
              <w:rPr/>
              <w:t xml:space="preserve">NC-11</w:t>
            </w:r>
          </w:p>
        </w:tc>
        <w:tc>
          <w:tcPr>
            <w:tcW w:w="3191" w:type="dxa"/>
          </w:tcPr>
          <w:p>
            <w:pPr>
              <w:pStyle w:val="CeldaAPA"/>
              <w:jc w:val="left"/>
            </w:pPr>
            <w:r>
              <w:rPr/>
              <w:t xml:space="preserve">Ninguna no conformidad, rechazo o retrabajo registrado en el periodo</w:t>
            </w:r>
          </w:p>
        </w:tc>
        <w:tc>
          <w:tcPr>
            <w:tcW w:w="1610" w:type="dxa"/>
          </w:tcPr>
          <w:p>
            <w:pPr>
              <w:pStyle w:val="CeldaAPA"/>
              <w:jc w:val="left"/>
            </w:pPr>
            <w:r>
              <w:rPr/>
              <w:t xml:space="preserve">PAO2, pp. 6–11, 114–125</w:t>
            </w:r>
          </w:p>
        </w:tc>
        <w:tc>
          <w:tcPr>
            <w:tcW w:w="2087" w:type="dxa"/>
          </w:tcPr>
          <w:p>
            <w:pPr>
              <w:pStyle w:val="CeldaAPA"/>
              <w:jc w:val="left"/>
            </w:pPr>
            <w:r>
              <w:rPr/>
              <w:t xml:space="preserve">ISO 8.7 y 10.2</w:t>
            </w:r>
          </w:p>
        </w:tc>
        <w:tc>
          <w:tcPr>
            <w:tcW w:w="1388" w:type="dxa"/>
          </w:tcPr>
          <w:p>
            <w:pPr>
              <w:pStyle w:val="CeldaAPA"/>
              <w:jc w:val="left"/>
            </w:pPr>
            <w:r>
              <w:rPr/>
              <w:t xml:space="preserve">Gestión</w:t>
            </w:r>
          </w:p>
        </w:tc>
      </w:tr>
      <w:tr>
        <w:tc>
          <w:tcPr>
            <w:tcW w:w="1083" w:type="dxa"/>
          </w:tcPr>
          <w:p>
            <w:pPr>
              <w:pStyle w:val="CeldaAPA"/>
              <w:jc w:val="left"/>
            </w:pPr>
            <w:r>
              <w:rPr/>
              <w:t xml:space="preserve">NC-12</w:t>
            </w:r>
          </w:p>
        </w:tc>
        <w:tc>
          <w:tcPr>
            <w:tcW w:w="3191" w:type="dxa"/>
          </w:tcPr>
          <w:p>
            <w:pPr>
              <w:pStyle w:val="CeldaAPA"/>
              <w:jc w:val="left"/>
            </w:pPr>
            <w:r>
              <w:rPr/>
              <w:t xml:space="preserve">Calidad calificada de «buena» y ensayos y verificaciones afirmados sin registros, en contradicción con las recomendaciones de la misma Supervisión</w:t>
            </w:r>
          </w:p>
        </w:tc>
        <w:tc>
          <w:tcPr>
            <w:tcW w:w="1610" w:type="dxa"/>
          </w:tcPr>
          <w:p>
            <w:pPr>
              <w:pStyle w:val="CeldaAPA"/>
              <w:jc w:val="left"/>
            </w:pPr>
            <w:r>
              <w:rPr/>
              <w:t xml:space="preserve">PAO2, pp. 9, 11</w:t>
            </w:r>
          </w:p>
        </w:tc>
        <w:tc>
          <w:tcPr>
            <w:tcW w:w="2087" w:type="dxa"/>
          </w:tcPr>
          <w:p>
            <w:pPr>
              <w:pStyle w:val="CeldaAPA"/>
              <w:jc w:val="left"/>
            </w:pPr>
            <w:r>
              <w:rPr/>
              <w:t xml:space="preserve">ISO 9.1.2 y 9.1.3</w:t>
            </w:r>
          </w:p>
        </w:tc>
        <w:tc>
          <w:tcPr>
            <w:tcW w:w="1388" w:type="dxa"/>
          </w:tcPr>
          <w:p>
            <w:pPr>
              <w:pStyle w:val="CeldaAPA"/>
              <w:jc w:val="left"/>
            </w:pPr>
            <w:r>
              <w:rPr/>
              <w:t xml:space="preserve">Medición</w:t>
            </w:r>
          </w:p>
        </w:tc>
      </w:tr>
      <w:tr>
        <w:tc>
          <w:tcPr>
            <w:tcW w:w="1083" w:type="dxa"/>
          </w:tcPr>
          <w:p>
            <w:pPr>
              <w:pStyle w:val="CeldaAPA"/>
              <w:jc w:val="left"/>
            </w:pPr>
            <w:r>
              <w:rPr/>
              <w:t xml:space="preserve">NC-13</w:t>
            </w:r>
          </w:p>
        </w:tc>
        <w:tc>
          <w:tcPr>
            <w:tcW w:w="3191" w:type="dxa"/>
          </w:tcPr>
          <w:p>
            <w:pPr>
              <w:pStyle w:val="CeldaAPA"/>
              <w:jc w:val="left"/>
            </w:pPr>
            <w:r>
              <w:rPr/>
              <w:t xml:space="preserve">Acero de la losa computado en el ítem 8 sin planilla de armado; la ET del ítem 13 incluye la parrilla y los negativos (posible doble cómputo, a verificar)</w:t>
            </w:r>
          </w:p>
        </w:tc>
        <w:tc>
          <w:tcPr>
            <w:tcW w:w="1610" w:type="dxa"/>
          </w:tcPr>
          <w:p>
            <w:pPr>
              <w:pStyle w:val="CeldaAPA"/>
              <w:jc w:val="left"/>
            </w:pPr>
            <w:r>
              <w:rPr/>
              <w:t xml:space="preserve">PAO2, p. 20; ET, p. 3</w:t>
            </w:r>
          </w:p>
        </w:tc>
        <w:tc>
          <w:tcPr>
            <w:tcW w:w="2087" w:type="dxa"/>
          </w:tcPr>
          <w:p>
            <w:pPr>
              <w:pStyle w:val="CeldaAPA"/>
              <w:jc w:val="left"/>
            </w:pPr>
            <w:r>
              <w:rPr/>
              <w:t xml:space="preserve">ISO 9.1.1; cl. 27.ª</w:t>
            </w:r>
          </w:p>
        </w:tc>
        <w:tc>
          <w:tcPr>
            <w:tcW w:w="1388" w:type="dxa"/>
          </w:tcPr>
          <w:p>
            <w:pPr>
              <w:pStyle w:val="CeldaAPA"/>
              <w:jc w:val="left"/>
            </w:pPr>
            <w:r>
              <w:rPr/>
              <w:t xml:space="preserve">Medición</w:t>
            </w:r>
          </w:p>
        </w:tc>
      </w:tr>
      <w:tr>
        <w:tc>
          <w:tcPr>
            <w:tcW w:w="1083" w:type="dxa"/>
          </w:tcPr>
          <w:p>
            <w:pPr>
              <w:pStyle w:val="CeldaAPA"/>
              <w:jc w:val="left"/>
            </w:pPr>
            <w:r>
              <w:rPr/>
              <w:t xml:space="preserve">NC-14</w:t>
            </w:r>
          </w:p>
        </w:tc>
        <w:tc>
          <w:tcPr>
            <w:tcW w:w="3191" w:type="dxa"/>
          </w:tcPr>
          <w:p>
            <w:pPr>
              <w:pStyle w:val="CeldaAPA"/>
              <w:jc w:val="left"/>
            </w:pPr>
            <w:r>
              <w:rPr/>
              <w:t xml:space="preserve">Cómputo de cierre con 3 </w:t>
            </w:r>
            <m:oMath>
              <m:r>
                <m:rPr>
                  <m:sty m:val="p"/>
                </m:rPr>
                <m:t>×</m:t>
              </m:r>
            </m:oMath>
            <w:r>
              <w:rPr/>
              <w:t xml:space="preserve"> 4.171,18 kg para una sola losa; dos versiones de la planilla de cierre y tres cifras del acero acumulado (a conciliar)</w:t>
            </w:r>
          </w:p>
        </w:tc>
        <w:tc>
          <w:tcPr>
            <w:tcW w:w="1610" w:type="dxa"/>
          </w:tcPr>
          <w:p>
            <w:pPr>
              <w:pStyle w:val="CeldaAPA"/>
              <w:jc w:val="left"/>
            </w:pPr>
            <w:r>
              <w:rPr/>
              <w:t xml:space="preserve">PAO3; PAO2, p. 16; Exp., pp. 2, 12</w:t>
            </w:r>
          </w:p>
        </w:tc>
        <w:tc>
          <w:tcPr>
            <w:tcW w:w="2087" w:type="dxa"/>
          </w:tcPr>
          <w:p>
            <w:pPr>
              <w:pStyle w:val="CeldaAPA"/>
              <w:jc w:val="left"/>
            </w:pPr>
            <w:r>
              <w:rPr/>
              <w:t xml:space="preserve">ISO 7.5.3 y 9.1.1; cl. 27.ª</w:t>
            </w:r>
          </w:p>
        </w:tc>
        <w:tc>
          <w:tcPr>
            <w:tcW w:w="1388" w:type="dxa"/>
          </w:tcPr>
          <w:p>
            <w:pPr>
              <w:pStyle w:val="CeldaAPA"/>
              <w:jc w:val="left"/>
            </w:pPr>
            <w:r>
              <w:rPr/>
              <w:t xml:space="preserve">Medición</w:t>
            </w:r>
          </w:p>
        </w:tc>
      </w:tr>
      <w:tr>
        <w:tc>
          <w:tcPr>
            <w:tcW w:w="1083" w:type="dxa"/>
          </w:tcPr>
          <w:p>
            <w:pPr>
              <w:pStyle w:val="CeldaAPA"/>
              <w:jc w:val="left"/>
            </w:pPr>
            <w:r>
              <w:rPr/>
              <w:t xml:space="preserve">NC-15</w:t>
            </w:r>
          </w:p>
        </w:tc>
        <w:tc>
          <w:tcPr>
            <w:tcW w:w="3191" w:type="dxa"/>
          </w:tcPr>
          <w:p>
            <w:pPr>
              <w:pStyle w:val="CeldaAPA"/>
              <w:jc w:val="left"/>
            </w:pPr>
            <w:r>
              <w:rPr/>
              <w:t xml:space="preserve">Cantidades corregidas después de pagadas (ítem 4 y acero) sin análisis de causas</w:t>
            </w:r>
          </w:p>
        </w:tc>
        <w:tc>
          <w:tcPr>
            <w:tcW w:w="1610" w:type="dxa"/>
          </w:tcPr>
          <w:p>
            <w:pPr>
              <w:pStyle w:val="CeldaAPA"/>
              <w:jc w:val="left"/>
            </w:pPr>
            <w:r>
              <w:rPr/>
              <w:t xml:space="preserve">PAO2, pp. 16, 18; PAO3</w:t>
            </w:r>
          </w:p>
        </w:tc>
        <w:tc>
          <w:tcPr>
            <w:tcW w:w="2087" w:type="dxa"/>
          </w:tcPr>
          <w:p>
            <w:pPr>
              <w:pStyle w:val="CeldaAPA"/>
              <w:jc w:val="left"/>
            </w:pPr>
            <w:r>
              <w:rPr/>
              <w:t xml:space="preserve">ISO 10.2</w:t>
            </w:r>
          </w:p>
        </w:tc>
        <w:tc>
          <w:tcPr>
            <w:tcW w:w="1388" w:type="dxa"/>
          </w:tcPr>
          <w:p>
            <w:pPr>
              <w:pStyle w:val="CeldaAPA"/>
              <w:jc w:val="left"/>
            </w:pPr>
            <w:r>
              <w:rPr/>
              <w:t xml:space="preserve">Medición</w:t>
            </w:r>
          </w:p>
        </w:tc>
      </w:tr>
      <w:tr>
        <w:tc>
          <w:tcPr>
            <w:tcW w:w="1083" w:type="dxa"/>
          </w:tcPr>
          <w:p>
            <w:pPr>
              <w:pStyle w:val="CeldaAPA"/>
              <w:jc w:val="left"/>
            </w:pPr>
            <w:r>
              <w:rPr/>
              <w:t xml:space="preserve">NC-16</w:t>
            </w:r>
          </w:p>
        </w:tc>
        <w:tc>
          <w:tcPr>
            <w:tcW w:w="3191" w:type="dxa"/>
          </w:tcPr>
          <w:p>
            <w:pPr>
              <w:pStyle w:val="CeldaAPA"/>
              <w:jc w:val="left"/>
            </w:pPr>
            <w:r>
              <w:rPr/>
              <w:t xml:space="preserve">Sin cantidades de materiales por paño ni control de consumos; 2.350 piezas de EPS entregadas sin conciliación con lo colocado</w:t>
            </w:r>
          </w:p>
        </w:tc>
        <w:tc>
          <w:tcPr>
            <w:tcW w:w="1610" w:type="dxa"/>
          </w:tcPr>
          <w:p>
            <w:pPr>
              <w:pStyle w:val="CeldaAPA"/>
              <w:jc w:val="left"/>
            </w:pPr>
            <w:r>
              <w:rPr/>
              <w:t xml:space="preserve">PAO2, pp. 28–29, 81</w:t>
            </w:r>
          </w:p>
        </w:tc>
        <w:tc>
          <w:tcPr>
            <w:tcW w:w="2087" w:type="dxa"/>
          </w:tcPr>
          <w:p>
            <w:pPr>
              <w:pStyle w:val="CeldaAPA"/>
              <w:jc w:val="left"/>
            </w:pPr>
            <w:r>
              <w:rPr/>
              <w:t xml:space="preserve">ISO 8.1 y 8.5.2</w:t>
            </w:r>
          </w:p>
        </w:tc>
        <w:tc>
          <w:tcPr>
            <w:tcW w:w="1388" w:type="dxa"/>
          </w:tcPr>
          <w:p>
            <w:pPr>
              <w:pStyle w:val="CeldaAPA"/>
              <w:jc w:val="left"/>
            </w:pPr>
            <w:r>
              <w:rPr/>
              <w:t xml:space="preserve">Materiales</w:t>
            </w:r>
          </w:p>
        </w:tc>
      </w:tr>
      <w:tr>
        <w:tc>
          <w:tcPr>
            <w:tcW w:w="1083" w:type="dxa"/>
          </w:tcPr>
          <w:p>
            <w:pPr>
              <w:pStyle w:val="CeldaAPA"/>
              <w:jc w:val="left"/>
            </w:pPr>
            <w:r>
              <w:rPr/>
              <w:t xml:space="preserve">NC-17</w:t>
            </w:r>
          </w:p>
        </w:tc>
        <w:tc>
          <w:tcPr>
            <w:tcW w:w="3191" w:type="dxa"/>
          </w:tcPr>
          <w:p>
            <w:pPr>
              <w:pStyle w:val="CeldaAPA"/>
              <w:jc w:val="left"/>
            </w:pPr>
            <w:r>
              <w:rPr/>
              <w:t xml:space="preserve">Acopio sin recepción, inspección, inventario ni protección; material y restos dispersos</w:t>
            </w:r>
          </w:p>
        </w:tc>
        <w:tc>
          <w:tcPr>
            <w:tcW w:w="1610" w:type="dxa"/>
          </w:tcPr>
          <w:p>
            <w:pPr>
              <w:pStyle w:val="CeldaAPA"/>
              <w:jc w:val="left"/>
            </w:pPr>
            <w:r>
              <w:rPr/>
              <w:t xml:space="preserve">PAO2, pp. 10, 75–76</w:t>
            </w:r>
          </w:p>
        </w:tc>
        <w:tc>
          <w:tcPr>
            <w:tcW w:w="2087" w:type="dxa"/>
          </w:tcPr>
          <w:p>
            <w:pPr>
              <w:pStyle w:val="CeldaAPA"/>
              <w:jc w:val="left"/>
            </w:pPr>
            <w:r>
              <w:rPr/>
              <w:t xml:space="preserve">ISO 8.5.4; cl. 26.9</w:t>
            </w:r>
          </w:p>
        </w:tc>
        <w:tc>
          <w:tcPr>
            <w:tcW w:w="1388" w:type="dxa"/>
          </w:tcPr>
          <w:p>
            <w:pPr>
              <w:pStyle w:val="CeldaAPA"/>
              <w:jc w:val="left"/>
            </w:pPr>
            <w:r>
              <w:rPr/>
              <w:t xml:space="preserve">Método</w:t>
            </w:r>
          </w:p>
        </w:tc>
      </w:tr>
      <w:tr>
        <w:tc>
          <w:tcPr>
            <w:tcW w:w="1083" w:type="dxa"/>
          </w:tcPr>
          <w:p>
            <w:pPr>
              <w:pStyle w:val="CeldaAPA"/>
              <w:jc w:val="left"/>
            </w:pPr>
            <w:r>
              <w:rPr/>
              <w:t xml:space="preserve">NC-18</w:t>
            </w:r>
          </w:p>
        </w:tc>
        <w:tc>
          <w:tcPr>
            <w:tcW w:w="3191" w:type="dxa"/>
          </w:tcPr>
          <w:p>
            <w:pPr>
              <w:pStyle w:val="CeldaAPA"/>
              <w:jc w:val="left"/>
            </w:pPr>
            <w:r>
              <w:rPr/>
              <w:t xml:space="preserve">Parrilla sin separadores visibles y pisada durante el vaciado (observación fotográfica por confirmar)</w:t>
            </w:r>
          </w:p>
        </w:tc>
        <w:tc>
          <w:tcPr>
            <w:tcW w:w="1610" w:type="dxa"/>
          </w:tcPr>
          <w:p>
            <w:pPr>
              <w:pStyle w:val="CeldaAPA"/>
              <w:jc w:val="left"/>
            </w:pPr>
            <w:r>
              <w:rPr/>
              <w:t xml:space="preserve">PAO2, p. 76</w:t>
            </w:r>
          </w:p>
        </w:tc>
        <w:tc>
          <w:tcPr>
            <w:tcW w:w="2087" w:type="dxa"/>
          </w:tcPr>
          <w:p>
            <w:pPr>
              <w:pStyle w:val="CeldaAPA"/>
              <w:jc w:val="left"/>
            </w:pPr>
            <w:r>
              <w:rPr/>
              <w:t xml:space="preserve">ISO 7.3 y 8.5.1; ACI 318-25, 26.6</w:t>
            </w:r>
          </w:p>
        </w:tc>
        <w:tc>
          <w:tcPr>
            <w:tcW w:w="1388" w:type="dxa"/>
          </w:tcPr>
          <w:p>
            <w:pPr>
              <w:pStyle w:val="CeldaAPA"/>
              <w:jc w:val="left"/>
            </w:pPr>
            <w:r>
              <w:rPr/>
              <w:t xml:space="preserve">Mano de obra</w:t>
            </w:r>
          </w:p>
        </w:tc>
      </w:tr>
      <w:tr>
        <w:tc>
          <w:tcPr>
            <w:tcW w:w="1083" w:type="dxa"/>
          </w:tcPr>
          <w:p>
            <w:pPr>
              <w:pStyle w:val="CeldaAPA"/>
              <w:jc w:val="left"/>
            </w:pPr>
            <w:r>
              <w:rPr/>
              <w:t xml:space="preserve">NC-19</w:t>
            </w:r>
          </w:p>
        </w:tc>
        <w:tc>
          <w:tcPr>
            <w:tcW w:w="3191" w:type="dxa"/>
          </w:tcPr>
          <w:p>
            <w:pPr>
              <w:pStyle w:val="CeldaAPA"/>
              <w:jc w:val="left"/>
            </w:pPr>
            <w:r>
              <w:rPr/>
              <w:t xml:space="preserve">Competencia y capacitación del personal de obra no determinadas ni registradas; Supervisión con apoyo de pasantes</w:t>
            </w:r>
          </w:p>
        </w:tc>
        <w:tc>
          <w:tcPr>
            <w:tcW w:w="1610" w:type="dxa"/>
          </w:tcPr>
          <w:p>
            <w:pPr>
              <w:pStyle w:val="CeldaAPA"/>
              <w:jc w:val="left"/>
            </w:pPr>
            <w:r>
              <w:rPr/>
              <w:t xml:space="preserve">PAO2, pp. 9–10</w:t>
            </w:r>
          </w:p>
        </w:tc>
        <w:tc>
          <w:tcPr>
            <w:tcW w:w="2087" w:type="dxa"/>
          </w:tcPr>
          <w:p>
            <w:pPr>
              <w:pStyle w:val="CeldaAPA"/>
              <w:jc w:val="left"/>
            </w:pPr>
            <w:r>
              <w:rPr/>
              <w:t xml:space="preserve">ISO 7.2</w:t>
            </w:r>
          </w:p>
        </w:tc>
        <w:tc>
          <w:tcPr>
            <w:tcW w:w="1388" w:type="dxa"/>
          </w:tcPr>
          <w:p>
            <w:pPr>
              <w:pStyle w:val="CeldaAPA"/>
              <w:jc w:val="left"/>
            </w:pPr>
            <w:r>
              <w:rPr/>
              <w:t xml:space="preserve">Mano de obra</w:t>
            </w:r>
          </w:p>
        </w:tc>
      </w:tr>
      <w:tr>
        <w:tc>
          <w:tcPr>
            <w:tcW w:w="1083" w:type="dxa"/>
          </w:tcPr>
          <w:p>
            <w:pPr>
              <w:pStyle w:val="CeldaAPA"/>
              <w:jc w:val="left"/>
            </w:pPr>
            <w:r>
              <w:rPr/>
              <w:t xml:space="preserve">NC-20</w:t>
            </w:r>
          </w:p>
        </w:tc>
        <w:tc>
          <w:tcPr>
            <w:tcW w:w="3191" w:type="dxa"/>
          </w:tcPr>
          <w:p>
            <w:pPr>
              <w:pStyle w:val="CeldaAPA"/>
              <w:jc w:val="left"/>
            </w:pPr>
            <w:r>
              <w:rPr/>
              <w:t xml:space="preserve">Cronograma «actualizado» que no refleja la ejecución; retraso de 3,03 puntos y desfase del periodo mal calculado</w:t>
            </w:r>
          </w:p>
        </w:tc>
        <w:tc>
          <w:tcPr>
            <w:tcW w:w="1610" w:type="dxa"/>
          </w:tcPr>
          <w:p>
            <w:pPr>
              <w:pStyle w:val="CeldaAPA"/>
              <w:jc w:val="left"/>
            </w:pPr>
            <w:r>
              <w:rPr/>
              <w:t xml:space="preserve">PAO2, pp. 10, 137</w:t>
            </w:r>
          </w:p>
        </w:tc>
        <w:tc>
          <w:tcPr>
            <w:tcW w:w="2087" w:type="dxa"/>
          </w:tcPr>
          <w:p>
            <w:pPr>
              <w:pStyle w:val="CeldaAPA"/>
              <w:jc w:val="left"/>
            </w:pPr>
            <w:r>
              <w:rPr/>
              <w:t xml:space="preserve">ISO 6.2, 8.1 y 9.1.3; cl. 32.ª</w:t>
            </w:r>
          </w:p>
        </w:tc>
        <w:tc>
          <w:tcPr>
            <w:tcW w:w="1388" w:type="dxa"/>
          </w:tcPr>
          <w:p>
            <w:pPr>
              <w:pStyle w:val="CeldaAPA"/>
              <w:jc w:val="left"/>
            </w:pPr>
            <w:r>
              <w:rPr/>
              <w:t xml:space="preserve">Gestión</w:t>
            </w:r>
          </w:p>
        </w:tc>
      </w:tr>
      <w:tr>
        <w:tc>
          <w:tcPr>
            <w:tcW w:w="1083" w:type="dxa"/>
          </w:tcPr>
          <w:p>
            <w:pPr>
              <w:pStyle w:val="CeldaAPA"/>
              <w:jc w:val="left"/>
            </w:pPr>
            <w:r>
              <w:rPr/>
              <w:t xml:space="preserve">NC-21</w:t>
            </w:r>
          </w:p>
        </w:tc>
        <w:tc>
          <w:tcPr>
            <w:tcW w:w="3191" w:type="dxa"/>
          </w:tcPr>
          <w:p>
            <w:pPr>
              <w:pStyle w:val="CeldaAPA"/>
              <w:jc w:val="left"/>
            </w:pPr>
            <w:r>
              <w:rPr/>
              <w:t xml:space="preserve">Riesgos de suministro y de precios no identificados ni tratados (combustible, acero, viguetas)</w:t>
            </w:r>
          </w:p>
        </w:tc>
        <w:tc>
          <w:tcPr>
            <w:tcW w:w="1610" w:type="dxa"/>
          </w:tcPr>
          <w:p>
            <w:pPr>
              <w:pStyle w:val="CeldaAPA"/>
              <w:jc w:val="left"/>
            </w:pPr>
            <w:r>
              <w:rPr/>
              <w:t xml:space="preserve">PAO2, pp. 11, 123; Las Lomas</w:t>
            </w:r>
          </w:p>
        </w:tc>
        <w:tc>
          <w:tcPr>
            <w:tcW w:w="2087" w:type="dxa"/>
          </w:tcPr>
          <w:p>
            <w:pPr>
              <w:pStyle w:val="CeldaAPA"/>
              <w:jc w:val="left"/>
            </w:pPr>
            <w:r>
              <w:rPr/>
              <w:t xml:space="preserve">ISO 6.1</w:t>
            </w:r>
          </w:p>
        </w:tc>
        <w:tc>
          <w:tcPr>
            <w:tcW w:w="1388" w:type="dxa"/>
          </w:tcPr>
          <w:p>
            <w:pPr>
              <w:pStyle w:val="CeldaAPA"/>
              <w:jc w:val="left"/>
            </w:pPr>
            <w:r>
              <w:rPr/>
              <w:t xml:space="preserve">Gestión</w:t>
            </w:r>
          </w:p>
        </w:tc>
      </w:tr>
      <w:tr>
        <w:tc>
          <w:tcPr>
            <w:tcW w:w="1083" w:type="dxa"/>
            <w:tcBorders>
              <w:bottom w:val="single" w:sz="8" w:space="0" w:color="000000"/>
            </w:tcBorders>
          </w:tcPr>
          <w:p>
            <w:pPr>
              <w:pStyle w:val="CeldaAPA"/>
              <w:jc w:val="left"/>
            </w:pPr>
            <w:r>
              <w:rPr/>
              <w:t xml:space="preserve">NC-22</w:t>
            </w:r>
          </w:p>
        </w:tc>
        <w:tc>
          <w:tcPr>
            <w:tcW w:w="3191" w:type="dxa"/>
            <w:tcBorders>
              <w:bottom w:val="single" w:sz="8" w:space="0" w:color="000000"/>
            </w:tcBorders>
          </w:tcPr>
          <w:p>
            <w:pPr>
              <w:pStyle w:val="CeldaAPA"/>
              <w:jc w:val="left"/>
            </w:pPr>
            <w:r>
              <w:rPr/>
              <w:t xml:space="preserve">Sin previsiones para lluvias y bajas temperaturas en el vaciado y el curado</w:t>
            </w:r>
          </w:p>
        </w:tc>
        <w:tc>
          <w:tcPr>
            <w:tcW w:w="1610" w:type="dxa"/>
            <w:tcBorders>
              <w:bottom w:val="single" w:sz="8" w:space="0" w:color="000000"/>
            </w:tcBorders>
          </w:tcPr>
          <w:p>
            <w:pPr>
              <w:pStyle w:val="CeldaAPA"/>
              <w:jc w:val="left"/>
            </w:pPr>
            <w:r>
              <w:rPr/>
              <w:t xml:space="preserve">PAO2, pp. 122, 124</w:t>
            </w:r>
          </w:p>
        </w:tc>
        <w:tc>
          <w:tcPr>
            <w:tcW w:w="2087" w:type="dxa"/>
            <w:tcBorders>
              <w:bottom w:val="single" w:sz="8" w:space="0" w:color="000000"/>
            </w:tcBorders>
          </w:tcPr>
          <w:p>
            <w:pPr>
              <w:pStyle w:val="CeldaAPA"/>
              <w:jc w:val="left"/>
            </w:pPr>
            <w:r>
              <w:rPr/>
              <w:t xml:space="preserve">ISO 6.1 y 7.1.4; ACI 318-25, 26.5</w:t>
            </w:r>
          </w:p>
        </w:tc>
        <w:tc>
          <w:tcPr>
            <w:tcW w:w="1388" w:type="dxa"/>
            <w:tcBorders>
              <w:bottom w:val="single" w:sz="8" w:space="0" w:color="000000"/>
            </w:tcBorders>
          </w:tcPr>
          <w:p>
            <w:pPr>
              <w:pStyle w:val="CeldaAPA"/>
              <w:jc w:val="left"/>
            </w:pPr>
            <w:r>
              <w:rPr/>
              <w:t xml:space="preserve">Medio ambiente</w:t>
            </w:r>
          </w:p>
        </w:tc>
      </w:tr>
    </w:tbl>
    <w:p>
      <w:pPr>
        <w:pStyle w:val="NotaAPA"/>
      </w:pPr>
      <w:r>
        <w:rPr>
          <w:iCs/>
          <w:i/>
        </w:rPr>
        <w:t xml:space="preserve">Nota.</w:t>
      </w:r>
      <w:r>
        <w:t xml:space="preserve"> </w:t>
      </w:r>
      <w:r>
        <w:t xml:space="preserve">Elaboración propia. PAO2:</w:t>
      </w:r>
      <w:r>
        <w:t xml:space="preserve"> </w:t>
      </w:r>
      <w:r>
        <w:t xml:space="preserve">UATF (2025)</w:t>
      </w:r>
      <w:r>
        <w:t xml:space="preserve">; PAO3:</w:t>
      </w:r>
      <w:r>
        <w:t xml:space="preserve"> </w:t>
      </w:r>
      <w:r>
        <w:t xml:space="preserve">UATF (s. f.-c)</w:t>
      </w:r>
      <w:r>
        <w:t xml:space="preserve">; Exp.:</w:t>
      </w:r>
      <w:r>
        <w:t xml:space="preserve"> </w:t>
      </w:r>
      <w:r>
        <w:t xml:space="preserve">UATF (s. f.-b)</w:t>
      </w:r>
      <w:r>
        <w:t xml:space="preserve">; ET:</w:t>
      </w:r>
      <w:r>
        <w:t xml:space="preserve"> </w:t>
      </w:r>
      <w:r>
        <w:t xml:space="preserve">UATF (s. f.-a)</w:t>
      </w:r>
      <w:r>
        <w:t xml:space="preserve">; Las Lomas:</w:t>
      </w:r>
      <w:r>
        <w:t xml:space="preserve"> </w:t>
      </w:r>
      <w:r>
        <w:t xml:space="preserve">Import Export Las Lomas Ltda. (2025)</w:t>
      </w:r>
      <w:r>
        <w:t xml:space="preserve">; ACI 318-25:</w:t>
      </w:r>
      <w:r>
        <w:t xml:space="preserve"> </w:t>
      </w:r>
      <w:r>
        <w:t xml:space="preserve">ACI Committee 318 (2025)</w:t>
      </w:r>
      <w:r>
        <w:t xml:space="preserve">; cl.: cláusula del contrato. Los numerales de ISO 9001 corresponden a la lista C.1.</w:t>
      </w:r>
    </w:p>
    <w:p>
      <w:pPr>
        <w:pStyle w:val="BodyText"/>
      </w:pPr>
      <w:r>
        <w:t xml:space="preserve">Las NC se relacionan con las nueve brechas que orientan el diseño del SGC (Sección 2.6): el control del hormigón (B1) agrupa las NC-01 a NC-03 y la NC-10; las evidencias de conformidad entregadas solo a pedido (B2), las NC-04, NC-05 y NC-12; la información documentada incoherente (B3), las NC-06, NC-07 y NC-09; el control de cantidades (B4), las NC-13 a NC-15; la falta de registro de consumos (B5), las NC-16 y NC-17; la falta de puntos de inspección (B6), las NC-10, NC-18 y NC-19; la falta de registro de NC y de costos de la calidad (B7), la NC-11; los riesgos de suministro y precios (B8), las NC-08, NC-20 y NC-21; y el clima (B9), la NC-22.</w:t>
      </w:r>
    </w:p>
    <w:p>
      <w:pPr>
        <w:pStyle w:val="BodyText"/>
      </w:pPr>
      <w:r>
        <w:rPr>
          <w:bCs/>
          <w:b/>
        </w:rPr>
        <w:t xml:space="preserve">Diagrama de Pareto.</w:t>
      </w:r>
      <w:r>
        <w:t xml:space="preserve"> </w:t>
      </w:r>
      <w:r>
        <w:t xml:space="preserve">La Figura 8 ordena las NC por categoría. La medición y la gestión reúnen 12 de las 22 NC (54,5 %); con los materiales llegan al 72,7 % y con el método, al 86,4 %. Esta concentración es coherente con la regla de Pareto, según la cual pocos factores explican la mayor parte de los problemas de calidad de una obra</w:t>
      </w:r>
      <w:r>
        <w:t xml:space="preserve"> </w:t>
      </w:r>
      <w:r>
        <w:t xml:space="preserve">(Alfaro Félix, 2011, p. 70)</w:t>
      </w:r>
      <w:r>
        <w:t xml:space="preserve">. Las «pocas causas vitales» de la primera losa no están en la mano de obra ni en el clima, sino en la ausencia de un sistema que mida, registre y concilie: ensayos, recepción de materiales, consumos y cantidades. No se identificaron NC en la categoría de maquinaria; el vaciado con carretillas se consideró parte del método.</w:t>
      </w:r>
    </w:p>
    <w:p>
      <w:pPr>
        <w:pStyle w:val="Caption"/>
      </w:pPr>
      <w:bookmarkStart w:id="1426" w:name="fig8"/>
      <w:r>
        <w:t xml:space="preserve"/>
      </w:r>
      <w:r>
        <w:rPr>
          <w:bCs/>
          <w:b/>
        </w:rPr>
        <w:t xml:space="preserve">Figura 8</w:t>
      </w:r>
      <w:r>
        <w:br/>
      </w:r>
      <w:r>
        <w:rPr>
          <w:iCs/>
          <w:i/>
        </w:rPr>
        <w:t xml:space="preserve">Diagrama de Pareto de las no conformidades de la primera losa por categoría</w:t>
      </w:r>
      <w:bookmarkEnd w:id="1426"/>
    </w:p>
    <w:p>
      <w:pPr>
        <w:pStyle w:val="FiguraAPA"/>
      </w:pPr>
      <w:r>
        <w:drawing>
          <wp:inline>
            <wp:extent cx="5943599" cy="3108959"/>
            <wp:effectExtent b="0" l="0" r="0" t="0"/>
            <wp:docPr descr="image" title="" id="146" name="Picture"/>
            <a:graphic>
              <a:graphicData uri="http://schemas.openxmlformats.org/drawingml/2006/picture">
                <pic:pic>
                  <pic:nvPicPr>
                    <pic:cNvPr descr="/home/user/TesisSGC/05_Tesis_LaTeX/figuras/fig_pareto_nc.png" id="147" name="Picture"/>
                    <pic:cNvPicPr>
                      <a:picLocks noChangeArrowheads="1" noChangeAspect="1"/>
                    </pic:cNvPicPr>
                  </pic:nvPicPr>
                  <pic:blipFill>
                    <a:blip r:embed="rId145"/>
                    <a:stretch>
                      <a:fillRect/>
                    </a:stretch>
                  </pic:blipFill>
                  <pic:spPr bwMode="auto">
                    <a:xfrm>
                      <a:off x="0" y="0"/>
                      <a:ext cx="5943599" cy="3108959"/>
                    </a:xfrm>
                    <a:prstGeom prst="rect">
                      <a:avLst/>
                    </a:prstGeom>
                    <a:noFill/>
                    <a:ln w="9525">
                      <a:noFill/>
                      <a:headEnd/>
                      <a:tailEnd/>
                    </a:ln>
                  </pic:spPr>
                </pic:pic>
              </a:graphicData>
            </a:graphic>
          </wp:inline>
        </w:drawing>
      </w:r>
    </w:p>
    <w:p>
      <w:pPr>
        <w:pStyle w:val="NotaAPA"/>
      </w:pPr>
      <w:r>
        <w:rPr>
          <w:iCs/>
          <w:i/>
        </w:rPr>
        <w:t xml:space="preserve">Nota.</w:t>
      </w:r>
      <w:r>
        <w:t xml:space="preserve"> </w:t>
      </w:r>
      <w:r>
        <w:t xml:space="preserve">Elaboración propia con los datos de la Tabla 26 (</w:t>
      </w:r>
      <m:oMath>
        <m:r>
          <m:t>n</m:t>
        </m:r>
        <m:r>
          <m:rPr>
            <m:sty m:val="p"/>
          </m:rPr>
          <m:t>=</m:t>
        </m:r>
        <m:r>
          <m:t>22</m:t>
        </m:r>
      </m:oMath>
      <w:r>
        <w:t xml:space="preserve">). Las barras indican el porcentaje de NC de cada categoría y la línea, el porcentaje acumulado; la línea discontinua marca el 80 %. Figura generada con el script</w:t>
      </w:r>
      <w:r>
        <w:t xml:space="preserve"> </w:t>
      </w:r>
      <w:r>
        <w:rPr>
          <w:rStyle w:val="VerbatimChar"/>
        </w:rPr>
        <w:t xml:space="preserve">cap2_diagnostico_figuras.py</w:t>
      </w:r>
      <w:r>
        <w:t xml:space="preserve">.</w:t>
      </w:r>
    </w:p>
    <w:p>
      <w:pPr>
        <w:pStyle w:val="BodyText"/>
      </w:pPr>
      <w:r>
        <w:rPr>
          <w:bCs/>
          <w:b/>
        </w:rPr>
        <w:t xml:space="preserve">Diagrama de Ishikawa.</w:t>
      </w:r>
      <w:r>
        <w:t xml:space="preserve"> </w:t>
      </w:r>
      <w:r>
        <w:t xml:space="preserve">Las causas del desperdicio de materiales y de los sobrecostos de la losa se organizaron en un diagrama de causa y efecto (Figura 9). El efecto analizado es el costo adicional de la losa respecto de su costo teórico: materiales entregados por encima de lo necesario, hormigón y acero sin control de consumo, cantidades que hubo que corregir y riesgo de retrabajos por un hormigón no verificado.</w:t>
      </w:r>
    </w:p>
    <w:p>
      <w:pPr>
        <w:pStyle w:val="Caption"/>
      </w:pPr>
      <w:bookmarkStart w:id="1427" w:name="fig9"/>
      <w:r>
        <w:t xml:space="preserve"/>
      </w:r>
      <w:r>
        <w:rPr>
          <w:bCs/>
          <w:b/>
        </w:rPr>
        <w:t xml:space="preserve">Figura 9</w:t>
      </w:r>
      <w:r>
        <w:br/>
      </w:r>
      <w:r>
        <w:rPr>
          <w:iCs/>
          <w:i/>
        </w:rPr>
        <w:t xml:space="preserve">Diagrama de Ishikawa del desperdicio de materiales y los sobrecostos de la primera losa</w:t>
      </w:r>
      <w:bookmarkEnd w:id="1427"/>
    </w:p>
    <w:p>
      <w:pPr>
        <w:pStyle w:val="FiguraAPA"/>
      </w:pPr>
      <w:r>
        <w:drawing>
          <wp:inline>
            <wp:extent cx="5810399" cy="3656255"/>
            <wp:effectExtent b="0" l="0" r="0" t="0"/>
            <wp:docPr descr="image" title="" id="149" name="Picture"/>
            <a:graphic>
              <a:graphicData uri="http://schemas.openxmlformats.org/drawingml/2006/picture">
                <pic:pic>
                  <pic:nvPicPr>
                    <pic:cNvPr descr="/home/user/TesisSGC/07_Entregables/scripts/_trabajo/tikz/tikz_e46f77368202074103bf.png" id="150" name="Picture"/>
                    <pic:cNvPicPr>
                      <a:picLocks noChangeArrowheads="1" noChangeAspect="1"/>
                    </pic:cNvPicPr>
                  </pic:nvPicPr>
                  <pic:blipFill>
                    <a:blip r:embed="rId148"/>
                    <a:stretch>
                      <a:fillRect/>
                    </a:stretch>
                  </pic:blipFill>
                  <pic:spPr bwMode="auto">
                    <a:xfrm>
                      <a:off x="0" y="0"/>
                      <a:ext cx="5810399" cy="3656255"/>
                    </a:xfrm>
                    <a:prstGeom prst="rect">
                      <a:avLst/>
                    </a:prstGeom>
                    <a:noFill/>
                    <a:ln w="9525">
                      <a:noFill/>
                      <a:headEnd/>
                      <a:tailEnd/>
                    </a:ln>
                  </pic:spPr>
                </pic:pic>
              </a:graphicData>
            </a:graphic>
          </wp:inline>
        </w:drawing>
      </w:r>
    </w:p>
    <w:p>
      <w:pPr>
        <w:pStyle w:val="NotaAPA"/>
      </w:pPr>
      <w:r>
        <w:rPr>
          <w:iCs/>
          <w:i/>
        </w:rPr>
        <w:t xml:space="preserve">Nota.</w:t>
      </w:r>
      <w:r>
        <w:t xml:space="preserve"> </w:t>
      </w:r>
      <w:r>
        <w:t xml:space="preserve">Elaboración propia con base en las no conformidades de la Tabla 26 y en el análisis documental de la Sección 2.5.2. No se identificaron causas documentadas en la categoría de maquinaria.</w:t>
      </w:r>
    </w:p>
    <w:p>
      <w:pPr>
        <w:pStyle w:val="BodyText"/>
      </w:pPr>
      <w:r>
        <w:t xml:space="preserve">El diagrama muestra que las causas se refuerzan entre sí. Las externas (escasez de combustible, falta de viguetas, alza de precios y lluvias) se convirtieron en problemas de la losa porque no había un sistema que las anticipara: sin plan de compras ni existencias mínimas, el desabastecimiento obligó a cambiar el diseño y a recibir materiales sin inspección; sin cantidades teóricas por paño, el excedente de materiales no pudo detectarse; y sin ensayos ni registros, la conformidad del hormigón y de las cantidades quedó sin demostrar. La causa raíz común es la falta de un sistema de gestión de la calidad del ítem: la calidad se confió a la verificación puntual de la Supervisión antes de cada vaciado, sin criterios escritos, registros ni seguimiento. Como el contrato no admite reajuste de precios y los precios unitarios incluyen la reparación de trabajos defectuosos</w:t>
      </w:r>
      <w:r>
        <w:t xml:space="preserve"> </w:t>
      </w:r>
      <w:r>
        <w:t xml:space="preserve">(UATF, 2025, pp. 92, 95)</w:t>
      </w:r>
      <w:r>
        <w:t xml:space="preserve">, el costo de estas causas recae en el contratista; es la justificación económica del SGC que se diseña en la Sección 2.6.</w:t>
      </w:r>
    </w:p>
    <w:p>
      <w:pPr>
        <w:pStyle w:val="Heading3"/>
      </w:pPr>
      <w:bookmarkStart w:id="152" w:name="tit108"/>
      <w:r>
        <w:t xml:space="preserve">2.5.4. Línea base cuantitativa</w:t>
      </w:r>
      <w:bookmarkEnd w:id="152"/>
    </w:p>
    <w:p>
      <w:pPr>
        <w:pStyle w:val="FirstParagraph"/>
      </w:pPr>
      <w:r>
        <w:t xml:space="preserve">La línea base cuantitativa (</w:t>
      </w:r>
      <m:oMath>
        <m:sSub>
          <m:e>
            <m:r>
              <m:t>O</m:t>
            </m:r>
          </m:e>
          <m:sub>
            <m:r>
              <m:t>1</m:t>
            </m:r>
          </m:sub>
        </m:sSub>
      </m:oMath>
      <w:r>
        <w:t xml:space="preserve">) expresa, para cada material, la cantidad teórica de la primera losa, la cantidad entregada y la pagada, el índice de desperdicio que puede documentarse y los parámetros con que el modelo representa el escenario de control (sin SGC). En ella se distinguen tres tipos de dato:</w:t>
      </w:r>
      <w:r>
        <w:t xml:space="preserve"> </w:t>
      </w:r>
      <w:r>
        <w:rPr>
          <w:iCs/>
          <w:i/>
        </w:rPr>
        <w:t xml:space="preserve">hechos documentados</w:t>
      </w:r>
      <w:r>
        <w:t xml:space="preserve">, que son las cantidades entregadas y pagadas con su fuente;</w:t>
      </w:r>
      <w:r>
        <w:t xml:space="preserve"> </w:t>
      </w:r>
      <w:r>
        <w:rPr>
          <w:iCs/>
          <w:i/>
        </w:rPr>
        <w:t xml:space="preserve">cálculos propios</w:t>
      </w:r>
      <w:r>
        <w:t xml:space="preserve"> </w:t>
      </w:r>
      <w:r>
        <w:t xml:space="preserve">reproducibles, que son las cantidades teóricas y los índices calculados con ellas; y</w:t>
      </w:r>
      <w:r>
        <w:t xml:space="preserve"> </w:t>
      </w:r>
      <w:r>
        <w:rPr>
          <w:iCs/>
          <w:i/>
        </w:rPr>
        <w:t xml:space="preserve">supuestos con fuente</w:t>
      </w:r>
      <w:r>
        <w:t xml:space="preserve">, que se usan para los materiales sin registros de consumo.</w:t>
      </w:r>
    </w:p>
    <w:p>
      <w:pPr>
        <w:pStyle w:val="BodyText"/>
      </w:pPr>
      <w:r>
        <w:rPr>
          <w:bCs/>
          <w:b/>
        </w:rPr>
        <w:t xml:space="preserve">Cantidades teóricas.</w:t>
      </w:r>
      <w:r>
        <w:t xml:space="preserve"> </w:t>
      </w:r>
      <w:r>
        <w:t xml:space="preserve">Las cantidades teóricas se calcularon paño por paño con los planos 01 a 03</w:t>
      </w:r>
      <w:r>
        <w:t xml:space="preserve"> </w:t>
      </w:r>
      <w:r>
        <w:t xml:space="preserve">(UATF, s. f.-d)</w:t>
      </w:r>
      <w:r>
        <w:t xml:space="preserve">. Las 41 áreas del Plano 01 coinciden con las del cómputo. Las viguetas se contaron y midieron en el Plano 03, corrigiendo las etiquetas con el dibujo cuando no coincidían, y su longitud se tomó como la luz libre más 5 cm de apoyo en cada extremo, según el detalle de apoyo del Plano 02. Los complementos se contaron por filas entre viguetas, con la pieza suministrada de 20 </w:t>
      </w:r>
      <m:oMath>
        <m:r>
          <m:rPr>
            <m:sty m:val="p"/>
          </m:rPr>
          <m:t>×</m:t>
        </m:r>
      </m:oMath>
      <w:r>
        <w:t xml:space="preserve"> 100 </w:t>
      </w:r>
      <m:oMath>
        <m:r>
          <m:rPr>
            <m:sty m:val="p"/>
          </m:rPr>
          <m:t>×</m:t>
        </m:r>
      </m:oMath>
      <w:r>
        <w:t xml:space="preserve"> 44 cm. El hormigón es el volumen de la losa de 25 cm menos el de los complementos y el de las viguetas. El acero comprende la malla de</w:t>
      </w:r>
      <w:r>
        <w:t xml:space="preserve"> </w:t>
      </w:r>
      <m:oMath>
        <m:r>
          <m:t>ϕ</m:t>
        </m:r>
      </m:oMath>
      <w:r>
        <w:t xml:space="preserve">6 c/20 cm en ambas direcciones, con anclajes y traslapes, los negativos sobre los apoyos y los nervios transversales. Como ningún plano ubica los nervios ni define los negativos, el escenario base supone un nervio a media luz en los paños con luz libre media de 4,0 m o más y una barra de</w:t>
      </w:r>
      <w:r>
        <w:t xml:space="preserve"> </w:t>
      </w:r>
      <m:oMath>
        <m:r>
          <m:t>ϕ</m:t>
        </m:r>
      </m:oMath>
      <w:r>
        <w:t xml:space="preserve">8 por vigueta sobre cada apoyo continuo; con otros supuestos razonables, el acero teórico varía entre 2,72 y 3,44 kg/m</w:t>
      </w:r>
      <w:r>
        <w:rPr>
          <w:vertAlign w:val="superscript"/>
        </w:rPr>
        <w:t xml:space="preserve">2</w:t>
      </w:r>
      <w:r>
        <w:t xml:space="preserve">. La Tabla 27 presenta los resultados; el cálculo por paño, sus supuestos y su análisis de sensibilidad se conservan en la carpeta de extracción de datos de obra del repositorio (</w:t>
      </w:r>
      <w:r>
        <w:rPr>
          <w:rStyle w:val="VerbatimChar"/>
        </w:rPr>
        <w:t xml:space="preserve">Cantidades_Teoricas_Primera_Losa_por_Pano.csv</w:t>
      </w:r>
      <w:r>
        <w:t xml:space="preserve"> </w:t>
      </w:r>
      <w:r>
        <w:t xml:space="preserve">y</w:t>
      </w:r>
      <w:r>
        <w:t xml:space="preserve"> </w:t>
      </w:r>
      <w:r>
        <w:rPr>
          <w:rStyle w:val="VerbatimChar"/>
        </w:rPr>
        <w:t xml:space="preserve">Metodo_Cantidades_Teoricas.md</w:t>
      </w:r>
      <w:r>
        <w:t xml:space="preserve">).</w:t>
      </w:r>
    </w:p>
    <w:p>
      <w:pPr>
        <w:pStyle w:val="Caption"/>
      </w:pPr>
      <w:bookmarkStart w:id="1428" w:name="tab27"/>
      <w:r>
        <w:t xml:space="preserve"/>
      </w:r>
      <w:r>
        <w:rPr>
          <w:bCs/>
          <w:b/>
        </w:rPr>
        <w:t xml:space="preserve">Tabla 27</w:t>
      </w:r>
      <w:r>
        <w:br/>
      </w:r>
      <w:r>
        <w:rPr>
          <w:iCs/>
          <w:i/>
        </w:rPr>
        <w:t xml:space="preserve">Cantidades teóricas de materiales de la primera losa y del saldo</w:t>
      </w:r>
      <w:bookmarkEnd w:id="1428"/>
    </w:p>
    <w:tbl>
      <w:tblPr>
        <w:tblStyle w:val="Table"/>
        <w:tblW w:w="9361" w:type="dxa"/>
        <w:jc w:val="left"/>
        <w:tblLayout w:type="fixed"/>
        <w:tblCellMar>
          <w:top w:w="0" w:type="dxa"/>
          <w:left w:w="85" w:type="dxa"/>
          <w:bottom w:w="0" w:type="dxa"/>
          <w:right w:w="85" w:type="dxa"/>
        </w:tblCellMar>
        <w:tblLook w:firstRow="1" w:lastRow="0" w:firstColumn="0" w:lastColumn="0" w:noHBand="0" w:noVBand="0" w:val="0020"/>
      </w:tblPr>
      <w:tblGrid>
        <w:gridCol w:w="1802"/>
        <w:gridCol w:w="1685"/>
        <w:gridCol w:w="1599"/>
        <w:gridCol w:w="1657"/>
        <w:gridCol w:w="2618"/>
      </w:tblGrid>
      <w:tr>
        <w:trPr>
          <w:cantSplit/>
          <w:tblHeader w:val="true"/>
        </w:trPr>
        <w:tc>
          <w:tcPr>
            <w:tcW w:w="1802" w:type="dxa"/>
            <w:tcBorders>
              <w:top w:val="single" w:sz="8" w:space="0" w:color="000000"/>
              <w:bottom w:val="single" w:sz="4" w:space="0" w:color="000000"/>
            </w:tcBorders>
          </w:tcPr>
          <w:p>
            <w:pPr>
              <w:pStyle w:val="CeldaAPA"/>
              <w:jc w:val="center"/>
            </w:pPr>
            <w:r>
              <w:rPr>
                <w:bCs/>
                <w:b/>
              </w:rPr>
              <w:t xml:space="preserve">Material</w:t>
            </w:r>
          </w:p>
        </w:tc>
        <w:tc>
          <w:tcPr>
            <w:tcW w:w="1685" w:type="dxa"/>
            <w:tcBorders>
              <w:top w:val="single" w:sz="8" w:space="0" w:color="000000"/>
              <w:bottom w:val="single" w:sz="4" w:space="0" w:color="000000"/>
            </w:tcBorders>
          </w:tcPr>
          <w:p>
            <w:pPr>
              <w:pStyle w:val="CeldaAPA"/>
              <w:jc w:val="center"/>
            </w:pPr>
            <w:r>
              <w:rPr>
                <w:bCs/>
                <w:b/>
              </w:rPr>
              <w:t xml:space="preserve">Primera losa (1.109,84 m</w:t>
            </w:r>
            <w:r>
              <w:rPr>
                <w:vertAlign w:val="superscript"/>
                <w:bCs/>
                <w:b/>
              </w:rPr>
              <w:t xml:space="preserve">2</w:t>
            </w:r>
            <w:r>
              <w:rPr>
                <w:bCs/>
                <w:b/>
              </w:rPr>
              <w:t xml:space="preserve">)</w:t>
            </w:r>
          </w:p>
        </w:tc>
        <w:tc>
          <w:tcPr>
            <w:tcW w:w="1599" w:type="dxa"/>
            <w:tcBorders>
              <w:top w:val="single" w:sz="8" w:space="0" w:color="000000"/>
              <w:bottom w:val="single" w:sz="4" w:space="0" w:color="000000"/>
            </w:tcBorders>
          </w:tcPr>
          <w:p>
            <w:pPr>
              <w:pStyle w:val="CeldaAPA"/>
              <w:jc w:val="center"/>
            </w:pPr>
            <w:r>
              <w:rPr>
                <w:bCs/>
                <w:b/>
              </w:rPr>
              <w:t xml:space="preserve">Por m</w:t>
            </w:r>
            <w:r>
              <w:rPr>
                <w:vertAlign w:val="superscript"/>
                <w:bCs/>
                <w:b/>
              </w:rPr>
              <w:t xml:space="preserve">2</w:t>
            </w:r>
          </w:p>
        </w:tc>
        <w:tc>
          <w:tcPr>
            <w:tcW w:w="1657" w:type="dxa"/>
            <w:tcBorders>
              <w:top w:val="single" w:sz="8" w:space="0" w:color="000000"/>
              <w:bottom w:val="single" w:sz="4" w:space="0" w:color="000000"/>
            </w:tcBorders>
          </w:tcPr>
          <w:p>
            <w:pPr>
              <w:pStyle w:val="CeldaAPA"/>
              <w:jc w:val="center"/>
            </w:pPr>
            <w:r>
              <w:rPr>
                <w:bCs/>
                <w:b/>
              </w:rPr>
              <w:t xml:space="preserve">Saldo (2.234,60 m</w:t>
            </w:r>
            <w:r>
              <w:rPr>
                <w:vertAlign w:val="superscript"/>
                <w:bCs/>
                <w:b/>
              </w:rPr>
              <w:t xml:space="preserve">2</w:t>
            </w:r>
            <w:r>
              <w:rPr>
                <w:bCs/>
                <w:b/>
              </w:rPr>
              <w:t xml:space="preserve">)</w:t>
            </w:r>
          </w:p>
        </w:tc>
        <w:tc>
          <w:tcPr>
            <w:tcW w:w="2618" w:type="dxa"/>
            <w:tcBorders>
              <w:top w:val="single" w:sz="8" w:space="0" w:color="000000"/>
              <w:bottom w:val="single" w:sz="4" w:space="0" w:color="000000"/>
            </w:tcBorders>
          </w:tcPr>
          <w:p>
            <w:pPr>
              <w:pStyle w:val="CeldaAPA"/>
              <w:jc w:val="center"/>
            </w:pPr>
            <w:r>
              <w:rPr>
                <w:bCs/>
                <w:b/>
              </w:rPr>
              <w:t xml:space="preserve">Supuestos principales</w:t>
            </w:r>
          </w:p>
        </w:tc>
      </w:tr>
      <w:tr>
        <w:tc>
          <w:tcPr>
            <w:tcW w:w="1802" w:type="dxa"/>
          </w:tcPr>
          <w:p>
            <w:pPr>
              <w:pStyle w:val="CeldaAPA"/>
              <w:jc w:val="left"/>
            </w:pPr>
            <w:r>
              <w:rPr/>
              <w:t xml:space="preserve">Viguetas pretensadas</w:t>
            </w:r>
          </w:p>
        </w:tc>
        <w:tc>
          <w:tcPr>
            <w:tcW w:w="1685" w:type="dxa"/>
          </w:tcPr>
          <w:p>
            <w:pPr>
              <w:pStyle w:val="CeldaAPA"/>
              <w:jc w:val="left"/>
            </w:pPr>
            <w:r>
              <w:rPr/>
              <w:t xml:space="preserve">531 piezas; 2.205,1 m</w:t>
            </w:r>
          </w:p>
        </w:tc>
        <w:tc>
          <w:tcPr>
            <w:tcW w:w="1599" w:type="dxa"/>
          </w:tcPr>
          <w:p>
            <w:pPr>
              <w:pStyle w:val="CeldaAPA"/>
              <w:jc w:val="left"/>
            </w:pPr>
            <w:r>
              <w:rPr/>
              <w:t xml:space="preserve">1,987 m (0,478 piezas)</w:t>
            </w:r>
          </w:p>
        </w:tc>
        <w:tc>
          <w:tcPr>
            <w:tcW w:w="1657" w:type="dxa"/>
          </w:tcPr>
          <w:p>
            <w:pPr>
              <w:pStyle w:val="CeldaAPA"/>
              <w:jc w:val="left"/>
            </w:pPr>
            <w:r>
              <w:rPr/>
              <w:t xml:space="preserve">4.439,8 m</w:t>
            </w:r>
          </w:p>
        </w:tc>
        <w:tc>
          <w:tcPr>
            <w:tcW w:w="2618" w:type="dxa"/>
          </w:tcPr>
          <w:p>
            <w:pPr>
              <w:pStyle w:val="CeldaAPA"/>
              <w:jc w:val="left"/>
            </w:pPr>
            <w:r>
              <w:rPr/>
              <w:t xml:space="preserve">Longitud igual a la luz libre más 2 </w:t>
            </w:r>
            <m:oMath>
              <m:r>
                <m:rPr>
                  <m:sty m:val="p"/>
                </m:rPr>
                <m:t>×</m:t>
              </m:r>
            </m:oMath>
            <w:r>
              <w:rPr/>
              <w:t xml:space="preserve"> 0,05 m; etiquetas del Plano 03 corregidas con el dibujo</w:t>
            </w:r>
          </w:p>
        </w:tc>
      </w:tr>
      <w:tr>
        <w:tc>
          <w:tcPr>
            <w:tcW w:w="1802" w:type="dxa"/>
          </w:tcPr>
          <w:p>
            <w:pPr>
              <w:pStyle w:val="CeldaAPA"/>
              <w:jc w:val="left"/>
            </w:pPr>
            <w:r>
              <w:rPr/>
              <w:t xml:space="preserve">Complementos de EPS</w:t>
            </w:r>
          </w:p>
        </w:tc>
        <w:tc>
          <w:tcPr>
            <w:tcW w:w="1685" w:type="dxa"/>
          </w:tcPr>
          <w:p>
            <w:pPr>
              <w:pStyle w:val="CeldaAPA"/>
              <w:jc w:val="left"/>
            </w:pPr>
            <w:r>
              <w:rPr/>
              <w:t xml:space="preserve">2.237,9 piezas</w:t>
            </w:r>
          </w:p>
        </w:tc>
        <w:tc>
          <w:tcPr>
            <w:tcW w:w="1599" w:type="dxa"/>
          </w:tcPr>
          <w:p>
            <w:pPr>
              <w:pStyle w:val="CeldaAPA"/>
              <w:jc w:val="left"/>
            </w:pPr>
            <w:r>
              <w:rPr/>
              <w:t xml:space="preserve">2,016 piezas</w:t>
            </w:r>
          </w:p>
        </w:tc>
        <w:tc>
          <w:tcPr>
            <w:tcW w:w="1657" w:type="dxa"/>
          </w:tcPr>
          <w:p>
            <w:pPr>
              <w:pStyle w:val="CeldaAPA"/>
              <w:jc w:val="left"/>
            </w:pPr>
            <w:r>
              <w:rPr/>
              <w:t xml:space="preserve">4.505,9 piezas</w:t>
            </w:r>
          </w:p>
        </w:tc>
        <w:tc>
          <w:tcPr>
            <w:tcW w:w="2618" w:type="dxa"/>
          </w:tcPr>
          <w:p>
            <w:pPr>
              <w:pStyle w:val="CeldaAPA"/>
              <w:jc w:val="left"/>
            </w:pPr>
            <w:r>
              <w:rPr/>
              <w:t xml:space="preserve">Piezas netas por fila; nervio a media luz si la luz es de 4,0 m o más (sin nervios: 2,048 piezas/m</w:t>
            </w:r>
            <w:r>
              <w:rPr>
                <w:vertAlign w:val="superscript"/>
              </w:rPr>
              <w:t xml:space="preserve">2</w:t>
            </w:r>
            <w:r>
              <w:rPr/>
              <w:t xml:space="preserve">)</w:t>
            </w:r>
          </w:p>
        </w:tc>
      </w:tr>
      <w:tr>
        <w:tc>
          <w:tcPr>
            <w:tcW w:w="1802" w:type="dxa"/>
          </w:tcPr>
          <w:p>
            <w:pPr>
              <w:pStyle w:val="CeldaAPA"/>
              <w:jc w:val="left"/>
            </w:pPr>
            <w:r>
              <w:rPr/>
              <w:t xml:space="preserve">Hormigón vaciado en obra</w:t>
            </w:r>
          </w:p>
        </w:tc>
        <w:tc>
          <w:tcPr>
            <w:tcW w:w="1685" w:type="dxa"/>
          </w:tcPr>
          <w:p>
            <w:pPr>
              <w:pStyle w:val="CeldaAPA"/>
              <w:jc w:val="left"/>
            </w:pPr>
            <w:r>
              <w:rPr/>
              <w:t xml:space="preserve">79,31 m</w:t>
            </w:r>
            <w:r>
              <w:rPr>
                <w:vertAlign w:val="superscript"/>
              </w:rPr>
              <w:t xml:space="preserve">3</w:t>
            </w:r>
          </w:p>
        </w:tc>
        <w:tc>
          <w:tcPr>
            <w:tcW w:w="1599" w:type="dxa"/>
          </w:tcPr>
          <w:p>
            <w:pPr>
              <w:pStyle w:val="CeldaAPA"/>
              <w:jc w:val="left"/>
            </w:pPr>
            <w:r>
              <w:rPr/>
              <w:t xml:space="preserve">0,0715 m</w:t>
            </w:r>
            <w:r>
              <w:rPr>
                <w:vertAlign w:val="superscript"/>
              </w:rPr>
              <w:t xml:space="preserve">3</w:t>
            </w:r>
          </w:p>
        </w:tc>
        <w:tc>
          <w:tcPr>
            <w:tcW w:w="1657" w:type="dxa"/>
          </w:tcPr>
          <w:p>
            <w:pPr>
              <w:pStyle w:val="CeldaAPA"/>
              <w:jc w:val="left"/>
            </w:pPr>
            <w:r>
              <w:rPr/>
              <w:t xml:space="preserve">159,7 m</w:t>
            </w:r>
            <w:r>
              <w:rPr>
                <w:vertAlign w:val="superscript"/>
              </w:rPr>
              <w:t xml:space="preserve">3</w:t>
            </w:r>
          </w:p>
        </w:tc>
        <w:tc>
          <w:tcPr>
            <w:tcW w:w="2618" w:type="dxa"/>
          </w:tcPr>
          <w:p>
            <w:pPr>
              <w:pStyle w:val="CeldaAPA"/>
              <w:jc w:val="left"/>
            </w:pPr>
            <w:r>
              <w:rPr/>
              <w:t xml:space="preserve">Complemento de 0,20 m (el suministrado); vigueta de 17,2 kg/m según una ficha técnica de referencia</w:t>
            </w:r>
          </w:p>
        </w:tc>
      </w:tr>
      <w:tr>
        <w:tc>
          <w:tcPr>
            <w:tcW w:w="1802" w:type="dxa"/>
            <w:tcBorders>
              <w:bottom w:val="single" w:sz="8" w:space="0" w:color="000000"/>
            </w:tcBorders>
          </w:tcPr>
          <w:p>
            <w:pPr>
              <w:pStyle w:val="CeldaAPA"/>
              <w:jc w:val="left"/>
            </w:pPr>
            <w:r>
              <w:rPr/>
              <w:t xml:space="preserve">Acero</w:t>
            </w:r>
          </w:p>
        </w:tc>
        <w:tc>
          <w:tcPr>
            <w:tcW w:w="1685" w:type="dxa"/>
            <w:tcBorders>
              <w:bottom w:val="single" w:sz="8" w:space="0" w:color="000000"/>
            </w:tcBorders>
          </w:tcPr>
          <w:p>
            <w:pPr>
              <w:pStyle w:val="CeldaAPA"/>
              <w:jc w:val="left"/>
            </w:pPr>
            <w:r>
              <w:rPr/>
              <w:t xml:space="preserve">3.572,8 kg</w:t>
            </w:r>
          </w:p>
        </w:tc>
        <w:tc>
          <w:tcPr>
            <w:tcW w:w="1599" w:type="dxa"/>
            <w:tcBorders>
              <w:bottom w:val="single" w:sz="8" w:space="0" w:color="000000"/>
            </w:tcBorders>
          </w:tcPr>
          <w:p>
            <w:pPr>
              <w:pStyle w:val="CeldaAPA"/>
              <w:jc w:val="left"/>
            </w:pPr>
            <w:r>
              <w:rPr/>
              <w:t xml:space="preserve">3,22 kg (malla 2,42; negativos 0,30; nervios 0,50)</w:t>
            </w:r>
          </w:p>
        </w:tc>
        <w:tc>
          <w:tcPr>
            <w:tcW w:w="1657" w:type="dxa"/>
            <w:tcBorders>
              <w:bottom w:val="single" w:sz="8" w:space="0" w:color="000000"/>
            </w:tcBorders>
          </w:tcPr>
          <w:p>
            <w:pPr>
              <w:pStyle w:val="CeldaAPA"/>
              <w:jc w:val="left"/>
            </w:pPr>
            <w:r>
              <w:rPr/>
              <w:t xml:space="preserve">7.193,6 kg</w:t>
            </w:r>
          </w:p>
        </w:tc>
        <w:tc>
          <w:tcPr>
            <w:tcW w:w="2618" w:type="dxa"/>
            <w:tcBorders>
              <w:bottom w:val="single" w:sz="8" w:space="0" w:color="000000"/>
            </w:tcBorders>
          </w:tcPr>
          <w:p>
            <w:pPr>
              <w:pStyle w:val="CeldaAPA"/>
              <w:jc w:val="left"/>
            </w:pPr>
            <w:r>
              <w:rPr/>
              <w:t xml:space="preserve">Rango de 2,72 a 3,44 kg/m</w:t>
            </w:r>
            <w:r>
              <w:rPr>
                <w:vertAlign w:val="superscript"/>
              </w:rPr>
              <w:t xml:space="preserve">2</w:t>
            </w:r>
            <w:r>
              <w:rPr/>
              <w:t xml:space="preserve"> </w:t>
            </w:r>
            <w:r>
              <w:rPr/>
              <w:t xml:space="preserve">según la ubicación de los nervios y la cuantía de los negativos</w:t>
            </w:r>
          </w:p>
        </w:tc>
      </w:tr>
    </w:tbl>
    <w:p>
      <w:pPr>
        <w:pStyle w:val="NotaAPA"/>
      </w:pPr>
      <w:r>
        <w:rPr>
          <w:iCs/>
          <w:i/>
        </w:rPr>
        <w:t xml:space="preserve">Nota.</w:t>
      </w:r>
      <w:r>
        <w:t xml:space="preserve"> </w:t>
      </w:r>
      <w:r>
        <w:t xml:space="preserve">Elaboración propia (cálculo propio) con base en los planos 01 a 03</w:t>
      </w:r>
      <w:r>
        <w:t xml:space="preserve"> </w:t>
      </w:r>
      <w:r>
        <w:t xml:space="preserve">(UATF, s. f.-d)</w:t>
      </w:r>
      <w:r>
        <w:t xml:space="preserve">, el certificado de los complementos</w:t>
      </w:r>
      <w:r>
        <w:t xml:space="preserve"> </w:t>
      </w:r>
      <w:r>
        <w:t xml:space="preserve">(UNICON, 2025)</w:t>
      </w:r>
      <w:r>
        <w:t xml:space="preserve"> </w:t>
      </w:r>
      <w:r>
        <w:t xml:space="preserve">y la ficha de viguetas de</w:t>
      </w:r>
      <w:r>
        <w:t xml:space="preserve"> </w:t>
      </w:r>
      <w:r>
        <w:t xml:space="preserve">Concretec (2018)</w:t>
      </w:r>
      <w:r>
        <w:t xml:space="preserve">. El saldo resulta de multiplicar las cantidades por m</w:t>
      </w:r>
      <w:r>
        <w:rPr>
          <w:vertAlign w:val="superscript"/>
        </w:rPr>
        <w:t xml:space="preserve">2</w:t>
      </w:r>
      <w:r>
        <w:t xml:space="preserve"> </w:t>
      </w:r>
      <w:r>
        <w:t xml:space="preserve">de la primera losa por 2.234,60 m</w:t>
      </w:r>
      <w:r>
        <w:rPr>
          <w:vertAlign w:val="superscript"/>
        </w:rPr>
        <w:t xml:space="preserve">2</w:t>
      </w:r>
      <w:r>
        <w:t xml:space="preserve">, porque los paños de la segunda y la tercera losa son homólogos (Sección 2.4).</w:t>
      </w:r>
    </w:p>
    <w:p>
      <w:pPr>
        <w:pStyle w:val="BodyText"/>
      </w:pPr>
      <w:r>
        <w:rPr>
          <w:bCs/>
          <w:b/>
        </w:rPr>
        <w:t xml:space="preserve">Cantidades entregadas, pagadas e índices documentados.</w:t>
      </w:r>
      <w:r>
        <w:t xml:space="preserve"> </w:t>
      </w:r>
      <w:r>
        <w:t xml:space="preserve">La Tabla 28 compara las cantidades teóricas con las entregadas y las pagadas. Solo dos materiales tienen un dato documental que permite calcular un índice: el EPS, por la cantidad entregada, y el acero, por la cantidad pagada.</w:t>
      </w:r>
    </w:p>
    <w:p>
      <w:pPr>
        <w:pStyle w:val="Caption"/>
      </w:pPr>
      <w:bookmarkStart w:id="1429" w:name="tab28"/>
      <w:r>
        <w:t xml:space="preserve"/>
      </w:r>
      <w:r>
        <w:rPr>
          <w:bCs/>
          <w:b/>
        </w:rPr>
        <w:t xml:space="preserve">Tabla 28</w:t>
      </w:r>
      <w:r>
        <w:br/>
      </w:r>
      <w:r>
        <w:rPr>
          <w:iCs/>
          <w:i/>
        </w:rPr>
        <w:t xml:space="preserve">Cantidades teóricas, entregadas y pagadas de la primera losa e índices de la línea base</w:t>
      </w:r>
      <w:bookmarkEnd w:id="1429"/>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1291"/>
        <w:gridCol w:w="1409"/>
        <w:gridCol w:w="1493"/>
        <w:gridCol w:w="1680"/>
        <w:gridCol w:w="1660"/>
        <w:gridCol w:w="1827"/>
      </w:tblGrid>
      <w:tr>
        <w:trPr>
          <w:cantSplit/>
          <w:tblHeader w:val="true"/>
        </w:trPr>
        <w:tc>
          <w:tcPr>
            <w:tcW w:w="1291" w:type="dxa"/>
            <w:tcBorders>
              <w:top w:val="single" w:sz="8" w:space="0" w:color="000000"/>
              <w:bottom w:val="single" w:sz="4" w:space="0" w:color="000000"/>
            </w:tcBorders>
          </w:tcPr>
          <w:p>
            <w:pPr>
              <w:pStyle w:val="CeldaAPA"/>
              <w:jc w:val="center"/>
            </w:pPr>
            <w:r>
              <w:rPr>
                <w:bCs/>
                <w:b/>
              </w:rPr>
              <w:t xml:space="preserve">Material</w:t>
            </w:r>
          </w:p>
        </w:tc>
        <w:tc>
          <w:tcPr>
            <w:tcW w:w="1409" w:type="dxa"/>
            <w:tcBorders>
              <w:top w:val="single" w:sz="8" w:space="0" w:color="000000"/>
              <w:bottom w:val="single" w:sz="4" w:space="0" w:color="000000"/>
            </w:tcBorders>
          </w:tcPr>
          <w:p>
            <w:pPr>
              <w:pStyle w:val="CeldaAPA"/>
              <w:jc w:val="center"/>
            </w:pPr>
            <w:r>
              <w:rPr>
                <w:bCs/>
                <w:b/>
              </w:rPr>
              <w:t xml:space="preserve">Teórico</w:t>
            </w:r>
          </w:p>
        </w:tc>
        <w:tc>
          <w:tcPr>
            <w:tcW w:w="1493" w:type="dxa"/>
            <w:tcBorders>
              <w:top w:val="single" w:sz="8" w:space="0" w:color="000000"/>
              <w:bottom w:val="single" w:sz="4" w:space="0" w:color="000000"/>
            </w:tcBorders>
          </w:tcPr>
          <w:p>
            <w:pPr>
              <w:pStyle w:val="CeldaAPA"/>
              <w:jc w:val="center"/>
            </w:pPr>
            <w:r>
              <w:rPr>
                <w:bCs/>
                <w:b/>
              </w:rPr>
              <w:t xml:space="preserve">Entregado</w:t>
            </w:r>
          </w:p>
        </w:tc>
        <w:tc>
          <w:tcPr>
            <w:tcW w:w="1680" w:type="dxa"/>
            <w:tcBorders>
              <w:top w:val="single" w:sz="8" w:space="0" w:color="000000"/>
              <w:bottom w:val="single" w:sz="4" w:space="0" w:color="000000"/>
            </w:tcBorders>
          </w:tcPr>
          <w:p>
            <w:pPr>
              <w:pStyle w:val="CeldaAPA"/>
              <w:jc w:val="center"/>
            </w:pPr>
            <w:r>
              <w:rPr>
                <w:bCs/>
                <w:b/>
              </w:rPr>
              <w:t xml:space="preserve">Pagado o medido</w:t>
            </w:r>
          </w:p>
        </w:tc>
        <w:tc>
          <w:tcPr>
            <w:tcW w:w="1660" w:type="dxa"/>
            <w:tcBorders>
              <w:top w:val="single" w:sz="8" w:space="0" w:color="000000"/>
              <w:bottom w:val="single" w:sz="4" w:space="0" w:color="000000"/>
            </w:tcBorders>
          </w:tcPr>
          <w:p>
            <w:pPr>
              <w:pStyle w:val="CeldaAPA"/>
              <w:jc w:val="center"/>
            </w:pPr>
            <w:r>
              <w:rPr>
                <w:bCs/>
                <w:b/>
              </w:rPr>
              <w:t xml:space="preserve">Índice de la línea base</w:t>
            </w:r>
          </w:p>
        </w:tc>
        <w:tc>
          <w:tcPr>
            <w:tcW w:w="1827" w:type="dxa"/>
            <w:tcBorders>
              <w:top w:val="single" w:sz="8" w:space="0" w:color="000000"/>
              <w:bottom w:val="single" w:sz="4" w:space="0" w:color="000000"/>
            </w:tcBorders>
          </w:tcPr>
          <w:p>
            <w:pPr>
              <w:pStyle w:val="CeldaAPA"/>
              <w:jc w:val="center"/>
            </w:pPr>
            <w:r>
              <w:rPr>
                <w:bCs/>
                <w:b/>
              </w:rPr>
              <w:t xml:space="preserve">Tipo de dato</w:t>
            </w:r>
          </w:p>
        </w:tc>
      </w:tr>
      <w:tr>
        <w:tc>
          <w:tcPr>
            <w:tcW w:w="1291" w:type="dxa"/>
          </w:tcPr>
          <w:p>
            <w:pPr>
              <w:pStyle w:val="CeldaAPA"/>
              <w:jc w:val="left"/>
            </w:pPr>
            <w:r>
              <w:rPr/>
              <w:t xml:space="preserve">Viguetas</w:t>
            </w:r>
          </w:p>
        </w:tc>
        <w:tc>
          <w:tcPr>
            <w:tcW w:w="1409" w:type="dxa"/>
          </w:tcPr>
          <w:p>
            <w:pPr>
              <w:pStyle w:val="CeldaAPA"/>
              <w:jc w:val="left"/>
            </w:pPr>
            <w:r>
              <w:rPr/>
              <w:t xml:space="preserve">531 piezas; 2.205,1 m</w:t>
            </w:r>
          </w:p>
        </w:tc>
        <w:tc>
          <w:tcPr>
            <w:tcW w:w="1493" w:type="dxa"/>
          </w:tcPr>
          <w:p>
            <w:pPr>
              <w:pStyle w:val="CeldaAPA"/>
              <w:jc w:val="left"/>
            </w:pPr>
            <w:r>
              <w:rPr/>
              <w:t xml:space="preserve">Sin notas de entrega</w:t>
            </w:r>
          </w:p>
        </w:tc>
        <w:tc>
          <w:tcPr>
            <w:tcW w:w="1680" w:type="dxa"/>
          </w:tcPr>
          <w:p>
            <w:pPr>
              <w:pStyle w:val="CeldaAPA"/>
              <w:jc w:val="left"/>
            </w:pPr>
            <w:r>
              <w:rPr/>
              <w:t xml:space="preserve">Incluidas en el ítem 13 (1.109,84 m</w:t>
            </w:r>
            <w:r>
              <w:rPr>
                <w:vertAlign w:val="superscript"/>
              </w:rPr>
              <w:t xml:space="preserve">2</w:t>
            </w:r>
            <w:r>
              <w:rPr/>
              <w:t xml:space="preserve">)</w:t>
            </w:r>
          </w:p>
        </w:tc>
        <w:tc>
          <w:tcPr>
            <w:tcW w:w="1660" w:type="dxa"/>
          </w:tcPr>
          <w:p>
            <w:pPr>
              <w:pStyle w:val="CeldaAPA"/>
              <w:jc w:val="left"/>
            </w:pPr>
            <w:r>
              <w:rPr/>
              <w:t xml:space="preserve">No documentado</w:t>
            </w:r>
          </w:p>
        </w:tc>
        <w:tc>
          <w:tcPr>
            <w:tcW w:w="1827" w:type="dxa"/>
          </w:tcPr>
          <w:p>
            <w:pPr>
              <w:pStyle w:val="CeldaAPA"/>
              <w:jc w:val="left"/>
            </w:pPr>
            <w:r>
              <w:rPr/>
              <w:t xml:space="preserve">Supuesto del autor</w:t>
            </w:r>
          </w:p>
        </w:tc>
      </w:tr>
      <w:tr>
        <w:tc>
          <w:tcPr>
            <w:tcW w:w="1291" w:type="dxa"/>
          </w:tcPr>
          <w:p>
            <w:pPr>
              <w:pStyle w:val="CeldaAPA"/>
              <w:jc w:val="left"/>
            </w:pPr>
            <w:r>
              <w:rPr/>
              <w:t xml:space="preserve">EPS</w:t>
            </w:r>
          </w:p>
        </w:tc>
        <w:tc>
          <w:tcPr>
            <w:tcW w:w="1409" w:type="dxa"/>
          </w:tcPr>
          <w:p>
            <w:pPr>
              <w:pStyle w:val="CeldaAPA"/>
              <w:jc w:val="left"/>
            </w:pPr>
            <w:r>
              <w:rPr/>
              <w:t xml:space="preserve">2.237,9 piezas</w:t>
            </w:r>
          </w:p>
        </w:tc>
        <w:tc>
          <w:tcPr>
            <w:tcW w:w="1493" w:type="dxa"/>
          </w:tcPr>
          <w:p>
            <w:pPr>
              <w:pStyle w:val="CeldaAPA"/>
              <w:jc w:val="left"/>
            </w:pPr>
            <w:r>
              <w:rPr/>
              <w:t xml:space="preserve">2.350 piezas</w:t>
            </w:r>
          </w:p>
        </w:tc>
        <w:tc>
          <w:tcPr>
            <w:tcW w:w="1680" w:type="dxa"/>
          </w:tcPr>
          <w:p>
            <w:pPr>
              <w:pStyle w:val="CeldaAPA"/>
              <w:jc w:val="left"/>
            </w:pPr>
            <w:r>
              <w:rPr/>
              <w:t xml:space="preserve">Incluido en el ítem 13</w:t>
            </w:r>
          </w:p>
        </w:tc>
        <w:tc>
          <w:tcPr>
            <w:tcW w:w="1660" w:type="dxa"/>
          </w:tcPr>
          <w:p>
            <w:pPr>
              <w:pStyle w:val="CeldaAPA"/>
              <w:jc w:val="left"/>
            </w:pPr>
            <w:r>
              <w:rPr/>
              <w:t xml:space="preserve">IDM = +5,01 % (+112 piezas); entre +3,4 y +5,9 % según los supuestos</w:t>
            </w:r>
          </w:p>
        </w:tc>
        <w:tc>
          <w:tcPr>
            <w:tcW w:w="1827" w:type="dxa"/>
          </w:tcPr>
          <w:p>
            <w:pPr>
              <w:pStyle w:val="CeldaAPA"/>
              <w:jc w:val="left"/>
            </w:pPr>
            <w:r>
              <w:rPr/>
              <w:t xml:space="preserve">Documentado y cálculo propio</w:t>
            </w:r>
          </w:p>
        </w:tc>
      </w:tr>
      <w:tr>
        <w:tc>
          <w:tcPr>
            <w:tcW w:w="1291" w:type="dxa"/>
          </w:tcPr>
          <w:p>
            <w:pPr>
              <w:pStyle w:val="CeldaAPA"/>
              <w:jc w:val="left"/>
            </w:pPr>
            <w:r>
              <w:rPr/>
              <w:t xml:space="preserve">Hormigón</w:t>
            </w:r>
          </w:p>
        </w:tc>
        <w:tc>
          <w:tcPr>
            <w:tcW w:w="1409" w:type="dxa"/>
          </w:tcPr>
          <w:p>
            <w:pPr>
              <w:pStyle w:val="CeldaAPA"/>
              <w:jc w:val="left"/>
            </w:pPr>
            <w:r>
              <w:rPr/>
              <w:t xml:space="preserve">79,31 m</w:t>
            </w:r>
            <w:r>
              <w:rPr>
                <w:vertAlign w:val="superscript"/>
              </w:rPr>
              <w:t xml:space="preserve">3</w:t>
            </w:r>
          </w:p>
        </w:tc>
        <w:tc>
          <w:tcPr>
            <w:tcW w:w="1493" w:type="dxa"/>
          </w:tcPr>
          <w:p>
            <w:pPr>
              <w:pStyle w:val="CeldaAPA"/>
              <w:jc w:val="left"/>
            </w:pPr>
            <w:r>
              <w:rPr/>
              <w:t xml:space="preserve">Sin remisiones ni vales de cemento</w:t>
            </w:r>
          </w:p>
        </w:tc>
        <w:tc>
          <w:tcPr>
            <w:tcW w:w="1680" w:type="dxa"/>
          </w:tcPr>
          <w:p>
            <w:pPr>
              <w:pStyle w:val="CeldaAPA"/>
              <w:jc w:val="left"/>
            </w:pPr>
            <w:r>
              <w:rPr/>
              <w:t xml:space="preserve">Incluido en el ítem 13</w:t>
            </w:r>
          </w:p>
        </w:tc>
        <w:tc>
          <w:tcPr>
            <w:tcW w:w="1660" w:type="dxa"/>
          </w:tcPr>
          <w:p>
            <w:pPr>
              <w:pStyle w:val="CeldaAPA"/>
              <w:jc w:val="left"/>
            </w:pPr>
            <w:r>
              <w:rPr/>
              <w:t xml:space="preserve">No documentado</w:t>
            </w:r>
          </w:p>
        </w:tc>
        <w:tc>
          <w:tcPr>
            <w:tcW w:w="1827" w:type="dxa"/>
          </w:tcPr>
          <w:p>
            <w:pPr>
              <w:pStyle w:val="CeldaAPA"/>
              <w:jc w:val="left"/>
            </w:pPr>
            <w:r>
              <w:rPr/>
              <w:t xml:space="preserve">Supuesto de literatura</w:t>
            </w:r>
          </w:p>
        </w:tc>
      </w:tr>
      <w:tr>
        <w:tc>
          <w:tcPr>
            <w:tcW w:w="1291" w:type="dxa"/>
            <w:tcBorders>
              <w:bottom w:val="single" w:sz="8" w:space="0" w:color="000000"/>
            </w:tcBorders>
          </w:tcPr>
          <w:p>
            <w:pPr>
              <w:pStyle w:val="CeldaAPA"/>
              <w:jc w:val="left"/>
            </w:pPr>
            <w:r>
              <w:rPr/>
              <w:t xml:space="preserve">Acero</w:t>
            </w:r>
          </w:p>
        </w:tc>
        <w:tc>
          <w:tcPr>
            <w:tcW w:w="1409" w:type="dxa"/>
            <w:tcBorders>
              <w:bottom w:val="single" w:sz="8" w:space="0" w:color="000000"/>
            </w:tcBorders>
          </w:tcPr>
          <w:p>
            <w:pPr>
              <w:pStyle w:val="CeldaAPA"/>
              <w:jc w:val="left"/>
            </w:pPr>
            <w:r>
              <w:rPr/>
              <w:t xml:space="preserve">3.572,8 kg (3,22 kg/m</w:t>
            </w:r>
            <w:r>
              <w:rPr>
                <w:vertAlign w:val="superscript"/>
              </w:rPr>
              <w:t xml:space="preserve">2</w:t>
            </w:r>
            <w:r>
              <w:rPr/>
              <w:t xml:space="preserve">)</w:t>
            </w:r>
          </w:p>
        </w:tc>
        <w:tc>
          <w:tcPr>
            <w:tcW w:w="1493" w:type="dxa"/>
            <w:tcBorders>
              <w:bottom w:val="single" w:sz="8" w:space="0" w:color="000000"/>
            </w:tcBorders>
          </w:tcPr>
          <w:p>
            <w:pPr>
              <w:pStyle w:val="CeldaAPA"/>
              <w:jc w:val="left"/>
            </w:pPr>
            <w:r>
              <w:rPr/>
              <w:t xml:space="preserve">Sin registro de entregas para la losa</w:t>
            </w:r>
          </w:p>
        </w:tc>
        <w:tc>
          <w:tcPr>
            <w:tcW w:w="1680" w:type="dxa"/>
            <w:tcBorders>
              <w:bottom w:val="single" w:sz="8" w:space="0" w:color="000000"/>
            </w:tcBorders>
          </w:tcPr>
          <w:p>
            <w:pPr>
              <w:pStyle w:val="CeldaAPA"/>
              <w:jc w:val="left"/>
            </w:pPr>
            <w:r>
              <w:rPr/>
              <w:t xml:space="preserve">4.171,18 kg (3,76 kg/m</w:t>
            </w:r>
            <w:r>
              <w:rPr>
                <w:vertAlign w:val="superscript"/>
              </w:rPr>
              <w:t xml:space="preserve">2</w:t>
            </w:r>
            <w:r>
              <w:rPr/>
              <w:t xml:space="preserve">) en el ítem 8; 3 </w:t>
            </w:r>
            <m:oMath>
              <m:r>
                <m:rPr>
                  <m:sty m:val="p"/>
                </m:rPr>
                <m:t>×</m:t>
              </m:r>
            </m:oMath>
            <w:r>
              <w:rPr/>
              <w:t xml:space="preserve"> 4.171,18 kg en el cómputo de cierre</w:t>
            </w:r>
          </w:p>
        </w:tc>
        <w:tc>
          <w:tcPr>
            <w:tcW w:w="1660" w:type="dxa"/>
            <w:tcBorders>
              <w:bottom w:val="single" w:sz="8" w:space="0" w:color="000000"/>
            </w:tcBorders>
          </w:tcPr>
          <w:p>
            <w:pPr>
              <w:pStyle w:val="CeldaAPA"/>
              <w:jc w:val="left"/>
            </w:pPr>
            <w:r>
              <w:rPr/>
              <w:t xml:space="preserve">Pagado frente a teórico: +16,75 %; entre +9,2 y +38,3 % según los supuestos</w:t>
            </w:r>
          </w:p>
        </w:tc>
        <w:tc>
          <w:tcPr>
            <w:tcW w:w="1827" w:type="dxa"/>
            <w:tcBorders>
              <w:bottom w:val="single" w:sz="8" w:space="0" w:color="000000"/>
            </w:tcBorders>
          </w:tcPr>
          <w:p>
            <w:pPr>
              <w:pStyle w:val="CeldaAPA"/>
              <w:jc w:val="left"/>
            </w:pPr>
            <w:r>
              <w:rPr/>
              <w:t xml:space="preserve">Documentado y cálculo propio (aproximación del IDM)</w:t>
            </w:r>
          </w:p>
        </w:tc>
      </w:tr>
    </w:tbl>
    <w:p>
      <w:pPr>
        <w:pStyle w:val="NotaAPA"/>
      </w:pPr>
      <w:r>
        <w:rPr>
          <w:iCs/>
          <w:i/>
        </w:rPr>
        <w:t xml:space="preserve">Nota.</w:t>
      </w:r>
      <w:r>
        <w:t xml:space="preserve"> </w:t>
      </w:r>
      <w:r>
        <w:t xml:space="preserve">Elaboración propia con base en la Tabla 27,</w:t>
      </w:r>
      <w:r>
        <w:t xml:space="preserve"> </w:t>
      </w:r>
      <w:r>
        <w:t xml:space="preserve">UNICON (2025)</w:t>
      </w:r>
      <w:r>
        <w:t xml:space="preserve">,</w:t>
      </w:r>
      <w:r>
        <w:t xml:space="preserve"> </w:t>
      </w:r>
      <w:r>
        <w:t xml:space="preserve">UATF (2025, pp. 16, 19–20)</w:t>
      </w:r>
      <w:r>
        <w:t xml:space="preserve"> </w:t>
      </w:r>
      <w:r>
        <w:t xml:space="preserve">y</w:t>
      </w:r>
      <w:r>
        <w:t xml:space="preserve"> </w:t>
      </w:r>
      <w:r>
        <w:t xml:space="preserve">UATF (s. f.-c, hoja «Cómputos métricos», fila 538)</w:t>
      </w:r>
      <w:r>
        <w:t xml:space="preserve">. IDM: ecuación (8).</w:t>
      </w:r>
    </w:p>
    <w:p>
      <w:pPr>
        <w:pStyle w:val="BodyText"/>
      </w:pPr>
      <w:r>
        <w:t xml:space="preserve">En el EPS se entregaron 2.350 piezas frente a 2.237,9 teóricas: 112 piezas más, es decir, un IDM de +5,01 % (cálculo propio). Si no se construyeran nervios, el índice sería de +3,4 %, y con la regla simplificada de dos piezas por m</w:t>
      </w:r>
      <w:r>
        <w:rPr>
          <w:vertAlign w:val="superscript"/>
        </w:rPr>
        <w:t xml:space="preserve">2</w:t>
      </w:r>
      <w:r>
        <w:t xml:space="preserve">, de +5,9 %. Si cada fila se completara con piezas enteras, sin reaprovechar los recortes, se necesitarían unas 2.476 piezas, más que las entregadas; la cantidad recibida solo alcanza si los recortes se reaprovecharon, lo que es compatible con un desperdicio de 3 % a 6 % sobre el consumo neto. El índice supone que todas las piezas se destinaron a la primera losa y que no hubo devoluciones ni sobrantes, lo que no puede verificarse sin notas de entrega ni kardex.</w:t>
      </w:r>
    </w:p>
    <w:p>
      <w:pPr>
        <w:pStyle w:val="BodyText"/>
      </w:pPr>
      <w:r>
        <w:t xml:space="preserve">En el acero, la única cantidad documentada de la losa es la pagada en la Planilla N.</w:t>
      </w:r>
      <w:r>
        <w:rPr>
          <w:vertAlign w:val="superscript"/>
        </w:rPr>
        <w:t xml:space="preserve">o</w:t>
      </w:r>
      <w:r>
        <w:t xml:space="preserve"> 2: 4.171,18 kg, es decir, 3,76 kg/m</w:t>
      </w:r>
      <w:r>
        <w:rPr>
          <w:vertAlign w:val="superscript"/>
        </w:rPr>
        <w:t xml:space="preserve">2</w:t>
      </w:r>
      <w:r>
        <w:t xml:space="preserve">, un 16,75 % más que la cantidad teórica del escenario base (cálculo propio). La cantidad pagada supera la teórica con todos los supuestos ensayados: de +9,2 % si se colocaran nervios en todas las luces de 3 m o más, a +38,3 % si no hubiera nervios. La documentación no permite separar en esa diferencia el desperdicio real (recortes y traslapes no previstos), una medición superior a la ejecutada o armaduras que los planos no definen; por eso el índice se usa como una aproximación del desperdicio de acero de la línea base, no como una medición directa. El valor coincide con los desperdicios de 14,58 % y 17,09 % que</w:t>
      </w:r>
      <w:r>
        <w:t xml:space="preserve"> </w:t>
      </w:r>
      <w:r>
        <w:t xml:space="preserve">Chino Quispe y Zarate Chilqquetuma (2024, pp. 147, 169)</w:t>
      </w:r>
      <w:r>
        <w:t xml:space="preserve"> </w:t>
      </w:r>
      <w:r>
        <w:t xml:space="preserve">midieron con el método convencional de habilitado del acero. La cifra de 12.513,54 kg del cómputo de cierre, 3,5 veces la cantidad teórica de una losa, no se usó, porque no corresponde a una losa ejecutada (Sección 2.5.2).</w:t>
      </w:r>
    </w:p>
    <w:p>
      <w:pPr>
        <w:pStyle w:val="BodyText"/>
      </w:pPr>
      <w:r>
        <w:t xml:space="preserve">Para las viguetas y el hormigón no existen notas de entrega, remisiones, vales de cemento ni volúmenes por vaciado, por lo que su desperdicio en la primera losa no puede medirse. Para el hormigón se adoptó el rango de la literatura: 5 % como valor típico y hasta 22 % en obras sin control volumétrico</w:t>
      </w:r>
      <w:r>
        <w:t xml:space="preserve"> </w:t>
      </w:r>
      <w:r>
        <w:t xml:space="preserve">(Galarza Meza, 2011, pp. 53, 73)</w:t>
      </w:r>
      <w:r>
        <w:t xml:space="preserve">, pérdidas reales de 14 % a 27 % en vaciados semanales sin control</w:t>
      </w:r>
      <w:r>
        <w:t xml:space="preserve"> </w:t>
      </w:r>
      <w:r>
        <w:t xml:space="preserve">(Ruiz Muñoz y Rojas Bonilla, 2018, pp. 33, 40)</w:t>
      </w:r>
      <w:r>
        <w:t xml:space="preserve"> </w:t>
      </w:r>
      <w:r>
        <w:t xml:space="preserve">y de 1,5 % a 13 % para el hormigón premezclado en Brasil</w:t>
      </w:r>
      <w:r>
        <w:t xml:space="preserve"> </w:t>
      </w:r>
      <w:r>
        <w:t xml:space="preserve">(Maciel et al., 2016, p. 106)</w:t>
      </w:r>
      <w:r>
        <w:t xml:space="preserve">. Para las viguetas, que se fabrican a medida según el Plano 03, se supuso un desperdicio pequeño por rotura en la manipulación. Tampoco hay registros de retrabajos en la primera losa (NC-11), lo que no prueba que no los hubiera; su costo se representó como una fracción del costo directo tomada de la literatura: fallas visibles de 2,34 % del costo total en 25 proyectos</w:t>
      </w:r>
      <w:r>
        <w:t xml:space="preserve"> </w:t>
      </w:r>
      <w:r>
        <w:t xml:space="preserve">(Khadim et al., 2023, p. 5421)</w:t>
      </w:r>
      <w:r>
        <w:t xml:space="preserve">, costos de no calidad de 2,7 % a 5,1 % en la partida de hormigón armado</w:t>
      </w:r>
      <w:r>
        <w:t xml:space="preserve"> </w:t>
      </w:r>
      <w:r>
        <w:t xml:space="preserve">(Gudiel Cairampoma y Solis Puente, 2020, p. 1)</w:t>
      </w:r>
      <w:r>
        <w:t xml:space="preserve"> </w:t>
      </w:r>
      <w:r>
        <w:t xml:space="preserve">y reprocesos de 6,5 % en proyectos sin SGC</w:t>
      </w:r>
      <w:r>
        <w:t xml:space="preserve"> </w:t>
      </w:r>
      <w:r>
        <w:t xml:space="preserve">(Álvarez Quintero, 2014, p. 12)</w:t>
      </w:r>
      <w:r>
        <w:t xml:space="preserve">.</w:t>
      </w:r>
    </w:p>
    <w:p>
      <w:pPr>
        <w:pStyle w:val="BodyText"/>
      </w:pPr>
      <w:r>
        <w:rPr>
          <w:bCs/>
          <w:b/>
        </w:rPr>
        <w:t xml:space="preserve">Parámetros del escenario de control.</w:t>
      </w:r>
      <w:r>
        <w:t xml:space="preserve"> </w:t>
      </w:r>
      <w:r>
        <w:t xml:space="preserve">La Tabla 29 resume los parámetros de la línea base que usa el modelo, con distribuciones triangulares (mínimo, moda y máximo). La tabla completa, con las eficacias del SGC y sus costos, está en el Anexo L.</w:t>
      </w:r>
    </w:p>
    <w:p>
      <w:pPr>
        <w:pStyle w:val="Caption"/>
      </w:pPr>
      <w:bookmarkStart w:id="1430" w:name="tab29"/>
      <w:r>
        <w:t xml:space="preserve"/>
      </w:r>
      <w:r>
        <w:rPr>
          <w:bCs/>
          <w:b/>
        </w:rPr>
        <w:t xml:space="preserve">Tabla 29</w:t>
      </w:r>
      <w:r>
        <w:br/>
      </w:r>
      <w:r>
        <w:rPr>
          <w:iCs/>
          <w:i/>
        </w:rPr>
        <w:t xml:space="preserve">Parámetros de la línea base (escenario de control) del modelo de costos</w:t>
      </w:r>
      <w:bookmarkEnd w:id="1430"/>
    </w:p>
    <w:tbl>
      <w:tblPr>
        <w:tblStyle w:val="Table"/>
        <w:tblW w:w="9359" w:type="dxa"/>
        <w:jc w:val="left"/>
        <w:tblLayout w:type="fixed"/>
        <w:tblCellMar>
          <w:top w:w="0" w:type="dxa"/>
          <w:left w:w="85" w:type="dxa"/>
          <w:bottom w:w="0" w:type="dxa"/>
          <w:right w:w="85" w:type="dxa"/>
        </w:tblCellMar>
        <w:tblLook w:firstRow="1" w:lastRow="0" w:firstColumn="0" w:lastColumn="0" w:noHBand="0" w:noVBand="0" w:val="0020"/>
      </w:tblPr>
      <w:tblGrid>
        <w:gridCol w:w="1692"/>
        <w:gridCol w:w="1159"/>
        <w:gridCol w:w="1063"/>
        <w:gridCol w:w="1210"/>
        <w:gridCol w:w="1710"/>
        <w:gridCol w:w="2525"/>
      </w:tblGrid>
      <w:tr>
        <w:trPr>
          <w:cantSplit/>
          <w:tblHeader w:val="true"/>
        </w:trPr>
        <w:tc>
          <w:tcPr>
            <w:tcW w:w="1692" w:type="dxa"/>
            <w:tcBorders>
              <w:top w:val="single" w:sz="8" w:space="0" w:color="000000"/>
              <w:bottom w:val="single" w:sz="4" w:space="0" w:color="000000"/>
            </w:tcBorders>
          </w:tcPr>
          <w:p>
            <w:pPr>
              <w:pStyle w:val="CeldaAPA"/>
              <w:jc w:val="center"/>
            </w:pPr>
            <w:r>
              <w:rPr>
                <w:bCs/>
                <w:b/>
              </w:rPr>
              <w:t xml:space="preserve">Parámetro</w:t>
            </w:r>
          </w:p>
        </w:tc>
        <w:tc>
          <w:tcPr>
            <w:tcW w:w="1159" w:type="dxa"/>
            <w:tcBorders>
              <w:top w:val="single" w:sz="8" w:space="0" w:color="000000"/>
              <w:bottom w:val="single" w:sz="4" w:space="0" w:color="000000"/>
            </w:tcBorders>
          </w:tcPr>
          <w:p>
            <w:pPr>
              <w:pStyle w:val="CeldaAPA"/>
              <w:jc w:val="center"/>
            </w:pPr>
            <w:r>
              <w:rPr>
                <w:bCs/>
                <w:b/>
              </w:rPr>
              <w:t xml:space="preserve">Mínimo</w:t>
            </w:r>
          </w:p>
        </w:tc>
        <w:tc>
          <w:tcPr>
            <w:tcW w:w="1063" w:type="dxa"/>
            <w:tcBorders>
              <w:top w:val="single" w:sz="8" w:space="0" w:color="000000"/>
              <w:bottom w:val="single" w:sz="4" w:space="0" w:color="000000"/>
            </w:tcBorders>
          </w:tcPr>
          <w:p>
            <w:pPr>
              <w:pStyle w:val="CeldaAPA"/>
              <w:jc w:val="center"/>
            </w:pPr>
            <w:r>
              <w:rPr>
                <w:bCs/>
                <w:b/>
              </w:rPr>
              <w:t xml:space="preserve">Moda</w:t>
            </w:r>
          </w:p>
        </w:tc>
        <w:tc>
          <w:tcPr>
            <w:tcW w:w="1210" w:type="dxa"/>
            <w:tcBorders>
              <w:top w:val="single" w:sz="8" w:space="0" w:color="000000"/>
              <w:bottom w:val="single" w:sz="4" w:space="0" w:color="000000"/>
            </w:tcBorders>
          </w:tcPr>
          <w:p>
            <w:pPr>
              <w:pStyle w:val="CeldaAPA"/>
              <w:jc w:val="center"/>
            </w:pPr>
            <w:r>
              <w:rPr>
                <w:bCs/>
                <w:b/>
              </w:rPr>
              <w:t xml:space="preserve">Máximo</w:t>
            </w:r>
          </w:p>
        </w:tc>
        <w:tc>
          <w:tcPr>
            <w:tcW w:w="1710" w:type="dxa"/>
            <w:tcBorders>
              <w:top w:val="single" w:sz="8" w:space="0" w:color="000000"/>
              <w:bottom w:val="single" w:sz="4" w:space="0" w:color="000000"/>
            </w:tcBorders>
          </w:tcPr>
          <w:p>
            <w:pPr>
              <w:pStyle w:val="CeldaAPA"/>
              <w:jc w:val="center"/>
            </w:pPr>
            <w:r>
              <w:rPr>
                <w:bCs/>
                <w:b/>
              </w:rPr>
              <w:t xml:space="preserve">Tipo de dato</w:t>
            </w:r>
          </w:p>
        </w:tc>
        <w:tc>
          <w:tcPr>
            <w:tcW w:w="2525" w:type="dxa"/>
            <w:tcBorders>
              <w:top w:val="single" w:sz="8" w:space="0" w:color="000000"/>
              <w:bottom w:val="single" w:sz="4" w:space="0" w:color="000000"/>
            </w:tcBorders>
          </w:tcPr>
          <w:p>
            <w:pPr>
              <w:pStyle w:val="CeldaAPA"/>
              <w:jc w:val="center"/>
            </w:pPr>
            <w:r>
              <w:rPr>
                <w:bCs/>
                <w:b/>
              </w:rPr>
              <w:t xml:space="preserve">Fuente</w:t>
            </w:r>
          </w:p>
        </w:tc>
      </w:tr>
      <w:tr>
        <w:tc>
          <w:tcPr>
            <w:tcW w:w="1692" w:type="dxa"/>
          </w:tcPr>
          <w:p>
            <w:pPr>
              <w:pStyle w:val="CeldaAPA"/>
              <w:jc w:val="left"/>
            </w:pPr>
            <w:r>
              <w:rPr/>
              <w:t xml:space="preserve">IDM de las viguetas</w:t>
            </w:r>
          </w:p>
        </w:tc>
        <w:tc>
          <w:tcPr>
            <w:tcW w:w="1159" w:type="dxa"/>
          </w:tcPr>
          <w:p>
            <w:pPr>
              <w:pStyle w:val="CeldaAPA"/>
              <w:jc w:val="center"/>
            </w:pPr>
            <w:r>
              <w:rPr/>
              <w:t xml:space="preserve">0,0 %</w:t>
            </w:r>
          </w:p>
        </w:tc>
        <w:tc>
          <w:tcPr>
            <w:tcW w:w="1063" w:type="dxa"/>
          </w:tcPr>
          <w:p>
            <w:pPr>
              <w:pStyle w:val="CeldaAPA"/>
              <w:jc w:val="center"/>
            </w:pPr>
            <w:r>
              <w:rPr/>
              <w:t xml:space="preserve">1,00 %</w:t>
            </w:r>
          </w:p>
        </w:tc>
        <w:tc>
          <w:tcPr>
            <w:tcW w:w="1210" w:type="dxa"/>
          </w:tcPr>
          <w:p>
            <w:pPr>
              <w:pStyle w:val="CeldaAPA"/>
              <w:jc w:val="center"/>
            </w:pPr>
            <w:r>
              <w:rPr/>
              <w:t xml:space="preserve">3,0 %</w:t>
            </w:r>
          </w:p>
        </w:tc>
        <w:tc>
          <w:tcPr>
            <w:tcW w:w="1710" w:type="dxa"/>
          </w:tcPr>
          <w:p>
            <w:pPr>
              <w:pStyle w:val="CeldaAPA"/>
              <w:jc w:val="left"/>
            </w:pPr>
            <w:r>
              <w:rPr/>
              <w:t xml:space="preserve">Supuesto del autor</w:t>
            </w:r>
          </w:p>
        </w:tc>
        <w:tc>
          <w:tcPr>
            <w:tcW w:w="2525" w:type="dxa"/>
          </w:tcPr>
          <w:p>
            <w:pPr>
              <w:pStyle w:val="CeldaAPA"/>
              <w:jc w:val="left"/>
            </w:pPr>
            <w:r>
              <w:rPr/>
              <w:t xml:space="preserve">Viguetas fabricadas a medida; rotura en la manipulación</w:t>
            </w:r>
          </w:p>
        </w:tc>
      </w:tr>
      <w:tr>
        <w:tc>
          <w:tcPr>
            <w:tcW w:w="1692" w:type="dxa"/>
          </w:tcPr>
          <w:p>
            <w:pPr>
              <w:pStyle w:val="CeldaAPA"/>
              <w:jc w:val="left"/>
            </w:pPr>
            <w:r>
              <w:rPr/>
              <w:t xml:space="preserve">IDM del EPS</w:t>
            </w:r>
          </w:p>
        </w:tc>
        <w:tc>
          <w:tcPr>
            <w:tcW w:w="1159" w:type="dxa"/>
          </w:tcPr>
          <w:p>
            <w:pPr>
              <w:pStyle w:val="CeldaAPA"/>
              <w:jc w:val="center"/>
            </w:pPr>
            <w:r>
              <w:rPr/>
              <w:t xml:space="preserve">2,5 %</w:t>
            </w:r>
          </w:p>
        </w:tc>
        <w:tc>
          <w:tcPr>
            <w:tcW w:w="1063" w:type="dxa"/>
          </w:tcPr>
          <w:p>
            <w:pPr>
              <w:pStyle w:val="CeldaAPA"/>
              <w:jc w:val="center"/>
            </w:pPr>
            <w:r>
              <w:rPr/>
              <w:t xml:space="preserve">5,01 %</w:t>
            </w:r>
          </w:p>
        </w:tc>
        <w:tc>
          <w:tcPr>
            <w:tcW w:w="1210" w:type="dxa"/>
          </w:tcPr>
          <w:p>
            <w:pPr>
              <w:pStyle w:val="CeldaAPA"/>
              <w:jc w:val="center"/>
            </w:pPr>
            <w:r>
              <w:rPr/>
              <w:t xml:space="preserve">7,5 %</w:t>
            </w:r>
          </w:p>
        </w:tc>
        <w:tc>
          <w:tcPr>
            <w:tcW w:w="1710" w:type="dxa"/>
          </w:tcPr>
          <w:p>
            <w:pPr>
              <w:pStyle w:val="CeldaAPA"/>
              <w:jc w:val="left"/>
            </w:pPr>
            <w:r>
              <w:rPr/>
              <w:t xml:space="preserve">Documentado (moda); rango supuesto de</w:t>
            </w:r>
            <w:r>
              <w:rPr/>
              <w:t xml:space="preserve"> </w:t>
            </w:r>
            <m:oMath>
              <m:r>
                <m:rPr>
                  <m:sty m:val="p"/>
                </m:rPr>
                <m:t>±</m:t>
              </m:r>
            </m:oMath>
            <w:r>
              <w:rPr/>
              <w:t xml:space="preserve">50 %</w:t>
            </w:r>
          </w:p>
        </w:tc>
        <w:tc>
          <w:tcPr>
            <w:tcW w:w="2525" w:type="dxa"/>
          </w:tcPr>
          <w:p>
            <w:pPr>
              <w:pStyle w:val="CeldaAPA"/>
              <w:jc w:val="left"/>
            </w:pPr>
            <w:r>
              <w:rPr/>
              <w:t xml:space="preserve">2.350 piezas entregadas frente a 2.237,9 teóricas</w:t>
            </w:r>
          </w:p>
        </w:tc>
      </w:tr>
      <w:tr>
        <w:tc>
          <w:tcPr>
            <w:tcW w:w="1692" w:type="dxa"/>
          </w:tcPr>
          <w:p>
            <w:pPr>
              <w:pStyle w:val="CeldaAPA"/>
              <w:jc w:val="left"/>
            </w:pPr>
            <w:r>
              <w:rPr/>
              <w:t xml:space="preserve">IDM del hormigón</w:t>
            </w:r>
          </w:p>
        </w:tc>
        <w:tc>
          <w:tcPr>
            <w:tcW w:w="1159" w:type="dxa"/>
          </w:tcPr>
          <w:p>
            <w:pPr>
              <w:pStyle w:val="CeldaAPA"/>
              <w:jc w:val="center"/>
            </w:pPr>
            <w:r>
              <w:rPr/>
              <w:t xml:space="preserve">5,0 %</w:t>
            </w:r>
          </w:p>
        </w:tc>
        <w:tc>
          <w:tcPr>
            <w:tcW w:w="1063" w:type="dxa"/>
          </w:tcPr>
          <w:p>
            <w:pPr>
              <w:pStyle w:val="CeldaAPA"/>
              <w:jc w:val="center"/>
            </w:pPr>
            <w:r>
              <w:rPr/>
              <w:t xml:space="preserve">10,00 %</w:t>
            </w:r>
          </w:p>
        </w:tc>
        <w:tc>
          <w:tcPr>
            <w:tcW w:w="1210" w:type="dxa"/>
          </w:tcPr>
          <w:p>
            <w:pPr>
              <w:pStyle w:val="CeldaAPA"/>
              <w:jc w:val="center"/>
            </w:pPr>
            <w:r>
              <w:rPr/>
              <w:t xml:space="preserve">22,0 %</w:t>
            </w:r>
          </w:p>
        </w:tc>
        <w:tc>
          <w:tcPr>
            <w:tcW w:w="1710" w:type="dxa"/>
          </w:tcPr>
          <w:p>
            <w:pPr>
              <w:pStyle w:val="CeldaAPA"/>
              <w:jc w:val="left"/>
            </w:pPr>
            <w:r>
              <w:rPr/>
              <w:t xml:space="preserve">Literatura</w:t>
            </w:r>
          </w:p>
        </w:tc>
        <w:tc>
          <w:tcPr>
            <w:tcW w:w="2525" w:type="dxa"/>
          </w:tcPr>
          <w:p>
            <w:pPr>
              <w:pStyle w:val="CeldaAPA"/>
              <w:jc w:val="left"/>
            </w:pPr>
            <w:r>
              <w:rPr/>
              <w:t xml:space="preserve">Galarza Meza (2011)</w:t>
            </w:r>
            <w:r>
              <w:rPr/>
              <w:t xml:space="preserve">;</w:t>
            </w:r>
            <w:r>
              <w:rPr/>
              <w:t xml:space="preserve"> </w:t>
            </w:r>
            <w:r>
              <w:rPr/>
              <w:t xml:space="preserve">Ruiz Muñoz y Rojas Bonilla (2018)</w:t>
            </w:r>
            <w:r>
              <w:rPr/>
              <w:t xml:space="preserve">;</w:t>
            </w:r>
            <w:r>
              <w:rPr/>
              <w:t xml:space="preserve"> </w:t>
            </w:r>
            <w:r>
              <w:rPr/>
              <w:t xml:space="preserve">Maciel et al. (2016)</w:t>
            </w:r>
          </w:p>
        </w:tc>
      </w:tr>
      <w:tr>
        <w:tc>
          <w:tcPr>
            <w:tcW w:w="1692" w:type="dxa"/>
          </w:tcPr>
          <w:p>
            <w:pPr>
              <w:pStyle w:val="CeldaAPA"/>
              <w:jc w:val="left"/>
            </w:pPr>
            <w:r>
              <w:rPr/>
              <w:t xml:space="preserve">IDM del acero</w:t>
            </w:r>
          </w:p>
        </w:tc>
        <w:tc>
          <w:tcPr>
            <w:tcW w:w="1159" w:type="dxa"/>
          </w:tcPr>
          <w:p>
            <w:pPr>
              <w:pStyle w:val="CeldaAPA"/>
              <w:jc w:val="center"/>
            </w:pPr>
            <w:r>
              <w:rPr/>
              <w:t xml:space="preserve">7,0 %</w:t>
            </w:r>
          </w:p>
        </w:tc>
        <w:tc>
          <w:tcPr>
            <w:tcW w:w="1063" w:type="dxa"/>
          </w:tcPr>
          <w:p>
            <w:pPr>
              <w:pStyle w:val="CeldaAPA"/>
              <w:jc w:val="center"/>
            </w:pPr>
            <w:r>
              <w:rPr/>
              <w:t xml:space="preserve">16,75 %</w:t>
            </w:r>
          </w:p>
        </w:tc>
        <w:tc>
          <w:tcPr>
            <w:tcW w:w="1210" w:type="dxa"/>
          </w:tcPr>
          <w:p>
            <w:pPr>
              <w:pStyle w:val="CeldaAPA"/>
              <w:jc w:val="center"/>
            </w:pPr>
            <w:r>
              <w:rPr/>
              <w:t xml:space="preserve">26,0 %</w:t>
            </w:r>
          </w:p>
        </w:tc>
        <w:tc>
          <w:tcPr>
            <w:tcW w:w="1710" w:type="dxa"/>
          </w:tcPr>
          <w:p>
            <w:pPr>
              <w:pStyle w:val="CeldaAPA"/>
              <w:jc w:val="left"/>
            </w:pPr>
            <w:r>
              <w:rPr/>
              <w:t xml:space="preserve">Documentado (moda); rango de literatura</w:t>
            </w:r>
          </w:p>
        </w:tc>
        <w:tc>
          <w:tcPr>
            <w:tcW w:w="2525" w:type="dxa"/>
          </w:tcPr>
          <w:p>
            <w:pPr>
              <w:pStyle w:val="CeldaAPA"/>
              <w:jc w:val="left"/>
            </w:pPr>
            <w:r>
              <w:rPr/>
              <w:t xml:space="preserve">4.171,18 kg pagados frente a 3.572,8 kg teóricos;</w:t>
            </w:r>
            <w:r>
              <w:rPr/>
              <w:t xml:space="preserve"> </w:t>
            </w:r>
            <w:r>
              <w:rPr/>
              <w:t xml:space="preserve">Galarza Meza (2011)</w:t>
            </w:r>
            <w:r>
              <w:rPr/>
              <w:t xml:space="preserve">;</w:t>
            </w:r>
            <w:r>
              <w:rPr/>
              <w:t xml:space="preserve"> </w:t>
            </w:r>
            <w:r>
              <w:rPr/>
              <w:t xml:space="preserve">Maciel et al. (2016)</w:t>
            </w:r>
          </w:p>
        </w:tc>
      </w:tr>
      <w:tr>
        <w:tc>
          <w:tcPr>
            <w:tcW w:w="1692" w:type="dxa"/>
            <w:tcBorders>
              <w:bottom w:val="single" w:sz="8" w:space="0" w:color="000000"/>
            </w:tcBorders>
          </w:tcPr>
          <w:p>
            <w:pPr>
              <w:pStyle w:val="CeldaAPA"/>
              <w:jc w:val="left"/>
            </w:pPr>
            <w:r>
              <w:rPr/>
              <w:t xml:space="preserve">Retrabajo (</w:t>
            </w:r>
            <m:oMath>
              <m:r>
                <m:t>ρ</m:t>
              </m:r>
            </m:oMath>
            <w:r>
              <w:rPr/>
              <w:t xml:space="preserve">), fracción del costo directo</w:t>
            </w:r>
          </w:p>
        </w:tc>
        <w:tc>
          <w:tcPr>
            <w:tcW w:w="1159" w:type="dxa"/>
            <w:tcBorders>
              <w:bottom w:val="single" w:sz="8" w:space="0" w:color="000000"/>
            </w:tcBorders>
          </w:tcPr>
          <w:p>
            <w:pPr>
              <w:pStyle w:val="CeldaAPA"/>
              <w:jc w:val="center"/>
            </w:pPr>
            <w:r>
              <w:rPr/>
              <w:t xml:space="preserve">0,5 %</w:t>
            </w:r>
          </w:p>
        </w:tc>
        <w:tc>
          <w:tcPr>
            <w:tcW w:w="1063" w:type="dxa"/>
            <w:tcBorders>
              <w:bottom w:val="single" w:sz="8" w:space="0" w:color="000000"/>
            </w:tcBorders>
          </w:tcPr>
          <w:p>
            <w:pPr>
              <w:pStyle w:val="CeldaAPA"/>
              <w:jc w:val="center"/>
            </w:pPr>
            <w:r>
              <w:rPr/>
              <w:t xml:space="preserve">2,34 %</w:t>
            </w:r>
          </w:p>
        </w:tc>
        <w:tc>
          <w:tcPr>
            <w:tcW w:w="1210" w:type="dxa"/>
            <w:tcBorders>
              <w:bottom w:val="single" w:sz="8" w:space="0" w:color="000000"/>
            </w:tcBorders>
          </w:tcPr>
          <w:p>
            <w:pPr>
              <w:pStyle w:val="CeldaAPA"/>
              <w:jc w:val="center"/>
            </w:pPr>
            <w:r>
              <w:rPr/>
              <w:t xml:space="preserve">6,5 %</w:t>
            </w:r>
          </w:p>
        </w:tc>
        <w:tc>
          <w:tcPr>
            <w:tcW w:w="1710" w:type="dxa"/>
            <w:tcBorders>
              <w:bottom w:val="single" w:sz="8" w:space="0" w:color="000000"/>
            </w:tcBorders>
          </w:tcPr>
          <w:p>
            <w:pPr>
              <w:pStyle w:val="CeldaAPA"/>
              <w:jc w:val="left"/>
            </w:pPr>
            <w:r>
              <w:rPr/>
              <w:t xml:space="preserve">Literatura</w:t>
            </w:r>
          </w:p>
        </w:tc>
        <w:tc>
          <w:tcPr>
            <w:tcW w:w="2525" w:type="dxa"/>
            <w:tcBorders>
              <w:bottom w:val="single" w:sz="8" w:space="0" w:color="000000"/>
            </w:tcBorders>
          </w:tcPr>
          <w:p>
            <w:pPr>
              <w:pStyle w:val="CeldaAPA"/>
              <w:jc w:val="left"/>
            </w:pPr>
            <w:r>
              <w:rPr/>
              <w:t xml:space="preserve">Khadim et al. (2023)</w:t>
            </w:r>
            <w:r>
              <w:rPr/>
              <w:t xml:space="preserve">;</w:t>
            </w:r>
            <w:r>
              <w:rPr/>
              <w:t xml:space="preserve"> </w:t>
            </w:r>
            <w:r>
              <w:rPr/>
              <w:t xml:space="preserve">Gudiel Cairampoma y Solis Puente (2020)</w:t>
            </w:r>
            <w:r>
              <w:rPr/>
              <w:t xml:space="preserve">;</w:t>
            </w:r>
            <w:r>
              <w:rPr/>
              <w:t xml:space="preserve"> </w:t>
            </w:r>
            <w:r>
              <w:rPr/>
              <w:t xml:space="preserve">Álvarez Quintero (2014)</w:t>
            </w:r>
          </w:p>
        </w:tc>
      </w:tr>
    </w:tbl>
    <w:p>
      <w:pPr>
        <w:pStyle w:val="NotaAPA"/>
      </w:pPr>
      <w:r>
        <w:rPr>
          <w:iCs/>
          <w:i/>
        </w:rPr>
        <w:t xml:space="preserve">Nota.</w:t>
      </w:r>
      <w:r>
        <w:t xml:space="preserve"> </w:t>
      </w:r>
      <w:r>
        <w:t xml:space="preserve">Elaboración propia con los parámetros del modelo (archivo</w:t>
      </w:r>
      <w:r>
        <w:t xml:space="preserve"> </w:t>
      </w:r>
      <w:r>
        <w:rPr>
          <w:rStyle w:val="VerbatimChar"/>
        </w:rPr>
        <w:t xml:space="preserve">parametros.json</w:t>
      </w:r>
      <w:r>
        <w:t xml:space="preserve">, Anexo L). Las páginas de las fuentes se indican en el texto. IDM: índice de desperdicio de materiales.</w:t>
      </w:r>
    </w:p>
    <w:p>
      <w:pPr>
        <w:pStyle w:val="BodyText"/>
      </w:pPr>
      <w:r>
        <w:rPr>
          <w:bCs/>
          <w:b/>
        </w:rPr>
        <w:t xml:space="preserve">Costo de no calidad de la línea base.</w:t>
      </w:r>
      <w:r>
        <w:t xml:space="preserve"> </w:t>
      </w:r>
      <w:r>
        <w:t xml:space="preserve">Los materiales se valoraron con el análisis de precios unitarios de referencia, calibrado al precio del contrato (Anexo I). El costo teórico por m</w:t>
      </w:r>
      <w:r>
        <w:rPr>
          <w:vertAlign w:val="superscript"/>
        </w:rPr>
        <w:t xml:space="preserve">2</w:t>
      </w:r>
      <w:r>
        <w:t xml:space="preserve"> </w:t>
      </w:r>
      <w:r>
        <w:t xml:space="preserve">de los materiales de la losa es de Bs 63,08 para las viguetas, Bs 31,40 para el EPS, Bs 48,99 para el hormigón y Bs 38,88 para el acero, en total Bs 182,35/m</w:t>
      </w:r>
      <w:r>
        <w:rPr>
          <w:vertAlign w:val="superscript"/>
        </w:rPr>
        <w:t xml:space="preserve">2</w:t>
      </w:r>
      <w:r>
        <w:t xml:space="preserve">, dentro de un costo directo teórico de Bs 255,78/m</w:t>
      </w:r>
      <w:r>
        <w:rPr>
          <w:vertAlign w:val="superscript"/>
        </w:rPr>
        <w:t xml:space="preserve">2</w:t>
      </w:r>
      <w:r>
        <w:t xml:space="preserve">. Con los valores más probables de los parámetros, el desperdicio ponderado por el costo de los materiales —el IDM ponderado— es de 7,47 %, y el costo de no calidad, que suma el desperdicio valorado y los retrabajos, es de Bs 19,60/m</w:t>
      </w:r>
      <w:r>
        <w:rPr>
          <w:vertAlign w:val="superscript"/>
        </w:rPr>
        <w:t xml:space="preserve">2</w:t>
      </w:r>
      <w:r>
        <w:t xml:space="preserve">, el 7,12 % del costo unitario sin SGC (Bs 275,38/m</w:t>
      </w:r>
      <w:r>
        <w:rPr>
          <w:vertAlign w:val="superscript"/>
        </w:rPr>
        <w:t xml:space="preserve">2</w:t>
      </w:r>
      <w:r>
        <w:t xml:space="preserve">). Estos valores son la referencia</w:t>
      </w:r>
      <w:r>
        <w:t xml:space="preserve"> </w:t>
      </w:r>
      <m:oMath>
        <m:sSub>
          <m:e>
            <m:r>
              <m:t>O</m:t>
            </m:r>
          </m:e>
          <m:sub>
            <m:r>
              <m:t>1</m:t>
            </m:r>
          </m:sub>
        </m:sSub>
      </m:oMath>
      <w:r>
        <w:t xml:space="preserve"> </w:t>
      </w:r>
      <w:r>
        <w:t xml:space="preserve">de las hipótesis específicas: el escenario de control repite este desempeño en el saldo de 2.234,60 m</w:t>
      </w:r>
      <w:r>
        <w:rPr>
          <w:vertAlign w:val="superscript"/>
        </w:rPr>
        <w:t xml:space="preserve">2</w:t>
      </w:r>
      <w:r>
        <w:t xml:space="preserve">. Las distribuciones de probabilidad de estos indicadores y su comparación con el escenario con SGC se presentan en el Capítulo 3.</w:t>
      </w:r>
    </w:p>
    <w:p>
      <w:pPr>
        <w:pStyle w:val="BodyText"/>
      </w:pPr>
      <w:r>
        <w:t xml:space="preserve">Las cantidades teóricas por paño también son la base del control que propone el SGC: con ellas se emite la lista de materiales de cada paño antes de ejecutarlo y se concilian las cantidades entregadas, colocadas, medidas y pagadas (Sección 2.6.6). En la primera losa ese control no existió, y por eso solo dos de los cuatro materiales tienen una línea base documentada.</w:t>
      </w:r>
      <w:r>
        <w:t xml:space="preserve"> </w:t>
      </w:r>
      <w:r>
        <w:rPr>
          <w:rStyle w:val="Pendiente"/>
          <w:bCs/>
          <w:b/>
        </w:rPr>
        <w:t xml:space="preserve">[Pendiente:</w:t>
      </w:r>
      <w:r>
        <w:rPr>
          <w:rStyle w:val="Pendiente"/>
        </w:rPr>
        <w:t xml:space="preserve"> </w:t>
      </w:r>
      <w:r>
        <w:rPr>
          <w:rStyle w:val="Pendiente"/>
        </w:rPr>
        <w:t xml:space="preserve">completar la línea base con las notas de entrega de PRETENSA y UNICON, los vales de cemento y los volúmenes por vaciado, si la Supervisión o la contratista los facilitan; con ellos se recalcularán los IDM de las viguetas y del hormigón.</w:t>
      </w:r>
      <w:r>
        <w:rPr>
          <w:rStyle w:val="Pendiente"/>
          <w:bCs/>
          <w:b/>
        </w:rPr>
        <w:t xml:space="preserve">]</w:t>
      </w:r>
    </w:p>
    <w:p>
      <w:pPr>
        <w:pStyle w:val="Heading2"/>
      </w:pPr>
      <w:bookmarkStart w:id="184" w:name="tit109"/>
      <w:r>
        <w:t xml:space="preserve">2.6. Diseño del Sistema de Gestión de la Calidad</w:t>
      </w:r>
      <w:bookmarkEnd w:id="184"/>
    </w:p>
    <w:p>
      <w:pPr>
        <w:pStyle w:val="FirstParagraph"/>
      </w:pPr>
      <w:r>
        <w:t xml:space="preserve">Esta sección presenta la propuesta central de la tesis: el Sistema de Gestión de la Calidad (SGC) para el proceso constructivo de las losas alivianadas con viguetas pretensadas del Edificio de Posgrado. El sistema corresponde a la variable independiente (</w:t>
      </w:r>
      <m:oMath>
        <m:r>
          <m:t>X</m:t>
        </m:r>
      </m:oMath>
      <w:r>
        <w:t xml:space="preserve">) del modelo de investigación y se diseñó a partir de las brechas de la línea base, es decir, de la ejecución de la primera losa (41 paños; 1.109,84 m</w:t>
      </w:r>
      <w:r>
        <w:rPr>
          <w:vertAlign w:val="superscript"/>
        </w:rPr>
        <w:t xml:space="preserve">2</w:t>
      </w:r>
      <w:r>
        <w:t xml:space="preserve">) sin un sistema formal de gestión de la calidad (Sección 2.5.2). Las nueve brechas que el sistema debe cerrar agrupan las 22 no conformidades del diagnóstico (Tabla 26):</w:t>
      </w:r>
    </w:p>
    <w:p>
      <w:pPr>
        <w:pStyle w:val="Listaetiquetada"/>
      </w:pPr>
      <w:r>
        <w:rPr>
          <w:bCs/>
          <w:b/>
        </w:rPr>
        <w:t xml:space="preserve">B1.</w:t>
      </w:r>
      <w:r>
        <w:t xml:space="preserve"/>
        <w:tab/>
        <w:t xml:space="preserve"/>
      </w:r>
      <w:r>
        <w:rPr>
          <w:bCs/>
          <w:b/>
        </w:rPr>
        <w:t xml:space="preserve">Hormigón sin control.</w:t>
      </w:r>
      <w:r>
        <w:t xml:space="preserve"> </w:t>
      </w:r>
      <w:r>
        <w:t xml:space="preserve">Ninguna probeta de la losa; las de columnas y vigas, elaboradas por la contratista, se ensayaron a 55–76 días y se «proyectaron» a 28 días</w:t>
      </w:r>
      <w:r>
        <w:t xml:space="preserve"> </w:t>
      </w:r>
      <w:r>
        <w:t xml:space="preserve">(Laboratorio de Resistencia de Materiales y Tecnología del Hormigón, 2025)</w:t>
      </w:r>
      <w:r>
        <w:t xml:space="preserve">; no hay registros de dosificación, asentamiento, vaciado ni curado</w:t>
      </w:r>
      <w:r>
        <w:t xml:space="preserve"> </w:t>
      </w:r>
      <w:r>
        <w:t xml:space="preserve">(UATF, 2025, p. 76)</w:t>
      </w:r>
      <w:r>
        <w:t xml:space="preserve">. La losa se certificó para pago sin resultados de resistencia: los 28 días desde la autorización del vaciado (28/11/2025) vencían el 26/12/2025, después del cierre de la planilla N.</w:t>
      </w:r>
      <w:r>
        <w:rPr>
          <w:vertAlign w:val="superscript"/>
        </w:rPr>
        <w:t xml:space="preserve">o</w:t>
      </w:r>
      <w:r>
        <w:t xml:space="preserve"> 2 (08/12/2025) (cálculo propio).</w:t>
      </w:r>
    </w:p>
    <w:p>
      <w:pPr>
        <w:pStyle w:val="Listaetiquetada"/>
      </w:pPr>
      <w:r>
        <w:rPr>
          <w:bCs/>
          <w:b/>
        </w:rPr>
        <w:t xml:space="preserve">B2.</w:t>
      </w:r>
      <w:r>
        <w:t xml:space="preserve"/>
        <w:tab/>
        <w:t xml:space="preserve"/>
      </w:r>
      <w:r>
        <w:rPr>
          <w:bCs/>
          <w:b/>
        </w:rPr>
        <w:t xml:space="preserve">Evidencias pedidas o posteriores al uso.</w:t>
      </w:r>
      <w:r>
        <w:t xml:space="preserve"> </w:t>
      </w:r>
      <w:r>
        <w:t xml:space="preserve">La Supervisión tuvo que pedir garantías, roturas de probetas y dosificaciones</w:t>
      </w:r>
      <w:r>
        <w:t xml:space="preserve"> </w:t>
      </w:r>
      <w:r>
        <w:t xml:space="preserve">(UATF, 2025, p. 9)</w:t>
      </w:r>
      <w:r>
        <w:t xml:space="preserve">. Los certificados de viguetas y de EPS, sin firma, son del 27/11/2025, con la losa en armado desde el 14/11/2025; el de viguetas no indica cantidad, lote ni ensayos; no hay certificado del acero</w:t>
      </w:r>
      <w:r>
        <w:t xml:space="preserve"> </w:t>
      </w:r>
      <m:oMath>
        <m:r>
          <m:t>ϕ</m:t>
        </m:r>
      </m:oMath>
      <w:r>
        <w:t xml:space="preserve">6 ni del</w:t>
      </w:r>
      <w:r>
        <w:t xml:space="preserve"> </w:t>
      </w:r>
      <m:oMath>
        <m:r>
          <m:t>ϕ</m:t>
        </m:r>
      </m:oMath>
      <w:r>
        <w:t xml:space="preserve">10</w:t>
      </w:r>
      <w:r>
        <w:t xml:space="preserve"> </w:t>
      </w:r>
      <w:r>
        <w:t xml:space="preserve">(UATF, 2025, pp. 80–86, 122)</w:t>
      </w:r>
      <w:r>
        <w:t xml:space="preserve">.</w:t>
      </w:r>
    </w:p>
    <w:p>
      <w:pPr>
        <w:pStyle w:val="Listaetiquetada"/>
      </w:pPr>
      <w:r>
        <w:rPr>
          <w:bCs/>
          <w:b/>
        </w:rPr>
        <w:t xml:space="preserve">B3.</w:t>
      </w:r>
      <w:r>
        <w:t xml:space="preserve"/>
        <w:tab/>
        <w:t xml:space="preserve"/>
      </w:r>
      <w:r>
        <w:rPr>
          <w:bCs/>
          <w:b/>
        </w:rPr>
        <w:t xml:space="preserve">Documentos incoherentes.</w:t>
      </w:r>
      <w:r>
        <w:t xml:space="preserve"> </w:t>
      </w:r>
      <w:r>
        <w:t xml:space="preserve">El complemento EPS mide 100 </w:t>
      </w:r>
      <m:oMath>
        <m:r>
          <m:rPr>
            <m:sty m:val="p"/>
          </m:rPr>
          <m:t>×</m:t>
        </m:r>
      </m:oMath>
      <w:r>
        <w:t xml:space="preserve"> 50 </w:t>
      </w:r>
      <m:oMath>
        <m:r>
          <m:rPr>
            <m:sty m:val="p"/>
          </m:rPr>
          <m:t>×</m:t>
        </m:r>
      </m:oMath>
      <w:r>
        <w:t xml:space="preserve"> 20 cm en la especificación técnica (ET), 0,15 m de altura en el Plano 02 y 20 </w:t>
      </w:r>
      <m:oMath>
        <m:r>
          <m:rPr>
            <m:sty m:val="p"/>
          </m:rPr>
          <m:t>×</m:t>
        </m:r>
      </m:oMath>
      <w:r>
        <w:t xml:space="preserve"> 100 </w:t>
      </w:r>
      <m:oMath>
        <m:r>
          <m:rPr>
            <m:sty m:val="p"/>
          </m:rPr>
          <m:t>×</m:t>
        </m:r>
      </m:oMath>
      <w:r>
        <w:t xml:space="preserve"> 44 cm en el certificado; la ET cita la CBH-87 y normas antiguas de cemento, áridos y agua</w:t>
      </w:r>
      <w:r>
        <w:t xml:space="preserve"> </w:t>
      </w:r>
      <w:r>
        <w:t xml:space="preserve">(UATF, s. f.-a, pp. 1–3)</w:t>
      </w:r>
      <w:r>
        <w:t xml:space="preserve">.</w:t>
      </w:r>
    </w:p>
    <w:p>
      <w:pPr>
        <w:pStyle w:val="Listaetiquetada"/>
      </w:pPr>
      <w:r>
        <w:rPr>
          <w:bCs/>
          <w:b/>
        </w:rPr>
        <w:t xml:space="preserve">B4.</w:t>
      </w:r>
      <w:r>
        <w:t xml:space="preserve"/>
        <w:tab/>
        <w:t xml:space="preserve"/>
      </w:r>
      <w:r>
        <w:rPr>
          <w:bCs/>
          <w:b/>
        </w:rPr>
        <w:t xml:space="preserve">Cantidades sin conciliar.</w:t>
      </w:r>
      <w:r>
        <w:t xml:space="preserve"> </w:t>
      </w:r>
      <w:r>
        <w:t xml:space="preserve">Al cierre se descontaron 1.915,16 kg de acero (</w:t>
      </w:r>
      <m:oMath>
        <m:r>
          <m:rPr>
            <m:sty m:val="p"/>
          </m:rPr>
          <m:t>−</m:t>
        </m:r>
      </m:oMath>
      <w:r>
        <w:t xml:space="preserve">3,65 %); el acero de la losa figura 1,00 vez en la planilla N.</w:t>
      </w:r>
      <w:r>
        <w:rPr>
          <w:vertAlign w:val="superscript"/>
        </w:rPr>
        <w:t xml:space="preserve">o</w:t>
      </w:r>
      <w:r>
        <w:t xml:space="preserve"> 2 y «3 </w:t>
      </w:r>
      <m:oMath>
        <m:r>
          <m:rPr>
            <m:sty m:val="p"/>
          </m:rPr>
          <m:t>×</m:t>
        </m:r>
      </m:oMath>
      <w:r>
        <w:t xml:space="preserve"> 4.171,18 kg» en el cómputo de cierre, y la ET del ítem 13 incluye la parrilla y los negativos: inconsistencias (posible doble cómputo) que deben verificar la Supervisión y la Fiscalización; el acumulado de acero difiere entre documentos (52.424,65; 50.509,49 y 50.561,84 kg)</w:t>
      </w:r>
      <w:r>
        <w:t xml:space="preserve"> </w:t>
      </w:r>
      <w:r>
        <w:t xml:space="preserve">(UATF, s. f.-c; s. f.-b, p. 12; 2025, pp. 19–20)</w:t>
      </w:r>
      <w:r>
        <w:t xml:space="preserve">.</w:t>
      </w:r>
    </w:p>
    <w:p>
      <w:pPr>
        <w:pStyle w:val="Listaetiquetada"/>
      </w:pPr>
      <w:r>
        <w:rPr>
          <w:bCs/>
          <w:b/>
        </w:rPr>
        <w:t xml:space="preserve">B5.</w:t>
      </w:r>
      <w:r>
        <w:t xml:space="preserve"/>
        <w:tab/>
        <w:t xml:space="preserve"/>
      </w:r>
      <w:r>
        <w:rPr>
          <w:bCs/>
          <w:b/>
        </w:rPr>
        <w:t xml:space="preserve">Consumos sin registro.</w:t>
      </w:r>
      <w:r>
        <w:t xml:space="preserve"> </w:t>
      </w:r>
      <w:r>
        <w:t xml:space="preserve">No hay kardex, vales ni remisiones; se entregaron 2.350 piezas de EPS frente a</w:t>
      </w:r>
      <w:r>
        <w:t xml:space="preserve"> </w:t>
      </w:r>
      <m:oMath>
        <m:r>
          <m:rPr>
            <m:sty m:val="p"/>
          </m:rPr>
          <m:t>≈</m:t>
        </m:r>
      </m:oMath>
      <w:r>
        <w:t xml:space="preserve"> 2.220 teóricas, sin descontar nervios ni bordes</w:t>
      </w:r>
      <w:r>
        <w:t xml:space="preserve"> </w:t>
      </w:r>
      <w:r>
        <w:t xml:space="preserve">(UNICON, 2025)</w:t>
      </w:r>
      <w:r>
        <w:t xml:space="preserve">.</w:t>
      </w:r>
    </w:p>
    <w:p>
      <w:pPr>
        <w:pStyle w:val="Listaetiquetada"/>
      </w:pPr>
      <w:r>
        <w:rPr>
          <w:bCs/>
          <w:b/>
        </w:rPr>
        <w:t xml:space="preserve">B6.</w:t>
      </w:r>
      <w:r>
        <w:t xml:space="preserve"/>
        <w:tab/>
        <w:t xml:space="preserve"/>
      </w:r>
      <w:r>
        <w:rPr>
          <w:bCs/>
          <w:b/>
        </w:rPr>
        <w:t xml:space="preserve">Sin PPI ni liberación.</w:t>
      </w:r>
      <w:r>
        <w:t xml:space="preserve"> </w:t>
      </w:r>
      <w:r>
        <w:t xml:space="preserve">El 28/11/2025 la contratista pidió verificar el armado y la Supervisión autorizó el vaciado el mismo día, sin pedir probetas; las ocho solicitudes de vaciado del periodo se autorizaron en el día</w:t>
      </w:r>
      <w:r>
        <w:t xml:space="preserve"> </w:t>
      </w:r>
      <w:r>
        <w:t xml:space="preserve">(UATF, 2025, pp. 114–125)</w:t>
      </w:r>
      <w:r>
        <w:t xml:space="preserve">. Las fotografías muestran la parrilla pisada y sin separadores visibles</w:t>
      </w:r>
      <w:r>
        <w:t xml:space="preserve"> </w:t>
      </w:r>
      <w:r>
        <w:t xml:space="preserve">(UATF, 2025, p. 76)</w:t>
      </w:r>
      <w:r>
        <w:t xml:space="preserve">.</w:t>
      </w:r>
    </w:p>
    <w:p>
      <w:pPr>
        <w:pStyle w:val="Listaetiquetada"/>
      </w:pPr>
      <w:r>
        <w:rPr>
          <w:bCs/>
          <w:b/>
        </w:rPr>
        <w:t xml:space="preserve">B7.</w:t>
      </w:r>
      <w:r>
        <w:t xml:space="preserve"/>
        <w:tab/>
        <w:t xml:space="preserve"/>
      </w:r>
      <w:r>
        <w:rPr>
          <w:bCs/>
          <w:b/>
        </w:rPr>
        <w:t xml:space="preserve">Sin no conformidades ni costos de la calidad.</w:t>
      </w:r>
      <w:r>
        <w:t xml:space="preserve"> </w:t>
      </w:r>
      <w:r>
        <w:t xml:space="preserve">Ninguno de los 24 asientos del Libro de Órdenes registra una no conformidad o un retrabajo, y en ninguna hoja firma el Director de obra</w:t>
      </w:r>
      <w:r>
        <w:t xml:space="preserve"> </w:t>
      </w:r>
      <w:r>
        <w:t xml:space="preserve">(UATF, 2025, pp. 114–125)</w:t>
      </w:r>
      <w:r>
        <w:t xml:space="preserve">.</w:t>
      </w:r>
    </w:p>
    <w:p>
      <w:pPr>
        <w:pStyle w:val="Listaetiquetada"/>
      </w:pPr>
      <w:r>
        <w:rPr>
          <w:bCs/>
          <w:b/>
        </w:rPr>
        <w:t xml:space="preserve">B8.</w:t>
      </w:r>
      <w:r>
        <w:t xml:space="preserve"/>
        <w:tab/>
        <w:t xml:space="preserve"/>
      </w:r>
      <w:r>
        <w:rPr>
          <w:bCs/>
          <w:b/>
        </w:rPr>
        <w:t xml:space="preserve">Suministro y precios.</w:t>
      </w:r>
      <w:r>
        <w:t xml:space="preserve"> </w:t>
      </w:r>
      <w:r>
        <w:t xml:space="preserve">Escasez de diésel, paralización de FANCESA, entrega del 30 % del acero pedido, demoras por falta de combustible y falta de viguetas de los tamaños requeridos</w:t>
      </w:r>
      <w:r>
        <w:t xml:space="preserve"> </w:t>
      </w:r>
      <w:r>
        <w:t xml:space="preserve">(FANCESA, 2025; Import Export Las Lomas Ltda., 2025; UATF, 2025, pp. 11, 123)</w:t>
      </w:r>
      <w:r>
        <w:t xml:space="preserve">; alza de precios reconocida por decretos de ajuste</w:t>
      </w:r>
      <w:r>
        <w:t xml:space="preserve"> </w:t>
      </w:r>
      <w:r>
        <w:t xml:space="preserve">(Estado Plurinacional de Bolivia, 2025c, 2026)</w:t>
      </w:r>
      <w:r>
        <w:t xml:space="preserve">.</w:t>
      </w:r>
    </w:p>
    <w:p>
      <w:pPr>
        <w:pStyle w:val="Listaetiquetada"/>
      </w:pPr>
      <w:r>
        <w:rPr>
          <w:bCs/>
          <w:b/>
        </w:rPr>
        <w:t xml:space="preserve">B9.</w:t>
      </w:r>
      <w:r>
        <w:t xml:space="preserve"/>
        <w:tab/>
        <w:t xml:space="preserve"/>
      </w:r>
      <w:r>
        <w:rPr>
          <w:bCs/>
          <w:b/>
        </w:rPr>
        <w:t xml:space="preserve">Clima.</w:t>
      </w:r>
      <w:r>
        <w:t xml:space="preserve"> </w:t>
      </w:r>
      <w:r>
        <w:t xml:space="preserve">Siete días de lluvia notificados entre septiembre y noviembre de 2025, tres durante el armado de vigas y losa</w:t>
      </w:r>
      <w:r>
        <w:t xml:space="preserve"> </w:t>
      </w:r>
      <w:r>
        <w:t xml:space="preserve">(UATF, 2025, pp. 114–124)</w:t>
      </w:r>
      <w:r>
        <w:t xml:space="preserve">, y riesgo de heladas a 3.650 m s. n. m.</w:t>
      </w:r>
    </w:p>
    <w:p>
      <w:pPr>
        <w:pStyle w:val="BodyText"/>
      </w:pPr>
      <w:r>
        <w:t xml:space="preserve">El diseño se desarrolla en diez bloques: enfoque y estructura del sistema (Sección 2.6.1); contexto y alcance (Sección 2.6.2); liderazgo (Sección 2.6.3); planificación (Sección 2.6.4); apoyo (Sección 2.6.5); operación (Sección 2.6.6); evaluación del desempeño (Sección 2.6.7); mejora (Sección 2.6.8); costos de la calidad (Sección 2.6.9), y matriz de trazabilidad entre brechas, requisitos, componentes e indicadores (Sección 2.6.10). Los formatos para aplicar el sistema en obra se presentan completos en el Anexo C.</w:t>
      </w:r>
    </w:p>
    <w:p>
      <w:pPr>
        <w:pStyle w:val="Heading3"/>
      </w:pPr>
      <w:bookmarkStart w:id="157" w:name="tit110"/>
      <w:r>
        <w:t xml:space="preserve">2.6.1. Enfoque y estructura del sistema</w:t>
      </w:r>
      <w:bookmarkEnd w:id="157"/>
    </w:p>
    <w:p>
      <w:pPr>
        <w:pStyle w:val="FirstParagraph"/>
      </w:pPr>
      <w:r>
        <w:t xml:space="preserve">El SGC propuesto es un</w:t>
      </w:r>
      <w:r>
        <w:t xml:space="preserve"> </w:t>
      </w:r>
      <w:r>
        <w:rPr>
          <w:iCs/>
          <w:i/>
        </w:rPr>
        <w:t xml:space="preserve">sistema de gestión de la calidad del proyecto</w:t>
      </w:r>
      <w:r>
        <w:t xml:space="preserve">: no busca certificar a una empresa, sino asegurar que la ejecución del ítem 13 en los 2.234,60 m</w:t>
      </w:r>
      <w:r>
        <w:rPr>
          <w:vertAlign w:val="superscript"/>
        </w:rPr>
        <w:t xml:space="preserve">2</w:t>
      </w:r>
      <w:r>
        <w:t xml:space="preserve"> </w:t>
      </w:r>
      <w:r>
        <w:t xml:space="preserve">pendientes cumpla los requisitos con el menor desperdicio posible. Por ello se concreta en un</w:t>
      </w:r>
      <w:r>
        <w:t xml:space="preserve"> </w:t>
      </w:r>
      <w:r>
        <w:rPr>
          <w:iCs/>
          <w:i/>
        </w:rPr>
        <w:t xml:space="preserve">plan de la calidad del ítem</w:t>
      </w:r>
      <w:r>
        <w:t xml:space="preserve">, elaborado con las directrices de la norma ISO 10005:2018 para planes de la calidad de un proyecto o contrato específico</w:t>
      </w:r>
      <w:r>
        <w:t xml:space="preserve"> </w:t>
      </w:r>
      <w:r>
        <w:t xml:space="preserve">(ISO, 2018)</w:t>
      </w:r>
      <w:r>
        <w:t xml:space="preserve">, y organizado sobre la estructura de cláusulas 4 a 10 de la norma ISO 9001:2026</w:t>
      </w:r>
      <w:r>
        <w:t xml:space="preserve"> </w:t>
      </w:r>
      <w:r>
        <w:t xml:space="preserve">(ISO, 2026b)</w:t>
      </w:r>
      <w:r>
        <w:t xml:space="preserve">. Cada cláusula se desarrolla en un bloque: contexto (4) en la Sección 2.6.2; liderazgo (5) en la 2.6.3; planificación (6) en la 2.6.4; apoyo (7) en la 2.6.5; operación (8) en la 2.6.6; evaluación del desempeño (9) en la 2.6.7; y mejora (10) en las 2.6.8 y 2.6.9. Los números de cláusula citados corresponden a la estructura que la edición de 2026 conserva de la de 2015; las descripciones de los requisitos son paráfrasis del autor y no reproducen el texto de la norma.</w:t>
      </w:r>
      <w:r>
        <w:t xml:space="preserve"> </w:t>
      </w:r>
      <w:r>
        <w:rPr>
          <w:rStyle w:val="Pendiente"/>
          <w:bCs/>
          <w:b/>
        </w:rPr>
        <w:t xml:space="preserve">[Pendiente:</w:t>
      </w:r>
      <w:r>
        <w:rPr>
          <w:rStyle w:val="Pendiente"/>
        </w:rPr>
        <w:t xml:space="preserve"> </w:t>
      </w:r>
      <w:r>
        <w:rPr>
          <w:rStyle w:val="Pendiente"/>
        </w:rPr>
        <w:t xml:space="preserve">contrastar cada referencia de cláusula con la NB/ISO 9001:2026 adquirida en IBNORCA</w:t>
      </w:r>
      <w:r>
        <w:rPr>
          <w:rStyle w:val="Pendiente"/>
        </w:rPr>
        <w:t xml:space="preserve"> </w:t>
      </w:r>
      <w:r>
        <w:rPr>
          <w:rStyle w:val="Pendiente"/>
        </w:rPr>
        <w:t xml:space="preserve">(IBNORCA, 2026)</w:t>
      </w:r>
      <w:r>
        <w:rPr>
          <w:rStyle w:val="Pendiente"/>
        </w:rPr>
        <w:t xml:space="preserve">.</w:t>
      </w:r>
      <w:r>
        <w:rPr>
          <w:rStyle w:val="Pendiente"/>
          <w:bCs/>
          <w:b/>
        </w:rPr>
        <w:t xml:space="preserve">]</w:t>
      </w:r>
    </w:p>
    <w:p>
      <w:pPr>
        <w:pStyle w:val="BodyText"/>
      </w:pPr>
      <w:r>
        <w:t xml:space="preserve">El sistema lo aplica la empresa que ejecute la segunda y la tercera losa, que es quien compra, almacena, coloca y vacía los materiales; la UATF, por medio de la Supervisión y la Fiscalización, lo exige, lo aprueba y verifica su cumplimiento. Por ello se recomienda incorporar el plan de la calidad, el plan de puntos de inspección y ensayo (PPI) y los formatos del Anexo C en las especificaciones del documento base de contratación del saldo de la obra, para que su cumplimiento sea una obligación contractual. El sistema funciona según el ciclo Planificar–Hacer–Verificar–Actuar (PHVA), aplicado a cada paño y a cada losa (Figura 10); como la segunda y la tercera losa repiten la geometría de la primera, cada vuelta del ciclo aprovecha las lecciones de la anterior.</w:t>
      </w:r>
    </w:p>
    <w:p>
      <w:pPr>
        <w:pStyle w:val="Caption"/>
      </w:pPr>
      <w:bookmarkStart w:id="1431" w:name="fig10"/>
      <w:r>
        <w:t xml:space="preserve"/>
      </w:r>
      <w:r>
        <w:rPr>
          <w:bCs/>
          <w:b/>
        </w:rPr>
        <w:t xml:space="preserve">Figura 10</w:t>
      </w:r>
      <w:r>
        <w:br/>
      </w:r>
      <w:r>
        <w:rPr>
          <w:iCs/>
          <w:i/>
        </w:rPr>
        <w:t xml:space="preserve">Ciclo PHVA aplicado a la ejecución de la losa alivianada</w:t>
      </w:r>
      <w:bookmarkEnd w:id="1431"/>
    </w:p>
    <w:p>
      <w:pPr>
        <w:pStyle w:val="FiguraAPA"/>
      </w:pPr>
      <w:r>
        <w:drawing>
          <wp:inline>
            <wp:extent cx="5288399" cy="4322718"/>
            <wp:effectExtent b="0" l="0" r="0" t="0"/>
            <wp:docPr descr="image" title="" id="155" name="Picture"/>
            <a:graphic>
              <a:graphicData uri="http://schemas.openxmlformats.org/drawingml/2006/picture">
                <pic:pic>
                  <pic:nvPicPr>
                    <pic:cNvPr descr="/home/user/TesisSGC/07_Entregables/scripts/_trabajo/tikz/tikz_c57b5af02dba88c42b30.png" id="156" name="Picture"/>
                    <pic:cNvPicPr>
                      <a:picLocks noChangeArrowheads="1" noChangeAspect="1"/>
                    </pic:cNvPicPr>
                  </pic:nvPicPr>
                  <pic:blipFill>
                    <a:blip r:embed="rId154"/>
                    <a:stretch>
                      <a:fillRect/>
                    </a:stretch>
                  </pic:blipFill>
                  <pic:spPr bwMode="auto">
                    <a:xfrm>
                      <a:off x="0" y="0"/>
                      <a:ext cx="5288399" cy="4322718"/>
                    </a:xfrm>
                    <a:prstGeom prst="rect">
                      <a:avLst/>
                    </a:prstGeom>
                    <a:noFill/>
                    <a:ln w="9525">
                      <a:noFill/>
                      <a:headEnd/>
                      <a:tailEnd/>
                    </a:ln>
                  </pic:spPr>
                </pic:pic>
              </a:graphicData>
            </a:graphic>
          </wp:inline>
        </w:drawing>
      </w:r>
    </w:p>
    <w:p>
      <w:pPr>
        <w:pStyle w:val="NotaAPA"/>
      </w:pPr>
      <w:r>
        <w:rPr>
          <w:iCs/>
          <w:i/>
        </w:rPr>
        <w:t xml:space="preserve">Nota.</w:t>
      </w:r>
      <w:r>
        <w:t xml:space="preserve"> </w:t>
      </w:r>
      <w:r>
        <w:t xml:space="preserve">Elaboración propia. IDM: índice de desperdicio de materiales; %CNC: costo de no calidad en porcentaje del costo del ítem; PCM: procedimiento de control de materiales; PAF: prevención, evaluación y fallas.</w:t>
      </w:r>
    </w:p>
    <w:p>
      <w:pPr>
        <w:pStyle w:val="Heading3"/>
      </w:pPr>
      <w:bookmarkStart w:id="158" w:name="tit111"/>
      <w:r>
        <w:t xml:space="preserve">2.6.2. Contexto, partes interesadas, alcance y exclusiones</w:t>
      </w:r>
      <w:bookmarkEnd w:id="158"/>
    </w:p>
    <w:p>
      <w:pPr>
        <w:pStyle w:val="FirstParagraph"/>
      </w:pPr>
      <w:r>
        <w:rPr>
          <w:bCs/>
          <w:b/>
        </w:rPr>
        <w:t xml:space="preserve">Cuestiones externas e internas.</w:t>
      </w:r>
      <w:r>
        <w:t xml:space="preserve"> </w:t>
      </w:r>
      <w:r>
        <w:t xml:space="preserve">Las cuestiones externas pertinentes son la escasez de combustible, que paralizó temporalmente la producción de cemento y retrasó la entrega del acero</w:t>
      </w:r>
      <w:r>
        <w:t xml:space="preserve"> </w:t>
      </w:r>
      <w:r>
        <w:t xml:space="preserve">(FANCESA, 2025; Import Export Las Lomas Ltda., 2025)</w:t>
      </w:r>
      <w:r>
        <w:t xml:space="preserve">; el alza de precios de los materiales</w:t>
      </w:r>
      <w:r>
        <w:t xml:space="preserve"> </w:t>
      </w:r>
      <w:r>
        <w:t xml:space="preserve">(Estado Plurinacional de Bolivia, 2026)</w:t>
      </w:r>
      <w:r>
        <w:t xml:space="preserve">; la falta de viguetas de los tamaños requeridos</w:t>
      </w:r>
      <w:r>
        <w:t xml:space="preserve"> </w:t>
      </w:r>
      <w:r>
        <w:t xml:space="preserve">(UATF, 2025, p. 11)</w:t>
      </w:r>
      <w:r>
        <w:t xml:space="preserve">; el clima, con lluvias y bajas temperaturas, coherente con la atención que la edición vigente de la norma presta al cambio climático</w:t>
      </w:r>
      <w:r>
        <w:t xml:space="preserve"> </w:t>
      </w:r>
      <w:r>
        <w:t xml:space="preserve">(ISO, 2026b)</w:t>
      </w:r>
      <w:r>
        <w:t xml:space="preserve">; y la normativa de contratación pública. Las internas son la ausencia de registros de consumos, de inspección y de no conformidades; la dependencia de la experiencia del capataz; la información técnica incoherente; y el cambio de contratista para el saldo de la obra. Estas cuestiones se traducen en los riesgos de la Tabla 32.</w:t>
      </w:r>
    </w:p>
    <w:p>
      <w:pPr>
        <w:pStyle w:val="BodyText"/>
      </w:pPr>
      <w:r>
        <w:rPr>
          <w:bCs/>
          <w:b/>
        </w:rPr>
        <w:t xml:space="preserve">Requisitos contractuales.</w:t>
      </w:r>
      <w:r>
        <w:t xml:space="preserve"> </w:t>
      </w:r>
      <w:r>
        <w:t xml:space="preserve">El contrato fija reglas que el SGC operativiza: los materiales se inspeccionan y ensayan antes de su incorporación, a costa de la contratista (cláusula 26.6), y se acopian en zonas aprobadas (26.9); el control de calidad es responsabilidad directa de la Supervisión (26.3); cada orden del Libro de Órdenes lleva la constancia firmada del Director de obra (25.ª); y las obras se miden netas, sin medir excedentes no aprobados por escrito (27.ª)</w:t>
      </w:r>
      <w:r>
        <w:t xml:space="preserve"> </w:t>
      </w:r>
      <w:r>
        <w:t xml:space="preserve">(UATF, 2025, pp. 99–102)</w:t>
      </w:r>
      <w:r>
        <w:t xml:space="preserve">. Como los precios unitarios incluyen las reparaciones por trabajos defectuosos</w:t>
      </w:r>
      <w:r>
        <w:t xml:space="preserve"> </w:t>
      </w:r>
      <w:r>
        <w:t xml:space="preserve">(UATF, 2025, p. 92)</w:t>
      </w:r>
      <w:r>
        <w:t xml:space="preserve">, el desperdicio y el retrabajo los absorbe la contratista, que tiene así un incentivo directo para aplicar el sistema.</w:t>
      </w:r>
    </w:p>
    <w:p>
      <w:pPr>
        <w:pStyle w:val="BodyText"/>
      </w:pPr>
      <w:r>
        <w:rPr>
          <w:bCs/>
          <w:b/>
        </w:rPr>
        <w:t xml:space="preserve">Partes interesadas.</w:t>
      </w:r>
      <w:r>
        <w:t xml:space="preserve"> </w:t>
      </w:r>
      <w:r>
        <w:t xml:space="preserve">La Tabla 30 identifica a las partes interesadas pertinentes, sus necesidades y expectativas y el requisito que cada una genera para el SGC.</w:t>
      </w:r>
    </w:p>
    <w:p>
      <w:pPr>
        <w:pStyle w:val="Caption"/>
      </w:pPr>
      <w:bookmarkStart w:id="1432" w:name="tab30"/>
      <w:r>
        <w:t xml:space="preserve"/>
      </w:r>
      <w:r>
        <w:rPr>
          <w:bCs/>
          <w:b/>
        </w:rPr>
        <w:t xml:space="preserve">Tabla 30</w:t>
      </w:r>
      <w:r>
        <w:br/>
      </w:r>
      <w:r>
        <w:rPr>
          <w:iCs/>
          <w:i/>
        </w:rPr>
        <w:t xml:space="preserve">Partes interesadas, necesidades y requisitos para el SGC</w:t>
      </w:r>
      <w:bookmarkEnd w:id="1432"/>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1990"/>
        <w:gridCol w:w="3324"/>
        <w:gridCol w:w="4046"/>
      </w:tblGrid>
      <w:tr>
        <w:trPr>
          <w:cantSplit/>
          <w:tblHeader w:val="true"/>
        </w:trPr>
        <w:tc>
          <w:tcPr>
            <w:tcW w:w="1990" w:type="dxa"/>
            <w:tcBorders>
              <w:top w:val="single" w:sz="8" w:space="0" w:color="000000"/>
              <w:bottom w:val="single" w:sz="4" w:space="0" w:color="000000"/>
            </w:tcBorders>
          </w:tcPr>
          <w:p>
            <w:pPr>
              <w:pStyle w:val="CeldaAPA"/>
              <w:jc w:val="center"/>
            </w:pPr>
            <w:r>
              <w:rPr>
                <w:bCs/>
                <w:b/>
              </w:rPr>
              <w:t xml:space="preserve">Parte interesada</w:t>
            </w:r>
          </w:p>
        </w:tc>
        <w:tc>
          <w:tcPr>
            <w:tcW w:w="3324" w:type="dxa"/>
            <w:tcBorders>
              <w:top w:val="single" w:sz="8" w:space="0" w:color="000000"/>
              <w:bottom w:val="single" w:sz="4" w:space="0" w:color="000000"/>
            </w:tcBorders>
          </w:tcPr>
          <w:p>
            <w:pPr>
              <w:pStyle w:val="CeldaAPA"/>
              <w:jc w:val="center"/>
            </w:pPr>
            <w:r>
              <w:rPr>
                <w:bCs/>
                <w:b/>
              </w:rPr>
              <w:t xml:space="preserve">Necesidades y expectativas</w:t>
            </w:r>
          </w:p>
        </w:tc>
        <w:tc>
          <w:tcPr>
            <w:tcW w:w="4046" w:type="dxa"/>
            <w:tcBorders>
              <w:top w:val="single" w:sz="8" w:space="0" w:color="000000"/>
              <w:bottom w:val="single" w:sz="4" w:space="0" w:color="000000"/>
            </w:tcBorders>
          </w:tcPr>
          <w:p>
            <w:pPr>
              <w:pStyle w:val="CeldaAPA"/>
              <w:jc w:val="center"/>
            </w:pPr>
            <w:r>
              <w:rPr>
                <w:bCs/>
                <w:b/>
              </w:rPr>
              <w:t xml:space="preserve">Requisito que genera para el SGC</w:t>
            </w:r>
          </w:p>
        </w:tc>
      </w:tr>
      <w:tr>
        <w:tc>
          <w:tcPr>
            <w:tcW w:w="1990" w:type="dxa"/>
          </w:tcPr>
          <w:p>
            <w:pPr>
              <w:pStyle w:val="CeldaAPA"/>
              <w:jc w:val="left"/>
            </w:pPr>
            <w:r>
              <w:rPr/>
              <w:t xml:space="preserve">UATF (propietaria; Departamento de Infraestructura)</w:t>
            </w:r>
          </w:p>
        </w:tc>
        <w:tc>
          <w:tcPr>
            <w:tcW w:w="3324" w:type="dxa"/>
          </w:tcPr>
          <w:p>
            <w:pPr>
              <w:pStyle w:val="CeldaAPA"/>
              <w:jc w:val="left"/>
            </w:pPr>
            <w:r>
              <w:rPr/>
              <w:t xml:space="preserve">Losa conforme a la ET y a los planos, en plazo y dentro del presupuesto; pagar solo lo ejecutado; uso transparente de recursos del IDH</w:t>
            </w:r>
          </w:p>
        </w:tc>
        <w:tc>
          <w:tcPr>
            <w:tcW w:w="4046" w:type="dxa"/>
          </w:tcPr>
          <w:p>
            <w:pPr>
              <w:pStyle w:val="CeldaAPA"/>
              <w:jc w:val="left"/>
            </w:pPr>
            <w:r>
              <w:rPr/>
              <w:t xml:space="preserve">Liberación documentada de cada paño; conciliación de cantidades antes de cada planilla; informe mensual de calidad</w:t>
            </w:r>
          </w:p>
        </w:tc>
      </w:tr>
      <w:tr>
        <w:tc>
          <w:tcPr>
            <w:tcW w:w="1990" w:type="dxa"/>
          </w:tcPr>
          <w:p>
            <w:pPr>
              <w:pStyle w:val="CeldaAPA"/>
              <w:jc w:val="left"/>
            </w:pPr>
            <w:r>
              <w:rPr/>
              <w:t xml:space="preserve">Fiscal de obra (UATF)</w:t>
            </w:r>
          </w:p>
        </w:tc>
        <w:tc>
          <w:tcPr>
            <w:tcW w:w="3324" w:type="dxa"/>
          </w:tcPr>
          <w:p>
            <w:pPr>
              <w:pStyle w:val="CeldaAPA"/>
              <w:jc w:val="left"/>
            </w:pPr>
            <w:r>
              <w:rPr/>
              <w:t xml:space="preserve">Control del avance físico y financiero y de las modificaciones del contrato</w:t>
            </w:r>
          </w:p>
        </w:tc>
        <w:tc>
          <w:tcPr>
            <w:tcW w:w="4046" w:type="dxa"/>
          </w:tcPr>
          <w:p>
            <w:pPr>
              <w:pStyle w:val="CeldaAPA"/>
              <w:jc w:val="left"/>
            </w:pPr>
            <w:r>
              <w:rPr/>
              <w:t xml:space="preserve">Trazabilidad de cantidades desde el plano hasta el pago; cambios documentados y aprobados antes de ejecutarse</w:t>
            </w:r>
          </w:p>
        </w:tc>
      </w:tr>
      <w:tr>
        <w:tc>
          <w:tcPr>
            <w:tcW w:w="1990" w:type="dxa"/>
          </w:tcPr>
          <w:p>
            <w:pPr>
              <w:pStyle w:val="CeldaAPA"/>
              <w:jc w:val="left"/>
            </w:pPr>
            <w:r>
              <w:rPr/>
              <w:t xml:space="preserve">Supervisor de obra</w:t>
            </w:r>
          </w:p>
        </w:tc>
        <w:tc>
          <w:tcPr>
            <w:tcW w:w="3324" w:type="dxa"/>
          </w:tcPr>
          <w:p>
            <w:pPr>
              <w:pStyle w:val="CeldaAPA"/>
              <w:jc w:val="left"/>
            </w:pPr>
            <w:r>
              <w:rPr/>
              <w:t xml:space="preserve">Verificar el trabajo antes de cada vaciado; contar con certificados, dosificaciones y ensayos sin tener que pedirlos (B2)</w:t>
            </w:r>
          </w:p>
        </w:tc>
        <w:tc>
          <w:tcPr>
            <w:tcW w:w="4046" w:type="dxa"/>
          </w:tcPr>
          <w:p>
            <w:pPr>
              <w:pStyle w:val="CeldaAPA"/>
              <w:jc w:val="left"/>
            </w:pPr>
            <w:r>
              <w:rPr/>
              <w:t xml:space="preserve">Puntos de espera del PPI; expediente de calidad al día; muestreo del hormigón por personal independiente de la producción</w:t>
            </w:r>
          </w:p>
        </w:tc>
      </w:tr>
      <w:tr>
        <w:tc>
          <w:tcPr>
            <w:tcW w:w="1990" w:type="dxa"/>
          </w:tcPr>
          <w:p>
            <w:pPr>
              <w:pStyle w:val="CeldaAPA"/>
              <w:jc w:val="left"/>
            </w:pPr>
            <w:r>
              <w:rPr/>
              <w:t xml:space="preserve">Contratista (Director de obra y personal)</w:t>
            </w:r>
          </w:p>
        </w:tc>
        <w:tc>
          <w:tcPr>
            <w:tcW w:w="3324" w:type="dxa"/>
          </w:tcPr>
          <w:p>
            <w:pPr>
              <w:pStyle w:val="CeldaAPA"/>
              <w:jc w:val="left"/>
            </w:pPr>
            <w:r>
              <w:rPr/>
              <w:t xml:space="preserve">Ejecutar sin retrabajos, paralizaciones ni descuentos; reglas de aceptación claras; cobro oportuno</w:t>
            </w:r>
          </w:p>
        </w:tc>
        <w:tc>
          <w:tcPr>
            <w:tcW w:w="4046" w:type="dxa"/>
          </w:tcPr>
          <w:p>
            <w:pPr>
              <w:pStyle w:val="CeldaAPA"/>
              <w:jc w:val="left"/>
            </w:pPr>
            <w:r>
              <w:rPr/>
              <w:t xml:space="preserve">Criterios de aceptación definidos de antemano; formatos simples; control del desperdicio, que es ahorro propio</w:t>
            </w:r>
          </w:p>
        </w:tc>
      </w:tr>
      <w:tr>
        <w:tc>
          <w:tcPr>
            <w:tcW w:w="1990" w:type="dxa"/>
          </w:tcPr>
          <w:p>
            <w:pPr>
              <w:pStyle w:val="CeldaAPA"/>
              <w:jc w:val="left"/>
            </w:pPr>
            <w:r>
              <w:rPr/>
              <w:t xml:space="preserve">Proyectista estructural (por medio de la UATF)</w:t>
            </w:r>
          </w:p>
        </w:tc>
        <w:tc>
          <w:tcPr>
            <w:tcW w:w="3324" w:type="dxa"/>
          </w:tcPr>
          <w:p>
            <w:pPr>
              <w:pStyle w:val="CeldaAPA"/>
              <w:jc w:val="left"/>
            </w:pPr>
            <w:r>
              <w:rPr/>
              <w:t xml:space="preserve">Que la losa se ejecute según el diseño: altura del complemento, armaduras, recubrimientos y apoyos</w:t>
            </w:r>
          </w:p>
        </w:tc>
        <w:tc>
          <w:tcPr>
            <w:tcW w:w="4046" w:type="dxa"/>
          </w:tcPr>
          <w:p>
            <w:pPr>
              <w:pStyle w:val="CeldaAPA"/>
              <w:jc w:val="left"/>
            </w:pPr>
            <w:r>
              <w:rPr/>
              <w:t xml:space="preserve">Consulta técnica y aprobación de los cambios; resolución de la discrepancia del complemento EPS (B3)</w:t>
            </w:r>
          </w:p>
        </w:tc>
      </w:tr>
      <w:tr>
        <w:tc>
          <w:tcPr>
            <w:tcW w:w="1990" w:type="dxa"/>
          </w:tcPr>
          <w:p>
            <w:pPr>
              <w:pStyle w:val="CeldaAPA"/>
              <w:jc w:val="left"/>
            </w:pPr>
            <w:r>
              <w:rPr/>
              <w:t xml:space="preserve">Proveedores de viguetas y de complementos (PRETENSA, UNICON)</w:t>
            </w:r>
          </w:p>
        </w:tc>
        <w:tc>
          <w:tcPr>
            <w:tcW w:w="3324" w:type="dxa"/>
          </w:tcPr>
          <w:p>
            <w:pPr>
              <w:pStyle w:val="CeldaAPA"/>
              <w:jc w:val="left"/>
            </w:pPr>
            <w:r>
              <w:rPr/>
              <w:t xml:space="preserve">Pedidos exactos por tipo, longitud y cantidad; manipulación y montaje según sus instrucciones</w:t>
            </w:r>
          </w:p>
        </w:tc>
        <w:tc>
          <w:tcPr>
            <w:tcW w:w="4046" w:type="dxa"/>
          </w:tcPr>
          <w:p>
            <w:pPr>
              <w:pStyle w:val="CeldaAPA"/>
              <w:jc w:val="left"/>
            </w:pPr>
            <w:r>
              <w:rPr/>
              <w:t xml:space="preserve">Pedido por paño según el Plano 03; recepción con criterios conocidos; cumplimiento de los pasos de montaje que exige el fabricante</w:t>
            </w:r>
            <w:r>
              <w:rPr/>
              <w:t xml:space="preserve"> </w:t>
            </w:r>
            <w:r>
              <w:rPr/>
              <w:t xml:space="preserve">(UATF, s. f.-b, p. 8)</w:t>
            </w:r>
          </w:p>
        </w:tc>
      </w:tr>
      <w:tr>
        <w:tc>
          <w:tcPr>
            <w:tcW w:w="1990" w:type="dxa"/>
          </w:tcPr>
          <w:p>
            <w:pPr>
              <w:pStyle w:val="CeldaAPA"/>
              <w:jc w:val="left"/>
            </w:pPr>
            <w:r>
              <w:rPr/>
              <w:t xml:space="preserve">Proveedores de acero, cemento y áridos</w:t>
            </w:r>
          </w:p>
        </w:tc>
        <w:tc>
          <w:tcPr>
            <w:tcW w:w="3324" w:type="dxa"/>
          </w:tcPr>
          <w:p>
            <w:pPr>
              <w:pStyle w:val="CeldaAPA"/>
              <w:jc w:val="left"/>
            </w:pPr>
            <w:r>
              <w:rPr/>
              <w:t xml:space="preserve">Pedidos programados; condiciones de entrega en un mercado con escasez de combustible</w:t>
            </w:r>
          </w:p>
        </w:tc>
        <w:tc>
          <w:tcPr>
            <w:tcW w:w="4046" w:type="dxa"/>
          </w:tcPr>
          <w:p>
            <w:pPr>
              <w:pStyle w:val="CeldaAPA"/>
              <w:jc w:val="left"/>
            </w:pPr>
            <w:r>
              <w:rPr/>
              <w:t xml:space="preserve">Plan de compras anticipado y existencia mínima; certificado por colada (acero) y por lote (cemento)</w:t>
            </w:r>
          </w:p>
        </w:tc>
      </w:tr>
      <w:tr>
        <w:tc>
          <w:tcPr>
            <w:tcW w:w="1990" w:type="dxa"/>
          </w:tcPr>
          <w:p>
            <w:pPr>
              <w:pStyle w:val="CeldaAPA"/>
              <w:jc w:val="left"/>
            </w:pPr>
            <w:r>
              <w:rPr/>
              <w:t xml:space="preserve">Laboratorio de ensayos</w:t>
            </w:r>
          </w:p>
        </w:tc>
        <w:tc>
          <w:tcPr>
            <w:tcW w:w="3324" w:type="dxa"/>
          </w:tcPr>
          <w:p>
            <w:pPr>
              <w:pStyle w:val="CeldaAPA"/>
              <w:jc w:val="left"/>
            </w:pPr>
            <w:r>
              <w:rPr/>
              <w:t xml:space="preserve">Muestras representativas, bien elaboradas, identificadas y curadas</w:t>
            </w:r>
          </w:p>
        </w:tc>
        <w:tc>
          <w:tcPr>
            <w:tcW w:w="4046" w:type="dxa"/>
          </w:tcPr>
          <w:p>
            <w:pPr>
              <w:pStyle w:val="CeldaAPA"/>
              <w:jc w:val="left"/>
            </w:pPr>
            <w:r>
              <w:rPr/>
              <w:t xml:space="preserve">Muestreo según ASTM C172 y C31 por técnico competente; codificación de probetas por paño y vaciado</w:t>
            </w:r>
          </w:p>
        </w:tc>
      </w:tr>
      <w:tr>
        <w:tc>
          <w:tcPr>
            <w:tcW w:w="1990" w:type="dxa"/>
          </w:tcPr>
          <w:p>
            <w:pPr>
              <w:pStyle w:val="CeldaAPA"/>
              <w:jc w:val="left"/>
            </w:pPr>
            <w:r>
              <w:rPr/>
              <w:t xml:space="preserve">Usuarios del edificio (comunidad de posgrado)</w:t>
            </w:r>
          </w:p>
        </w:tc>
        <w:tc>
          <w:tcPr>
            <w:tcW w:w="3324" w:type="dxa"/>
          </w:tcPr>
          <w:p>
            <w:pPr>
              <w:pStyle w:val="CeldaAPA"/>
              <w:jc w:val="left"/>
            </w:pPr>
            <w:r>
              <w:rPr/>
              <w:t xml:space="preserve">Estructura segura y durable, sin fisuras ni flechas excesivas</w:t>
            </w:r>
          </w:p>
        </w:tc>
        <w:tc>
          <w:tcPr>
            <w:tcW w:w="4046" w:type="dxa"/>
          </w:tcPr>
          <w:p>
            <w:pPr>
              <w:pStyle w:val="CeldaAPA"/>
              <w:jc w:val="left"/>
            </w:pPr>
            <w:r>
              <w:rPr/>
              <w:t xml:space="preserve">Aceptación del hormigón según ACI 318-25; curado y desapuntalamiento controlados</w:t>
            </w:r>
          </w:p>
        </w:tc>
      </w:tr>
      <w:tr>
        <w:tc>
          <w:tcPr>
            <w:tcW w:w="1990" w:type="dxa"/>
            <w:tcBorders>
              <w:bottom w:val="single" w:sz="8" w:space="0" w:color="000000"/>
            </w:tcBorders>
          </w:tcPr>
          <w:p>
            <w:pPr>
              <w:pStyle w:val="CeldaAPA"/>
              <w:jc w:val="left"/>
            </w:pPr>
            <w:r>
              <w:rPr/>
              <w:t xml:space="preserve">Órganos de control gubernamental y sociedad</w:t>
            </w:r>
          </w:p>
        </w:tc>
        <w:tc>
          <w:tcPr>
            <w:tcW w:w="3324" w:type="dxa"/>
            <w:tcBorders>
              <w:bottom w:val="single" w:sz="8" w:space="0" w:color="000000"/>
            </w:tcBorders>
          </w:tcPr>
          <w:p>
            <w:pPr>
              <w:pStyle w:val="CeldaAPA"/>
              <w:jc w:val="left"/>
            </w:pPr>
            <w:r>
              <w:rPr/>
              <w:t xml:space="preserve">Uso transparente y verificable de recursos públicos</w:t>
            </w:r>
          </w:p>
        </w:tc>
        <w:tc>
          <w:tcPr>
            <w:tcW w:w="4046" w:type="dxa"/>
            <w:tcBorders>
              <w:bottom w:val="single" w:sz="8" w:space="0" w:color="000000"/>
            </w:tcBorders>
          </w:tcPr>
          <w:p>
            <w:pPr>
              <w:pStyle w:val="CeldaAPA"/>
              <w:jc w:val="left"/>
            </w:pPr>
            <w:r>
              <w:rPr/>
              <w:t xml:space="preserve">Registros auditables y comportamiento ético en la medición y el pago de cantidades</w:t>
            </w:r>
          </w:p>
        </w:tc>
      </w:tr>
    </w:tbl>
    <w:p>
      <w:pPr>
        <w:pStyle w:val="NotaAPA"/>
      </w:pPr>
      <w:r>
        <w:rPr>
          <w:iCs/>
          <w:i/>
        </w:rPr>
        <w:t xml:space="preserve">Nota.</w:t>
      </w:r>
      <w:r>
        <w:t xml:space="preserve"> </w:t>
      </w:r>
      <w:r>
        <w:t xml:space="preserve">Elaboración propia con base en los documentos del caso</w:t>
      </w:r>
      <w:r>
        <w:t xml:space="preserve"> </w:t>
      </w:r>
      <w:r>
        <w:t xml:space="preserve">(UATF, s. f.-b, s. f.-a, 2025)</w:t>
      </w:r>
      <w:r>
        <w:t xml:space="preserve">. B2 y B3: brechas de la línea base.</w:t>
      </w:r>
    </w:p>
    <w:p>
      <w:pPr>
        <w:pStyle w:val="BodyText"/>
      </w:pPr>
      <w:r>
        <w:rPr>
          <w:bCs/>
          <w:b/>
        </w:rPr>
        <w:t xml:space="preserve">Alcance y exclusiones.</w:t>
      </w:r>
      <w:r>
        <w:t xml:space="preserve"> </w:t>
      </w:r>
      <w:r>
        <w:t xml:space="preserve">El SGC comprende la planificación, el abastecimiento (compra, recepción, almacenamiento y despacho), la ejecución (apuntalamiento, viguetas y complementos, nervios, armaduras, instalaciones embebidas, hormigonado, curado y desapuntalamiento), el control de calidad (inspección, ensayos y liberación) y la medición, conciliación y pago del ítem 13 en la segunda y la tercera losa: 2.234,60 m</w:t>
      </w:r>
      <w:r>
        <w:rPr>
          <w:vertAlign w:val="superscript"/>
        </w:rPr>
        <w:t xml:space="preserve">2</w:t>
      </w:r>
      <w:r>
        <w:t xml:space="preserve">,</w:t>
      </w:r>
      <w:r>
        <w:t xml:space="preserve"> </w:t>
      </w:r>
      <m:oMath>
        <m:r>
          <m:rPr>
            <m:sty m:val="p"/>
          </m:rPr>
          <m:t>≈</m:t>
        </m:r>
      </m:oMath>
      <w:r>
        <w:t xml:space="preserve"> 1.117,30 m</w:t>
      </w:r>
      <w:r>
        <w:rPr>
          <w:vertAlign w:val="superscript"/>
        </w:rPr>
        <w:t xml:space="preserve">2</w:t>
      </w:r>
      <w:r>
        <w:t xml:space="preserve"> </w:t>
      </w:r>
      <w:r>
        <w:t xml:space="preserve">por losa</w:t>
      </w:r>
      <w:r>
        <w:t xml:space="preserve"> </w:t>
      </w:r>
      <w:r>
        <w:t xml:space="preserve">(UATF, s. f.-c)</w:t>
      </w:r>
      <w:r>
        <w:t xml:space="preserve">. Incluye todo el acero colocado en la losa (parrilla, nervios y negativos), se pague por el ítem 8 o por el 13, para no dejar vacíos entre ítems (B4), y el muestreo de cada vaciado completo, incluidas las vigas que se vacían monolíticamente con la losa</w:t>
      </w:r>
      <w:r>
        <w:t xml:space="preserve"> </w:t>
      </w:r>
      <w:r>
        <w:t xml:space="preserve">(UATF, s. f.-a, p. 3)</w:t>
      </w:r>
      <w:r>
        <w:t xml:space="preserve">. Se excluyen el diseño estructural (diseño y desarrollo, cláusula 8.3), que corresponde al proyectista de la UATF y del que el SGC solo gestiona las consultas y los cambios; la fabricación de viguetas y complementos, que se controla como suministro externo mediante certificados e inspección de recepción; y los demás ítems de la obra. Estas exclusiones no afectan la capacidad del sistema para asegurar la conformidad de la losa.</w:t>
      </w:r>
    </w:p>
    <w:p>
      <w:pPr>
        <w:pStyle w:val="Heading3"/>
      </w:pPr>
      <w:bookmarkStart w:id="159" w:name="tit112"/>
      <w:r>
        <w:t xml:space="preserve">2.6.3. Liderazgo: política de la calidad, organización y responsabilidades</w:t>
      </w:r>
      <w:bookmarkEnd w:id="159"/>
    </w:p>
    <w:p>
      <w:pPr>
        <w:pStyle w:val="FirstParagraph"/>
      </w:pPr>
      <w:r>
        <w:rPr>
          <w:bCs/>
          <w:b/>
        </w:rPr>
        <w:t xml:space="preserve">Política de la calidad del proyecto.</w:t>
      </w:r>
      <w:r>
        <w:t xml:space="preserve"> </w:t>
      </w:r>
      <w:r>
        <w:t xml:space="preserve">La política expresa el compromiso de la dirección de obra y sirve de marco para los objetivos de la Sección 2.6.4. Se propone el siguiente texto, que debe firmar el Director de obra, contar con el visto bueno de la Supervisión y exhibirse en la oficina y en el almacén de la obra:</w:t>
      </w:r>
    </w:p>
    <w:p>
      <w:pPr>
        <w:pStyle w:val="Recuadro"/>
      </w:pPr>
      <w:r>
        <w:rPr>
          <w:bCs/>
          <w:b/>
        </w:rPr>
        <w:t xml:space="preserve">Política de la calidad de la ejecución de las losas alivianadas del Edificio de Posgrado (UATF)</w:t>
      </w:r>
      <w:r>
        <w:t xml:space="preserve"> </w:t>
      </w:r>
      <w:r>
        <w:t xml:space="preserve">La dirección de obra se compromete a:</w:t>
      </w:r>
      <w:r>
        <w:t xml:space="preserve"> </w:t>
      </w:r>
      <w:r>
        <w:t xml:space="preserve">(1) ejecutar cada paño conforme a los planos aprobados, a las especificaciones técnicas y al código ACI 318-25, sin vaciar ningún paño que no haya sido liberado; (2) controlar cada material desde la compra hasta su colocación, para consumir y pagar solo lo necesario y reducir el desperdicio; (3) medir y cobrar las cantidades con evidencia verificable, con honestidad y transparencia en el uso de los recursos públicos; (4) anticipar los riesgos de suministro, de precios y de clima; (5) registrar, corregir y analizar las no conformidades para mejorar de forma continua; y (6) capacitar al personal y comunicar oportunamente la información de la calidad a la Supervisión y a la Fiscalización.</w:t>
      </w:r>
    </w:p>
    <w:p>
      <w:pPr>
        <w:pStyle w:val="BodyText"/>
      </w:pPr>
      <w:r>
        <w:rPr>
          <w:bCs/>
          <w:b/>
        </w:rPr>
        <w:t xml:space="preserve">Organización.</w:t>
      </w:r>
      <w:r>
        <w:t xml:space="preserve"> </w:t>
      </w:r>
      <w:r>
        <w:t xml:space="preserve">En la contratista, el Director de obra es el responsable del SGC: aprueba el plan, asigna los recursos y preside la revisión mensual; el Residente de obra actúa como encargado de calidad (en una obra de este tamaño, con tiempo asignado para inspeccionar, registrar y conciliar); el Almacenero administra el kardex y los vales; y el Capataz dirige a los armadores y ejecuta el autocontrol. Por la UATF, el Supervisor de obra verifica y libera los paños, y el Fiscal de obra controla el contrato, las planillas y las modificaciones. El laboratorio y los proveedores son externos; el laboratorio entrega los informes de ensayo a la Supervisión y a la contratista</w:t>
      </w:r>
      <w:r>
        <w:t xml:space="preserve"> </w:t>
      </w:r>
      <w:r>
        <w:t xml:space="preserve">(ACI Committee 318, 2025, Sección 26.12.1.1)</w:t>
      </w:r>
      <w:r>
        <w:t xml:space="preserve">.</w:t>
      </w:r>
    </w:p>
    <w:p>
      <w:pPr>
        <w:pStyle w:val="BodyText"/>
      </w:pPr>
      <w:r>
        <w:rPr>
          <w:bCs/>
          <w:b/>
        </w:rPr>
        <w:t xml:space="preserve">Matriz de responsabilidades.</w:t>
      </w:r>
      <w:r>
        <w:t xml:space="preserve"> </w:t>
      </w:r>
      <w:r>
        <w:t xml:space="preserve">La Tabla 31 asigna las responsabilidades con la notación RACI:</w:t>
      </w:r>
      <w:r>
        <w:t xml:space="preserve"> </w:t>
      </w:r>
      <w:r>
        <w:rPr>
          <w:bCs/>
          <w:b/>
        </w:rPr>
        <w:t xml:space="preserve">R</w:t>
      </w:r>
      <w:r>
        <w:t xml:space="preserve">, ejecuta la actividad;</w:t>
      </w:r>
      <w:r>
        <w:t xml:space="preserve"> </w:t>
      </w:r>
      <w:r>
        <w:rPr>
          <w:bCs/>
          <w:b/>
        </w:rPr>
        <w:t xml:space="preserve">A</w:t>
      </w:r>
      <w:r>
        <w:t xml:space="preserve">, aprueba y rinde cuentas por ella (una sola por actividad);</w:t>
      </w:r>
      <w:r>
        <w:t xml:space="preserve"> </w:t>
      </w:r>
      <w:r>
        <w:rPr>
          <w:bCs/>
          <w:b/>
        </w:rPr>
        <w:t xml:space="preserve">C</w:t>
      </w:r>
      <w:r>
        <w:t xml:space="preserve">, es consultado antes de decidir; e</w:t>
      </w:r>
      <w:r>
        <w:t xml:space="preserve"> </w:t>
      </w:r>
      <w:r>
        <w:rPr>
          <w:bCs/>
          <w:b/>
        </w:rPr>
        <w:t xml:space="preserve">I</w:t>
      </w:r>
      <w:r>
        <w:t xml:space="preserve">, es informado del resultado.</w:t>
      </w:r>
    </w:p>
    <w:p>
      <w:pPr>
        <w:pStyle w:val="Caption"/>
      </w:pPr>
      <w:bookmarkStart w:id="1433" w:name="tab31"/>
      <w:r>
        <w:t xml:space="preserve"/>
      </w:r>
      <w:r>
        <w:rPr>
          <w:bCs/>
          <w:b/>
        </w:rPr>
        <w:t xml:space="preserve">Tabla 31</w:t>
      </w:r>
      <w:r>
        <w:br/>
      </w:r>
      <w:r>
        <w:rPr>
          <w:iCs/>
          <w:i/>
        </w:rPr>
        <w:t xml:space="preserve">Matriz de responsabilidades (RACI) del SGC del ítem losa alivianada</w:t>
      </w:r>
      <w:bookmarkEnd w:id="1433"/>
    </w:p>
    <w:tbl>
      <w:tblPr>
        <w:tblStyle w:val="Table"/>
        <w:tblW w:w="9358" w:type="dxa"/>
        <w:jc w:val="left"/>
        <w:tblLayout w:type="fixed"/>
        <w:tblCellMar>
          <w:top w:w="0" w:type="dxa"/>
          <w:left w:w="85" w:type="dxa"/>
          <w:bottom w:w="0" w:type="dxa"/>
          <w:right w:w="85" w:type="dxa"/>
        </w:tblCellMar>
        <w:tblLook w:firstRow="1" w:lastRow="0" w:firstColumn="0" w:lastColumn="0" w:noHBand="0" w:noVBand="0" w:val="0020"/>
      </w:tblPr>
      <w:tblGrid>
        <w:gridCol w:w="3494"/>
        <w:gridCol w:w="733"/>
        <w:gridCol w:w="733"/>
        <w:gridCol w:w="733"/>
        <w:gridCol w:w="733"/>
        <w:gridCol w:w="733"/>
        <w:gridCol w:w="733"/>
        <w:gridCol w:w="733"/>
        <w:gridCol w:w="733"/>
      </w:tblGrid>
      <w:tr>
        <w:trPr>
          <w:cantSplit/>
          <w:tblHeader w:val="true"/>
        </w:trPr>
        <w:tc>
          <w:tcPr>
            <w:tcW w:w="3494" w:type="dxa"/>
            <w:tcBorders>
              <w:top w:val="single" w:sz="8" w:space="0" w:color="000000"/>
              <w:bottom w:val="single" w:sz="4" w:space="0" w:color="000000"/>
            </w:tcBorders>
          </w:tcPr>
          <w:p>
            <w:pPr>
              <w:pStyle w:val="CeldaAPA"/>
              <w:jc w:val="center"/>
            </w:pPr>
            <w:r>
              <w:rPr>
                <w:bCs/>
                <w:b/>
              </w:rPr>
              <w:t xml:space="preserve">Actividad</w:t>
            </w:r>
          </w:p>
        </w:tc>
        <w:tc>
          <w:tcPr>
            <w:tcW w:w="733" w:type="dxa"/>
            <w:tcBorders>
              <w:top w:val="single" w:sz="8" w:space="0" w:color="000000"/>
              <w:bottom w:val="single" w:sz="4" w:space="0" w:color="000000"/>
            </w:tcBorders>
          </w:tcPr>
          <w:p>
            <w:pPr>
              <w:pStyle w:val="CeldaAPA"/>
              <w:jc w:val="center"/>
            </w:pPr>
            <w:r>
              <w:rPr>
                <w:bCs/>
                <w:b/>
              </w:rPr>
              <w:t xml:space="preserve">DO</w:t>
            </w:r>
          </w:p>
        </w:tc>
        <w:tc>
          <w:tcPr>
            <w:tcW w:w="733" w:type="dxa"/>
            <w:tcBorders>
              <w:top w:val="single" w:sz="8" w:space="0" w:color="000000"/>
              <w:bottom w:val="single" w:sz="4" w:space="0" w:color="000000"/>
            </w:tcBorders>
          </w:tcPr>
          <w:p>
            <w:pPr>
              <w:pStyle w:val="CeldaAPA"/>
              <w:jc w:val="center"/>
            </w:pPr>
            <w:r>
              <w:rPr>
                <w:bCs/>
                <w:b/>
              </w:rPr>
              <w:t xml:space="preserve">RC</w:t>
            </w:r>
          </w:p>
        </w:tc>
        <w:tc>
          <w:tcPr>
            <w:tcW w:w="733" w:type="dxa"/>
            <w:tcBorders>
              <w:top w:val="single" w:sz="8" w:space="0" w:color="000000"/>
              <w:bottom w:val="single" w:sz="4" w:space="0" w:color="000000"/>
            </w:tcBorders>
          </w:tcPr>
          <w:p>
            <w:pPr>
              <w:pStyle w:val="CeldaAPA"/>
              <w:jc w:val="center"/>
            </w:pPr>
            <w:r>
              <w:rPr>
                <w:bCs/>
                <w:b/>
              </w:rPr>
              <w:t xml:space="preserve">AL</w:t>
            </w:r>
          </w:p>
        </w:tc>
        <w:tc>
          <w:tcPr>
            <w:tcW w:w="733" w:type="dxa"/>
            <w:tcBorders>
              <w:top w:val="single" w:sz="8" w:space="0" w:color="000000"/>
              <w:bottom w:val="single" w:sz="4" w:space="0" w:color="000000"/>
            </w:tcBorders>
          </w:tcPr>
          <w:p>
            <w:pPr>
              <w:pStyle w:val="CeldaAPA"/>
              <w:jc w:val="center"/>
            </w:pPr>
            <w:r>
              <w:rPr>
                <w:bCs/>
                <w:b/>
              </w:rPr>
              <w:t xml:space="preserve">CA</w:t>
            </w:r>
          </w:p>
        </w:tc>
        <w:tc>
          <w:tcPr>
            <w:tcW w:w="733" w:type="dxa"/>
            <w:tcBorders>
              <w:top w:val="single" w:sz="8" w:space="0" w:color="000000"/>
              <w:bottom w:val="single" w:sz="4" w:space="0" w:color="000000"/>
            </w:tcBorders>
          </w:tcPr>
          <w:p>
            <w:pPr>
              <w:pStyle w:val="CeldaAPA"/>
              <w:jc w:val="center"/>
            </w:pPr>
            <w:r>
              <w:rPr>
                <w:bCs/>
                <w:b/>
              </w:rPr>
              <w:t xml:space="preserve">LB</w:t>
            </w:r>
          </w:p>
        </w:tc>
        <w:tc>
          <w:tcPr>
            <w:tcW w:w="733" w:type="dxa"/>
            <w:tcBorders>
              <w:top w:val="single" w:sz="8" w:space="0" w:color="000000"/>
              <w:bottom w:val="single" w:sz="4" w:space="0" w:color="000000"/>
            </w:tcBorders>
          </w:tcPr>
          <w:p>
            <w:pPr>
              <w:pStyle w:val="CeldaAPA"/>
              <w:jc w:val="center"/>
            </w:pPr>
            <w:r>
              <w:rPr>
                <w:bCs/>
                <w:b/>
              </w:rPr>
              <w:t xml:space="preserve">SU</w:t>
            </w:r>
          </w:p>
        </w:tc>
        <w:tc>
          <w:tcPr>
            <w:tcW w:w="733" w:type="dxa"/>
            <w:tcBorders>
              <w:top w:val="single" w:sz="8" w:space="0" w:color="000000"/>
              <w:bottom w:val="single" w:sz="4" w:space="0" w:color="000000"/>
            </w:tcBorders>
          </w:tcPr>
          <w:p>
            <w:pPr>
              <w:pStyle w:val="CeldaAPA"/>
              <w:jc w:val="center"/>
            </w:pPr>
            <w:r>
              <w:rPr>
                <w:bCs/>
                <w:b/>
              </w:rPr>
              <w:t xml:space="preserve">FI</w:t>
            </w:r>
          </w:p>
        </w:tc>
        <w:tc>
          <w:tcPr>
            <w:tcW w:w="733" w:type="dxa"/>
            <w:tcBorders>
              <w:top w:val="single" w:sz="8" w:space="0" w:color="000000"/>
              <w:bottom w:val="single" w:sz="4" w:space="0" w:color="000000"/>
            </w:tcBorders>
          </w:tcPr>
          <w:p>
            <w:pPr>
              <w:pStyle w:val="CeldaAPA"/>
              <w:jc w:val="center"/>
            </w:pPr>
            <w:r>
              <w:rPr>
                <w:bCs/>
                <w:b/>
              </w:rPr>
              <w:t xml:space="preserve">PR</w:t>
            </w:r>
          </w:p>
        </w:tc>
      </w:tr>
      <w:tr>
        <w:tc>
          <w:tcPr>
            <w:tcW w:w="3494" w:type="dxa"/>
          </w:tcPr>
          <w:p>
            <w:pPr>
              <w:pStyle w:val="CeldaAPA"/>
              <w:jc w:val="left"/>
            </w:pPr>
            <w:r>
              <w:rPr/>
              <w:t xml:space="preserve">1. Elaborar el plan de la calidad, el PPI y los procedimientos</w:t>
            </w:r>
          </w:p>
        </w:tc>
        <w:tc>
          <w:tcPr>
            <w:tcW w:w="733" w:type="dxa"/>
          </w:tcPr>
          <w:p>
            <w:pPr>
              <w:pStyle w:val="CeldaAPA"/>
              <w:jc w:val="center"/>
            </w:pPr>
            <w:r>
              <w:rPr/>
              <w:t xml:space="preserve">A</w:t>
            </w:r>
          </w:p>
        </w:tc>
        <w:tc>
          <w:tcPr>
            <w:tcW w:w="733" w:type="dxa"/>
          </w:tcPr>
          <w:p>
            <w:pPr>
              <w:pStyle w:val="CeldaAPA"/>
              <w:jc w:val="center"/>
            </w:pPr>
            <w:r>
              <w:rPr/>
              <w:t xml:space="preserve">R</w:t>
            </w:r>
          </w:p>
        </w:tc>
        <w:tc>
          <w:tcPr>
            <w:tcW w:w="733" w:type="dxa"/>
          </w:tcPr>
          <w:p>
            <w:pPr>
              <w:pStyle w:val="CeldaAPA"/>
              <w:jc w:val="center"/>
            </w:pPr>
            <w:r>
              <w:rPr/>
              <w:t xml:space="preserve">C</w:t>
            </w:r>
          </w:p>
        </w:tc>
        <w:tc>
          <w:tcPr>
            <w:tcW w:w="733" w:type="dxa"/>
          </w:tcPr>
          <w:p>
            <w:pPr>
              <w:pStyle w:val="CeldaAPA"/>
              <w:jc w:val="center"/>
            </w:pPr>
            <w:r>
              <w:rPr/>
              <w:t xml:space="preserve">C</w:t>
            </w:r>
          </w:p>
        </w:tc>
        <w:tc>
          <w:tcPr>
            <w:tcW w:w="733" w:type="dxa"/>
          </w:tcPr>
          <w:p>
            <w:pPr>
              <w:pStyle w:val="CeldaAPA"/>
              <w:jc w:val="center"/>
            </w:pPr>
            <w:r>
              <w:rPr/>
              <w:t xml:space="preserve">C</w:t>
            </w:r>
          </w:p>
        </w:tc>
        <w:tc>
          <w:tcPr>
            <w:tcW w:w="733" w:type="dxa"/>
          </w:tcPr>
          <w:p>
            <w:pPr>
              <w:pStyle w:val="CeldaAPA"/>
              <w:jc w:val="center"/>
            </w:pPr>
            <w:r>
              <w:rPr/>
              <w:t xml:space="preserve">I</w:t>
            </w:r>
          </w:p>
        </w:tc>
        <w:tc>
          <w:tcPr>
            <w:tcW w:w="733" w:type="dxa"/>
          </w:tcPr>
          <w:p>
            <w:pPr>
              <w:pStyle w:val="CeldaAPA"/>
              <w:jc w:val="center"/>
            </w:pPr>
            <w:r>
              <w:rPr/>
              <w:t xml:space="preserve">I</w:t>
            </w:r>
          </w:p>
        </w:tc>
        <w:tc>
          <w:tcPr>
            <w:tcW w:w="733" w:type="dxa"/>
          </w:tcPr>
          <w:p>
            <w:pPr>
              <w:pStyle w:val="CeldaAPA"/>
              <w:jc w:val="center"/>
            </w:pPr>
            <w:r>
              <w:rPr/>
              <w:t xml:space="preserve">–</w:t>
            </w:r>
          </w:p>
        </w:tc>
      </w:tr>
      <w:tr>
        <w:tc>
          <w:tcPr>
            <w:tcW w:w="3494" w:type="dxa"/>
          </w:tcPr>
          <w:p>
            <w:pPr>
              <w:pStyle w:val="CeldaAPA"/>
              <w:jc w:val="left"/>
            </w:pPr>
            <w:r>
              <w:rPr/>
              <w:t xml:space="preserve">2. Revisar y aprobar el plan de la calidad, el PPI y la dosificación del hormigón</w:t>
            </w:r>
          </w:p>
        </w:tc>
        <w:tc>
          <w:tcPr>
            <w:tcW w:w="733" w:type="dxa"/>
          </w:tcPr>
          <w:p>
            <w:pPr>
              <w:pStyle w:val="CeldaAPA"/>
              <w:jc w:val="center"/>
            </w:pPr>
            <w:r>
              <w:rPr/>
              <w:t xml:space="preserve">I</w:t>
            </w:r>
          </w:p>
        </w:tc>
        <w:tc>
          <w:tcPr>
            <w:tcW w:w="733" w:type="dxa"/>
          </w:tcPr>
          <w:p>
            <w:pPr>
              <w:pStyle w:val="CeldaAPA"/>
              <w:jc w:val="center"/>
            </w:pPr>
            <w:r>
              <w:rPr/>
              <w:t xml:space="preserve">C</w:t>
            </w:r>
          </w:p>
        </w:tc>
        <w:tc>
          <w:tcPr>
            <w:tcW w:w="733" w:type="dxa"/>
          </w:tcPr>
          <w:p>
            <w:pPr>
              <w:pStyle w:val="CeldaAPA"/>
              <w:jc w:val="center"/>
            </w:pPr>
            <w:r>
              <w:rPr/>
              <w:t xml:space="preserve">–</w:t>
            </w:r>
          </w:p>
        </w:tc>
        <w:tc>
          <w:tcPr>
            <w:tcW w:w="733" w:type="dxa"/>
          </w:tcPr>
          <w:p>
            <w:pPr>
              <w:pStyle w:val="CeldaAPA"/>
              <w:jc w:val="center"/>
            </w:pPr>
            <w:r>
              <w:rPr/>
              <w:t xml:space="preserve">–</w:t>
            </w:r>
          </w:p>
        </w:tc>
        <w:tc>
          <w:tcPr>
            <w:tcW w:w="733" w:type="dxa"/>
          </w:tcPr>
          <w:p>
            <w:pPr>
              <w:pStyle w:val="CeldaAPA"/>
              <w:jc w:val="center"/>
            </w:pPr>
            <w:r>
              <w:rPr/>
              <w:t xml:space="preserve">C</w:t>
            </w:r>
          </w:p>
        </w:tc>
        <w:tc>
          <w:tcPr>
            <w:tcW w:w="733" w:type="dxa"/>
          </w:tcPr>
          <w:p>
            <w:pPr>
              <w:pStyle w:val="CeldaAPA"/>
              <w:jc w:val="center"/>
            </w:pPr>
            <w:r>
              <w:rPr/>
              <w:t xml:space="preserve">A</w:t>
            </w:r>
          </w:p>
        </w:tc>
        <w:tc>
          <w:tcPr>
            <w:tcW w:w="733" w:type="dxa"/>
          </w:tcPr>
          <w:p>
            <w:pPr>
              <w:pStyle w:val="CeldaAPA"/>
              <w:jc w:val="center"/>
            </w:pPr>
            <w:r>
              <w:rPr/>
              <w:t xml:space="preserve">I</w:t>
            </w:r>
          </w:p>
        </w:tc>
        <w:tc>
          <w:tcPr>
            <w:tcW w:w="733" w:type="dxa"/>
          </w:tcPr>
          <w:p>
            <w:pPr>
              <w:pStyle w:val="CeldaAPA"/>
              <w:jc w:val="center"/>
            </w:pPr>
            <w:r>
              <w:rPr/>
              <w:t xml:space="preserve">–</w:t>
            </w:r>
          </w:p>
        </w:tc>
      </w:tr>
      <w:tr>
        <w:tc>
          <w:tcPr>
            <w:tcW w:w="3494" w:type="dxa"/>
          </w:tcPr>
          <w:p>
            <w:pPr>
              <w:pStyle w:val="CeldaAPA"/>
              <w:jc w:val="left"/>
            </w:pPr>
            <w:r>
              <w:rPr/>
              <w:t xml:space="preserve">3. Planificar las compras y evaluar a los proveedores</w:t>
            </w:r>
          </w:p>
        </w:tc>
        <w:tc>
          <w:tcPr>
            <w:tcW w:w="733" w:type="dxa"/>
          </w:tcPr>
          <w:p>
            <w:pPr>
              <w:pStyle w:val="CeldaAPA"/>
              <w:jc w:val="center"/>
            </w:pPr>
            <w:r>
              <w:rPr/>
              <w:t xml:space="preserve">A</w:t>
            </w:r>
          </w:p>
        </w:tc>
        <w:tc>
          <w:tcPr>
            <w:tcW w:w="733" w:type="dxa"/>
          </w:tcPr>
          <w:p>
            <w:pPr>
              <w:pStyle w:val="CeldaAPA"/>
              <w:jc w:val="center"/>
            </w:pPr>
            <w:r>
              <w:rPr/>
              <w:t xml:space="preserve">R</w:t>
            </w:r>
          </w:p>
        </w:tc>
        <w:tc>
          <w:tcPr>
            <w:tcW w:w="733" w:type="dxa"/>
          </w:tcPr>
          <w:p>
            <w:pPr>
              <w:pStyle w:val="CeldaAPA"/>
              <w:jc w:val="center"/>
            </w:pPr>
            <w:r>
              <w:rPr/>
              <w:t xml:space="preserve">C</w:t>
            </w:r>
          </w:p>
        </w:tc>
        <w:tc>
          <w:tcPr>
            <w:tcW w:w="733" w:type="dxa"/>
          </w:tcPr>
          <w:p>
            <w:pPr>
              <w:pStyle w:val="CeldaAPA"/>
              <w:jc w:val="center"/>
            </w:pPr>
            <w:r>
              <w:rPr/>
              <w:t xml:space="preserve">–</w:t>
            </w:r>
          </w:p>
        </w:tc>
        <w:tc>
          <w:tcPr>
            <w:tcW w:w="733" w:type="dxa"/>
          </w:tcPr>
          <w:p>
            <w:pPr>
              <w:pStyle w:val="CeldaAPA"/>
              <w:jc w:val="center"/>
            </w:pPr>
            <w:r>
              <w:rPr/>
              <w:t xml:space="preserve">–</w:t>
            </w:r>
          </w:p>
        </w:tc>
        <w:tc>
          <w:tcPr>
            <w:tcW w:w="733" w:type="dxa"/>
          </w:tcPr>
          <w:p>
            <w:pPr>
              <w:pStyle w:val="CeldaAPA"/>
              <w:jc w:val="center"/>
            </w:pPr>
            <w:r>
              <w:rPr/>
              <w:t xml:space="preserve">I</w:t>
            </w:r>
          </w:p>
        </w:tc>
        <w:tc>
          <w:tcPr>
            <w:tcW w:w="733" w:type="dxa"/>
          </w:tcPr>
          <w:p>
            <w:pPr>
              <w:pStyle w:val="CeldaAPA"/>
              <w:jc w:val="center"/>
            </w:pPr>
            <w:r>
              <w:rPr/>
              <w:t xml:space="preserve">–</w:t>
            </w:r>
          </w:p>
        </w:tc>
        <w:tc>
          <w:tcPr>
            <w:tcW w:w="733" w:type="dxa"/>
          </w:tcPr>
          <w:p>
            <w:pPr>
              <w:pStyle w:val="CeldaAPA"/>
              <w:jc w:val="center"/>
            </w:pPr>
            <w:r>
              <w:rPr/>
              <w:t xml:space="preserve">C</w:t>
            </w:r>
          </w:p>
        </w:tc>
      </w:tr>
      <w:tr>
        <w:tc>
          <w:tcPr>
            <w:tcW w:w="3494" w:type="dxa"/>
          </w:tcPr>
          <w:p>
            <w:pPr>
              <w:pStyle w:val="CeldaAPA"/>
              <w:jc w:val="left"/>
            </w:pPr>
            <w:r>
              <w:rPr/>
              <w:t xml:space="preserve">4. Recibir, inspeccionar, almacenar y registrar materiales (PCM-01 y PCM-02)</w:t>
            </w:r>
          </w:p>
        </w:tc>
        <w:tc>
          <w:tcPr>
            <w:tcW w:w="733" w:type="dxa"/>
          </w:tcPr>
          <w:p>
            <w:pPr>
              <w:pStyle w:val="CeldaAPA"/>
              <w:jc w:val="center"/>
            </w:pPr>
            <w:r>
              <w:rPr/>
              <w:t xml:space="preserve">I</w:t>
            </w:r>
          </w:p>
        </w:tc>
        <w:tc>
          <w:tcPr>
            <w:tcW w:w="733" w:type="dxa"/>
          </w:tcPr>
          <w:p>
            <w:pPr>
              <w:pStyle w:val="CeldaAPA"/>
              <w:jc w:val="center"/>
            </w:pPr>
            <w:r>
              <w:rPr/>
              <w:t xml:space="preserve">A</w:t>
            </w:r>
          </w:p>
        </w:tc>
        <w:tc>
          <w:tcPr>
            <w:tcW w:w="733" w:type="dxa"/>
          </w:tcPr>
          <w:p>
            <w:pPr>
              <w:pStyle w:val="CeldaAPA"/>
              <w:jc w:val="center"/>
            </w:pPr>
            <w:r>
              <w:rPr/>
              <w:t xml:space="preserve">R</w:t>
            </w:r>
          </w:p>
        </w:tc>
        <w:tc>
          <w:tcPr>
            <w:tcW w:w="733" w:type="dxa"/>
          </w:tcPr>
          <w:p>
            <w:pPr>
              <w:pStyle w:val="CeldaAPA"/>
              <w:jc w:val="center"/>
            </w:pPr>
            <w:r>
              <w:rPr/>
              <w:t xml:space="preserve">–</w:t>
            </w:r>
          </w:p>
        </w:tc>
        <w:tc>
          <w:tcPr>
            <w:tcW w:w="733" w:type="dxa"/>
          </w:tcPr>
          <w:p>
            <w:pPr>
              <w:pStyle w:val="CeldaAPA"/>
              <w:jc w:val="center"/>
            </w:pPr>
            <w:r>
              <w:rPr/>
              <w:t xml:space="preserve">–</w:t>
            </w:r>
          </w:p>
        </w:tc>
        <w:tc>
          <w:tcPr>
            <w:tcW w:w="733" w:type="dxa"/>
          </w:tcPr>
          <w:p>
            <w:pPr>
              <w:pStyle w:val="CeldaAPA"/>
              <w:jc w:val="center"/>
            </w:pPr>
            <w:r>
              <w:rPr/>
              <w:t xml:space="preserve">I</w:t>
            </w:r>
          </w:p>
        </w:tc>
        <w:tc>
          <w:tcPr>
            <w:tcW w:w="733" w:type="dxa"/>
          </w:tcPr>
          <w:p>
            <w:pPr>
              <w:pStyle w:val="CeldaAPA"/>
              <w:jc w:val="center"/>
            </w:pPr>
            <w:r>
              <w:rPr/>
              <w:t xml:space="preserve">–</w:t>
            </w:r>
          </w:p>
        </w:tc>
        <w:tc>
          <w:tcPr>
            <w:tcW w:w="733" w:type="dxa"/>
          </w:tcPr>
          <w:p>
            <w:pPr>
              <w:pStyle w:val="CeldaAPA"/>
              <w:jc w:val="center"/>
            </w:pPr>
            <w:r>
              <w:rPr/>
              <w:t xml:space="preserve">C</w:t>
            </w:r>
          </w:p>
        </w:tc>
      </w:tr>
      <w:tr>
        <w:tc>
          <w:tcPr>
            <w:tcW w:w="3494" w:type="dxa"/>
          </w:tcPr>
          <w:p>
            <w:pPr>
              <w:pStyle w:val="CeldaAPA"/>
              <w:jc w:val="left"/>
            </w:pPr>
            <w:r>
              <w:rPr/>
              <w:t xml:space="preserve">5. Despachar materiales por paño con vales (PCM-03)</w:t>
            </w:r>
          </w:p>
        </w:tc>
        <w:tc>
          <w:tcPr>
            <w:tcW w:w="733" w:type="dxa"/>
          </w:tcPr>
          <w:p>
            <w:pPr>
              <w:pStyle w:val="CeldaAPA"/>
              <w:jc w:val="center"/>
            </w:pPr>
            <w:r>
              <w:rPr/>
              <w:t xml:space="preserve">–</w:t>
            </w:r>
          </w:p>
        </w:tc>
        <w:tc>
          <w:tcPr>
            <w:tcW w:w="733" w:type="dxa"/>
          </w:tcPr>
          <w:p>
            <w:pPr>
              <w:pStyle w:val="CeldaAPA"/>
              <w:jc w:val="center"/>
            </w:pPr>
            <w:r>
              <w:rPr/>
              <w:t xml:space="preserve">A</w:t>
            </w:r>
          </w:p>
        </w:tc>
        <w:tc>
          <w:tcPr>
            <w:tcW w:w="733" w:type="dxa"/>
          </w:tcPr>
          <w:p>
            <w:pPr>
              <w:pStyle w:val="CeldaAPA"/>
              <w:jc w:val="center"/>
            </w:pPr>
            <w:r>
              <w:rPr/>
              <w:t xml:space="preserve">R</w:t>
            </w:r>
          </w:p>
        </w:tc>
        <w:tc>
          <w:tcPr>
            <w:tcW w:w="733" w:type="dxa"/>
          </w:tcPr>
          <w:p>
            <w:pPr>
              <w:pStyle w:val="CeldaAPA"/>
              <w:jc w:val="center"/>
            </w:pPr>
            <w:r>
              <w:rPr/>
              <w:t xml:space="preserve">R</w:t>
            </w:r>
          </w:p>
        </w:tc>
        <w:tc>
          <w:tcPr>
            <w:tcW w:w="733" w:type="dxa"/>
          </w:tcPr>
          <w:p>
            <w:pPr>
              <w:pStyle w:val="CeldaAPA"/>
              <w:jc w:val="center"/>
            </w:pPr>
            <w:r>
              <w:rPr/>
              <w:t xml:space="preserve">–</w:t>
            </w:r>
          </w:p>
        </w:tc>
        <w:tc>
          <w:tcPr>
            <w:tcW w:w="733" w:type="dxa"/>
          </w:tcPr>
          <w:p>
            <w:pPr>
              <w:pStyle w:val="CeldaAPA"/>
              <w:jc w:val="center"/>
            </w:pPr>
            <w:r>
              <w:rPr/>
              <w:t xml:space="preserve">–</w:t>
            </w:r>
          </w:p>
        </w:tc>
        <w:tc>
          <w:tcPr>
            <w:tcW w:w="733" w:type="dxa"/>
          </w:tcPr>
          <w:p>
            <w:pPr>
              <w:pStyle w:val="CeldaAPA"/>
              <w:jc w:val="center"/>
            </w:pPr>
            <w:r>
              <w:rPr/>
              <w:t xml:space="preserve">–</w:t>
            </w:r>
          </w:p>
        </w:tc>
        <w:tc>
          <w:tcPr>
            <w:tcW w:w="733" w:type="dxa"/>
          </w:tcPr>
          <w:p>
            <w:pPr>
              <w:pStyle w:val="CeldaAPA"/>
              <w:jc w:val="center"/>
            </w:pPr>
            <w:r>
              <w:rPr/>
              <w:t xml:space="preserve">–</w:t>
            </w:r>
          </w:p>
        </w:tc>
      </w:tr>
      <w:tr>
        <w:tc>
          <w:tcPr>
            <w:tcW w:w="3494" w:type="dxa"/>
          </w:tcPr>
          <w:p>
            <w:pPr>
              <w:pStyle w:val="CeldaAPA"/>
              <w:jc w:val="left"/>
            </w:pPr>
            <w:r>
              <w:rPr/>
              <w:t xml:space="preserve">6. Ejecutar apuntalamiento, viguetas, EPS, armado e instalaciones</w:t>
            </w:r>
          </w:p>
        </w:tc>
        <w:tc>
          <w:tcPr>
            <w:tcW w:w="733" w:type="dxa"/>
          </w:tcPr>
          <w:p>
            <w:pPr>
              <w:pStyle w:val="CeldaAPA"/>
              <w:jc w:val="center"/>
            </w:pPr>
            <w:r>
              <w:rPr/>
              <w:t xml:space="preserve">I</w:t>
            </w:r>
          </w:p>
        </w:tc>
        <w:tc>
          <w:tcPr>
            <w:tcW w:w="733" w:type="dxa"/>
          </w:tcPr>
          <w:p>
            <w:pPr>
              <w:pStyle w:val="CeldaAPA"/>
              <w:jc w:val="center"/>
            </w:pPr>
            <w:r>
              <w:rPr/>
              <w:t xml:space="preserve">A</w:t>
            </w:r>
          </w:p>
        </w:tc>
        <w:tc>
          <w:tcPr>
            <w:tcW w:w="733" w:type="dxa"/>
          </w:tcPr>
          <w:p>
            <w:pPr>
              <w:pStyle w:val="CeldaAPA"/>
              <w:jc w:val="center"/>
            </w:pPr>
            <w:r>
              <w:rPr/>
              <w:t xml:space="preserve">–</w:t>
            </w:r>
          </w:p>
        </w:tc>
        <w:tc>
          <w:tcPr>
            <w:tcW w:w="733" w:type="dxa"/>
          </w:tcPr>
          <w:p>
            <w:pPr>
              <w:pStyle w:val="CeldaAPA"/>
              <w:jc w:val="center"/>
            </w:pPr>
            <w:r>
              <w:rPr/>
              <w:t xml:space="preserve">R</w:t>
            </w:r>
          </w:p>
        </w:tc>
        <w:tc>
          <w:tcPr>
            <w:tcW w:w="733" w:type="dxa"/>
          </w:tcPr>
          <w:p>
            <w:pPr>
              <w:pStyle w:val="CeldaAPA"/>
              <w:jc w:val="center"/>
            </w:pPr>
            <w:r>
              <w:rPr/>
              <w:t xml:space="preserve">–</w:t>
            </w:r>
          </w:p>
        </w:tc>
        <w:tc>
          <w:tcPr>
            <w:tcW w:w="733" w:type="dxa"/>
          </w:tcPr>
          <w:p>
            <w:pPr>
              <w:pStyle w:val="CeldaAPA"/>
              <w:jc w:val="center"/>
            </w:pPr>
            <w:r>
              <w:rPr/>
              <w:t xml:space="preserve">I</w:t>
            </w:r>
          </w:p>
        </w:tc>
        <w:tc>
          <w:tcPr>
            <w:tcW w:w="733" w:type="dxa"/>
          </w:tcPr>
          <w:p>
            <w:pPr>
              <w:pStyle w:val="CeldaAPA"/>
              <w:jc w:val="center"/>
            </w:pPr>
            <w:r>
              <w:rPr/>
              <w:t xml:space="preserve">–</w:t>
            </w:r>
          </w:p>
        </w:tc>
        <w:tc>
          <w:tcPr>
            <w:tcW w:w="733" w:type="dxa"/>
          </w:tcPr>
          <w:p>
            <w:pPr>
              <w:pStyle w:val="CeldaAPA"/>
              <w:jc w:val="center"/>
            </w:pPr>
            <w:r>
              <w:rPr/>
              <w:t xml:space="preserve">C</w:t>
            </w:r>
          </w:p>
        </w:tc>
      </w:tr>
      <w:tr>
        <w:tc>
          <w:tcPr>
            <w:tcW w:w="3494" w:type="dxa"/>
          </w:tcPr>
          <w:p>
            <w:pPr>
              <w:pStyle w:val="CeldaAPA"/>
              <w:jc w:val="left"/>
            </w:pPr>
            <w:r>
              <w:rPr/>
              <w:t xml:space="preserve">7. Inspeccionar y liberar el paño en los puntos de espera</w:t>
            </w:r>
          </w:p>
        </w:tc>
        <w:tc>
          <w:tcPr>
            <w:tcW w:w="733" w:type="dxa"/>
          </w:tcPr>
          <w:p>
            <w:pPr>
              <w:pStyle w:val="CeldaAPA"/>
              <w:jc w:val="center"/>
            </w:pPr>
            <w:r>
              <w:rPr/>
              <w:t xml:space="preserve">I</w:t>
            </w:r>
          </w:p>
        </w:tc>
        <w:tc>
          <w:tcPr>
            <w:tcW w:w="733" w:type="dxa"/>
          </w:tcPr>
          <w:p>
            <w:pPr>
              <w:pStyle w:val="CeldaAPA"/>
              <w:jc w:val="center"/>
            </w:pPr>
            <w:r>
              <w:rPr/>
              <w:t xml:space="preserve">R</w:t>
            </w:r>
          </w:p>
        </w:tc>
        <w:tc>
          <w:tcPr>
            <w:tcW w:w="733" w:type="dxa"/>
          </w:tcPr>
          <w:p>
            <w:pPr>
              <w:pStyle w:val="CeldaAPA"/>
              <w:jc w:val="center"/>
            </w:pPr>
            <w:r>
              <w:rPr/>
              <w:t xml:space="preserve">–</w:t>
            </w:r>
          </w:p>
        </w:tc>
        <w:tc>
          <w:tcPr>
            <w:tcW w:w="733" w:type="dxa"/>
          </w:tcPr>
          <w:p>
            <w:pPr>
              <w:pStyle w:val="CeldaAPA"/>
              <w:jc w:val="center"/>
            </w:pPr>
            <w:r>
              <w:rPr/>
              <w:t xml:space="preserve">C</w:t>
            </w:r>
          </w:p>
        </w:tc>
        <w:tc>
          <w:tcPr>
            <w:tcW w:w="733" w:type="dxa"/>
          </w:tcPr>
          <w:p>
            <w:pPr>
              <w:pStyle w:val="CeldaAPA"/>
              <w:jc w:val="center"/>
            </w:pPr>
            <w:r>
              <w:rPr/>
              <w:t xml:space="preserve">–</w:t>
            </w:r>
          </w:p>
        </w:tc>
        <w:tc>
          <w:tcPr>
            <w:tcW w:w="733" w:type="dxa"/>
          </w:tcPr>
          <w:p>
            <w:pPr>
              <w:pStyle w:val="CeldaAPA"/>
              <w:jc w:val="center"/>
            </w:pPr>
            <w:r>
              <w:rPr/>
              <w:t xml:space="preserve">A</w:t>
            </w:r>
          </w:p>
        </w:tc>
        <w:tc>
          <w:tcPr>
            <w:tcW w:w="733" w:type="dxa"/>
          </w:tcPr>
          <w:p>
            <w:pPr>
              <w:pStyle w:val="CeldaAPA"/>
              <w:jc w:val="center"/>
            </w:pPr>
            <w:r>
              <w:rPr/>
              <w:t xml:space="preserve">I</w:t>
            </w:r>
          </w:p>
        </w:tc>
        <w:tc>
          <w:tcPr>
            <w:tcW w:w="733" w:type="dxa"/>
          </w:tcPr>
          <w:p>
            <w:pPr>
              <w:pStyle w:val="CeldaAPA"/>
              <w:jc w:val="center"/>
            </w:pPr>
            <w:r>
              <w:rPr/>
              <w:t xml:space="preserve">–</w:t>
            </w:r>
          </w:p>
        </w:tc>
      </w:tr>
      <w:tr>
        <w:tc>
          <w:tcPr>
            <w:tcW w:w="3494" w:type="dxa"/>
          </w:tcPr>
          <w:p>
            <w:pPr>
              <w:pStyle w:val="CeldaAPA"/>
              <w:jc w:val="left"/>
            </w:pPr>
            <w:r>
              <w:rPr/>
              <w:t xml:space="preserve">8. Dosificar, mezclar, vaciar, vibrar y curar el hormigón; desapuntalar</w:t>
            </w:r>
          </w:p>
        </w:tc>
        <w:tc>
          <w:tcPr>
            <w:tcW w:w="733" w:type="dxa"/>
          </w:tcPr>
          <w:p>
            <w:pPr>
              <w:pStyle w:val="CeldaAPA"/>
              <w:jc w:val="center"/>
            </w:pPr>
            <w:r>
              <w:rPr/>
              <w:t xml:space="preserve">I</w:t>
            </w:r>
          </w:p>
        </w:tc>
        <w:tc>
          <w:tcPr>
            <w:tcW w:w="733" w:type="dxa"/>
          </w:tcPr>
          <w:p>
            <w:pPr>
              <w:pStyle w:val="CeldaAPA"/>
              <w:jc w:val="center"/>
            </w:pPr>
            <w:r>
              <w:rPr/>
              <w:t xml:space="preserve">A</w:t>
            </w:r>
          </w:p>
        </w:tc>
        <w:tc>
          <w:tcPr>
            <w:tcW w:w="733" w:type="dxa"/>
          </w:tcPr>
          <w:p>
            <w:pPr>
              <w:pStyle w:val="CeldaAPA"/>
              <w:jc w:val="center"/>
            </w:pPr>
            <w:r>
              <w:rPr/>
              <w:t xml:space="preserve">C</w:t>
            </w:r>
          </w:p>
        </w:tc>
        <w:tc>
          <w:tcPr>
            <w:tcW w:w="733" w:type="dxa"/>
          </w:tcPr>
          <w:p>
            <w:pPr>
              <w:pStyle w:val="CeldaAPA"/>
              <w:jc w:val="center"/>
            </w:pPr>
            <w:r>
              <w:rPr/>
              <w:t xml:space="preserve">R</w:t>
            </w:r>
          </w:p>
        </w:tc>
        <w:tc>
          <w:tcPr>
            <w:tcW w:w="733" w:type="dxa"/>
          </w:tcPr>
          <w:p>
            <w:pPr>
              <w:pStyle w:val="CeldaAPA"/>
              <w:jc w:val="center"/>
            </w:pPr>
            <w:r>
              <w:rPr/>
              <w:t xml:space="preserve">C</w:t>
            </w:r>
          </w:p>
        </w:tc>
        <w:tc>
          <w:tcPr>
            <w:tcW w:w="733" w:type="dxa"/>
          </w:tcPr>
          <w:p>
            <w:pPr>
              <w:pStyle w:val="CeldaAPA"/>
              <w:jc w:val="center"/>
            </w:pPr>
            <w:r>
              <w:rPr/>
              <w:t xml:space="preserve">I</w:t>
            </w:r>
          </w:p>
        </w:tc>
        <w:tc>
          <w:tcPr>
            <w:tcW w:w="733" w:type="dxa"/>
          </w:tcPr>
          <w:p>
            <w:pPr>
              <w:pStyle w:val="CeldaAPA"/>
              <w:jc w:val="center"/>
            </w:pPr>
            <w:r>
              <w:rPr/>
              <w:t xml:space="preserve">–</w:t>
            </w:r>
          </w:p>
        </w:tc>
        <w:tc>
          <w:tcPr>
            <w:tcW w:w="733" w:type="dxa"/>
          </w:tcPr>
          <w:p>
            <w:pPr>
              <w:pStyle w:val="CeldaAPA"/>
              <w:jc w:val="center"/>
            </w:pPr>
            <w:r>
              <w:rPr/>
              <w:t xml:space="preserve">–</w:t>
            </w:r>
          </w:p>
        </w:tc>
      </w:tr>
      <w:tr>
        <w:tc>
          <w:tcPr>
            <w:tcW w:w="3494" w:type="dxa"/>
          </w:tcPr>
          <w:p>
            <w:pPr>
              <w:pStyle w:val="CeldaAPA"/>
              <w:jc w:val="left"/>
            </w:pPr>
            <w:r>
              <w:rPr/>
              <w:t xml:space="preserve">9. Muestrear el hormigón, elaborar y ensayar las probetas e informar</w:t>
            </w:r>
          </w:p>
        </w:tc>
        <w:tc>
          <w:tcPr>
            <w:tcW w:w="733" w:type="dxa"/>
          </w:tcPr>
          <w:p>
            <w:pPr>
              <w:pStyle w:val="CeldaAPA"/>
              <w:jc w:val="center"/>
            </w:pPr>
            <w:r>
              <w:rPr/>
              <w:t xml:space="preserve">I</w:t>
            </w:r>
          </w:p>
        </w:tc>
        <w:tc>
          <w:tcPr>
            <w:tcW w:w="733" w:type="dxa"/>
          </w:tcPr>
          <w:p>
            <w:pPr>
              <w:pStyle w:val="CeldaAPA"/>
              <w:jc w:val="center"/>
            </w:pPr>
            <w:r>
              <w:rPr/>
              <w:t xml:space="preserve">C</w:t>
            </w:r>
          </w:p>
        </w:tc>
        <w:tc>
          <w:tcPr>
            <w:tcW w:w="733" w:type="dxa"/>
          </w:tcPr>
          <w:p>
            <w:pPr>
              <w:pStyle w:val="CeldaAPA"/>
              <w:jc w:val="center"/>
            </w:pPr>
            <w:r>
              <w:rPr/>
              <w:t xml:space="preserve">–</w:t>
            </w:r>
          </w:p>
        </w:tc>
        <w:tc>
          <w:tcPr>
            <w:tcW w:w="733" w:type="dxa"/>
          </w:tcPr>
          <w:p>
            <w:pPr>
              <w:pStyle w:val="CeldaAPA"/>
              <w:jc w:val="center"/>
            </w:pPr>
            <w:r>
              <w:rPr/>
              <w:t xml:space="preserve">–</w:t>
            </w:r>
          </w:p>
        </w:tc>
        <w:tc>
          <w:tcPr>
            <w:tcW w:w="733" w:type="dxa"/>
          </w:tcPr>
          <w:p>
            <w:pPr>
              <w:pStyle w:val="CeldaAPA"/>
              <w:jc w:val="center"/>
            </w:pPr>
            <w:r>
              <w:rPr/>
              <w:t xml:space="preserve">R</w:t>
            </w:r>
          </w:p>
        </w:tc>
        <w:tc>
          <w:tcPr>
            <w:tcW w:w="733" w:type="dxa"/>
          </w:tcPr>
          <w:p>
            <w:pPr>
              <w:pStyle w:val="CeldaAPA"/>
              <w:jc w:val="center"/>
            </w:pPr>
            <w:r>
              <w:rPr/>
              <w:t xml:space="preserve">A</w:t>
            </w:r>
          </w:p>
        </w:tc>
        <w:tc>
          <w:tcPr>
            <w:tcW w:w="733" w:type="dxa"/>
          </w:tcPr>
          <w:p>
            <w:pPr>
              <w:pStyle w:val="CeldaAPA"/>
              <w:jc w:val="center"/>
            </w:pPr>
            <w:r>
              <w:rPr/>
              <w:t xml:space="preserve">I</w:t>
            </w:r>
          </w:p>
        </w:tc>
        <w:tc>
          <w:tcPr>
            <w:tcW w:w="733" w:type="dxa"/>
          </w:tcPr>
          <w:p>
            <w:pPr>
              <w:pStyle w:val="CeldaAPA"/>
              <w:jc w:val="center"/>
            </w:pPr>
            <w:r>
              <w:rPr/>
              <w:t xml:space="preserve">–</w:t>
            </w:r>
          </w:p>
        </w:tc>
      </w:tr>
      <w:tr>
        <w:tc>
          <w:tcPr>
            <w:tcW w:w="3494" w:type="dxa"/>
          </w:tcPr>
          <w:p>
            <w:pPr>
              <w:pStyle w:val="CeldaAPA"/>
              <w:jc w:val="left"/>
            </w:pPr>
            <w:r>
              <w:rPr/>
              <w:t xml:space="preserve">10. Conciliar cantidades por paño y por planilla (PCM-04)</w:t>
            </w:r>
          </w:p>
        </w:tc>
        <w:tc>
          <w:tcPr>
            <w:tcW w:w="733" w:type="dxa"/>
          </w:tcPr>
          <w:p>
            <w:pPr>
              <w:pStyle w:val="CeldaAPA"/>
              <w:jc w:val="center"/>
            </w:pPr>
            <w:r>
              <w:rPr/>
              <w:t xml:space="preserve">A</w:t>
            </w:r>
          </w:p>
        </w:tc>
        <w:tc>
          <w:tcPr>
            <w:tcW w:w="733" w:type="dxa"/>
          </w:tcPr>
          <w:p>
            <w:pPr>
              <w:pStyle w:val="CeldaAPA"/>
              <w:jc w:val="center"/>
            </w:pPr>
            <w:r>
              <w:rPr/>
              <w:t xml:space="preserve">R</w:t>
            </w:r>
          </w:p>
        </w:tc>
        <w:tc>
          <w:tcPr>
            <w:tcW w:w="733" w:type="dxa"/>
          </w:tcPr>
          <w:p>
            <w:pPr>
              <w:pStyle w:val="CeldaAPA"/>
              <w:jc w:val="center"/>
            </w:pPr>
            <w:r>
              <w:rPr/>
              <w:t xml:space="preserve">C</w:t>
            </w:r>
          </w:p>
        </w:tc>
        <w:tc>
          <w:tcPr>
            <w:tcW w:w="733" w:type="dxa"/>
          </w:tcPr>
          <w:p>
            <w:pPr>
              <w:pStyle w:val="CeldaAPA"/>
              <w:jc w:val="center"/>
            </w:pPr>
            <w:r>
              <w:rPr/>
              <w:t xml:space="preserve">C</w:t>
            </w:r>
          </w:p>
        </w:tc>
        <w:tc>
          <w:tcPr>
            <w:tcW w:w="733" w:type="dxa"/>
          </w:tcPr>
          <w:p>
            <w:pPr>
              <w:pStyle w:val="CeldaAPA"/>
              <w:jc w:val="center"/>
            </w:pPr>
            <w:r>
              <w:rPr/>
              <w:t xml:space="preserve">–</w:t>
            </w:r>
          </w:p>
        </w:tc>
        <w:tc>
          <w:tcPr>
            <w:tcW w:w="733" w:type="dxa"/>
          </w:tcPr>
          <w:p>
            <w:pPr>
              <w:pStyle w:val="CeldaAPA"/>
              <w:jc w:val="center"/>
            </w:pPr>
            <w:r>
              <w:rPr/>
              <w:t xml:space="preserve">C</w:t>
            </w:r>
          </w:p>
        </w:tc>
        <w:tc>
          <w:tcPr>
            <w:tcW w:w="733" w:type="dxa"/>
          </w:tcPr>
          <w:p>
            <w:pPr>
              <w:pStyle w:val="CeldaAPA"/>
              <w:jc w:val="center"/>
            </w:pPr>
            <w:r>
              <w:rPr/>
              <w:t xml:space="preserve">I</w:t>
            </w:r>
          </w:p>
        </w:tc>
        <w:tc>
          <w:tcPr>
            <w:tcW w:w="733" w:type="dxa"/>
          </w:tcPr>
          <w:p>
            <w:pPr>
              <w:pStyle w:val="CeldaAPA"/>
              <w:jc w:val="center"/>
            </w:pPr>
            <w:r>
              <w:rPr/>
              <w:t xml:space="preserve">–</w:t>
            </w:r>
          </w:p>
        </w:tc>
      </w:tr>
      <w:tr>
        <w:tc>
          <w:tcPr>
            <w:tcW w:w="3494" w:type="dxa"/>
          </w:tcPr>
          <w:p>
            <w:pPr>
              <w:pStyle w:val="CeldaAPA"/>
              <w:jc w:val="left"/>
            </w:pPr>
            <w:r>
              <w:rPr/>
              <w:t xml:space="preserve">11. Revisar y aprobar la planilla de avance</w:t>
            </w:r>
          </w:p>
        </w:tc>
        <w:tc>
          <w:tcPr>
            <w:tcW w:w="733" w:type="dxa"/>
          </w:tcPr>
          <w:p>
            <w:pPr>
              <w:pStyle w:val="CeldaAPA"/>
              <w:jc w:val="center"/>
            </w:pPr>
            <w:r>
              <w:rPr/>
              <w:t xml:space="preserve">C</w:t>
            </w:r>
          </w:p>
        </w:tc>
        <w:tc>
          <w:tcPr>
            <w:tcW w:w="733" w:type="dxa"/>
          </w:tcPr>
          <w:p>
            <w:pPr>
              <w:pStyle w:val="CeldaAPA"/>
              <w:jc w:val="center"/>
            </w:pPr>
            <w:r>
              <w:rPr/>
              <w:t xml:space="preserve">C</w:t>
            </w:r>
          </w:p>
        </w:tc>
        <w:tc>
          <w:tcPr>
            <w:tcW w:w="733" w:type="dxa"/>
          </w:tcPr>
          <w:p>
            <w:pPr>
              <w:pStyle w:val="CeldaAPA"/>
              <w:jc w:val="center"/>
            </w:pPr>
            <w:r>
              <w:rPr/>
              <w:t xml:space="preserve">–</w:t>
            </w:r>
          </w:p>
        </w:tc>
        <w:tc>
          <w:tcPr>
            <w:tcW w:w="733" w:type="dxa"/>
          </w:tcPr>
          <w:p>
            <w:pPr>
              <w:pStyle w:val="CeldaAPA"/>
              <w:jc w:val="center"/>
            </w:pPr>
            <w:r>
              <w:rPr/>
              <w:t xml:space="preserve">–</w:t>
            </w:r>
          </w:p>
        </w:tc>
        <w:tc>
          <w:tcPr>
            <w:tcW w:w="733" w:type="dxa"/>
          </w:tcPr>
          <w:p>
            <w:pPr>
              <w:pStyle w:val="CeldaAPA"/>
              <w:jc w:val="center"/>
            </w:pPr>
            <w:r>
              <w:rPr/>
              <w:t xml:space="preserve">–</w:t>
            </w:r>
          </w:p>
        </w:tc>
        <w:tc>
          <w:tcPr>
            <w:tcW w:w="733" w:type="dxa"/>
          </w:tcPr>
          <w:p>
            <w:pPr>
              <w:pStyle w:val="CeldaAPA"/>
              <w:jc w:val="center"/>
            </w:pPr>
            <w:r>
              <w:rPr/>
              <w:t xml:space="preserve">R</w:t>
            </w:r>
          </w:p>
        </w:tc>
        <w:tc>
          <w:tcPr>
            <w:tcW w:w="733" w:type="dxa"/>
          </w:tcPr>
          <w:p>
            <w:pPr>
              <w:pStyle w:val="CeldaAPA"/>
              <w:jc w:val="center"/>
            </w:pPr>
            <w:r>
              <w:rPr/>
              <w:t xml:space="preserve">A</w:t>
            </w:r>
          </w:p>
        </w:tc>
        <w:tc>
          <w:tcPr>
            <w:tcW w:w="733" w:type="dxa"/>
          </w:tcPr>
          <w:p>
            <w:pPr>
              <w:pStyle w:val="CeldaAPA"/>
              <w:jc w:val="center"/>
            </w:pPr>
            <w:r>
              <w:rPr/>
              <w:t xml:space="preserve">–</w:t>
            </w:r>
          </w:p>
        </w:tc>
      </w:tr>
      <w:tr>
        <w:tc>
          <w:tcPr>
            <w:tcW w:w="3494" w:type="dxa"/>
          </w:tcPr>
          <w:p>
            <w:pPr>
              <w:pStyle w:val="CeldaAPA"/>
              <w:jc w:val="left"/>
            </w:pPr>
            <w:r>
              <w:rPr/>
              <w:t xml:space="preserve">12. Tratar el material no conforme y las no conformidades (PCM-05; acción correctiva)</w:t>
            </w:r>
          </w:p>
        </w:tc>
        <w:tc>
          <w:tcPr>
            <w:tcW w:w="733" w:type="dxa"/>
          </w:tcPr>
          <w:p>
            <w:pPr>
              <w:pStyle w:val="CeldaAPA"/>
              <w:jc w:val="center"/>
            </w:pPr>
            <w:r>
              <w:rPr/>
              <w:t xml:space="preserve">A</w:t>
            </w:r>
          </w:p>
        </w:tc>
        <w:tc>
          <w:tcPr>
            <w:tcW w:w="733" w:type="dxa"/>
          </w:tcPr>
          <w:p>
            <w:pPr>
              <w:pStyle w:val="CeldaAPA"/>
              <w:jc w:val="center"/>
            </w:pPr>
            <w:r>
              <w:rPr/>
              <w:t xml:space="preserve">R</w:t>
            </w:r>
          </w:p>
        </w:tc>
        <w:tc>
          <w:tcPr>
            <w:tcW w:w="733" w:type="dxa"/>
          </w:tcPr>
          <w:p>
            <w:pPr>
              <w:pStyle w:val="CeldaAPA"/>
              <w:jc w:val="center"/>
            </w:pPr>
            <w:r>
              <w:rPr/>
              <w:t xml:space="preserve">C</w:t>
            </w:r>
          </w:p>
        </w:tc>
        <w:tc>
          <w:tcPr>
            <w:tcW w:w="733" w:type="dxa"/>
          </w:tcPr>
          <w:p>
            <w:pPr>
              <w:pStyle w:val="CeldaAPA"/>
              <w:jc w:val="center"/>
            </w:pPr>
            <w:r>
              <w:rPr/>
              <w:t xml:space="preserve">C</w:t>
            </w:r>
          </w:p>
        </w:tc>
        <w:tc>
          <w:tcPr>
            <w:tcW w:w="733" w:type="dxa"/>
          </w:tcPr>
          <w:p>
            <w:pPr>
              <w:pStyle w:val="CeldaAPA"/>
              <w:jc w:val="center"/>
            </w:pPr>
            <w:r>
              <w:rPr/>
              <w:t xml:space="preserve">C</w:t>
            </w:r>
          </w:p>
        </w:tc>
        <w:tc>
          <w:tcPr>
            <w:tcW w:w="733" w:type="dxa"/>
          </w:tcPr>
          <w:p>
            <w:pPr>
              <w:pStyle w:val="CeldaAPA"/>
              <w:jc w:val="center"/>
            </w:pPr>
            <w:r>
              <w:rPr/>
              <w:t xml:space="preserve">C</w:t>
            </w:r>
          </w:p>
        </w:tc>
        <w:tc>
          <w:tcPr>
            <w:tcW w:w="733" w:type="dxa"/>
          </w:tcPr>
          <w:p>
            <w:pPr>
              <w:pStyle w:val="CeldaAPA"/>
              <w:jc w:val="center"/>
            </w:pPr>
            <w:r>
              <w:rPr/>
              <w:t xml:space="preserve">I</w:t>
            </w:r>
          </w:p>
        </w:tc>
        <w:tc>
          <w:tcPr>
            <w:tcW w:w="733" w:type="dxa"/>
          </w:tcPr>
          <w:p>
            <w:pPr>
              <w:pStyle w:val="CeldaAPA"/>
              <w:jc w:val="center"/>
            </w:pPr>
            <w:r>
              <w:rPr/>
              <w:t xml:space="preserve">C</w:t>
            </w:r>
          </w:p>
        </w:tc>
      </w:tr>
      <w:tr>
        <w:tc>
          <w:tcPr>
            <w:tcW w:w="3494" w:type="dxa"/>
          </w:tcPr>
          <w:p>
            <w:pPr>
              <w:pStyle w:val="CeldaAPA"/>
              <w:jc w:val="left"/>
            </w:pPr>
            <w:r>
              <w:rPr/>
              <w:t xml:space="preserve">13. Registrar los costos de la calidad (PAF)</w:t>
            </w:r>
          </w:p>
        </w:tc>
        <w:tc>
          <w:tcPr>
            <w:tcW w:w="733" w:type="dxa"/>
          </w:tcPr>
          <w:p>
            <w:pPr>
              <w:pStyle w:val="CeldaAPA"/>
              <w:jc w:val="center"/>
            </w:pPr>
            <w:r>
              <w:rPr/>
              <w:t xml:space="preserve">A</w:t>
            </w:r>
          </w:p>
        </w:tc>
        <w:tc>
          <w:tcPr>
            <w:tcW w:w="733" w:type="dxa"/>
          </w:tcPr>
          <w:p>
            <w:pPr>
              <w:pStyle w:val="CeldaAPA"/>
              <w:jc w:val="center"/>
            </w:pPr>
            <w:r>
              <w:rPr/>
              <w:t xml:space="preserve">R</w:t>
            </w:r>
          </w:p>
        </w:tc>
        <w:tc>
          <w:tcPr>
            <w:tcW w:w="733" w:type="dxa"/>
          </w:tcPr>
          <w:p>
            <w:pPr>
              <w:pStyle w:val="CeldaAPA"/>
              <w:jc w:val="center"/>
            </w:pPr>
            <w:r>
              <w:rPr/>
              <w:t xml:space="preserve">C</w:t>
            </w:r>
          </w:p>
        </w:tc>
        <w:tc>
          <w:tcPr>
            <w:tcW w:w="733" w:type="dxa"/>
          </w:tcPr>
          <w:p>
            <w:pPr>
              <w:pStyle w:val="CeldaAPA"/>
              <w:jc w:val="center"/>
            </w:pPr>
            <w:r>
              <w:rPr/>
              <w:t xml:space="preserve">–</w:t>
            </w:r>
          </w:p>
        </w:tc>
        <w:tc>
          <w:tcPr>
            <w:tcW w:w="733" w:type="dxa"/>
          </w:tcPr>
          <w:p>
            <w:pPr>
              <w:pStyle w:val="CeldaAPA"/>
              <w:jc w:val="center"/>
            </w:pPr>
            <w:r>
              <w:rPr/>
              <w:t xml:space="preserve">–</w:t>
            </w:r>
          </w:p>
        </w:tc>
        <w:tc>
          <w:tcPr>
            <w:tcW w:w="733" w:type="dxa"/>
          </w:tcPr>
          <w:p>
            <w:pPr>
              <w:pStyle w:val="CeldaAPA"/>
              <w:jc w:val="center"/>
            </w:pPr>
            <w:r>
              <w:rPr/>
              <w:t xml:space="preserve">–</w:t>
            </w:r>
          </w:p>
        </w:tc>
        <w:tc>
          <w:tcPr>
            <w:tcW w:w="733" w:type="dxa"/>
          </w:tcPr>
          <w:p>
            <w:pPr>
              <w:pStyle w:val="CeldaAPA"/>
              <w:jc w:val="center"/>
            </w:pPr>
            <w:r>
              <w:rPr/>
              <w:t xml:space="preserve">I</w:t>
            </w:r>
          </w:p>
        </w:tc>
        <w:tc>
          <w:tcPr>
            <w:tcW w:w="733" w:type="dxa"/>
          </w:tcPr>
          <w:p>
            <w:pPr>
              <w:pStyle w:val="CeldaAPA"/>
              <w:jc w:val="center"/>
            </w:pPr>
            <w:r>
              <w:rPr/>
              <w:t xml:space="preserve">–</w:t>
            </w:r>
          </w:p>
        </w:tc>
      </w:tr>
      <w:tr>
        <w:tc>
          <w:tcPr>
            <w:tcW w:w="3494" w:type="dxa"/>
          </w:tcPr>
          <w:p>
            <w:pPr>
              <w:pStyle w:val="CeldaAPA"/>
              <w:jc w:val="left"/>
            </w:pPr>
            <w:r>
              <w:rPr/>
              <w:t xml:space="preserve">14. Atender consultas técnicas (p. ej., complemento EPS)</w:t>
            </w:r>
          </w:p>
        </w:tc>
        <w:tc>
          <w:tcPr>
            <w:tcW w:w="733" w:type="dxa"/>
          </w:tcPr>
          <w:p>
            <w:pPr>
              <w:pStyle w:val="CeldaAPA"/>
              <w:jc w:val="center"/>
            </w:pPr>
            <w:r>
              <w:rPr/>
              <w:t xml:space="preserve">C</w:t>
            </w:r>
          </w:p>
        </w:tc>
        <w:tc>
          <w:tcPr>
            <w:tcW w:w="733" w:type="dxa"/>
          </w:tcPr>
          <w:p>
            <w:pPr>
              <w:pStyle w:val="CeldaAPA"/>
              <w:jc w:val="center"/>
            </w:pPr>
            <w:r>
              <w:rPr/>
              <w:t xml:space="preserve">R</w:t>
            </w:r>
          </w:p>
        </w:tc>
        <w:tc>
          <w:tcPr>
            <w:tcW w:w="733" w:type="dxa"/>
          </w:tcPr>
          <w:p>
            <w:pPr>
              <w:pStyle w:val="CeldaAPA"/>
              <w:jc w:val="center"/>
            </w:pPr>
            <w:r>
              <w:rPr/>
              <w:t xml:space="preserve">–</w:t>
            </w:r>
          </w:p>
        </w:tc>
        <w:tc>
          <w:tcPr>
            <w:tcW w:w="733" w:type="dxa"/>
          </w:tcPr>
          <w:p>
            <w:pPr>
              <w:pStyle w:val="CeldaAPA"/>
              <w:jc w:val="center"/>
            </w:pPr>
            <w:r>
              <w:rPr/>
              <w:t xml:space="preserve">–</w:t>
            </w:r>
          </w:p>
        </w:tc>
        <w:tc>
          <w:tcPr>
            <w:tcW w:w="733" w:type="dxa"/>
          </w:tcPr>
          <w:p>
            <w:pPr>
              <w:pStyle w:val="CeldaAPA"/>
              <w:jc w:val="center"/>
            </w:pPr>
            <w:r>
              <w:rPr/>
              <w:t xml:space="preserve">–</w:t>
            </w:r>
          </w:p>
        </w:tc>
        <w:tc>
          <w:tcPr>
            <w:tcW w:w="733" w:type="dxa"/>
          </w:tcPr>
          <w:p>
            <w:pPr>
              <w:pStyle w:val="CeldaAPA"/>
              <w:jc w:val="center"/>
            </w:pPr>
            <w:r>
              <w:rPr/>
              <w:t xml:space="preserve">A</w:t>
            </w:r>
          </w:p>
        </w:tc>
        <w:tc>
          <w:tcPr>
            <w:tcW w:w="733" w:type="dxa"/>
          </w:tcPr>
          <w:p>
            <w:pPr>
              <w:pStyle w:val="CeldaAPA"/>
              <w:jc w:val="center"/>
            </w:pPr>
            <w:r>
              <w:rPr/>
              <w:t xml:space="preserve">I</w:t>
            </w:r>
          </w:p>
        </w:tc>
        <w:tc>
          <w:tcPr>
            <w:tcW w:w="733" w:type="dxa"/>
          </w:tcPr>
          <w:p>
            <w:pPr>
              <w:pStyle w:val="CeldaAPA"/>
              <w:jc w:val="center"/>
            </w:pPr>
            <w:r>
              <w:rPr/>
              <w:t xml:space="preserve">C</w:t>
            </w:r>
          </w:p>
        </w:tc>
      </w:tr>
      <w:tr>
        <w:tc>
          <w:tcPr>
            <w:tcW w:w="3494" w:type="dxa"/>
          </w:tcPr>
          <w:p>
            <w:pPr>
              <w:pStyle w:val="CeldaAPA"/>
              <w:jc w:val="left"/>
            </w:pPr>
            <w:r>
              <w:rPr/>
              <w:t xml:space="preserve">15. Aprobar órdenes de cambio o modificaciones con efecto en cantidades o monto</w:t>
            </w:r>
          </w:p>
        </w:tc>
        <w:tc>
          <w:tcPr>
            <w:tcW w:w="733" w:type="dxa"/>
          </w:tcPr>
          <w:p>
            <w:pPr>
              <w:pStyle w:val="CeldaAPA"/>
              <w:jc w:val="center"/>
            </w:pPr>
            <w:r>
              <w:rPr/>
              <w:t xml:space="preserve">C</w:t>
            </w:r>
          </w:p>
        </w:tc>
        <w:tc>
          <w:tcPr>
            <w:tcW w:w="733" w:type="dxa"/>
          </w:tcPr>
          <w:p>
            <w:pPr>
              <w:pStyle w:val="CeldaAPA"/>
              <w:jc w:val="center"/>
            </w:pPr>
            <w:r>
              <w:rPr/>
              <w:t xml:space="preserve">C</w:t>
            </w:r>
          </w:p>
        </w:tc>
        <w:tc>
          <w:tcPr>
            <w:tcW w:w="733" w:type="dxa"/>
          </w:tcPr>
          <w:p>
            <w:pPr>
              <w:pStyle w:val="CeldaAPA"/>
              <w:jc w:val="center"/>
            </w:pPr>
            <w:r>
              <w:rPr/>
              <w:t xml:space="preserve">–</w:t>
            </w:r>
          </w:p>
        </w:tc>
        <w:tc>
          <w:tcPr>
            <w:tcW w:w="733" w:type="dxa"/>
          </w:tcPr>
          <w:p>
            <w:pPr>
              <w:pStyle w:val="CeldaAPA"/>
              <w:jc w:val="center"/>
            </w:pPr>
            <w:r>
              <w:rPr/>
              <w:t xml:space="preserve">–</w:t>
            </w:r>
          </w:p>
        </w:tc>
        <w:tc>
          <w:tcPr>
            <w:tcW w:w="733" w:type="dxa"/>
          </w:tcPr>
          <w:p>
            <w:pPr>
              <w:pStyle w:val="CeldaAPA"/>
              <w:jc w:val="center"/>
            </w:pPr>
            <w:r>
              <w:rPr/>
              <w:t xml:space="preserve">–</w:t>
            </w:r>
          </w:p>
        </w:tc>
        <w:tc>
          <w:tcPr>
            <w:tcW w:w="733" w:type="dxa"/>
          </w:tcPr>
          <w:p>
            <w:pPr>
              <w:pStyle w:val="CeldaAPA"/>
              <w:jc w:val="center"/>
            </w:pPr>
            <w:r>
              <w:rPr/>
              <w:t xml:space="preserve">R</w:t>
            </w:r>
          </w:p>
        </w:tc>
        <w:tc>
          <w:tcPr>
            <w:tcW w:w="733" w:type="dxa"/>
          </w:tcPr>
          <w:p>
            <w:pPr>
              <w:pStyle w:val="CeldaAPA"/>
              <w:jc w:val="center"/>
            </w:pPr>
            <w:r>
              <w:rPr/>
              <w:t xml:space="preserve">A</w:t>
            </w:r>
          </w:p>
        </w:tc>
        <w:tc>
          <w:tcPr>
            <w:tcW w:w="733" w:type="dxa"/>
          </w:tcPr>
          <w:p>
            <w:pPr>
              <w:pStyle w:val="CeldaAPA"/>
              <w:jc w:val="center"/>
            </w:pPr>
            <w:r>
              <w:rPr/>
              <w:t xml:space="preserve">–</w:t>
            </w:r>
          </w:p>
        </w:tc>
      </w:tr>
      <w:tr>
        <w:tc>
          <w:tcPr>
            <w:tcW w:w="3494" w:type="dxa"/>
          </w:tcPr>
          <w:p>
            <w:pPr>
              <w:pStyle w:val="CeldaAPA"/>
              <w:jc w:val="left"/>
            </w:pPr>
            <w:r>
              <w:rPr/>
              <w:t xml:space="preserve">16. Reunión semanal de calidad y revisión mensual</w:t>
            </w:r>
          </w:p>
        </w:tc>
        <w:tc>
          <w:tcPr>
            <w:tcW w:w="733" w:type="dxa"/>
          </w:tcPr>
          <w:p>
            <w:pPr>
              <w:pStyle w:val="CeldaAPA"/>
              <w:jc w:val="center"/>
            </w:pPr>
            <w:r>
              <w:rPr/>
              <w:t xml:space="preserve">A</w:t>
            </w:r>
          </w:p>
        </w:tc>
        <w:tc>
          <w:tcPr>
            <w:tcW w:w="733" w:type="dxa"/>
          </w:tcPr>
          <w:p>
            <w:pPr>
              <w:pStyle w:val="CeldaAPA"/>
              <w:jc w:val="center"/>
            </w:pPr>
            <w:r>
              <w:rPr/>
              <w:t xml:space="preserve">R</w:t>
            </w:r>
          </w:p>
        </w:tc>
        <w:tc>
          <w:tcPr>
            <w:tcW w:w="733" w:type="dxa"/>
          </w:tcPr>
          <w:p>
            <w:pPr>
              <w:pStyle w:val="CeldaAPA"/>
              <w:jc w:val="center"/>
            </w:pPr>
            <w:r>
              <w:rPr/>
              <w:t xml:space="preserve">C</w:t>
            </w:r>
          </w:p>
        </w:tc>
        <w:tc>
          <w:tcPr>
            <w:tcW w:w="733" w:type="dxa"/>
          </w:tcPr>
          <w:p>
            <w:pPr>
              <w:pStyle w:val="CeldaAPA"/>
              <w:jc w:val="center"/>
            </w:pPr>
            <w:r>
              <w:rPr/>
              <w:t xml:space="preserve">C</w:t>
            </w:r>
          </w:p>
        </w:tc>
        <w:tc>
          <w:tcPr>
            <w:tcW w:w="733" w:type="dxa"/>
          </w:tcPr>
          <w:p>
            <w:pPr>
              <w:pStyle w:val="CeldaAPA"/>
              <w:jc w:val="center"/>
            </w:pPr>
            <w:r>
              <w:rPr/>
              <w:t xml:space="preserve">–</w:t>
            </w:r>
          </w:p>
        </w:tc>
        <w:tc>
          <w:tcPr>
            <w:tcW w:w="733" w:type="dxa"/>
          </w:tcPr>
          <w:p>
            <w:pPr>
              <w:pStyle w:val="CeldaAPA"/>
              <w:jc w:val="center"/>
            </w:pPr>
            <w:r>
              <w:rPr/>
              <w:t xml:space="preserve">C</w:t>
            </w:r>
          </w:p>
        </w:tc>
        <w:tc>
          <w:tcPr>
            <w:tcW w:w="733" w:type="dxa"/>
          </w:tcPr>
          <w:p>
            <w:pPr>
              <w:pStyle w:val="CeldaAPA"/>
              <w:jc w:val="center"/>
            </w:pPr>
            <w:r>
              <w:rPr/>
              <w:t xml:space="preserve">I</w:t>
            </w:r>
          </w:p>
        </w:tc>
        <w:tc>
          <w:tcPr>
            <w:tcW w:w="733" w:type="dxa"/>
          </w:tcPr>
          <w:p>
            <w:pPr>
              <w:pStyle w:val="CeldaAPA"/>
              <w:jc w:val="center"/>
            </w:pPr>
            <w:r>
              <w:rPr/>
              <w:t xml:space="preserve">–</w:t>
            </w:r>
          </w:p>
        </w:tc>
      </w:tr>
      <w:tr>
        <w:tc>
          <w:tcPr>
            <w:tcW w:w="3494" w:type="dxa"/>
            <w:tcBorders>
              <w:bottom w:val="single" w:sz="8" w:space="0" w:color="000000"/>
            </w:tcBorders>
          </w:tcPr>
          <w:p>
            <w:pPr>
              <w:pStyle w:val="CeldaAPA"/>
              <w:jc w:val="left"/>
            </w:pPr>
            <w:r>
              <w:rPr/>
              <w:t xml:space="preserve">17. Auditoría interna simplificada</w:t>
            </w:r>
          </w:p>
        </w:tc>
        <w:tc>
          <w:tcPr>
            <w:tcW w:w="733" w:type="dxa"/>
            <w:tcBorders>
              <w:bottom w:val="single" w:sz="8" w:space="0" w:color="000000"/>
            </w:tcBorders>
          </w:tcPr>
          <w:p>
            <w:pPr>
              <w:pStyle w:val="CeldaAPA"/>
              <w:jc w:val="center"/>
            </w:pPr>
            <w:r>
              <w:rPr/>
              <w:t xml:space="preserve">A</w:t>
            </w:r>
          </w:p>
        </w:tc>
        <w:tc>
          <w:tcPr>
            <w:tcW w:w="733" w:type="dxa"/>
            <w:tcBorders>
              <w:bottom w:val="single" w:sz="8" w:space="0" w:color="000000"/>
            </w:tcBorders>
          </w:tcPr>
          <w:p>
            <w:pPr>
              <w:pStyle w:val="CeldaAPA"/>
              <w:jc w:val="center"/>
            </w:pPr>
            <w:r>
              <w:rPr/>
              <w:t xml:space="preserve">C</w:t>
            </w:r>
          </w:p>
        </w:tc>
        <w:tc>
          <w:tcPr>
            <w:tcW w:w="733" w:type="dxa"/>
            <w:tcBorders>
              <w:bottom w:val="single" w:sz="8" w:space="0" w:color="000000"/>
            </w:tcBorders>
          </w:tcPr>
          <w:p>
            <w:pPr>
              <w:pStyle w:val="CeldaAPA"/>
              <w:jc w:val="center"/>
            </w:pPr>
            <w:r>
              <w:rPr/>
              <w:t xml:space="preserve">C</w:t>
            </w:r>
          </w:p>
        </w:tc>
        <w:tc>
          <w:tcPr>
            <w:tcW w:w="733" w:type="dxa"/>
            <w:tcBorders>
              <w:bottom w:val="single" w:sz="8" w:space="0" w:color="000000"/>
            </w:tcBorders>
          </w:tcPr>
          <w:p>
            <w:pPr>
              <w:pStyle w:val="CeldaAPA"/>
              <w:jc w:val="center"/>
            </w:pPr>
            <w:r>
              <w:rPr/>
              <w:t xml:space="preserve">C</w:t>
            </w:r>
          </w:p>
        </w:tc>
        <w:tc>
          <w:tcPr>
            <w:tcW w:w="733" w:type="dxa"/>
            <w:tcBorders>
              <w:bottom w:val="single" w:sz="8" w:space="0" w:color="000000"/>
            </w:tcBorders>
          </w:tcPr>
          <w:p>
            <w:pPr>
              <w:pStyle w:val="CeldaAPA"/>
              <w:jc w:val="center"/>
            </w:pPr>
            <w:r>
              <w:rPr/>
              <w:t xml:space="preserve">–</w:t>
            </w:r>
          </w:p>
        </w:tc>
        <w:tc>
          <w:tcPr>
            <w:tcW w:w="733" w:type="dxa"/>
            <w:tcBorders>
              <w:bottom w:val="single" w:sz="8" w:space="0" w:color="000000"/>
            </w:tcBorders>
          </w:tcPr>
          <w:p>
            <w:pPr>
              <w:pStyle w:val="CeldaAPA"/>
              <w:jc w:val="center"/>
            </w:pPr>
            <w:r>
              <w:rPr/>
              <w:t xml:space="preserve">R</w:t>
            </w:r>
          </w:p>
        </w:tc>
        <w:tc>
          <w:tcPr>
            <w:tcW w:w="733" w:type="dxa"/>
            <w:tcBorders>
              <w:bottom w:val="single" w:sz="8" w:space="0" w:color="000000"/>
            </w:tcBorders>
          </w:tcPr>
          <w:p>
            <w:pPr>
              <w:pStyle w:val="CeldaAPA"/>
              <w:jc w:val="center"/>
            </w:pPr>
            <w:r>
              <w:rPr/>
              <w:t xml:space="preserve">I</w:t>
            </w:r>
          </w:p>
        </w:tc>
        <w:tc>
          <w:tcPr>
            <w:tcW w:w="733" w:type="dxa"/>
            <w:tcBorders>
              <w:bottom w:val="single" w:sz="8" w:space="0" w:color="000000"/>
            </w:tcBorders>
          </w:tcPr>
          <w:p>
            <w:pPr>
              <w:pStyle w:val="CeldaAPA"/>
              <w:jc w:val="center"/>
            </w:pPr>
            <w:r>
              <w:rPr/>
              <w:t xml:space="preserve">–</w:t>
            </w:r>
          </w:p>
        </w:tc>
      </w:tr>
    </w:tbl>
    <w:p>
      <w:pPr>
        <w:pStyle w:val="NotaAPA"/>
      </w:pPr>
      <w:r>
        <w:rPr>
          <w:iCs/>
          <w:i/>
        </w:rPr>
        <w:t xml:space="preserve">Nota.</w:t>
      </w:r>
      <w:r>
        <w:t xml:space="preserve"> </w:t>
      </w:r>
      <w:r>
        <w:t xml:space="preserve">Elaboración propia. DO: Director de obra; RC: Residente de obra y encargado de calidad; AL: Almacenero; CA: Capataz y armadores; LB: laboratorio de ensayos; SU: Supervisor de obra; FI: Fiscal de obra; PR: proveedores. En la auditoría interna, el responsable de ejecutarla (R) puede ser el Supervisor o un profesional independiente del proceso auditado, designado de común acuerdo.</w:t>
      </w:r>
    </w:p>
    <w:p>
      <w:pPr>
        <w:pStyle w:val="Heading3"/>
      </w:pPr>
      <w:bookmarkStart w:id="160" w:name="tit113"/>
      <w:r>
        <w:t xml:space="preserve">2.6.4. Planificación: riesgos, oportunidades y objetivos de la calidad</w:t>
      </w:r>
      <w:bookmarkEnd w:id="160"/>
    </w:p>
    <w:p>
      <w:pPr>
        <w:pStyle w:val="FirstParagraph"/>
      </w:pPr>
      <w:r>
        <w:rPr>
          <w:bCs/>
          <w:b/>
        </w:rPr>
        <w:t xml:space="preserve">Método de valoración de riesgos.</w:t>
      </w:r>
      <w:r>
        <w:t xml:space="preserve"> </w:t>
      </w:r>
      <w:r>
        <w:t xml:space="preserve">Cada riesgo del proceso de la losa se valoró con una probabilidad</w:t>
      </w:r>
      <w:r>
        <w:t xml:space="preserve"> </w:t>
      </w:r>
      <m:oMath>
        <m:r>
          <m:t>P</m:t>
        </m:r>
      </m:oMath>
      <w:r>
        <w:t xml:space="preserve"> </w:t>
      </w:r>
      <w:r>
        <w:t xml:space="preserve">y un impacto</w:t>
      </w:r>
      <w:r>
        <w:t xml:space="preserve"> </w:t>
      </w:r>
      <m:oMath>
        <m:r>
          <m:t>I</m:t>
        </m:r>
      </m:oMath>
      <w:r>
        <w:t xml:space="preserve"> </w:t>
      </w:r>
      <w:r>
        <w:t xml:space="preserve">en una escala de tres niveles. La probabilidad es baja (1) si no hay antecedentes en la obra, media (2) si el hecho es posible por las condiciones de la obra y alta (3) si ya ocurrió en la primera losa o en el periodo de ejecución. El impacto es bajo (1) si solo genera una corrección menor, medio (2) si causa desperdicio, retrabajo o un retraso de días, y alto (3) si compromete la seguridad estructural, el pago correcto de cantidades o la continuidad de la obra. El nivel de riesgo es</w:t>
      </w:r>
      <w:r>
        <w:t xml:space="preserve"> </w:t>
      </w:r>
      <m:oMath>
        <m:r>
          <m:t>N</m:t>
        </m:r>
        <m:r>
          <m:rPr>
            <m:sty m:val="p"/>
          </m:rPr>
          <m:t>=</m:t>
        </m:r>
        <m:r>
          <m:t>P</m:t>
        </m:r>
        <m:r>
          <m:rPr>
            <m:sty m:val="p"/>
          </m:rPr>
          <m:t>×</m:t>
        </m:r>
        <m:r>
          <m:t>I</m:t>
        </m:r>
      </m:oMath>
      <w:r>
        <w:t xml:space="preserve">: bajo de 1 a 2, medio de 3 a 4 y alto de 6 a 9. Todo riesgo alto debe tener un control obligatorio en un procedimiento o en el PPI, un indicador y un responsable. La Tabla 32 presenta la matriz resultante.</w:t>
      </w:r>
    </w:p>
    <w:p>
      <w:pPr>
        <w:pStyle w:val="Caption"/>
      </w:pPr>
      <w:bookmarkStart w:id="1434" w:name="tab32"/>
      <w:r>
        <w:t xml:space="preserve"/>
      </w:r>
      <w:r>
        <w:rPr>
          <w:bCs/>
          <w:b/>
        </w:rPr>
        <w:t xml:space="preserve">Tabla 32</w:t>
      </w:r>
      <w:r>
        <w:br/>
      </w:r>
      <w:r>
        <w:rPr>
          <w:iCs/>
          <w:i/>
        </w:rPr>
        <w:t xml:space="preserve">Matriz de riesgos del proceso constructivo de la losa alivianada</w:t>
      </w:r>
      <w:bookmarkEnd w:id="1434"/>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696"/>
        <w:gridCol w:w="2269"/>
        <w:gridCol w:w="2135"/>
        <w:gridCol w:w="461"/>
        <w:gridCol w:w="426"/>
        <w:gridCol w:w="501"/>
        <w:gridCol w:w="2872"/>
      </w:tblGrid>
      <w:tr>
        <w:trPr>
          <w:cantSplit/>
          <w:tblHeader w:val="true"/>
        </w:trPr>
        <w:tc>
          <w:tcPr>
            <w:tcW w:w="696" w:type="dxa"/>
            <w:tcBorders>
              <w:top w:val="single" w:sz="8" w:space="0" w:color="000000"/>
              <w:bottom w:val="single" w:sz="4" w:space="0" w:color="000000"/>
            </w:tcBorders>
          </w:tcPr>
          <w:p>
            <w:pPr>
              <w:pStyle w:val="CeldaAPA"/>
              <w:jc w:val="center"/>
            </w:pPr>
            <w:r>
              <w:rPr>
                <w:bCs/>
                <w:b/>
              </w:rPr>
              <w:t xml:space="preserve">N.</w:t>
            </w:r>
            <w:r>
              <w:rPr>
                <w:vertAlign w:val="superscript"/>
                <w:bCs/>
                <w:b/>
              </w:rPr>
              <w:t xml:space="preserve">o</w:t>
            </w:r>
          </w:p>
        </w:tc>
        <w:tc>
          <w:tcPr>
            <w:tcW w:w="2269" w:type="dxa"/>
            <w:tcBorders>
              <w:top w:val="single" w:sz="8" w:space="0" w:color="000000"/>
              <w:bottom w:val="single" w:sz="4" w:space="0" w:color="000000"/>
            </w:tcBorders>
          </w:tcPr>
          <w:p>
            <w:pPr>
              <w:pStyle w:val="CeldaAPA"/>
              <w:jc w:val="center"/>
            </w:pPr>
            <w:r>
              <w:rPr>
                <w:bCs/>
                <w:b/>
              </w:rPr>
              <w:t xml:space="preserve">Riesgo</w:t>
            </w:r>
          </w:p>
        </w:tc>
        <w:tc>
          <w:tcPr>
            <w:tcW w:w="2135" w:type="dxa"/>
            <w:tcBorders>
              <w:top w:val="single" w:sz="8" w:space="0" w:color="000000"/>
              <w:bottom w:val="single" w:sz="4" w:space="0" w:color="000000"/>
            </w:tcBorders>
          </w:tcPr>
          <w:p>
            <w:pPr>
              <w:pStyle w:val="CeldaAPA"/>
              <w:jc w:val="center"/>
            </w:pPr>
            <w:r>
              <w:rPr>
                <w:bCs/>
                <w:b/>
              </w:rPr>
              <w:t xml:space="preserve">Causa o evidencia</w:t>
            </w:r>
          </w:p>
        </w:tc>
        <w:tc>
          <w:tcPr>
            <w:tcW w:w="461" w:type="dxa"/>
            <w:tcBorders>
              <w:top w:val="single" w:sz="8" w:space="0" w:color="000000"/>
              <w:bottom w:val="single" w:sz="4" w:space="0" w:color="000000"/>
            </w:tcBorders>
          </w:tcPr>
          <w:p>
            <w:pPr>
              <w:pStyle w:val="CeldaAPA"/>
              <w:jc w:val="center"/>
            </w:pPr>
            <m:oMath>
              <m:r>
                <m:t>P</m:t>
              </m:r>
            </m:oMath>
          </w:p>
        </w:tc>
        <w:tc>
          <w:tcPr>
            <w:tcW w:w="426" w:type="dxa"/>
            <w:tcBorders>
              <w:top w:val="single" w:sz="8" w:space="0" w:color="000000"/>
              <w:bottom w:val="single" w:sz="4" w:space="0" w:color="000000"/>
            </w:tcBorders>
          </w:tcPr>
          <w:p>
            <w:pPr>
              <w:pStyle w:val="CeldaAPA"/>
              <w:jc w:val="center"/>
            </w:pPr>
            <m:oMath>
              <m:r>
                <m:t>I</m:t>
              </m:r>
            </m:oMath>
          </w:p>
        </w:tc>
        <w:tc>
          <w:tcPr>
            <w:tcW w:w="501" w:type="dxa"/>
            <w:tcBorders>
              <w:top w:val="single" w:sz="8" w:space="0" w:color="000000"/>
              <w:bottom w:val="single" w:sz="4" w:space="0" w:color="000000"/>
            </w:tcBorders>
          </w:tcPr>
          <w:p>
            <w:pPr>
              <w:pStyle w:val="CeldaAPA"/>
              <w:jc w:val="center"/>
            </w:pPr>
            <m:oMath>
              <m:r>
                <m:t>N</m:t>
              </m:r>
            </m:oMath>
          </w:p>
        </w:tc>
        <w:tc>
          <w:tcPr>
            <w:tcW w:w="2872" w:type="dxa"/>
            <w:tcBorders>
              <w:top w:val="single" w:sz="8" w:space="0" w:color="000000"/>
              <w:bottom w:val="single" w:sz="4" w:space="0" w:color="000000"/>
            </w:tcBorders>
          </w:tcPr>
          <w:p>
            <w:pPr>
              <w:pStyle w:val="CeldaAPA"/>
              <w:jc w:val="center"/>
            </w:pPr>
            <w:r>
              <w:rPr>
                <w:bCs/>
                <w:b/>
              </w:rPr>
              <w:t xml:space="preserve">Control del SGC (respuesta)</w:t>
            </w:r>
          </w:p>
        </w:tc>
      </w:tr>
      <w:tr>
        <w:tc>
          <w:tcPr>
            <w:tcW w:w="696" w:type="dxa"/>
          </w:tcPr>
          <w:p>
            <w:pPr>
              <w:pStyle w:val="CeldaAPA"/>
              <w:jc w:val="left"/>
            </w:pPr>
            <w:r>
              <w:rPr/>
              <w:t xml:space="preserve">R1</w:t>
            </w:r>
          </w:p>
        </w:tc>
        <w:tc>
          <w:tcPr>
            <w:tcW w:w="2269" w:type="dxa"/>
          </w:tcPr>
          <w:p>
            <w:pPr>
              <w:pStyle w:val="CeldaAPA"/>
              <w:jc w:val="left"/>
            </w:pPr>
            <w:r>
              <w:rPr/>
              <w:t xml:space="preserve">Hormigón de la losa sin verificación de su resistencia</w:t>
            </w:r>
          </w:p>
        </w:tc>
        <w:tc>
          <w:tcPr>
            <w:tcW w:w="2135" w:type="dxa"/>
          </w:tcPr>
          <w:p>
            <w:pPr>
              <w:pStyle w:val="CeldaAPA"/>
              <w:jc w:val="left"/>
            </w:pPr>
            <w:r>
              <w:rPr/>
              <w:t xml:space="preserve">Sin probetas de la losa; ensayos tardíos y no independientes; losa certificada sin resultados (B1)</w:t>
            </w:r>
          </w:p>
        </w:tc>
        <w:tc>
          <w:tcPr>
            <w:tcW w:w="461" w:type="dxa"/>
          </w:tcPr>
          <w:p>
            <w:pPr>
              <w:pStyle w:val="CeldaAPA"/>
              <w:jc w:val="center"/>
            </w:pPr>
            <w:r>
              <w:rPr/>
              <w:t xml:space="preserve">3</w:t>
            </w:r>
          </w:p>
        </w:tc>
        <w:tc>
          <w:tcPr>
            <w:tcW w:w="426" w:type="dxa"/>
          </w:tcPr>
          <w:p>
            <w:pPr>
              <w:pStyle w:val="CeldaAPA"/>
              <w:jc w:val="center"/>
            </w:pPr>
            <w:r>
              <w:rPr/>
              <w:t xml:space="preserve">3</w:t>
            </w:r>
          </w:p>
        </w:tc>
        <w:tc>
          <w:tcPr>
            <w:tcW w:w="501" w:type="dxa"/>
          </w:tcPr>
          <w:p>
            <w:pPr>
              <w:pStyle w:val="CeldaAPA"/>
              <w:jc w:val="center"/>
            </w:pPr>
            <w:r>
              <w:rPr/>
              <w:t xml:space="preserve">9</w:t>
            </w:r>
          </w:p>
        </w:tc>
        <w:tc>
          <w:tcPr>
            <w:tcW w:w="2872" w:type="dxa"/>
          </w:tcPr>
          <w:p>
            <w:pPr>
              <w:pStyle w:val="CeldaAPA"/>
              <w:jc w:val="left"/>
            </w:pPr>
            <w:r>
              <w:rPr/>
              <w:t xml:space="preserve">Plan de muestreo según ACI 318-25 (Tabla 40) a cargo del laboratorio; ensayo a 28 días; pago condicionado a los resultados</w:t>
            </w:r>
          </w:p>
        </w:tc>
      </w:tr>
      <w:tr>
        <w:tc>
          <w:tcPr>
            <w:tcW w:w="696" w:type="dxa"/>
          </w:tcPr>
          <w:p>
            <w:pPr>
              <w:pStyle w:val="CeldaAPA"/>
              <w:jc w:val="left"/>
            </w:pPr>
            <w:r>
              <w:rPr/>
              <w:t xml:space="preserve">R2</w:t>
            </w:r>
          </w:p>
        </w:tc>
        <w:tc>
          <w:tcPr>
            <w:tcW w:w="2269" w:type="dxa"/>
          </w:tcPr>
          <w:p>
            <w:pPr>
              <w:pStyle w:val="CeldaAPA"/>
              <w:jc w:val="left"/>
            </w:pPr>
            <w:r>
              <w:rPr/>
              <w:t xml:space="preserve">Dosificación no aprobada o variable</w:t>
            </w:r>
          </w:p>
        </w:tc>
        <w:tc>
          <w:tcPr>
            <w:tcW w:w="2135" w:type="dxa"/>
          </w:tcPr>
          <w:p>
            <w:pPr>
              <w:pStyle w:val="CeldaAPA"/>
              <w:jc w:val="left"/>
            </w:pPr>
            <w:r>
              <w:rPr/>
              <w:t xml:space="preserve">Dosificaciones pedidas por la Supervisión (B2)</w:t>
            </w:r>
          </w:p>
        </w:tc>
        <w:tc>
          <w:tcPr>
            <w:tcW w:w="461" w:type="dxa"/>
          </w:tcPr>
          <w:p>
            <w:pPr>
              <w:pStyle w:val="CeldaAPA"/>
              <w:jc w:val="center"/>
            </w:pPr>
            <w:r>
              <w:rPr/>
              <w:t xml:space="preserve">3</w:t>
            </w:r>
          </w:p>
        </w:tc>
        <w:tc>
          <w:tcPr>
            <w:tcW w:w="426" w:type="dxa"/>
          </w:tcPr>
          <w:p>
            <w:pPr>
              <w:pStyle w:val="CeldaAPA"/>
              <w:jc w:val="center"/>
            </w:pPr>
            <w:r>
              <w:rPr/>
              <w:t xml:space="preserve">3</w:t>
            </w:r>
          </w:p>
        </w:tc>
        <w:tc>
          <w:tcPr>
            <w:tcW w:w="501" w:type="dxa"/>
          </w:tcPr>
          <w:p>
            <w:pPr>
              <w:pStyle w:val="CeldaAPA"/>
              <w:jc w:val="center"/>
            </w:pPr>
            <w:r>
              <w:rPr/>
              <w:t xml:space="preserve">9</w:t>
            </w:r>
          </w:p>
        </w:tc>
        <w:tc>
          <w:tcPr>
            <w:tcW w:w="2872" w:type="dxa"/>
          </w:tcPr>
          <w:p>
            <w:pPr>
              <w:pStyle w:val="CeldaAPA"/>
              <w:jc w:val="left"/>
            </w:pPr>
            <w:r>
              <w:rPr/>
              <w:t xml:space="preserve">Dosificación aprobada antes del primer vaciado; cajones calibrados; asentamiento; bolsas de cemento por vaciado</w:t>
            </w:r>
          </w:p>
        </w:tc>
      </w:tr>
      <w:tr>
        <w:tc>
          <w:tcPr>
            <w:tcW w:w="696" w:type="dxa"/>
          </w:tcPr>
          <w:p>
            <w:pPr>
              <w:pStyle w:val="CeldaAPA"/>
              <w:jc w:val="left"/>
            </w:pPr>
            <w:r>
              <w:rPr/>
              <w:t xml:space="preserve">R3</w:t>
            </w:r>
          </w:p>
        </w:tc>
        <w:tc>
          <w:tcPr>
            <w:tcW w:w="2269" w:type="dxa"/>
          </w:tcPr>
          <w:p>
            <w:pPr>
              <w:pStyle w:val="CeldaAPA"/>
              <w:jc w:val="left"/>
            </w:pPr>
            <w:r>
              <w:rPr/>
              <w:t xml:space="preserve">Materiales sin certificado o no conformes en la obra</w:t>
            </w:r>
          </w:p>
        </w:tc>
        <w:tc>
          <w:tcPr>
            <w:tcW w:w="2135" w:type="dxa"/>
          </w:tcPr>
          <w:p>
            <w:pPr>
              <w:pStyle w:val="CeldaAPA"/>
              <w:jc w:val="left"/>
            </w:pPr>
            <w:r>
              <w:rPr/>
              <w:t xml:space="preserve">Certificados sin firma ni lote y posteriores a la colocación; sin certificado del</w:t>
            </w:r>
            <w:r>
              <w:rPr/>
              <w:t xml:space="preserve"> </w:t>
            </w:r>
            <m:oMath>
              <m:r>
                <m:t>ϕ</m:t>
              </m:r>
            </m:oMath>
            <w:r>
              <w:rPr/>
              <w:t xml:space="preserve">6 ni del</w:t>
            </w:r>
            <w:r>
              <w:rPr/>
              <w:t xml:space="preserve"> </w:t>
            </w:r>
            <m:oMath>
              <m:r>
                <m:t>ϕ</m:t>
              </m:r>
            </m:oMath>
            <w:r>
              <w:rPr/>
              <w:t xml:space="preserve">10 (B2)</w:t>
            </w:r>
          </w:p>
        </w:tc>
        <w:tc>
          <w:tcPr>
            <w:tcW w:w="461" w:type="dxa"/>
          </w:tcPr>
          <w:p>
            <w:pPr>
              <w:pStyle w:val="CeldaAPA"/>
              <w:jc w:val="center"/>
            </w:pPr>
            <w:r>
              <w:rPr/>
              <w:t xml:space="preserve">3</w:t>
            </w:r>
          </w:p>
        </w:tc>
        <w:tc>
          <w:tcPr>
            <w:tcW w:w="426" w:type="dxa"/>
          </w:tcPr>
          <w:p>
            <w:pPr>
              <w:pStyle w:val="CeldaAPA"/>
              <w:jc w:val="center"/>
            </w:pPr>
            <w:r>
              <w:rPr/>
              <w:t xml:space="preserve">3</w:t>
            </w:r>
          </w:p>
        </w:tc>
        <w:tc>
          <w:tcPr>
            <w:tcW w:w="501" w:type="dxa"/>
          </w:tcPr>
          <w:p>
            <w:pPr>
              <w:pStyle w:val="CeldaAPA"/>
              <w:jc w:val="center"/>
            </w:pPr>
            <w:r>
              <w:rPr/>
              <w:t xml:space="preserve">9</w:t>
            </w:r>
          </w:p>
        </w:tc>
        <w:tc>
          <w:tcPr>
            <w:tcW w:w="2872" w:type="dxa"/>
          </w:tcPr>
          <w:p>
            <w:pPr>
              <w:pStyle w:val="CeldaAPA"/>
              <w:jc w:val="left"/>
            </w:pPr>
            <w:r>
              <w:rPr/>
              <w:t xml:space="preserve">PCM-01 y PCM-05: recepción antes de colocar; certificado por lote y por diámetro</w:t>
            </w:r>
          </w:p>
        </w:tc>
      </w:tr>
      <w:tr>
        <w:tc>
          <w:tcPr>
            <w:tcW w:w="696" w:type="dxa"/>
          </w:tcPr>
          <w:p>
            <w:pPr>
              <w:pStyle w:val="CeldaAPA"/>
              <w:jc w:val="left"/>
            </w:pPr>
            <w:r>
              <w:rPr/>
              <w:t xml:space="preserve">R4</w:t>
            </w:r>
          </w:p>
        </w:tc>
        <w:tc>
          <w:tcPr>
            <w:tcW w:w="2269" w:type="dxa"/>
          </w:tcPr>
          <w:p>
            <w:pPr>
              <w:pStyle w:val="CeldaAPA"/>
              <w:jc w:val="left"/>
            </w:pPr>
            <w:r>
              <w:rPr/>
              <w:t xml:space="preserve">Viguetas fisuradas o EPS roto por manipuleo, acopio, apuntalamiento o tránsito</w:t>
            </w:r>
          </w:p>
        </w:tc>
        <w:tc>
          <w:tcPr>
            <w:tcW w:w="2135" w:type="dxa"/>
          </w:tcPr>
          <w:p>
            <w:pPr>
              <w:pStyle w:val="CeldaAPA"/>
              <w:jc w:val="left"/>
            </w:pPr>
            <w:r>
              <w:rPr/>
              <w:t xml:space="preserve">Prácticas observadas en el medio boliviano</w:t>
            </w:r>
            <w:r>
              <w:rPr/>
              <w:t xml:space="preserve"> </w:t>
            </w:r>
            <w:r>
              <w:rPr/>
              <w:t xml:space="preserve">(Alcón Aranda, 2009, pp. 122, 137–138)</w:t>
            </w:r>
          </w:p>
        </w:tc>
        <w:tc>
          <w:tcPr>
            <w:tcW w:w="461" w:type="dxa"/>
          </w:tcPr>
          <w:p>
            <w:pPr>
              <w:pStyle w:val="CeldaAPA"/>
              <w:jc w:val="center"/>
            </w:pPr>
            <w:r>
              <w:rPr/>
              <w:t xml:space="preserve">2</w:t>
            </w:r>
          </w:p>
        </w:tc>
        <w:tc>
          <w:tcPr>
            <w:tcW w:w="426" w:type="dxa"/>
          </w:tcPr>
          <w:p>
            <w:pPr>
              <w:pStyle w:val="CeldaAPA"/>
              <w:jc w:val="center"/>
            </w:pPr>
            <w:r>
              <w:rPr/>
              <w:t xml:space="preserve">3</w:t>
            </w:r>
          </w:p>
        </w:tc>
        <w:tc>
          <w:tcPr>
            <w:tcW w:w="501" w:type="dxa"/>
          </w:tcPr>
          <w:p>
            <w:pPr>
              <w:pStyle w:val="CeldaAPA"/>
              <w:jc w:val="center"/>
            </w:pPr>
            <w:r>
              <w:rPr/>
              <w:t xml:space="preserve">6</w:t>
            </w:r>
          </w:p>
        </w:tc>
        <w:tc>
          <w:tcPr>
            <w:tcW w:w="2872" w:type="dxa"/>
          </w:tcPr>
          <w:p>
            <w:pPr>
              <w:pStyle w:val="CeldaAPA"/>
              <w:jc w:val="left"/>
            </w:pPr>
            <w:r>
              <w:rPr/>
              <w:t xml:space="preserve">Acopio sobre listones; punto de espera del apuntalamiento; pasarelas de tránsito; inspección de fisuras</w:t>
            </w:r>
          </w:p>
        </w:tc>
      </w:tr>
      <w:tr>
        <w:tc>
          <w:tcPr>
            <w:tcW w:w="696" w:type="dxa"/>
          </w:tcPr>
          <w:p>
            <w:pPr>
              <w:pStyle w:val="CeldaAPA"/>
              <w:jc w:val="left"/>
            </w:pPr>
            <w:r>
              <w:rPr/>
              <w:t xml:space="preserve">R5</w:t>
            </w:r>
          </w:p>
        </w:tc>
        <w:tc>
          <w:tcPr>
            <w:tcW w:w="2269" w:type="dxa"/>
          </w:tcPr>
          <w:p>
            <w:pPr>
              <w:pStyle w:val="CeldaAPA"/>
              <w:jc w:val="left"/>
            </w:pPr>
            <w:r>
              <w:rPr/>
              <w:t xml:space="preserve">Decisiones basadas en documentos incoherentes u obsoletos</w:t>
            </w:r>
          </w:p>
        </w:tc>
        <w:tc>
          <w:tcPr>
            <w:tcW w:w="2135" w:type="dxa"/>
          </w:tcPr>
          <w:p>
            <w:pPr>
              <w:pStyle w:val="CeldaAPA"/>
              <w:jc w:val="left"/>
            </w:pPr>
            <w:r>
              <w:rPr/>
              <w:t xml:space="preserve">Tres geometrías del EPS; ET desactualizada (B3)</w:t>
            </w:r>
          </w:p>
        </w:tc>
        <w:tc>
          <w:tcPr>
            <w:tcW w:w="461" w:type="dxa"/>
          </w:tcPr>
          <w:p>
            <w:pPr>
              <w:pStyle w:val="CeldaAPA"/>
              <w:jc w:val="center"/>
            </w:pPr>
            <w:r>
              <w:rPr/>
              <w:t xml:space="preserve">3</w:t>
            </w:r>
          </w:p>
        </w:tc>
        <w:tc>
          <w:tcPr>
            <w:tcW w:w="426" w:type="dxa"/>
          </w:tcPr>
          <w:p>
            <w:pPr>
              <w:pStyle w:val="CeldaAPA"/>
              <w:jc w:val="center"/>
            </w:pPr>
            <w:r>
              <w:rPr/>
              <w:t xml:space="preserve">2</w:t>
            </w:r>
          </w:p>
        </w:tc>
        <w:tc>
          <w:tcPr>
            <w:tcW w:w="501" w:type="dxa"/>
          </w:tcPr>
          <w:p>
            <w:pPr>
              <w:pStyle w:val="CeldaAPA"/>
              <w:jc w:val="center"/>
            </w:pPr>
            <w:r>
              <w:rPr/>
              <w:t xml:space="preserve">6</w:t>
            </w:r>
          </w:p>
        </w:tc>
        <w:tc>
          <w:tcPr>
            <w:tcW w:w="2872" w:type="dxa"/>
          </w:tcPr>
          <w:p>
            <w:pPr>
              <w:pStyle w:val="CeldaAPA"/>
              <w:jc w:val="left"/>
            </w:pPr>
            <w:r>
              <w:rPr/>
              <w:t xml:space="preserve">Lista maestra; consulta técnica antes de comprar el EPS; ET actualizada</w:t>
            </w:r>
          </w:p>
        </w:tc>
      </w:tr>
      <w:tr>
        <w:tc>
          <w:tcPr>
            <w:tcW w:w="696" w:type="dxa"/>
          </w:tcPr>
          <w:p>
            <w:pPr>
              <w:pStyle w:val="CeldaAPA"/>
              <w:jc w:val="left"/>
            </w:pPr>
            <w:r>
              <w:rPr/>
              <w:t xml:space="preserve">R6</w:t>
            </w:r>
          </w:p>
        </w:tc>
        <w:tc>
          <w:tcPr>
            <w:tcW w:w="2269" w:type="dxa"/>
          </w:tcPr>
          <w:p>
            <w:pPr>
              <w:pStyle w:val="CeldaAPA"/>
              <w:jc w:val="left"/>
            </w:pPr>
            <w:r>
              <w:rPr/>
              <w:t xml:space="preserve">Pago de cantidades no ejecutadas o computadas dos veces</w:t>
            </w:r>
          </w:p>
        </w:tc>
        <w:tc>
          <w:tcPr>
            <w:tcW w:w="2135" w:type="dxa"/>
          </w:tcPr>
          <w:p>
            <w:pPr>
              <w:pStyle w:val="CeldaAPA"/>
              <w:jc w:val="left"/>
            </w:pPr>
            <w:r>
              <w:rPr/>
              <w:t xml:space="preserve">Acero de la losa computado 1,00 vez en la planilla N.</w:t>
            </w:r>
            <w:r>
              <w:rPr>
                <w:vertAlign w:val="superscript"/>
              </w:rPr>
              <w:t xml:space="preserve">o</w:t>
            </w:r>
            <w:r>
              <w:rPr/>
              <w:t xml:space="preserve"> 2 y 3 veces al cierre; descuento de 3,65 % (B4)</w:t>
            </w:r>
          </w:p>
        </w:tc>
        <w:tc>
          <w:tcPr>
            <w:tcW w:w="461" w:type="dxa"/>
          </w:tcPr>
          <w:p>
            <w:pPr>
              <w:pStyle w:val="CeldaAPA"/>
              <w:jc w:val="center"/>
            </w:pPr>
            <w:r>
              <w:rPr/>
              <w:t xml:space="preserve">2</w:t>
            </w:r>
          </w:p>
        </w:tc>
        <w:tc>
          <w:tcPr>
            <w:tcW w:w="426" w:type="dxa"/>
          </w:tcPr>
          <w:p>
            <w:pPr>
              <w:pStyle w:val="CeldaAPA"/>
              <w:jc w:val="center"/>
            </w:pPr>
            <w:r>
              <w:rPr/>
              <w:t xml:space="preserve">3</w:t>
            </w:r>
          </w:p>
        </w:tc>
        <w:tc>
          <w:tcPr>
            <w:tcW w:w="501" w:type="dxa"/>
          </w:tcPr>
          <w:p>
            <w:pPr>
              <w:pStyle w:val="CeldaAPA"/>
              <w:jc w:val="center"/>
            </w:pPr>
            <w:r>
              <w:rPr/>
              <w:t xml:space="preserve">6</w:t>
            </w:r>
          </w:p>
        </w:tc>
        <w:tc>
          <w:tcPr>
            <w:tcW w:w="2872" w:type="dxa"/>
          </w:tcPr>
          <w:p>
            <w:pPr>
              <w:pStyle w:val="CeldaAPA"/>
              <w:jc w:val="left"/>
            </w:pPr>
            <w:r>
              <w:rPr/>
              <w:t xml:space="preserve">PCM-04 con umbrales de alerta; registro único de cantidades; revisión cruzada de los ítems 8 y 13</w:t>
            </w:r>
          </w:p>
        </w:tc>
      </w:tr>
      <w:tr>
        <w:tc>
          <w:tcPr>
            <w:tcW w:w="696" w:type="dxa"/>
          </w:tcPr>
          <w:p>
            <w:pPr>
              <w:pStyle w:val="CeldaAPA"/>
              <w:jc w:val="left"/>
            </w:pPr>
            <w:r>
              <w:rPr/>
              <w:t xml:space="preserve">R7</w:t>
            </w:r>
          </w:p>
        </w:tc>
        <w:tc>
          <w:tcPr>
            <w:tcW w:w="2269" w:type="dxa"/>
          </w:tcPr>
          <w:p>
            <w:pPr>
              <w:pStyle w:val="CeldaAPA"/>
              <w:jc w:val="left"/>
            </w:pPr>
            <w:r>
              <w:rPr/>
              <w:t xml:space="preserve">Desperdicio de materiales no medido</w:t>
            </w:r>
          </w:p>
        </w:tc>
        <w:tc>
          <w:tcPr>
            <w:tcW w:w="2135" w:type="dxa"/>
          </w:tcPr>
          <w:p>
            <w:pPr>
              <w:pStyle w:val="CeldaAPA"/>
              <w:jc w:val="left"/>
            </w:pPr>
            <w:r>
              <w:rPr/>
              <w:t xml:space="preserve">Sin kardex ni vales; EPS entregado</w:t>
            </w:r>
            <w:r>
              <w:rPr/>
              <w:t xml:space="preserve"> </w:t>
            </w:r>
            <m:oMath>
              <m:r>
                <m:rPr>
                  <m:sty m:val="p"/>
                </m:rPr>
                <m:t>≈</m:t>
              </m:r>
            </m:oMath>
            <w:r>
              <w:rPr/>
              <w:t xml:space="preserve"> 6 % sobre lo teórico (B5)</w:t>
            </w:r>
          </w:p>
        </w:tc>
        <w:tc>
          <w:tcPr>
            <w:tcW w:w="461" w:type="dxa"/>
          </w:tcPr>
          <w:p>
            <w:pPr>
              <w:pStyle w:val="CeldaAPA"/>
              <w:jc w:val="center"/>
            </w:pPr>
            <w:r>
              <w:rPr/>
              <w:t xml:space="preserve">3</w:t>
            </w:r>
          </w:p>
        </w:tc>
        <w:tc>
          <w:tcPr>
            <w:tcW w:w="426" w:type="dxa"/>
          </w:tcPr>
          <w:p>
            <w:pPr>
              <w:pStyle w:val="CeldaAPA"/>
              <w:jc w:val="center"/>
            </w:pPr>
            <w:r>
              <w:rPr/>
              <w:t xml:space="preserve">2</w:t>
            </w:r>
          </w:p>
        </w:tc>
        <w:tc>
          <w:tcPr>
            <w:tcW w:w="501" w:type="dxa"/>
          </w:tcPr>
          <w:p>
            <w:pPr>
              <w:pStyle w:val="CeldaAPA"/>
              <w:jc w:val="center"/>
            </w:pPr>
            <w:r>
              <w:rPr/>
              <w:t xml:space="preserve">6</w:t>
            </w:r>
          </w:p>
        </w:tc>
        <w:tc>
          <w:tcPr>
            <w:tcW w:w="2872" w:type="dxa"/>
          </w:tcPr>
          <w:p>
            <w:pPr>
              <w:pStyle w:val="CeldaAPA"/>
              <w:jc w:val="left"/>
            </w:pPr>
            <w:r>
              <w:rPr/>
              <w:t xml:space="preserve">PCM-03 y PCM-04; metas de</w:t>
            </w:r>
            <w:r>
              <w:rPr/>
              <w:t xml:space="preserve"> </w:t>
            </w:r>
            <m:oMath>
              <m:r>
                <m:t>I</m:t>
              </m:r>
              <m:r>
                <m:t>D</m:t>
              </m:r>
              <m:r>
                <m:t>M</m:t>
              </m:r>
            </m:oMath>
            <w:r>
              <w:rPr/>
              <w:t xml:space="preserve">; despiece y prearmado del acero</w:t>
            </w:r>
          </w:p>
        </w:tc>
      </w:tr>
      <w:tr>
        <w:tc>
          <w:tcPr>
            <w:tcW w:w="696" w:type="dxa"/>
          </w:tcPr>
          <w:p>
            <w:pPr>
              <w:pStyle w:val="CeldaAPA"/>
              <w:jc w:val="left"/>
            </w:pPr>
            <w:r>
              <w:rPr/>
              <w:t xml:space="preserve">R8</w:t>
            </w:r>
          </w:p>
        </w:tc>
        <w:tc>
          <w:tcPr>
            <w:tcW w:w="2269" w:type="dxa"/>
          </w:tcPr>
          <w:p>
            <w:pPr>
              <w:pStyle w:val="CeldaAPA"/>
              <w:jc w:val="left"/>
            </w:pPr>
            <w:r>
              <w:rPr/>
              <w:t xml:space="preserve">Paño vaciado con defectos de armado, recubrimiento o instalaciones</w:t>
            </w:r>
          </w:p>
        </w:tc>
        <w:tc>
          <w:tcPr>
            <w:tcW w:w="2135" w:type="dxa"/>
          </w:tcPr>
          <w:p>
            <w:pPr>
              <w:pStyle w:val="CeldaAPA"/>
              <w:jc w:val="left"/>
            </w:pPr>
            <w:r>
              <w:rPr/>
              <w:t xml:space="preserve">Sin PPI; parrilla pisada y sin separadores visibles (B6)</w:t>
            </w:r>
          </w:p>
        </w:tc>
        <w:tc>
          <w:tcPr>
            <w:tcW w:w="461" w:type="dxa"/>
          </w:tcPr>
          <w:p>
            <w:pPr>
              <w:pStyle w:val="CeldaAPA"/>
              <w:jc w:val="center"/>
            </w:pPr>
            <w:r>
              <w:rPr/>
              <w:t xml:space="preserve">3</w:t>
            </w:r>
          </w:p>
        </w:tc>
        <w:tc>
          <w:tcPr>
            <w:tcW w:w="426" w:type="dxa"/>
          </w:tcPr>
          <w:p>
            <w:pPr>
              <w:pStyle w:val="CeldaAPA"/>
              <w:jc w:val="center"/>
            </w:pPr>
            <w:r>
              <w:rPr/>
              <w:t xml:space="preserve">3</w:t>
            </w:r>
          </w:p>
        </w:tc>
        <w:tc>
          <w:tcPr>
            <w:tcW w:w="501" w:type="dxa"/>
          </w:tcPr>
          <w:p>
            <w:pPr>
              <w:pStyle w:val="CeldaAPA"/>
              <w:jc w:val="center"/>
            </w:pPr>
            <w:r>
              <w:rPr/>
              <w:t xml:space="preserve">9</w:t>
            </w:r>
          </w:p>
        </w:tc>
        <w:tc>
          <w:tcPr>
            <w:tcW w:w="2872" w:type="dxa"/>
          </w:tcPr>
          <w:p>
            <w:pPr>
              <w:pStyle w:val="CeldaAPA"/>
              <w:jc w:val="left"/>
            </w:pPr>
            <w:r>
              <w:rPr/>
              <w:t xml:space="preserve">Puntos de espera; separadores y pasarelas; ficha C.2 firmada por la Supervisión antes de vaciar</w:t>
            </w:r>
          </w:p>
        </w:tc>
      </w:tr>
      <w:tr>
        <w:tc>
          <w:tcPr>
            <w:tcW w:w="696" w:type="dxa"/>
          </w:tcPr>
          <w:p>
            <w:pPr>
              <w:pStyle w:val="CeldaAPA"/>
              <w:jc w:val="left"/>
            </w:pPr>
            <w:r>
              <w:rPr/>
              <w:t xml:space="preserve">R9</w:t>
            </w:r>
          </w:p>
        </w:tc>
        <w:tc>
          <w:tcPr>
            <w:tcW w:w="2269" w:type="dxa"/>
          </w:tcPr>
          <w:p>
            <w:pPr>
              <w:pStyle w:val="CeldaAPA"/>
              <w:jc w:val="left"/>
            </w:pPr>
            <w:r>
              <w:rPr/>
              <w:t xml:space="preserve">Desabastecimiento de cemento, acero o viguetas y alza de precios</w:t>
            </w:r>
          </w:p>
        </w:tc>
        <w:tc>
          <w:tcPr>
            <w:tcW w:w="2135" w:type="dxa"/>
          </w:tcPr>
          <w:p>
            <w:pPr>
              <w:pStyle w:val="CeldaAPA"/>
              <w:jc w:val="left"/>
            </w:pPr>
            <w:r>
              <w:rPr/>
              <w:t xml:space="preserve">Escasez de diésel; FANCESA paralizada; 30 % del acero entregado; falta de viguetas; decretos de ajuste (B8)</w:t>
            </w:r>
          </w:p>
        </w:tc>
        <w:tc>
          <w:tcPr>
            <w:tcW w:w="461" w:type="dxa"/>
          </w:tcPr>
          <w:p>
            <w:pPr>
              <w:pStyle w:val="CeldaAPA"/>
              <w:jc w:val="center"/>
            </w:pPr>
            <w:r>
              <w:rPr/>
              <w:t xml:space="preserve">3</w:t>
            </w:r>
          </w:p>
        </w:tc>
        <w:tc>
          <w:tcPr>
            <w:tcW w:w="426" w:type="dxa"/>
          </w:tcPr>
          <w:p>
            <w:pPr>
              <w:pStyle w:val="CeldaAPA"/>
              <w:jc w:val="center"/>
            </w:pPr>
            <w:r>
              <w:rPr/>
              <w:t xml:space="preserve">3</w:t>
            </w:r>
          </w:p>
        </w:tc>
        <w:tc>
          <w:tcPr>
            <w:tcW w:w="501" w:type="dxa"/>
          </w:tcPr>
          <w:p>
            <w:pPr>
              <w:pStyle w:val="CeldaAPA"/>
              <w:jc w:val="center"/>
            </w:pPr>
            <w:r>
              <w:rPr/>
              <w:t xml:space="preserve">9</w:t>
            </w:r>
          </w:p>
        </w:tc>
        <w:tc>
          <w:tcPr>
            <w:tcW w:w="2872" w:type="dxa"/>
          </w:tcPr>
          <w:p>
            <w:pPr>
              <w:pStyle w:val="CeldaAPA"/>
              <w:jc w:val="left"/>
            </w:pPr>
            <w:r>
              <w:rPr/>
              <w:t xml:space="preserve">Plan de compras anticipado; existencia mínima como condición de liberación; proveedores alternos; pedido de viguetas por paño con plazos confirmados</w:t>
            </w:r>
          </w:p>
        </w:tc>
      </w:tr>
      <w:tr>
        <w:tc>
          <w:tcPr>
            <w:tcW w:w="696" w:type="dxa"/>
          </w:tcPr>
          <w:p>
            <w:pPr>
              <w:pStyle w:val="CeldaAPA"/>
              <w:jc w:val="left"/>
            </w:pPr>
            <w:r>
              <w:rPr/>
              <w:t xml:space="preserve">R10</w:t>
            </w:r>
          </w:p>
        </w:tc>
        <w:tc>
          <w:tcPr>
            <w:tcW w:w="2269" w:type="dxa"/>
          </w:tcPr>
          <w:p>
            <w:pPr>
              <w:pStyle w:val="CeldaAPA"/>
              <w:jc w:val="left"/>
            </w:pPr>
            <w:r>
              <w:rPr/>
              <w:t xml:space="preserve">Lluvia durante el vaciado o el curado temprano</w:t>
            </w:r>
          </w:p>
        </w:tc>
        <w:tc>
          <w:tcPr>
            <w:tcW w:w="2135" w:type="dxa"/>
          </w:tcPr>
          <w:p>
            <w:pPr>
              <w:pStyle w:val="CeldaAPA"/>
              <w:jc w:val="left"/>
            </w:pPr>
            <w:r>
              <w:rPr/>
              <w:t xml:space="preserve">Siete días de lluvia notificados en 2025 (B9)</w:t>
            </w:r>
          </w:p>
        </w:tc>
        <w:tc>
          <w:tcPr>
            <w:tcW w:w="461" w:type="dxa"/>
          </w:tcPr>
          <w:p>
            <w:pPr>
              <w:pStyle w:val="CeldaAPA"/>
              <w:jc w:val="center"/>
            </w:pPr>
            <w:r>
              <w:rPr/>
              <w:t xml:space="preserve">2</w:t>
            </w:r>
          </w:p>
        </w:tc>
        <w:tc>
          <w:tcPr>
            <w:tcW w:w="426" w:type="dxa"/>
          </w:tcPr>
          <w:p>
            <w:pPr>
              <w:pStyle w:val="CeldaAPA"/>
              <w:jc w:val="center"/>
            </w:pPr>
            <w:r>
              <w:rPr/>
              <w:t xml:space="preserve">2</w:t>
            </w:r>
          </w:p>
        </w:tc>
        <w:tc>
          <w:tcPr>
            <w:tcW w:w="501" w:type="dxa"/>
          </w:tcPr>
          <w:p>
            <w:pPr>
              <w:pStyle w:val="CeldaAPA"/>
              <w:jc w:val="center"/>
            </w:pPr>
            <w:r>
              <w:rPr/>
              <w:t xml:space="preserve">4</w:t>
            </w:r>
          </w:p>
        </w:tc>
        <w:tc>
          <w:tcPr>
            <w:tcW w:w="2872" w:type="dxa"/>
          </w:tcPr>
          <w:p>
            <w:pPr>
              <w:pStyle w:val="CeldaAPA"/>
              <w:jc w:val="left"/>
            </w:pPr>
            <w:r>
              <w:rPr/>
              <w:t xml:space="preserve">Pronóstico del SENAMHI; cobertores; juntas de construcción planificadas</w:t>
            </w:r>
          </w:p>
        </w:tc>
      </w:tr>
      <w:tr>
        <w:tc>
          <w:tcPr>
            <w:tcW w:w="696" w:type="dxa"/>
          </w:tcPr>
          <w:p>
            <w:pPr>
              <w:pStyle w:val="CeldaAPA"/>
              <w:jc w:val="left"/>
            </w:pPr>
            <w:r>
              <w:rPr/>
              <w:t xml:space="preserve">R11</w:t>
            </w:r>
          </w:p>
        </w:tc>
        <w:tc>
          <w:tcPr>
            <w:tcW w:w="2269" w:type="dxa"/>
          </w:tcPr>
          <w:p>
            <w:pPr>
              <w:pStyle w:val="CeldaAPA"/>
              <w:jc w:val="left"/>
            </w:pPr>
            <w:r>
              <w:rPr/>
              <w:t xml:space="preserve">Helada durante el vaciado o el curado</w:t>
            </w:r>
          </w:p>
        </w:tc>
        <w:tc>
          <w:tcPr>
            <w:tcW w:w="2135" w:type="dxa"/>
          </w:tcPr>
          <w:p>
            <w:pPr>
              <w:pStyle w:val="CeldaAPA"/>
              <w:jc w:val="left"/>
            </w:pPr>
            <w:r>
              <w:rPr/>
              <w:t xml:space="preserve">Bajas temperaturas a 3.650 m s. n. m. (B9)</w:t>
            </w:r>
          </w:p>
        </w:tc>
        <w:tc>
          <w:tcPr>
            <w:tcW w:w="461" w:type="dxa"/>
          </w:tcPr>
          <w:p>
            <w:pPr>
              <w:pStyle w:val="CeldaAPA"/>
              <w:jc w:val="center"/>
            </w:pPr>
            <w:r>
              <w:rPr/>
              <w:t xml:space="preserve">2</w:t>
            </w:r>
          </w:p>
        </w:tc>
        <w:tc>
          <w:tcPr>
            <w:tcW w:w="426" w:type="dxa"/>
          </w:tcPr>
          <w:p>
            <w:pPr>
              <w:pStyle w:val="CeldaAPA"/>
              <w:jc w:val="center"/>
            </w:pPr>
            <w:r>
              <w:rPr/>
              <w:t xml:space="preserve">3</w:t>
            </w:r>
          </w:p>
        </w:tc>
        <w:tc>
          <w:tcPr>
            <w:tcW w:w="501" w:type="dxa"/>
          </w:tcPr>
          <w:p>
            <w:pPr>
              <w:pStyle w:val="CeldaAPA"/>
              <w:jc w:val="center"/>
            </w:pPr>
            <w:r>
              <w:rPr/>
              <w:t xml:space="preserve">6</w:t>
            </w:r>
          </w:p>
        </w:tc>
        <w:tc>
          <w:tcPr>
            <w:tcW w:w="2872" w:type="dxa"/>
          </w:tcPr>
          <w:p>
            <w:pPr>
              <w:pStyle w:val="CeldaAPA"/>
              <w:jc w:val="left"/>
            </w:pPr>
            <w:r>
              <w:rPr/>
              <w:t xml:space="preserve">Plan de hormigonado en tiempo frío; registro de temperaturas; agua a más de 5 </w:t>
            </w:r>
            <m:oMath>
              <m:sSup>
                <m:e>
                  <m:r>
                    <m:t>​</m:t>
                  </m:r>
                </m:e>
                <m:sup>
                  <m:r>
                    <m:rPr>
                      <m:sty m:val="p"/>
                    </m:rPr>
                    <m:t>∘</m:t>
                  </m:r>
                </m:sup>
              </m:sSup>
            </m:oMath>
            <w:r>
              <w:rPr/>
              <w:t xml:space="preserve">C; curado controlado</w:t>
            </w:r>
          </w:p>
        </w:tc>
      </w:tr>
      <w:tr>
        <w:tc>
          <w:tcPr>
            <w:tcW w:w="696" w:type="dxa"/>
          </w:tcPr>
          <w:p>
            <w:pPr>
              <w:pStyle w:val="CeldaAPA"/>
              <w:jc w:val="left"/>
            </w:pPr>
            <w:r>
              <w:rPr/>
              <w:t xml:space="preserve">R12</w:t>
            </w:r>
          </w:p>
        </w:tc>
        <w:tc>
          <w:tcPr>
            <w:tcW w:w="2269" w:type="dxa"/>
          </w:tcPr>
          <w:p>
            <w:pPr>
              <w:pStyle w:val="CeldaAPA"/>
              <w:jc w:val="left"/>
            </w:pPr>
            <w:r>
              <w:rPr/>
              <w:t xml:space="preserve">Desapuntalamiento prematuro</w:t>
            </w:r>
          </w:p>
        </w:tc>
        <w:tc>
          <w:tcPr>
            <w:tcW w:w="2135" w:type="dxa"/>
          </w:tcPr>
          <w:p>
            <w:pPr>
              <w:pStyle w:val="CeldaAPA"/>
              <w:jc w:val="left"/>
            </w:pPr>
            <w:r>
              <w:rPr/>
              <w:t xml:space="preserve">Sin criterio documentado en la primera losa</w:t>
            </w:r>
          </w:p>
        </w:tc>
        <w:tc>
          <w:tcPr>
            <w:tcW w:w="461" w:type="dxa"/>
          </w:tcPr>
          <w:p>
            <w:pPr>
              <w:pStyle w:val="CeldaAPA"/>
              <w:jc w:val="center"/>
            </w:pPr>
            <w:r>
              <w:rPr/>
              <w:t xml:space="preserve">2</w:t>
            </w:r>
          </w:p>
        </w:tc>
        <w:tc>
          <w:tcPr>
            <w:tcW w:w="426" w:type="dxa"/>
          </w:tcPr>
          <w:p>
            <w:pPr>
              <w:pStyle w:val="CeldaAPA"/>
              <w:jc w:val="center"/>
            </w:pPr>
            <w:r>
              <w:rPr/>
              <w:t xml:space="preserve">3</w:t>
            </w:r>
          </w:p>
        </w:tc>
        <w:tc>
          <w:tcPr>
            <w:tcW w:w="501" w:type="dxa"/>
          </w:tcPr>
          <w:p>
            <w:pPr>
              <w:pStyle w:val="CeldaAPA"/>
              <w:jc w:val="center"/>
            </w:pPr>
            <w:r>
              <w:rPr/>
              <w:t xml:space="preserve">6</w:t>
            </w:r>
          </w:p>
        </w:tc>
        <w:tc>
          <w:tcPr>
            <w:tcW w:w="2872" w:type="dxa"/>
          </w:tcPr>
          <w:p>
            <w:pPr>
              <w:pStyle w:val="CeldaAPA"/>
              <w:jc w:val="left"/>
            </w:pPr>
            <w:r>
              <w:rPr/>
              <w:t xml:space="preserve">Plazo mínimo y cilindros curados en obra; punto de espera</w:t>
            </w:r>
          </w:p>
        </w:tc>
      </w:tr>
      <w:tr>
        <w:tc>
          <w:tcPr>
            <w:tcW w:w="696" w:type="dxa"/>
          </w:tcPr>
          <w:p>
            <w:pPr>
              <w:pStyle w:val="CeldaAPA"/>
              <w:jc w:val="left"/>
            </w:pPr>
            <w:r>
              <w:rPr/>
              <w:t xml:space="preserve">R13</w:t>
            </w:r>
          </w:p>
        </w:tc>
        <w:tc>
          <w:tcPr>
            <w:tcW w:w="2269" w:type="dxa"/>
          </w:tcPr>
          <w:p>
            <w:pPr>
              <w:pStyle w:val="CeldaAPA"/>
              <w:jc w:val="left"/>
            </w:pPr>
            <w:r>
              <w:rPr/>
              <w:t xml:space="preserve">Personal sin competencia en el sistema o rotación</w:t>
            </w:r>
          </w:p>
        </w:tc>
        <w:tc>
          <w:tcPr>
            <w:tcW w:w="2135" w:type="dxa"/>
          </w:tcPr>
          <w:p>
            <w:pPr>
              <w:pStyle w:val="CeldaAPA"/>
              <w:jc w:val="left"/>
            </w:pPr>
            <w:r>
              <w:rPr/>
              <w:t xml:space="preserve">Cambio de contratista; dependencia de la experiencia del capataz</w:t>
            </w:r>
          </w:p>
        </w:tc>
        <w:tc>
          <w:tcPr>
            <w:tcW w:w="461" w:type="dxa"/>
          </w:tcPr>
          <w:p>
            <w:pPr>
              <w:pStyle w:val="CeldaAPA"/>
              <w:jc w:val="center"/>
            </w:pPr>
            <w:r>
              <w:rPr/>
              <w:t xml:space="preserve">2</w:t>
            </w:r>
          </w:p>
        </w:tc>
        <w:tc>
          <w:tcPr>
            <w:tcW w:w="426" w:type="dxa"/>
          </w:tcPr>
          <w:p>
            <w:pPr>
              <w:pStyle w:val="CeldaAPA"/>
              <w:jc w:val="center"/>
            </w:pPr>
            <w:r>
              <w:rPr/>
              <w:t xml:space="preserve">2</w:t>
            </w:r>
          </w:p>
        </w:tc>
        <w:tc>
          <w:tcPr>
            <w:tcW w:w="501" w:type="dxa"/>
          </w:tcPr>
          <w:p>
            <w:pPr>
              <w:pStyle w:val="CeldaAPA"/>
              <w:jc w:val="center"/>
            </w:pPr>
            <w:r>
              <w:rPr/>
              <w:t xml:space="preserve">4</w:t>
            </w:r>
          </w:p>
        </w:tc>
        <w:tc>
          <w:tcPr>
            <w:tcW w:w="2872" w:type="dxa"/>
          </w:tcPr>
          <w:p>
            <w:pPr>
              <w:pStyle w:val="CeldaAPA"/>
              <w:jc w:val="left"/>
            </w:pPr>
            <w:r>
              <w:rPr/>
              <w:t xml:space="preserve">Programa de capacitación (Sección 2.6.5); instrucciones impresas en los formatos</w:t>
            </w:r>
          </w:p>
        </w:tc>
      </w:tr>
      <w:tr>
        <w:tc>
          <w:tcPr>
            <w:tcW w:w="696" w:type="dxa"/>
            <w:tcBorders>
              <w:bottom w:val="single" w:sz="8" w:space="0" w:color="000000"/>
            </w:tcBorders>
          </w:tcPr>
          <w:p>
            <w:pPr>
              <w:pStyle w:val="CeldaAPA"/>
              <w:jc w:val="left"/>
            </w:pPr>
            <w:r>
              <w:rPr/>
              <w:t xml:space="preserve">R14</w:t>
            </w:r>
          </w:p>
        </w:tc>
        <w:tc>
          <w:tcPr>
            <w:tcW w:w="2269" w:type="dxa"/>
            <w:tcBorders>
              <w:bottom w:val="single" w:sz="8" w:space="0" w:color="000000"/>
            </w:tcBorders>
          </w:tcPr>
          <w:p>
            <w:pPr>
              <w:pStyle w:val="CeldaAPA"/>
              <w:jc w:val="left"/>
            </w:pPr>
            <w:r>
              <w:rPr/>
              <w:t xml:space="preserve">Cambio de diseño sin registro</w:t>
            </w:r>
          </w:p>
        </w:tc>
        <w:tc>
          <w:tcPr>
            <w:tcW w:w="2135" w:type="dxa"/>
            <w:tcBorders>
              <w:bottom w:val="single" w:sz="8" w:space="0" w:color="000000"/>
            </w:tcBorders>
          </w:tcPr>
          <w:p>
            <w:pPr>
              <w:pStyle w:val="CeldaAPA"/>
              <w:jc w:val="left"/>
            </w:pPr>
            <w:r>
              <w:rPr/>
              <w:t xml:space="preserve">Modificaciones estructurales por falta de viguetas, sin detalle de lo modificado (B8)</w:t>
            </w:r>
          </w:p>
        </w:tc>
        <w:tc>
          <w:tcPr>
            <w:tcW w:w="461" w:type="dxa"/>
            <w:tcBorders>
              <w:bottom w:val="single" w:sz="8" w:space="0" w:color="000000"/>
            </w:tcBorders>
          </w:tcPr>
          <w:p>
            <w:pPr>
              <w:pStyle w:val="CeldaAPA"/>
              <w:jc w:val="center"/>
            </w:pPr>
            <w:r>
              <w:rPr/>
              <w:t xml:space="preserve">2</w:t>
            </w:r>
          </w:p>
        </w:tc>
        <w:tc>
          <w:tcPr>
            <w:tcW w:w="426" w:type="dxa"/>
            <w:tcBorders>
              <w:bottom w:val="single" w:sz="8" w:space="0" w:color="000000"/>
            </w:tcBorders>
          </w:tcPr>
          <w:p>
            <w:pPr>
              <w:pStyle w:val="CeldaAPA"/>
              <w:jc w:val="center"/>
            </w:pPr>
            <w:r>
              <w:rPr/>
              <w:t xml:space="preserve">3</w:t>
            </w:r>
          </w:p>
        </w:tc>
        <w:tc>
          <w:tcPr>
            <w:tcW w:w="501" w:type="dxa"/>
            <w:tcBorders>
              <w:bottom w:val="single" w:sz="8" w:space="0" w:color="000000"/>
            </w:tcBorders>
          </w:tcPr>
          <w:p>
            <w:pPr>
              <w:pStyle w:val="CeldaAPA"/>
              <w:jc w:val="center"/>
            </w:pPr>
            <w:r>
              <w:rPr/>
              <w:t xml:space="preserve">6</w:t>
            </w:r>
          </w:p>
        </w:tc>
        <w:tc>
          <w:tcPr>
            <w:tcW w:w="2872" w:type="dxa"/>
            <w:tcBorders>
              <w:bottom w:val="single" w:sz="8" w:space="0" w:color="000000"/>
            </w:tcBorders>
          </w:tcPr>
          <w:p>
            <w:pPr>
              <w:pStyle w:val="CeldaAPA"/>
              <w:jc w:val="left"/>
            </w:pPr>
            <w:r>
              <w:rPr/>
              <w:t xml:space="preserve">Gestión de cambios: consulta técnica aprobada y documentos actualizados</w:t>
            </w:r>
          </w:p>
        </w:tc>
      </w:tr>
    </w:tbl>
    <w:p>
      <w:pPr>
        <w:pStyle w:val="NotaAPA"/>
      </w:pPr>
      <w:r>
        <w:rPr>
          <w:iCs/>
          <w:i/>
        </w:rPr>
        <w:t xml:space="preserve">Nota.</w:t>
      </w:r>
      <w:r>
        <w:t xml:space="preserve"> </w:t>
      </w:r>
      <w:r>
        <w:t xml:space="preserve">Elaboración propia.</w:t>
      </w:r>
      <w:r>
        <w:t xml:space="preserve"> </w:t>
      </w:r>
      <m:oMath>
        <m:r>
          <m:t>P</m:t>
        </m:r>
      </m:oMath>
      <w:r>
        <w:t xml:space="preserve">: probabilidad;</w:t>
      </w:r>
      <w:r>
        <w:t xml:space="preserve"> </w:t>
      </w:r>
      <m:oMath>
        <m:r>
          <m:t>I</m:t>
        </m:r>
      </m:oMath>
      <w:r>
        <w:t xml:space="preserve">: impacto;</w:t>
      </w:r>
      <w:r>
        <w:t xml:space="preserve"> </w:t>
      </w:r>
      <m:oMath>
        <m:r>
          <m:t>N</m:t>
        </m:r>
        <m:r>
          <m:rPr>
            <m:sty m:val="p"/>
          </m:rPr>
          <m:t>=</m:t>
        </m:r>
        <m:r>
          <m:t>P</m:t>
        </m:r>
        <m:r>
          <m:rPr>
            <m:sty m:val="p"/>
          </m:rPr>
          <m:t>×</m:t>
        </m:r>
        <m:r>
          <m:t>I</m:t>
        </m:r>
      </m:oMath>
      <w:r>
        <w:t xml:space="preserve"> </w:t>
      </w:r>
      <w:r>
        <w:t xml:space="preserve">(bajo: 1–2; medio: 3–4; alto: 6–9). La valoración es cualitativa y se basa en la evidencia de la línea base; debe revisarse en la reunión de inicio de obra. B1 a B9: brechas de la línea base.</w:t>
      </w:r>
    </w:p>
    <w:p>
      <w:pPr>
        <w:pStyle w:val="BodyText"/>
      </w:pPr>
      <w:r>
        <w:rPr>
          <w:bCs/>
          <w:b/>
        </w:rPr>
        <w:t xml:space="preserve">Oportunidades.</w:t>
      </w:r>
      <w:r>
        <w:t xml:space="preserve"> </w:t>
      </w:r>
      <w:r>
        <w:t xml:space="preserve">El análisis también identificó oportunidades que el sistema debe aprovechar:</w:t>
      </w:r>
      <w:r>
        <w:t xml:space="preserve"> </w:t>
      </w:r>
      <w:r>
        <w:t xml:space="preserve">(a) el despiece previo y el prearmado del acero, con los que</w:t>
      </w:r>
      <w:r>
        <w:t xml:space="preserve"> </w:t>
      </w:r>
      <w:r>
        <w:t xml:space="preserve">Galarza Meza (2011, p. 75)</w:t>
      </w:r>
      <w:r>
        <w:t xml:space="preserve"> </w:t>
      </w:r>
      <w:r>
        <w:t xml:space="preserve">obtuvo un desperdicio final de 4,04 % frente al 7 % previsto en el presupuesto, y con los que</w:t>
      </w:r>
      <w:r>
        <w:t xml:space="preserve"> </w:t>
      </w:r>
      <w:r>
        <w:t xml:space="preserve">Chino Quispe y Zarate Chilqquetuma (2024, p. 192)</w:t>
      </w:r>
      <w:r>
        <w:t xml:space="preserve"> </w:t>
      </w:r>
      <w:r>
        <w:t xml:space="preserve">redujeron el desperdicio de 14,58 % a 8,94 % y de 17,09 % a 6,71 % en dos edificaciones; (b) el pedido de viguetas a medida por paño, porque la segunda y la tercera losa repiten la geometría de la primera y el Plano 03 ya define el número y la longitud de las viguetas; (c) el uso de los 41 paños de la primera losa como plantilla para comparar paño por paño las cantidades teóricas y reales; y (d) la limitación del volumen adicional de hormigón por vaciado, medida con la que</w:t>
      </w:r>
      <w:r>
        <w:t xml:space="preserve"> </w:t>
      </w:r>
      <w:r>
        <w:t xml:space="preserve">Galarza Meza (2011, p. 73)</w:t>
      </w:r>
      <w:r>
        <w:t xml:space="preserve"> </w:t>
      </w:r>
      <w:r>
        <w:t xml:space="preserve">bajó el desperdicio de hormigón a 2,8 %.</w:t>
      </w:r>
    </w:p>
    <w:p>
      <w:pPr>
        <w:pStyle w:val="BodyText"/>
      </w:pPr>
      <w:r>
        <w:rPr>
          <w:bCs/>
          <w:b/>
        </w:rPr>
        <w:t xml:space="preserve">Objetivos de la calidad.</w:t>
      </w:r>
      <w:r>
        <w:t xml:space="preserve"> </w:t>
      </w:r>
      <w:r>
        <w:t xml:space="preserve">Los objetivos de la Tabla 33 son medibles y tienen meta, frecuencia y responsable; se calculan con las ecuaciones de la Sección 2.3. Las metas de desperdicio se fundamentan en la literatura: para el hormigón,</w:t>
      </w:r>
      <w:r>
        <w:t xml:space="preserve"> </w:t>
      </w:r>
      <m:oMath>
        <m:r>
          <m:t>I</m:t>
        </m:r>
        <m:r>
          <m:t>D</m:t>
        </m:r>
        <m:r>
          <m:t>M</m:t>
        </m:r>
        <m:r>
          <m:rPr>
            <m:sty m:val="p"/>
          </m:rPr>
          <m:t>≤</m:t>
        </m:r>
        <m:r>
          <m:t>3</m:t>
        </m:r>
      </m:oMath>
      <w:r>
        <w:t xml:space="preserve"> %, porque</w:t>
      </w:r>
      <w:r>
        <w:t xml:space="preserve"> </w:t>
      </w:r>
      <w:r>
        <w:t xml:space="preserve">Galarza Meza (2011, p. 73)</w:t>
      </w:r>
      <w:r>
        <w:t xml:space="preserve"> </w:t>
      </w:r>
      <w:r>
        <w:t xml:space="preserve">obtuvo 2,8 % al limitar el volumen adicional de los pedidos al 2 % y</w:t>
      </w:r>
      <w:r>
        <w:t xml:space="preserve"> </w:t>
      </w:r>
      <w:r>
        <w:t xml:space="preserve">Ruiz Muñoz y Rojas Bonilla (2018, pp. 33, 69)</w:t>
      </w:r>
      <w:r>
        <w:t xml:space="preserve"> </w:t>
      </w:r>
      <w:r>
        <w:t xml:space="preserve">reportan desperdicios previstos de 3 a 6 % en placas y muros, frente a pérdidas reales de 9 % en las placas sin control; para el acero,</w:t>
      </w:r>
      <w:r>
        <w:t xml:space="preserve"> </w:t>
      </w:r>
      <m:oMath>
        <m:r>
          <m:t>I</m:t>
        </m:r>
        <m:r>
          <m:t>D</m:t>
        </m:r>
        <m:r>
          <m:t>M</m:t>
        </m:r>
        <m:r>
          <m:rPr>
            <m:sty m:val="p"/>
          </m:rPr>
          <m:t>≤</m:t>
        </m:r>
        <m:r>
          <m:t>4</m:t>
        </m:r>
      </m:oMath>
      <w:r>
        <w:t xml:space="preserve"> %, valor logrado con prearmado (4,04 %) y con acero predimensionado (3,75 %)</w:t>
      </w:r>
      <w:r>
        <w:t xml:space="preserve"> </w:t>
      </w:r>
      <w:r>
        <w:t xml:space="preserve">(Galarza Meza, 2011, pp. 75–76)</w:t>
      </w:r>
      <w:r>
        <w:t xml:space="preserve">. Para las viguetas, fabricadas a medida, la meta es</w:t>
      </w:r>
      <w:r>
        <w:t xml:space="preserve"> </w:t>
      </w:r>
      <m:oMath>
        <m:r>
          <m:t>I</m:t>
        </m:r>
        <m:r>
          <m:t>D</m:t>
        </m:r>
        <m:r>
          <m:t>M</m:t>
        </m:r>
        <m:r>
          <m:rPr>
            <m:sty m:val="p"/>
          </m:rPr>
          <m:t>≤</m:t>
        </m:r>
        <m:r>
          <m:t>1</m:t>
        </m:r>
      </m:oMath>
      <w:r>
        <w:t xml:space="preserve"> % (toda vigueta rota es una no conformidad), y para el EPS,</w:t>
      </w:r>
      <w:r>
        <w:t xml:space="preserve"> </w:t>
      </w:r>
      <m:oMath>
        <m:r>
          <m:t>I</m:t>
        </m:r>
        <m:r>
          <m:t>D</m:t>
        </m:r>
        <m:r>
          <m:t>M</m:t>
        </m:r>
        <m:r>
          <m:rPr>
            <m:sty m:val="p"/>
          </m:rPr>
          <m:t>≤</m:t>
        </m:r>
        <m:r>
          <m:t>3</m:t>
        </m:r>
      </m:oMath>
      <w:r>
        <w:t xml:space="preserve"> %, la mitad del exceso bruto preliminar de la línea base, a recalibrar con el Plano 03. Estas dos últimas metas son supuestos del autor, a validar por juicio de expertos. Las metas son de gestión; la evaluación</w:t>
      </w:r>
      <w:r>
        <w:t xml:space="preserve"> </w:t>
      </w:r>
      <w:r>
        <w:rPr>
          <w:iCs/>
          <w:i/>
        </w:rPr>
        <w:t xml:space="preserve">ex ante</w:t>
      </w:r>
      <w:r>
        <w:t xml:space="preserve"> </w:t>
      </w:r>
      <w:r>
        <w:t xml:space="preserve">modela sus parámetros por separado (Sección 2.7.2).</w:t>
      </w:r>
    </w:p>
    <w:p>
      <w:pPr>
        <w:pStyle w:val="Caption"/>
      </w:pPr>
      <w:bookmarkStart w:id="1435" w:name="tab33"/>
      <w:r>
        <w:t xml:space="preserve"/>
      </w:r>
      <w:r>
        <w:rPr>
          <w:bCs/>
          <w:b/>
        </w:rPr>
        <w:t xml:space="preserve">Tabla 33</w:t>
      </w:r>
      <w:r>
        <w:br/>
      </w:r>
      <w:r>
        <w:rPr>
          <w:iCs/>
          <w:i/>
        </w:rPr>
        <w:t xml:space="preserve">Objetivos de la calidad, indicadores y metas del SGC</w:t>
      </w:r>
      <w:bookmarkEnd w:id="1435"/>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871"/>
        <w:gridCol w:w="1853"/>
        <w:gridCol w:w="2108"/>
        <w:gridCol w:w="1406"/>
        <w:gridCol w:w="1572"/>
        <w:gridCol w:w="1550"/>
      </w:tblGrid>
      <w:tr>
        <w:trPr>
          <w:cantSplit/>
          <w:tblHeader w:val="true"/>
        </w:trPr>
        <w:tc>
          <w:tcPr>
            <w:tcW w:w="871" w:type="dxa"/>
            <w:tcBorders>
              <w:top w:val="single" w:sz="8" w:space="0" w:color="000000"/>
              <w:bottom w:val="single" w:sz="4" w:space="0" w:color="000000"/>
            </w:tcBorders>
          </w:tcPr>
          <w:p>
            <w:pPr>
              <w:pStyle w:val="CeldaAPA"/>
              <w:jc w:val="center"/>
            </w:pPr>
            <w:r>
              <w:rPr>
                <w:bCs/>
                <w:b/>
              </w:rPr>
              <w:t xml:space="preserve">Cód.</w:t>
            </w:r>
          </w:p>
        </w:tc>
        <w:tc>
          <w:tcPr>
            <w:tcW w:w="1853" w:type="dxa"/>
            <w:tcBorders>
              <w:top w:val="single" w:sz="8" w:space="0" w:color="000000"/>
              <w:bottom w:val="single" w:sz="4" w:space="0" w:color="000000"/>
            </w:tcBorders>
          </w:tcPr>
          <w:p>
            <w:pPr>
              <w:pStyle w:val="CeldaAPA"/>
              <w:jc w:val="center"/>
            </w:pPr>
            <w:r>
              <w:rPr>
                <w:bCs/>
                <w:b/>
              </w:rPr>
              <w:t xml:space="preserve">Objetivo e indicador</w:t>
            </w:r>
          </w:p>
        </w:tc>
        <w:tc>
          <w:tcPr>
            <w:tcW w:w="2108" w:type="dxa"/>
            <w:tcBorders>
              <w:top w:val="single" w:sz="8" w:space="0" w:color="000000"/>
              <w:bottom w:val="single" w:sz="4" w:space="0" w:color="000000"/>
            </w:tcBorders>
          </w:tcPr>
          <w:p>
            <w:pPr>
              <w:pStyle w:val="CeldaAPA"/>
              <w:jc w:val="center"/>
            </w:pPr>
            <w:r>
              <w:rPr>
                <w:bCs/>
                <w:b/>
              </w:rPr>
              <w:t xml:space="preserve">Fórmula</w:t>
            </w:r>
          </w:p>
        </w:tc>
        <w:tc>
          <w:tcPr>
            <w:tcW w:w="1406" w:type="dxa"/>
            <w:tcBorders>
              <w:top w:val="single" w:sz="8" w:space="0" w:color="000000"/>
              <w:bottom w:val="single" w:sz="4" w:space="0" w:color="000000"/>
            </w:tcBorders>
          </w:tcPr>
          <w:p>
            <w:pPr>
              <w:pStyle w:val="CeldaAPA"/>
              <w:jc w:val="center"/>
            </w:pPr>
            <w:r>
              <w:rPr>
                <w:bCs/>
                <w:b/>
              </w:rPr>
              <w:t xml:space="preserve">Meta</w:t>
            </w:r>
          </w:p>
        </w:tc>
        <w:tc>
          <w:tcPr>
            <w:tcW w:w="1572" w:type="dxa"/>
            <w:tcBorders>
              <w:top w:val="single" w:sz="8" w:space="0" w:color="000000"/>
              <w:bottom w:val="single" w:sz="4" w:space="0" w:color="000000"/>
            </w:tcBorders>
          </w:tcPr>
          <w:p>
            <w:pPr>
              <w:pStyle w:val="CeldaAPA"/>
              <w:jc w:val="center"/>
            </w:pPr>
            <w:r>
              <w:rPr>
                <w:bCs/>
                <w:b/>
              </w:rPr>
              <w:t xml:space="preserve">Frecuencia</w:t>
            </w:r>
          </w:p>
        </w:tc>
        <w:tc>
          <w:tcPr>
            <w:tcW w:w="1550" w:type="dxa"/>
            <w:tcBorders>
              <w:top w:val="single" w:sz="8" w:space="0" w:color="000000"/>
              <w:bottom w:val="single" w:sz="4" w:space="0" w:color="000000"/>
            </w:tcBorders>
          </w:tcPr>
          <w:p>
            <w:pPr>
              <w:pStyle w:val="CeldaAPA"/>
              <w:jc w:val="center"/>
            </w:pPr>
            <w:r>
              <w:rPr>
                <w:bCs/>
                <w:b/>
              </w:rPr>
              <w:t xml:space="preserve">Fuente y responsable</w:t>
            </w:r>
          </w:p>
        </w:tc>
      </w:tr>
      <w:tr>
        <w:tc>
          <w:tcPr>
            <w:tcW w:w="871" w:type="dxa"/>
          </w:tcPr>
          <w:p>
            <w:pPr>
              <w:pStyle w:val="CeldaAPA"/>
              <w:jc w:val="left"/>
            </w:pPr>
            <w:r>
              <w:rPr/>
              <w:t xml:space="preserve">OC1</w:t>
            </w:r>
          </w:p>
        </w:tc>
        <w:tc>
          <w:tcPr>
            <w:tcW w:w="1853" w:type="dxa"/>
          </w:tcPr>
          <w:p>
            <w:pPr>
              <w:pStyle w:val="CeldaAPA"/>
              <w:jc w:val="left"/>
            </w:pPr>
            <w:r>
              <w:rPr/>
              <w:t xml:space="preserve">Reducir el desperdicio de hormigón:</w:t>
            </w:r>
            <w:r>
              <w:rPr/>
              <w:t xml:space="preserve"> </w:t>
            </w:r>
            <m:oMath>
              <m:r>
                <m:t>I</m:t>
              </m:r>
              <m:r>
                <m:t>D</m:t>
              </m:r>
              <m:sSub>
                <m:e>
                  <m:r>
                    <m:t>M</m:t>
                  </m:r>
                </m:e>
                <m:sub>
                  <m:r>
                    <m:t>H</m:t>
                  </m:r>
                </m:sub>
              </m:sSub>
            </m:oMath>
          </w:p>
        </w:tc>
        <w:tc>
          <w:tcPr>
            <w:tcW w:w="2108" w:type="dxa"/>
          </w:tcPr>
          <w:p>
            <w:pPr>
              <w:pStyle w:val="CeldaAPA"/>
              <w:jc w:val="left"/>
            </w:pPr>
            <w:r>
              <w:rPr/>
              <w:t xml:space="preserve">Ecuación (8) con el volumen producido (pastones</w:t>
            </w:r>
            <w:r>
              <w:rPr/>
              <w:t xml:space="preserve"> </w:t>
            </w:r>
            <m:oMath>
              <m:r>
                <m:rPr>
                  <m:sty m:val="p"/>
                </m:rPr>
                <m:t>×</m:t>
              </m:r>
            </m:oMath>
            <w:r>
              <w:rPr/>
              <w:t xml:space="preserve"> </w:t>
            </w:r>
            <w:r>
              <w:rPr/>
              <w:t xml:space="preserve">rendimiento) frente al volumen teórico</w:t>
            </w:r>
          </w:p>
        </w:tc>
        <w:tc>
          <w:tcPr>
            <w:tcW w:w="1406" w:type="dxa"/>
          </w:tcPr>
          <w:p>
            <w:pPr>
              <w:pStyle w:val="CeldaAPA"/>
              <w:jc w:val="left"/>
            </w:pPr>
            <m:oMath>
              <m:r>
                <m:rPr>
                  <m:sty m:val="p"/>
                </m:rPr>
                <m:t>≤</m:t>
              </m:r>
              <m:r>
                <m:t>3</m:t>
              </m:r>
            </m:oMath>
            <w:r>
              <w:rPr/>
              <w:t xml:space="preserve"> %</w:t>
            </w:r>
          </w:p>
        </w:tc>
        <w:tc>
          <w:tcPr>
            <w:tcW w:w="1572" w:type="dxa"/>
          </w:tcPr>
          <w:p>
            <w:pPr>
              <w:pStyle w:val="CeldaAPA"/>
              <w:jc w:val="left"/>
            </w:pPr>
            <w:r>
              <w:rPr/>
              <w:t xml:space="preserve">Cada vaciado</w:t>
            </w:r>
          </w:p>
        </w:tc>
        <w:tc>
          <w:tcPr>
            <w:tcW w:w="1550" w:type="dxa"/>
          </w:tcPr>
          <w:p>
            <w:pPr>
              <w:pStyle w:val="CeldaAPA"/>
              <w:jc w:val="left"/>
            </w:pPr>
            <w:r>
              <w:rPr/>
              <w:t xml:space="preserve">C.4; RC</w:t>
            </w:r>
          </w:p>
        </w:tc>
      </w:tr>
      <w:tr>
        <w:tc>
          <w:tcPr>
            <w:tcW w:w="871" w:type="dxa"/>
          </w:tcPr>
          <w:p>
            <w:pPr>
              <w:pStyle w:val="CeldaAPA"/>
              <w:jc w:val="left"/>
            </w:pPr>
            <w:r>
              <w:rPr/>
              <w:t xml:space="preserve">OC2</w:t>
            </w:r>
          </w:p>
        </w:tc>
        <w:tc>
          <w:tcPr>
            <w:tcW w:w="1853" w:type="dxa"/>
          </w:tcPr>
          <w:p>
            <w:pPr>
              <w:pStyle w:val="CeldaAPA"/>
              <w:jc w:val="left"/>
            </w:pPr>
            <w:r>
              <w:rPr/>
              <w:t xml:space="preserve">Reducir el desperdicio de acero:</w:t>
            </w:r>
            <w:r>
              <w:rPr/>
              <w:t xml:space="preserve"> </w:t>
            </w:r>
            <m:oMath>
              <m:r>
                <m:t>I</m:t>
              </m:r>
              <m:r>
                <m:t>D</m:t>
              </m:r>
              <m:sSub>
                <m:e>
                  <m:r>
                    <m:t>M</m:t>
                  </m:r>
                </m:e>
                <m:sub>
                  <m:r>
                    <m:t>A</m:t>
                  </m:r>
                </m:sub>
              </m:sSub>
            </m:oMath>
          </w:p>
        </w:tc>
        <w:tc>
          <w:tcPr>
            <w:tcW w:w="2108" w:type="dxa"/>
          </w:tcPr>
          <w:p>
            <w:pPr>
              <w:pStyle w:val="CeldaAPA"/>
              <w:jc w:val="left"/>
            </w:pPr>
            <w:r>
              <w:rPr/>
              <w:t xml:space="preserve">Ecuación (8) con los kg despachados menos los devueltos frente a los kg de planos</w:t>
            </w:r>
          </w:p>
        </w:tc>
        <w:tc>
          <w:tcPr>
            <w:tcW w:w="1406" w:type="dxa"/>
          </w:tcPr>
          <w:p>
            <w:pPr>
              <w:pStyle w:val="CeldaAPA"/>
              <w:jc w:val="left"/>
            </w:pPr>
            <m:oMath>
              <m:r>
                <m:rPr>
                  <m:sty m:val="p"/>
                </m:rPr>
                <m:t>≤</m:t>
              </m:r>
              <m:r>
                <m:t>4</m:t>
              </m:r>
            </m:oMath>
            <w:r>
              <w:rPr/>
              <w:t xml:space="preserve"> %</w:t>
            </w:r>
          </w:p>
        </w:tc>
        <w:tc>
          <w:tcPr>
            <w:tcW w:w="1572" w:type="dxa"/>
          </w:tcPr>
          <w:p>
            <w:pPr>
              <w:pStyle w:val="CeldaAPA"/>
              <w:jc w:val="left"/>
            </w:pPr>
            <w:r>
              <w:rPr/>
              <w:t xml:space="preserve">Cada paño y planilla</w:t>
            </w:r>
          </w:p>
        </w:tc>
        <w:tc>
          <w:tcPr>
            <w:tcW w:w="1550" w:type="dxa"/>
          </w:tcPr>
          <w:p>
            <w:pPr>
              <w:pStyle w:val="CeldaAPA"/>
              <w:jc w:val="left"/>
            </w:pPr>
            <w:r>
              <w:rPr/>
              <w:t xml:space="preserve">C.4; RC y AL</w:t>
            </w:r>
          </w:p>
        </w:tc>
      </w:tr>
      <w:tr>
        <w:tc>
          <w:tcPr>
            <w:tcW w:w="871" w:type="dxa"/>
          </w:tcPr>
          <w:p>
            <w:pPr>
              <w:pStyle w:val="CeldaAPA"/>
              <w:jc w:val="left"/>
            </w:pPr>
            <w:r>
              <w:rPr/>
              <w:t xml:space="preserve">OC3</w:t>
            </w:r>
          </w:p>
        </w:tc>
        <w:tc>
          <w:tcPr>
            <w:tcW w:w="1853" w:type="dxa"/>
          </w:tcPr>
          <w:p>
            <w:pPr>
              <w:pStyle w:val="CeldaAPA"/>
              <w:jc w:val="left"/>
            </w:pPr>
            <w:r>
              <w:rPr/>
              <w:t xml:space="preserve">Reducir el desperdicio de viguetas:</w:t>
            </w:r>
            <w:r>
              <w:rPr/>
              <w:t xml:space="preserve"> </w:t>
            </w:r>
            <m:oMath>
              <m:r>
                <m:t>I</m:t>
              </m:r>
              <m:r>
                <m:t>D</m:t>
              </m:r>
              <m:sSub>
                <m:e>
                  <m:r>
                    <m:t>M</m:t>
                  </m:r>
                </m:e>
                <m:sub>
                  <m:r>
                    <m:t>V</m:t>
                  </m:r>
                </m:sub>
              </m:sSub>
            </m:oMath>
          </w:p>
        </w:tc>
        <w:tc>
          <w:tcPr>
            <w:tcW w:w="2108" w:type="dxa"/>
          </w:tcPr>
          <w:p>
            <w:pPr>
              <w:pStyle w:val="CeldaAPA"/>
              <w:jc w:val="left"/>
            </w:pPr>
            <w:r>
              <w:rPr/>
              <w:t xml:space="preserve">Ecuación (8) en metros lineales por tipo de vigueta</w:t>
            </w:r>
          </w:p>
        </w:tc>
        <w:tc>
          <w:tcPr>
            <w:tcW w:w="1406" w:type="dxa"/>
          </w:tcPr>
          <w:p>
            <w:pPr>
              <w:pStyle w:val="CeldaAPA"/>
              <w:jc w:val="left"/>
            </w:pPr>
            <m:oMath>
              <m:r>
                <m:rPr>
                  <m:sty m:val="p"/>
                </m:rPr>
                <m:t>≤</m:t>
              </m:r>
              <m:r>
                <m:t>1</m:t>
              </m:r>
            </m:oMath>
            <w:r>
              <w:rPr/>
              <w:t xml:space="preserve"> %</w:t>
            </w:r>
          </w:p>
        </w:tc>
        <w:tc>
          <w:tcPr>
            <w:tcW w:w="1572" w:type="dxa"/>
          </w:tcPr>
          <w:p>
            <w:pPr>
              <w:pStyle w:val="CeldaAPA"/>
              <w:jc w:val="left"/>
            </w:pPr>
            <w:r>
              <w:rPr/>
              <w:t xml:space="preserve">Cada paño</w:t>
            </w:r>
          </w:p>
        </w:tc>
        <w:tc>
          <w:tcPr>
            <w:tcW w:w="1550" w:type="dxa"/>
          </w:tcPr>
          <w:p>
            <w:pPr>
              <w:pStyle w:val="CeldaAPA"/>
              <w:jc w:val="left"/>
            </w:pPr>
            <w:r>
              <w:rPr/>
              <w:t xml:space="preserve">C.4; RC</w:t>
            </w:r>
          </w:p>
        </w:tc>
      </w:tr>
      <w:tr>
        <w:tc>
          <w:tcPr>
            <w:tcW w:w="871" w:type="dxa"/>
          </w:tcPr>
          <w:p>
            <w:pPr>
              <w:pStyle w:val="CeldaAPA"/>
              <w:jc w:val="left"/>
            </w:pPr>
            <w:r>
              <w:rPr/>
              <w:t xml:space="preserve">OC4</w:t>
            </w:r>
          </w:p>
        </w:tc>
        <w:tc>
          <w:tcPr>
            <w:tcW w:w="1853" w:type="dxa"/>
          </w:tcPr>
          <w:p>
            <w:pPr>
              <w:pStyle w:val="CeldaAPA"/>
              <w:jc w:val="left"/>
            </w:pPr>
            <w:r>
              <w:rPr/>
              <w:t xml:space="preserve">Reducir el desperdicio de complementos:</w:t>
            </w:r>
            <w:r>
              <w:rPr/>
              <w:t xml:space="preserve"> </w:t>
            </w:r>
            <m:oMath>
              <m:r>
                <m:t>I</m:t>
              </m:r>
              <m:r>
                <m:t>D</m:t>
              </m:r>
              <m:sSub>
                <m:e>
                  <m:r>
                    <m:t>M</m:t>
                  </m:r>
                </m:e>
                <m:sub>
                  <m:r>
                    <m:t>E</m:t>
                  </m:r>
                  <m:r>
                    <m:t>P</m:t>
                  </m:r>
                  <m:r>
                    <m:t>S</m:t>
                  </m:r>
                </m:sub>
              </m:sSub>
            </m:oMath>
          </w:p>
        </w:tc>
        <w:tc>
          <w:tcPr>
            <w:tcW w:w="2108" w:type="dxa"/>
          </w:tcPr>
          <w:p>
            <w:pPr>
              <w:pStyle w:val="CeldaAPA"/>
              <w:jc w:val="left"/>
            </w:pPr>
            <w:r>
              <w:rPr/>
              <w:t xml:space="preserve">Ecuación (8) en piezas (equivalentes a pieza entera)</w:t>
            </w:r>
          </w:p>
        </w:tc>
        <w:tc>
          <w:tcPr>
            <w:tcW w:w="1406" w:type="dxa"/>
          </w:tcPr>
          <w:p>
            <w:pPr>
              <w:pStyle w:val="CeldaAPA"/>
              <w:jc w:val="left"/>
            </w:pPr>
            <m:oMath>
              <m:r>
                <m:rPr>
                  <m:sty m:val="p"/>
                </m:rPr>
                <m:t>≤</m:t>
              </m:r>
              <m:r>
                <m:t>3</m:t>
              </m:r>
            </m:oMath>
            <w:r>
              <w:rPr/>
              <w:t xml:space="preserve"> %</w:t>
            </w:r>
          </w:p>
        </w:tc>
        <w:tc>
          <w:tcPr>
            <w:tcW w:w="1572" w:type="dxa"/>
          </w:tcPr>
          <w:p>
            <w:pPr>
              <w:pStyle w:val="CeldaAPA"/>
              <w:jc w:val="left"/>
            </w:pPr>
            <w:r>
              <w:rPr/>
              <w:t xml:space="preserve">Cada paño</w:t>
            </w:r>
          </w:p>
        </w:tc>
        <w:tc>
          <w:tcPr>
            <w:tcW w:w="1550" w:type="dxa"/>
          </w:tcPr>
          <w:p>
            <w:pPr>
              <w:pStyle w:val="CeldaAPA"/>
              <w:jc w:val="left"/>
            </w:pPr>
            <w:r>
              <w:rPr/>
              <w:t xml:space="preserve">C.4; RC</w:t>
            </w:r>
          </w:p>
        </w:tc>
      </w:tr>
      <w:tr>
        <w:tc>
          <w:tcPr>
            <w:tcW w:w="871" w:type="dxa"/>
          </w:tcPr>
          <w:p>
            <w:pPr>
              <w:pStyle w:val="CeldaAPA"/>
              <w:jc w:val="left"/>
            </w:pPr>
            <w:r>
              <w:rPr/>
              <w:t xml:space="preserve">OC5</w:t>
            </w:r>
          </w:p>
        </w:tc>
        <w:tc>
          <w:tcPr>
            <w:tcW w:w="1853" w:type="dxa"/>
          </w:tcPr>
          <w:p>
            <w:pPr>
              <w:pStyle w:val="CeldaAPA"/>
              <w:jc w:val="left"/>
            </w:pPr>
            <w:r>
              <w:rPr/>
              <w:t xml:space="preserve">Asegurar materiales conformes:</w:t>
            </w:r>
            <w:r>
              <w:rPr/>
              <w:t xml:space="preserve"> </w:t>
            </w:r>
            <m:oMath>
              <m:r>
                <m:rPr>
                  <m:sty m:val="p"/>
                </m:rPr>
                <m:t>%</m:t>
              </m:r>
              <m:r>
                <m:t>L</m:t>
              </m:r>
              <m:r>
                <m:t>C</m:t>
              </m:r>
            </m:oMath>
          </w:p>
        </w:tc>
        <w:tc>
          <w:tcPr>
            <w:tcW w:w="2108" w:type="dxa"/>
          </w:tcPr>
          <w:p>
            <w:pPr>
              <w:pStyle w:val="CeldaAPA"/>
              <w:jc w:val="left"/>
            </w:pPr>
            <w:r>
              <w:rPr/>
              <w:t xml:space="preserve">(lotes incorporados con recepción aceptada / lotes incorporados)</w:t>
            </w:r>
            <w:r>
              <w:rPr/>
              <w:t xml:space="preserve"> </w:t>
            </w:r>
            <m:oMath>
              <m:r>
                <m:rPr>
                  <m:sty m:val="p"/>
                </m:rPr>
                <m:t>×</m:t>
              </m:r>
            </m:oMath>
            <w:r>
              <w:rPr/>
              <w:t xml:space="preserve"> </w:t>
            </w:r>
            <w:r>
              <w:rPr/>
              <w:t xml:space="preserve">100</w:t>
            </w:r>
          </w:p>
        </w:tc>
        <w:tc>
          <w:tcPr>
            <w:tcW w:w="1406" w:type="dxa"/>
          </w:tcPr>
          <w:p>
            <w:pPr>
              <w:pStyle w:val="CeldaAPA"/>
              <w:jc w:val="left"/>
            </w:pPr>
            <w:r>
              <w:rPr/>
              <w:t xml:space="preserve">100 %</w:t>
            </w:r>
          </w:p>
        </w:tc>
        <w:tc>
          <w:tcPr>
            <w:tcW w:w="1572" w:type="dxa"/>
          </w:tcPr>
          <w:p>
            <w:pPr>
              <w:pStyle w:val="CeldaAPA"/>
              <w:jc w:val="left"/>
            </w:pPr>
            <w:r>
              <w:rPr/>
              <w:t xml:space="preserve">Cada entrega</w:t>
            </w:r>
          </w:p>
        </w:tc>
        <w:tc>
          <w:tcPr>
            <w:tcW w:w="1550" w:type="dxa"/>
          </w:tcPr>
          <w:p>
            <w:pPr>
              <w:pStyle w:val="CeldaAPA"/>
              <w:jc w:val="left"/>
            </w:pPr>
            <w:r>
              <w:rPr/>
              <w:t xml:space="preserve">C.3; AL y RC</w:t>
            </w:r>
          </w:p>
        </w:tc>
      </w:tr>
      <w:tr>
        <w:tc>
          <w:tcPr>
            <w:tcW w:w="871" w:type="dxa"/>
          </w:tcPr>
          <w:p>
            <w:pPr>
              <w:pStyle w:val="CeldaAPA"/>
              <w:jc w:val="left"/>
            </w:pPr>
            <w:r>
              <w:rPr/>
              <w:t xml:space="preserve">OC6</w:t>
            </w:r>
          </w:p>
        </w:tc>
        <w:tc>
          <w:tcPr>
            <w:tcW w:w="1853" w:type="dxa"/>
          </w:tcPr>
          <w:p>
            <w:pPr>
              <w:pStyle w:val="CeldaAPA"/>
              <w:jc w:val="left"/>
            </w:pPr>
            <w:r>
              <w:rPr/>
              <w:t xml:space="preserve">Liberar los paños antes del vaciado:</w:t>
            </w:r>
            <w:r>
              <w:rPr/>
              <w:t xml:space="preserve"> </w:t>
            </w:r>
            <m:oMath>
              <m:r>
                <m:rPr>
                  <m:sty m:val="p"/>
                </m:rPr>
                <m:t>%</m:t>
              </m:r>
              <m:r>
                <m:t>P</m:t>
              </m:r>
              <m:r>
                <m:t>L</m:t>
              </m:r>
            </m:oMath>
          </w:p>
        </w:tc>
        <w:tc>
          <w:tcPr>
            <w:tcW w:w="2108" w:type="dxa"/>
          </w:tcPr>
          <w:p>
            <w:pPr>
              <w:pStyle w:val="CeldaAPA"/>
              <w:jc w:val="left"/>
            </w:pPr>
            <w:r>
              <w:rPr/>
              <w:t xml:space="preserve">(paños liberados antes de vaciar / paños vaciados)</w:t>
            </w:r>
            <w:r>
              <w:rPr/>
              <w:t xml:space="preserve"> </w:t>
            </w:r>
            <m:oMath>
              <m:r>
                <m:rPr>
                  <m:sty m:val="p"/>
                </m:rPr>
                <m:t>×</m:t>
              </m:r>
            </m:oMath>
            <w:r>
              <w:rPr/>
              <w:t xml:space="preserve"> </w:t>
            </w:r>
            <w:r>
              <w:rPr/>
              <w:t xml:space="preserve">100</w:t>
            </w:r>
          </w:p>
        </w:tc>
        <w:tc>
          <w:tcPr>
            <w:tcW w:w="1406" w:type="dxa"/>
          </w:tcPr>
          <w:p>
            <w:pPr>
              <w:pStyle w:val="CeldaAPA"/>
              <w:jc w:val="left"/>
            </w:pPr>
            <w:r>
              <w:rPr/>
              <w:t xml:space="preserve">100 %</w:t>
            </w:r>
          </w:p>
        </w:tc>
        <w:tc>
          <w:tcPr>
            <w:tcW w:w="1572" w:type="dxa"/>
          </w:tcPr>
          <w:p>
            <w:pPr>
              <w:pStyle w:val="CeldaAPA"/>
              <w:jc w:val="left"/>
            </w:pPr>
            <w:r>
              <w:rPr/>
              <w:t xml:space="preserve">Cada vaciado</w:t>
            </w:r>
          </w:p>
        </w:tc>
        <w:tc>
          <w:tcPr>
            <w:tcW w:w="1550" w:type="dxa"/>
          </w:tcPr>
          <w:p>
            <w:pPr>
              <w:pStyle w:val="CeldaAPA"/>
              <w:jc w:val="left"/>
            </w:pPr>
            <w:r>
              <w:rPr/>
              <w:t xml:space="preserve">C.2; RC y SU</w:t>
            </w:r>
          </w:p>
        </w:tc>
      </w:tr>
      <w:tr>
        <w:tc>
          <w:tcPr>
            <w:tcW w:w="871" w:type="dxa"/>
          </w:tcPr>
          <w:p>
            <w:pPr>
              <w:pStyle w:val="CeldaAPA"/>
              <w:jc w:val="left"/>
            </w:pPr>
            <w:r>
              <w:rPr/>
              <w:t xml:space="preserve">OC7</w:t>
            </w:r>
          </w:p>
        </w:tc>
        <w:tc>
          <w:tcPr>
            <w:tcW w:w="1853" w:type="dxa"/>
          </w:tcPr>
          <w:p>
            <w:pPr>
              <w:pStyle w:val="CeldaAPA"/>
              <w:jc w:val="left"/>
            </w:pPr>
            <w:r>
              <w:rPr/>
              <w:t xml:space="preserve">Asegurar la resistencia del hormigón:</w:t>
            </w:r>
            <w:r>
              <w:rPr/>
              <w:t xml:space="preserve"> </w:t>
            </w:r>
            <m:oMath>
              <m:r>
                <m:rPr>
                  <m:sty m:val="p"/>
                </m:rPr>
                <m:t>%</m:t>
              </m:r>
              <m:r>
                <m:t>E</m:t>
              </m:r>
              <m:r>
                <m:t>C</m:t>
              </m:r>
            </m:oMath>
          </w:p>
        </w:tc>
        <w:tc>
          <w:tcPr>
            <w:tcW w:w="2108" w:type="dxa"/>
          </w:tcPr>
          <w:p>
            <w:pPr>
              <w:pStyle w:val="CeldaAPA"/>
              <w:jc w:val="left"/>
            </w:pPr>
            <w:r>
              <w:rPr/>
              <w:t xml:space="preserve">(ensayos conformes con la sección 26.12.3.1 / ensayos realizados)</w:t>
            </w:r>
            <w:r>
              <w:rPr/>
              <w:t xml:space="preserve"> </w:t>
            </w:r>
            <m:oMath>
              <m:r>
                <m:rPr>
                  <m:sty m:val="p"/>
                </m:rPr>
                <m:t>×</m:t>
              </m:r>
            </m:oMath>
            <w:r>
              <w:rPr/>
              <w:t xml:space="preserve"> </w:t>
            </w:r>
            <w:r>
              <w:rPr/>
              <w:t xml:space="preserve">100; todo promedio móvil de tres ensayos</w:t>
            </w:r>
            <w:r>
              <w:rPr/>
              <w:t xml:space="preserve"> </w:t>
            </w:r>
            <m:oMath>
              <m:r>
                <m:rPr>
                  <m:sty m:val="p"/>
                </m:rPr>
                <m:t>≥</m:t>
              </m:r>
              <m:r>
                <m:t>f</m:t>
              </m:r>
              <m:sSub>
                <m:e>
                  <m:r>
                    <m:rPr>
                      <m:sty m:val="p"/>
                    </m:rPr>
                    <m:t>′</m:t>
                  </m:r>
                </m:e>
                <m:sub>
                  <m:r>
                    <m:t>c</m:t>
                  </m:r>
                </m:sub>
              </m:sSub>
            </m:oMath>
          </w:p>
        </w:tc>
        <w:tc>
          <w:tcPr>
            <w:tcW w:w="1406" w:type="dxa"/>
          </w:tcPr>
          <w:p>
            <w:pPr>
              <w:pStyle w:val="CeldaAPA"/>
              <w:jc w:val="left"/>
            </w:pPr>
            <w:r>
              <w:rPr/>
              <w:t xml:space="preserve">100 %; todo ensayo a 28 días</w:t>
            </w:r>
          </w:p>
        </w:tc>
        <w:tc>
          <w:tcPr>
            <w:tcW w:w="1572" w:type="dxa"/>
          </w:tcPr>
          <w:p>
            <w:pPr>
              <w:pStyle w:val="CeldaAPA"/>
              <w:jc w:val="left"/>
            </w:pPr>
            <w:r>
              <w:rPr/>
              <w:t xml:space="preserve">Cada ensayo</w:t>
            </w:r>
          </w:p>
        </w:tc>
        <w:tc>
          <w:tcPr>
            <w:tcW w:w="1550" w:type="dxa"/>
          </w:tcPr>
          <w:p>
            <w:pPr>
              <w:pStyle w:val="CeldaAPA"/>
              <w:jc w:val="left"/>
            </w:pPr>
            <w:r>
              <w:rPr/>
              <w:t xml:space="preserve">Informe del laboratorio; SU</w:t>
            </w:r>
          </w:p>
        </w:tc>
      </w:tr>
      <w:tr>
        <w:tc>
          <w:tcPr>
            <w:tcW w:w="871" w:type="dxa"/>
          </w:tcPr>
          <w:p>
            <w:pPr>
              <w:pStyle w:val="CeldaAPA"/>
              <w:jc w:val="left"/>
            </w:pPr>
            <w:r>
              <w:rPr/>
              <w:t xml:space="preserve">OC8</w:t>
            </w:r>
          </w:p>
        </w:tc>
        <w:tc>
          <w:tcPr>
            <w:tcW w:w="1853" w:type="dxa"/>
          </w:tcPr>
          <w:p>
            <w:pPr>
              <w:pStyle w:val="CeldaAPA"/>
              <w:jc w:val="left"/>
            </w:pPr>
            <w:r>
              <w:rPr/>
              <w:t xml:space="preserve">Cumplir el plan de muestreo:</w:t>
            </w:r>
            <w:r>
              <w:rPr/>
              <w:t xml:space="preserve"> </w:t>
            </w:r>
            <m:oMath>
              <m:r>
                <m:rPr>
                  <m:sty m:val="p"/>
                </m:rPr>
                <m:t>%</m:t>
              </m:r>
              <m:r>
                <m:t>M</m:t>
              </m:r>
            </m:oMath>
          </w:p>
        </w:tc>
        <w:tc>
          <w:tcPr>
            <w:tcW w:w="2108" w:type="dxa"/>
          </w:tcPr>
          <w:p>
            <w:pPr>
              <w:pStyle w:val="CeldaAPA"/>
              <w:jc w:val="left"/>
            </w:pPr>
            <w:r>
              <w:rPr/>
              <w:t xml:space="preserve">(ensayos realizados /</w:t>
            </w:r>
            <w:r>
              <w:rPr/>
              <w:t xml:space="preserve"> </w:t>
            </w:r>
            <m:oMath>
              <m:sSub>
                <m:e>
                  <m:r>
                    <m:t>n</m:t>
                  </m:r>
                </m:e>
                <m:sub>
                  <m:r>
                    <m:rPr>
                      <m:nor/>
                      <m:sty m:val="p"/>
                    </m:rPr>
                    <m:t>mín</m:t>
                  </m:r>
                </m:sub>
              </m:sSub>
            </m:oMath>
            <w:r>
              <w:rPr/>
              <w:t xml:space="preserve">)</w:t>
            </w:r>
            <w:r>
              <w:rPr/>
              <w:t xml:space="preserve"> </w:t>
            </w:r>
            <m:oMath>
              <m:r>
                <m:rPr>
                  <m:sty m:val="p"/>
                </m:rPr>
                <m:t>×</m:t>
              </m:r>
            </m:oMath>
            <w:r>
              <w:rPr/>
              <w:t xml:space="preserve"> </w:t>
            </w:r>
            <w:r>
              <w:rPr/>
              <w:t xml:space="preserve">100, con</w:t>
            </w:r>
            <w:r>
              <w:rPr/>
              <w:t xml:space="preserve"> </w:t>
            </w:r>
            <m:oMath>
              <m:sSub>
                <m:e>
                  <m:r>
                    <m:t>n</m:t>
                  </m:r>
                </m:e>
                <m:sub>
                  <m:r>
                    <m:rPr>
                      <m:nor/>
                      <m:sty m:val="p"/>
                    </m:rPr>
                    <m:t>mín</m:t>
                  </m:r>
                </m:sub>
              </m:sSub>
            </m:oMath>
            <w:r>
              <w:rPr/>
              <w:t xml:space="preserve"> </w:t>
            </w:r>
            <w:r>
              <w:rPr/>
              <w:t xml:space="preserve">de la ecuación (14)</w:t>
            </w:r>
          </w:p>
        </w:tc>
        <w:tc>
          <w:tcPr>
            <w:tcW w:w="1406" w:type="dxa"/>
          </w:tcPr>
          <w:p>
            <w:pPr>
              <w:pStyle w:val="CeldaAPA"/>
              <w:jc w:val="left"/>
            </w:pPr>
            <w:r>
              <w:rPr/>
              <w:t xml:space="preserve">100 %</w:t>
            </w:r>
          </w:p>
        </w:tc>
        <w:tc>
          <w:tcPr>
            <w:tcW w:w="1572" w:type="dxa"/>
          </w:tcPr>
          <w:p>
            <w:pPr>
              <w:pStyle w:val="CeldaAPA"/>
              <w:jc w:val="left"/>
            </w:pPr>
            <w:r>
              <w:rPr/>
              <w:t xml:space="preserve">Cada losa</w:t>
            </w:r>
          </w:p>
        </w:tc>
        <w:tc>
          <w:tcPr>
            <w:tcW w:w="1550" w:type="dxa"/>
          </w:tcPr>
          <w:p>
            <w:pPr>
              <w:pStyle w:val="CeldaAPA"/>
              <w:jc w:val="left"/>
            </w:pPr>
            <w:r>
              <w:rPr/>
              <w:t xml:space="preserve">Planilla de muestreo; LB y SU</w:t>
            </w:r>
          </w:p>
        </w:tc>
      </w:tr>
      <w:tr>
        <w:tc>
          <w:tcPr>
            <w:tcW w:w="871" w:type="dxa"/>
          </w:tcPr>
          <w:p>
            <w:pPr>
              <w:pStyle w:val="CeldaAPA"/>
              <w:jc w:val="left"/>
            </w:pPr>
            <w:r>
              <w:rPr/>
              <w:t xml:space="preserve">OC9</w:t>
            </w:r>
          </w:p>
        </w:tc>
        <w:tc>
          <w:tcPr>
            <w:tcW w:w="1853" w:type="dxa"/>
          </w:tcPr>
          <w:p>
            <w:pPr>
              <w:pStyle w:val="CeldaAPA"/>
              <w:jc w:val="left"/>
            </w:pPr>
            <w:r>
              <w:rPr/>
              <w:t xml:space="preserve">Cerrar a tiempo las no conformidades:</w:t>
            </w:r>
            <w:r>
              <w:rPr/>
              <w:t xml:space="preserve"> </w:t>
            </w:r>
            <m:oMath>
              <m:r>
                <m:rPr>
                  <m:sty m:val="p"/>
                </m:rPr>
                <m:t>%</m:t>
              </m:r>
              <m:r>
                <m:t>N</m:t>
              </m:r>
              <m:sSub>
                <m:e>
                  <m:r>
                    <m:t>C</m:t>
                  </m:r>
                </m:e>
                <m:sub>
                  <m:r>
                    <m:t>7</m:t>
                  </m:r>
                </m:sub>
              </m:sSub>
            </m:oMath>
          </w:p>
        </w:tc>
        <w:tc>
          <w:tcPr>
            <w:tcW w:w="2108" w:type="dxa"/>
          </w:tcPr>
          <w:p>
            <w:pPr>
              <w:pStyle w:val="CeldaAPA"/>
              <w:jc w:val="left"/>
            </w:pPr>
            <w:r>
              <w:rPr/>
              <w:t xml:space="preserve">(NC cerradas en 7 días o menos / NC registradas)</w:t>
            </w:r>
            <w:r>
              <w:rPr/>
              <w:t xml:space="preserve"> </w:t>
            </w:r>
            <m:oMath>
              <m:r>
                <m:rPr>
                  <m:sty m:val="p"/>
                </m:rPr>
                <m:t>×</m:t>
              </m:r>
            </m:oMath>
            <w:r>
              <w:rPr/>
              <w:t xml:space="preserve"> </w:t>
            </w:r>
            <w:r>
              <w:rPr/>
              <w:t xml:space="preserve">100</w:t>
            </w:r>
          </w:p>
        </w:tc>
        <w:tc>
          <w:tcPr>
            <w:tcW w:w="1406" w:type="dxa"/>
          </w:tcPr>
          <w:p>
            <w:pPr>
              <w:pStyle w:val="CeldaAPA"/>
              <w:jc w:val="left"/>
            </w:pPr>
            <m:oMath>
              <m:r>
                <m:rPr>
                  <m:sty m:val="p"/>
                </m:rPr>
                <m:t>≥</m:t>
              </m:r>
              <m:r>
                <m:t>90</m:t>
              </m:r>
            </m:oMath>
            <w:r>
              <w:rPr/>
              <w:t xml:space="preserve"> %; ninguna NC abierta en un paño que se vaciará</w:t>
            </w:r>
          </w:p>
        </w:tc>
        <w:tc>
          <w:tcPr>
            <w:tcW w:w="1572" w:type="dxa"/>
          </w:tcPr>
          <w:p>
            <w:pPr>
              <w:pStyle w:val="CeldaAPA"/>
              <w:jc w:val="left"/>
            </w:pPr>
            <w:r>
              <w:rPr/>
              <w:t xml:space="preserve">Semanal</w:t>
            </w:r>
          </w:p>
        </w:tc>
        <w:tc>
          <w:tcPr>
            <w:tcW w:w="1550" w:type="dxa"/>
          </w:tcPr>
          <w:p>
            <w:pPr>
              <w:pStyle w:val="CeldaAPA"/>
              <w:jc w:val="left"/>
            </w:pPr>
            <w:r>
              <w:rPr/>
              <w:t xml:space="preserve">C.5; RC</w:t>
            </w:r>
          </w:p>
        </w:tc>
      </w:tr>
      <w:tr>
        <w:tc>
          <w:tcPr>
            <w:tcW w:w="871" w:type="dxa"/>
          </w:tcPr>
          <w:p>
            <w:pPr>
              <w:pStyle w:val="CeldaAPA"/>
              <w:jc w:val="left"/>
            </w:pPr>
            <w:r>
              <w:rPr/>
              <w:t xml:space="preserve">OC10</w:t>
            </w:r>
          </w:p>
        </w:tc>
        <w:tc>
          <w:tcPr>
            <w:tcW w:w="1853" w:type="dxa"/>
          </w:tcPr>
          <w:p>
            <w:pPr>
              <w:pStyle w:val="CeldaAPA"/>
              <w:jc w:val="left"/>
            </w:pPr>
            <w:r>
              <w:rPr/>
              <w:t xml:space="preserve">Conciliar las cantidades antes de cobrar:</w:t>
            </w:r>
            <w:r>
              <w:rPr/>
              <w:t xml:space="preserve"> </w:t>
            </w:r>
            <m:oMath>
              <m:r>
                <m:rPr>
                  <m:sty m:val="p"/>
                </m:rPr>
                <m:t>%</m:t>
              </m:r>
              <m:r>
                <m:t>C</m:t>
              </m:r>
              <m:r>
                <m:t>C</m:t>
              </m:r>
            </m:oMath>
          </w:p>
        </w:tc>
        <w:tc>
          <w:tcPr>
            <w:tcW w:w="2108" w:type="dxa"/>
          </w:tcPr>
          <w:p>
            <w:pPr>
              <w:pStyle w:val="CeldaAPA"/>
              <w:jc w:val="left"/>
            </w:pPr>
            <w:r>
              <w:rPr/>
              <w:t xml:space="preserve">(ítems conciliados dentro de la tolerancia / ítems de la planilla)</w:t>
            </w:r>
            <w:r>
              <w:rPr/>
              <w:t xml:space="preserve"> </w:t>
            </w:r>
            <m:oMath>
              <m:r>
                <m:rPr>
                  <m:sty m:val="p"/>
                </m:rPr>
                <m:t>×</m:t>
              </m:r>
            </m:oMath>
            <w:r>
              <w:rPr/>
              <w:t xml:space="preserve"> </w:t>
            </w:r>
            <w:r>
              <w:rPr/>
              <w:t xml:space="preserve">100</w:t>
            </w:r>
          </w:p>
        </w:tc>
        <w:tc>
          <w:tcPr>
            <w:tcW w:w="1406" w:type="dxa"/>
          </w:tcPr>
          <w:p>
            <w:pPr>
              <w:pStyle w:val="CeldaAPA"/>
              <w:jc w:val="left"/>
            </w:pPr>
            <w:r>
              <w:rPr/>
              <w:t xml:space="preserve">100 %</w:t>
            </w:r>
          </w:p>
        </w:tc>
        <w:tc>
          <w:tcPr>
            <w:tcW w:w="1572" w:type="dxa"/>
          </w:tcPr>
          <w:p>
            <w:pPr>
              <w:pStyle w:val="CeldaAPA"/>
              <w:jc w:val="left"/>
            </w:pPr>
            <w:r>
              <w:rPr/>
              <w:t xml:space="preserve">Cada planilla</w:t>
            </w:r>
          </w:p>
        </w:tc>
        <w:tc>
          <w:tcPr>
            <w:tcW w:w="1550" w:type="dxa"/>
          </w:tcPr>
          <w:p>
            <w:pPr>
              <w:pStyle w:val="CeldaAPA"/>
              <w:jc w:val="left"/>
            </w:pPr>
            <w:r>
              <w:rPr/>
              <w:t xml:space="preserve">C.4; RC y SU</w:t>
            </w:r>
          </w:p>
        </w:tc>
      </w:tr>
      <w:tr>
        <w:tc>
          <w:tcPr>
            <w:tcW w:w="871" w:type="dxa"/>
          </w:tcPr>
          <w:p>
            <w:pPr>
              <w:pStyle w:val="CeldaAPA"/>
              <w:jc w:val="left"/>
            </w:pPr>
            <w:r>
              <w:rPr/>
              <w:t xml:space="preserve">OC11</w:t>
            </w:r>
          </w:p>
        </w:tc>
        <w:tc>
          <w:tcPr>
            <w:tcW w:w="1853" w:type="dxa"/>
          </w:tcPr>
          <w:p>
            <w:pPr>
              <w:pStyle w:val="CeldaAPA"/>
              <w:jc w:val="left"/>
            </w:pPr>
            <w:r>
              <w:rPr/>
              <w:t xml:space="preserve">Reducir el costo de no calidad:</w:t>
            </w:r>
            <w:r>
              <w:rPr/>
              <w:t xml:space="preserve"> </w:t>
            </w:r>
            <m:oMath>
              <m:r>
                <m:rPr>
                  <m:sty m:val="p"/>
                </m:rPr>
                <m:t>%</m:t>
              </m:r>
              <m:r>
                <m:t>C</m:t>
              </m:r>
              <m:r>
                <m:t>N</m:t>
              </m:r>
              <m:r>
                <m:t>C</m:t>
              </m:r>
            </m:oMath>
          </w:p>
        </w:tc>
        <w:tc>
          <w:tcPr>
            <w:tcW w:w="2108" w:type="dxa"/>
          </w:tcPr>
          <w:p>
            <w:pPr>
              <w:pStyle w:val="CeldaAPA"/>
              <w:jc w:val="left"/>
            </w:pPr>
            <w:r>
              <w:rPr/>
              <w:t xml:space="preserve">Ecuación (10)</w:t>
            </w:r>
          </w:p>
        </w:tc>
        <w:tc>
          <w:tcPr>
            <w:tcW w:w="1406" w:type="dxa"/>
          </w:tcPr>
          <w:p>
            <w:pPr>
              <w:pStyle w:val="CeldaAPA"/>
              <w:jc w:val="left"/>
            </w:pPr>
            <m:oMath>
              <m:r>
                <m:rPr>
                  <m:sty m:val="p"/>
                </m:rPr>
                <m:t>≤</m:t>
              </m:r>
              <m:r>
                <m:t>50</m:t>
              </m:r>
            </m:oMath>
            <w:r>
              <w:rPr/>
              <w:t xml:space="preserve"> % del valor de la línea base; retrabajos</w:t>
            </w:r>
            <w:r>
              <w:rPr/>
              <w:t xml:space="preserve"> </w:t>
            </w:r>
            <m:oMath>
              <m:r>
                <m:rPr>
                  <m:sty m:val="p"/>
                </m:rPr>
                <m:t>≤</m:t>
              </m:r>
              <m:r>
                <m:t>1</m:t>
              </m:r>
            </m:oMath>
            <w:r>
              <w:rPr/>
              <w:t xml:space="preserve"> % del costo del ítem</w:t>
            </w:r>
          </w:p>
        </w:tc>
        <w:tc>
          <w:tcPr>
            <w:tcW w:w="1572" w:type="dxa"/>
          </w:tcPr>
          <w:p>
            <w:pPr>
              <w:pStyle w:val="CeldaAPA"/>
              <w:jc w:val="left"/>
            </w:pPr>
            <w:r>
              <w:rPr/>
              <w:t xml:space="preserve">Mensual</w:t>
            </w:r>
          </w:p>
        </w:tc>
        <w:tc>
          <w:tcPr>
            <w:tcW w:w="1550" w:type="dxa"/>
          </w:tcPr>
          <w:p>
            <w:pPr>
              <w:pStyle w:val="CeldaAPA"/>
              <w:jc w:val="left"/>
            </w:pPr>
            <w:r>
              <w:rPr/>
              <w:t xml:space="preserve">C.6; RC y DO</w:t>
            </w:r>
          </w:p>
        </w:tc>
      </w:tr>
      <w:tr>
        <w:tc>
          <w:tcPr>
            <w:tcW w:w="871" w:type="dxa"/>
            <w:tcBorders>
              <w:bottom w:val="single" w:sz="8" w:space="0" w:color="000000"/>
            </w:tcBorders>
          </w:tcPr>
          <w:p>
            <w:pPr>
              <w:pStyle w:val="CeldaAPA"/>
              <w:jc w:val="left"/>
            </w:pPr>
            <w:r>
              <w:rPr/>
              <w:t xml:space="preserve">OC12</w:t>
            </w:r>
          </w:p>
        </w:tc>
        <w:tc>
          <w:tcPr>
            <w:tcW w:w="1853" w:type="dxa"/>
            <w:tcBorders>
              <w:bottom w:val="single" w:sz="8" w:space="0" w:color="000000"/>
            </w:tcBorders>
          </w:tcPr>
          <w:p>
            <w:pPr>
              <w:pStyle w:val="CeldaAPA"/>
              <w:jc w:val="left"/>
            </w:pPr>
            <w:r>
              <w:rPr/>
              <w:t xml:space="preserve">Reducir el costo unitario de la losa:</w:t>
            </w:r>
            <w:r>
              <w:rPr/>
              <w:t xml:space="preserve"> </w:t>
            </w:r>
            <m:oMath>
              <m:r>
                <m:t>r</m:t>
              </m:r>
            </m:oMath>
          </w:p>
        </w:tc>
        <w:tc>
          <w:tcPr>
            <w:tcW w:w="2108" w:type="dxa"/>
            <w:tcBorders>
              <w:bottom w:val="single" w:sz="8" w:space="0" w:color="000000"/>
            </w:tcBorders>
          </w:tcPr>
          <w:p>
            <w:pPr>
              <w:pStyle w:val="CeldaAPA"/>
              <w:jc w:val="left"/>
            </w:pPr>
            <w:r>
              <w:rPr/>
              <w:t xml:space="preserve">Ecuación (11)</w:t>
            </w:r>
          </w:p>
        </w:tc>
        <w:tc>
          <w:tcPr>
            <w:tcW w:w="1406" w:type="dxa"/>
            <w:tcBorders>
              <w:bottom w:val="single" w:sz="8" w:space="0" w:color="000000"/>
            </w:tcBorders>
          </w:tcPr>
          <w:p>
            <w:pPr>
              <w:pStyle w:val="CeldaAPA"/>
              <w:jc w:val="left"/>
            </w:pPr>
            <m:oMath>
              <m:r>
                <m:rPr>
                  <m:sty m:val="p"/>
                </m:rPr>
                <m:t>≥</m:t>
              </m:r>
              <m:r>
                <m:t>5</m:t>
              </m:r>
            </m:oMath>
            <w:r>
              <w:rPr/>
              <w:t xml:space="preserve"> %</w:t>
            </w:r>
          </w:p>
        </w:tc>
        <w:tc>
          <w:tcPr>
            <w:tcW w:w="1572" w:type="dxa"/>
            <w:tcBorders>
              <w:bottom w:val="single" w:sz="8" w:space="0" w:color="000000"/>
            </w:tcBorders>
          </w:tcPr>
          <w:p>
            <w:pPr>
              <w:pStyle w:val="CeldaAPA"/>
              <w:jc w:val="left"/>
            </w:pPr>
            <w:r>
              <w:rPr/>
              <w:t xml:space="preserve">Cada losa</w:t>
            </w:r>
          </w:p>
        </w:tc>
        <w:tc>
          <w:tcPr>
            <w:tcW w:w="1550" w:type="dxa"/>
            <w:tcBorders>
              <w:bottom w:val="single" w:sz="8" w:space="0" w:color="000000"/>
            </w:tcBorders>
          </w:tcPr>
          <w:p>
            <w:pPr>
              <w:pStyle w:val="CeldaAPA"/>
              <w:jc w:val="left"/>
            </w:pPr>
            <w:r>
              <w:rPr/>
              <w:t xml:space="preserve">C.6 y planillas; DO</w:t>
            </w:r>
          </w:p>
        </w:tc>
      </w:tr>
    </w:tbl>
    <w:p>
      <w:pPr>
        <w:pStyle w:val="NotaAPA"/>
      </w:pPr>
      <w:r>
        <w:rPr>
          <w:iCs/>
          <w:i/>
        </w:rPr>
        <w:t xml:space="preserve">Nota.</w:t>
      </w:r>
      <w:r>
        <w:t xml:space="preserve"> </w:t>
      </w:r>
      <w:r>
        <w:t xml:space="preserve">Elaboración propia. Metas de desperdicio de hormigón y acero con base en</w:t>
      </w:r>
      <w:r>
        <w:t xml:space="preserve"> </w:t>
      </w:r>
      <w:r>
        <w:t xml:space="preserve">Galarza Meza (2011, pp. 73–76)</w:t>
      </w:r>
      <w:r>
        <w:t xml:space="preserve"> </w:t>
      </w:r>
      <w:r>
        <w:t xml:space="preserve">y</w:t>
      </w:r>
      <w:r>
        <w:t xml:space="preserve"> </w:t>
      </w:r>
      <w:r>
        <w:t xml:space="preserve">Ruiz Muñoz y Rojas Bonilla (2018, pp. 33, 69)</w:t>
      </w:r>
      <w:r>
        <w:t xml:space="preserve">; meta de retrabajos con base en</w:t>
      </w:r>
      <w:r>
        <w:t xml:space="preserve"> </w:t>
      </w:r>
      <w:r>
        <w:t xml:space="preserve">Álvarez Quintero (2014, p. 20)</w:t>
      </w:r>
      <w:r>
        <w:t xml:space="preserve">, quien estima que un sistema de gestión de la calidad lleva el costo de los reprocesos a un promedio del 1 % del valor del contrato; la meta de OC12 corresponde a la hipótesis de la investigación. RC: Residente y encargado de calidad; AL: Almacenero; SU: Supervisor; LB: laboratorio; DO: Director de obra; NC: no conformidad.</w:t>
      </w:r>
    </w:p>
    <w:p>
      <w:pPr>
        <w:pStyle w:val="BodyText"/>
      </w:pPr>
      <w:r>
        <w:rPr>
          <w:bCs/>
          <w:b/>
        </w:rPr>
        <w:t xml:space="preserve">Planificación de los cambios.</w:t>
      </w:r>
      <w:r>
        <w:t xml:space="preserve"> </w:t>
      </w:r>
      <w:r>
        <w:t xml:space="preserve">Todo cambio que afecte a la losa (material, proveedor, dosificación, geometría o procedimiento) se evalúa y se aprueba antes de ejecutarse, con el procedimiento de gestión de cambios de la Sección 2.6.6.</w:t>
      </w:r>
    </w:p>
    <w:p>
      <w:pPr>
        <w:pStyle w:val="Heading3"/>
      </w:pPr>
      <w:bookmarkStart w:id="161" w:name="tit114"/>
      <w:r>
        <w:t xml:space="preserve">2.6.5. Apoyo: recursos, competencia, información documentada y comunicación</w:t>
      </w:r>
      <w:bookmarkEnd w:id="161"/>
    </w:p>
    <w:p>
      <w:pPr>
        <w:pStyle w:val="FirstParagraph"/>
      </w:pPr>
      <w:r>
        <w:rPr>
          <w:bCs/>
          <w:b/>
        </w:rPr>
        <w:t xml:space="preserve">Recursos.</w:t>
      </w:r>
      <w:r>
        <w:t xml:space="preserve"> </w:t>
      </w:r>
      <w:r>
        <w:t xml:space="preserve">Además de las personas con tiempo asignado (Sección 2.6.3), el sistema requiere almacenamiento y equipos de medición. El cemento se guarda techado, sobre tarimas y en pilas de no más de 10 bolsas</w:t>
      </w:r>
      <w:r>
        <w:t xml:space="preserve"> </w:t>
      </w:r>
      <w:r>
        <w:t xml:space="preserve">(UATF, s. f.-a, p. 1)</w:t>
      </w:r>
      <w:r>
        <w:t xml:space="preserve">, y el cemento y los áridos se protegen del deterioro y la contaminación</w:t>
      </w:r>
      <w:r>
        <w:t xml:space="preserve"> </w:t>
      </w:r>
      <w:r>
        <w:t xml:space="preserve">(ACI Committee 318, 2025, Sección 26.5.1.1)</w:t>
      </w:r>
      <w:r>
        <w:t xml:space="preserve">; las viguetas se acopian sobre una superficie plana, en listones alineados separados no más de 2 m y con las piezas más largas abajo</w:t>
      </w:r>
      <w:r>
        <w:t xml:space="preserve"> </w:t>
      </w:r>
      <w:r>
        <w:t xml:space="preserve">(Alcón Aranda, 2009, pp. 122–123)</w:t>
      </w:r>
      <w:r>
        <w:t xml:space="preserve">; el EPS se protege del viento, del sol y del fuego; y el acero se acopia sobre durmientes, bajo cubierta y clasificado por diámetro y colada. Los equipos son: cono de Abrams (ASTM C143); moldes de 15 </w:t>
      </w:r>
      <m:oMath>
        <m:r>
          <m:rPr>
            <m:sty m:val="p"/>
          </m:rPr>
          <m:t>×</m:t>
        </m:r>
      </m:oMath>
      <w:r>
        <w:t xml:space="preserve"> 30 cm (ASTM C31) para un día de vaciado; termómetros para el hormigón y de máxima y mínima; balanza de 0,01 kg para la densidad del EPS y el pesaje de barras; flexómetro y calibrador; cajones dosificadores calibrados; y nivel para el apuntalamiento. Cada equipo se verifica antes de su primer uso. Los ensayos de aceptación los hace un laboratorio que cumpla la norma ASTM C1077, y el hormigón fresco y las probetas están a cargo de técnicos certificados</w:t>
      </w:r>
      <w:r>
        <w:t xml:space="preserve"> </w:t>
      </w:r>
      <w:r>
        <w:t xml:space="preserve">(ACI Committee 318, 2025, Sección 26.12.1.1)</w:t>
      </w:r>
      <w:r>
        <w:t xml:space="preserve">.</w:t>
      </w:r>
    </w:p>
    <w:p>
      <w:pPr>
        <w:pStyle w:val="BodyText"/>
      </w:pPr>
      <w:r>
        <w:rPr>
          <w:bCs/>
          <w:b/>
        </w:rPr>
        <w:t xml:space="preserve">Competencia, capacitación y toma de conciencia.</w:t>
      </w:r>
      <w:r>
        <w:t xml:space="preserve"> </w:t>
      </w:r>
      <w:r>
        <w:t xml:space="preserve">La competencia se asegura con tres charlas breves, prácticas y registradas con lista de asistencia, previas a las actividades que controlan: (1)</w:t>
      </w:r>
      <w:r>
        <w:t xml:space="preserve"> </w:t>
      </w:r>
      <w:r>
        <w:rPr>
          <w:iCs/>
          <w:i/>
        </w:rPr>
        <w:t xml:space="preserve">el SGC de la losa</w:t>
      </w:r>
      <w:r>
        <w:t xml:space="preserve"> </w:t>
      </w:r>
      <w:r>
        <w:t xml:space="preserve">—política, objetivos, responsabilidades, PPI y puntos de espera, formatos, no conformidades y Libro de Órdenes—, para todo el personal y la Supervisión, antes del inicio de la losa (2 h, con evaluación breve); (2)</w:t>
      </w:r>
      <w:r>
        <w:t xml:space="preserve"> </w:t>
      </w:r>
      <w:r>
        <w:rPr>
          <w:iCs/>
          <w:i/>
        </w:rPr>
        <w:t xml:space="preserve">materiales</w:t>
      </w:r>
      <w:r>
        <w:t xml:space="preserve"> </w:t>
      </w:r>
      <w:r>
        <w:t xml:space="preserve">—recepción, acopio y manipulación de viguetas y EPS, despiece y prearmado del acero, vales y kardex, medición y reducción del desperdicio—, para el Almacenero, el Capataz y los armadores, antes del primer paño (2 h, con práctica de recepción)</w:t>
      </w:r>
      <w:r>
        <w:t xml:space="preserve"> </w:t>
      </w:r>
      <w:r>
        <w:t xml:space="preserve">(Alcón Aranda, 2009, pp. 122–138)</w:t>
      </w:r>
      <w:r>
        <w:t xml:space="preserve">; y (3)</w:t>
      </w:r>
      <w:r>
        <w:t xml:space="preserve"> </w:t>
      </w:r>
      <w:r>
        <w:rPr>
          <w:iCs/>
          <w:i/>
        </w:rPr>
        <w:t xml:space="preserve">hormigón</w:t>
      </w:r>
      <w:r>
        <w:t xml:space="preserve"> </w:t>
      </w:r>
      <w:r>
        <w:t xml:space="preserve">—dosificación, asentamiento, muestreo y probetas, vaciado por franjas, vibrado, curado y tiempo frío—, para el Capataz, el operador de la mezcladora, el personal de vaciado y el técnico de muestreo, antes del primer vaciado (2 h, con demostración del cono y de las probetas). Su eficacia se verifica observando la primera ejecución de cada actividad, y la charla se repite si una no conformidad revela falta de competencia. La política exhibida en obra y la explicación a cada cuadrilla de cómo su trabajo afecta a la seguridad y al costo refuerzan la toma de conciencia.</w:t>
      </w:r>
    </w:p>
    <w:p>
      <w:pPr>
        <w:pStyle w:val="BodyText"/>
      </w:pPr>
      <w:r>
        <w:rPr>
          <w:bCs/>
          <w:b/>
        </w:rPr>
        <w:t xml:space="preserve">Información documentada.</w:t>
      </w:r>
      <w:r>
        <w:t xml:space="preserve"> </w:t>
      </w:r>
      <w:r>
        <w:t xml:space="preserve">Cada documento lleva código, versión y fecha; lo revisa el encargado de calidad y lo aprueba el Director de obra o, si afecta al contrato, la Supervisión. En obra solo circulan copias vigentes. Los registros se archivan en físico y en digital, por losa y por paño, al menos hasta la recepción definitiva; los de inspección del hormigón, al menos dos años después de concluido el proyecto</w:t>
      </w:r>
      <w:r>
        <w:t xml:space="preserve"> </w:t>
      </w:r>
      <w:r>
        <w:t xml:space="preserve">(ACI Committee 318, 2025, Sección 26.13.2.1)</w:t>
      </w:r>
      <w:r>
        <w:t xml:space="preserve">. La Tabla 34 es la lista maestra inicial.</w:t>
      </w:r>
    </w:p>
    <w:p>
      <w:pPr>
        <w:pStyle w:val="Caption"/>
      </w:pPr>
      <w:bookmarkStart w:id="1436" w:name="tab34"/>
      <w:r>
        <w:t xml:space="preserve"/>
      </w:r>
      <w:r>
        <w:rPr>
          <w:bCs/>
          <w:b/>
        </w:rPr>
        <w:t xml:space="preserve">Tabla 34</w:t>
      </w:r>
      <w:r>
        <w:br/>
      </w:r>
      <w:r>
        <w:rPr>
          <w:iCs/>
          <w:i/>
        </w:rPr>
        <w:t xml:space="preserve">Lista maestra de documentos del SGC del ítem losa alivianada</w:t>
      </w:r>
      <w:bookmarkEnd w:id="1436"/>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1238"/>
        <w:gridCol w:w="3256"/>
        <w:gridCol w:w="1455"/>
        <w:gridCol w:w="1458"/>
        <w:gridCol w:w="1953"/>
      </w:tblGrid>
      <w:tr>
        <w:trPr>
          <w:cantSplit/>
          <w:tblHeader w:val="true"/>
        </w:trPr>
        <w:tc>
          <w:tcPr>
            <w:tcW w:w="1238" w:type="dxa"/>
            <w:tcBorders>
              <w:top w:val="single" w:sz="8" w:space="0" w:color="000000"/>
              <w:bottom w:val="single" w:sz="4" w:space="0" w:color="000000"/>
            </w:tcBorders>
          </w:tcPr>
          <w:p>
            <w:pPr>
              <w:pStyle w:val="CeldaAPA"/>
              <w:jc w:val="center"/>
            </w:pPr>
            <w:r>
              <w:rPr>
                <w:bCs/>
                <w:b/>
              </w:rPr>
              <w:t xml:space="preserve">Código</w:t>
            </w:r>
          </w:p>
        </w:tc>
        <w:tc>
          <w:tcPr>
            <w:tcW w:w="3256" w:type="dxa"/>
            <w:tcBorders>
              <w:top w:val="single" w:sz="8" w:space="0" w:color="000000"/>
              <w:bottom w:val="single" w:sz="4" w:space="0" w:color="000000"/>
            </w:tcBorders>
          </w:tcPr>
          <w:p>
            <w:pPr>
              <w:pStyle w:val="CeldaAPA"/>
              <w:jc w:val="center"/>
            </w:pPr>
            <w:r>
              <w:rPr>
                <w:bCs/>
                <w:b/>
              </w:rPr>
              <w:t xml:space="preserve">Documento</w:t>
            </w:r>
          </w:p>
        </w:tc>
        <w:tc>
          <w:tcPr>
            <w:tcW w:w="1455" w:type="dxa"/>
            <w:tcBorders>
              <w:top w:val="single" w:sz="8" w:space="0" w:color="000000"/>
              <w:bottom w:val="single" w:sz="4" w:space="0" w:color="000000"/>
            </w:tcBorders>
          </w:tcPr>
          <w:p>
            <w:pPr>
              <w:pStyle w:val="CeldaAPA"/>
              <w:jc w:val="center"/>
            </w:pPr>
            <w:r>
              <w:rPr>
                <w:bCs/>
                <w:b/>
              </w:rPr>
              <w:t xml:space="preserve">Origen</w:t>
            </w:r>
          </w:p>
        </w:tc>
        <w:tc>
          <w:tcPr>
            <w:tcW w:w="1458" w:type="dxa"/>
            <w:tcBorders>
              <w:top w:val="single" w:sz="8" w:space="0" w:color="000000"/>
              <w:bottom w:val="single" w:sz="4" w:space="0" w:color="000000"/>
            </w:tcBorders>
          </w:tcPr>
          <w:p>
            <w:pPr>
              <w:pStyle w:val="CeldaAPA"/>
              <w:jc w:val="center"/>
            </w:pPr>
            <w:r>
              <w:rPr>
                <w:bCs/>
                <w:b/>
              </w:rPr>
              <w:t xml:space="preserve">Aprueba</w:t>
            </w:r>
          </w:p>
        </w:tc>
        <w:tc>
          <w:tcPr>
            <w:tcW w:w="1953" w:type="dxa"/>
            <w:tcBorders>
              <w:top w:val="single" w:sz="8" w:space="0" w:color="000000"/>
              <w:bottom w:val="single" w:sz="4" w:space="0" w:color="000000"/>
            </w:tcBorders>
          </w:tcPr>
          <w:p>
            <w:pPr>
              <w:pStyle w:val="CeldaAPA"/>
              <w:jc w:val="center"/>
            </w:pPr>
            <w:r>
              <w:rPr>
                <w:bCs/>
                <w:b/>
              </w:rPr>
              <w:t xml:space="preserve">Estado inicial</w:t>
            </w:r>
          </w:p>
        </w:tc>
      </w:tr>
      <w:tr>
        <w:tc>
          <w:tcPr>
            <w:tcW w:w="1238" w:type="dxa"/>
          </w:tcPr>
          <w:p>
            <w:pPr>
              <w:pStyle w:val="CeldaAPA"/>
              <w:jc w:val="left"/>
            </w:pPr>
            <w:r>
              <w:rPr/>
              <w:t xml:space="preserve">PC-01 y PPI-01</w:t>
            </w:r>
          </w:p>
        </w:tc>
        <w:tc>
          <w:tcPr>
            <w:tcW w:w="3256" w:type="dxa"/>
          </w:tcPr>
          <w:p>
            <w:pPr>
              <w:pStyle w:val="CeldaAPA"/>
              <w:jc w:val="left"/>
            </w:pPr>
            <w:r>
              <w:rPr/>
              <w:t xml:space="preserve">Plan de la calidad del ítem 13 y plan de puntos de inspección y ensayo (Tabla 36)</w:t>
            </w:r>
          </w:p>
        </w:tc>
        <w:tc>
          <w:tcPr>
            <w:tcW w:w="1455" w:type="dxa"/>
          </w:tcPr>
          <w:p>
            <w:pPr>
              <w:pStyle w:val="CeldaAPA"/>
              <w:jc w:val="left"/>
            </w:pPr>
            <w:r>
              <w:rPr/>
              <w:t xml:space="preserve">Interno</w:t>
            </w:r>
          </w:p>
        </w:tc>
        <w:tc>
          <w:tcPr>
            <w:tcW w:w="1458" w:type="dxa"/>
          </w:tcPr>
          <w:p>
            <w:pPr>
              <w:pStyle w:val="CeldaAPA"/>
              <w:jc w:val="left"/>
            </w:pPr>
            <w:r>
              <w:rPr/>
              <w:t xml:space="preserve">DO y SU</w:t>
            </w:r>
          </w:p>
        </w:tc>
        <w:tc>
          <w:tcPr>
            <w:tcW w:w="1953" w:type="dxa"/>
          </w:tcPr>
          <w:p>
            <w:pPr>
              <w:pStyle w:val="CeldaAPA"/>
              <w:jc w:val="left"/>
            </w:pPr>
            <w:r>
              <w:rPr/>
              <w:t xml:space="preserve">Versión 0, para aprobación</w:t>
            </w:r>
          </w:p>
        </w:tc>
      </w:tr>
      <w:tr>
        <w:tc>
          <w:tcPr>
            <w:tcW w:w="1238" w:type="dxa"/>
          </w:tcPr>
          <w:p>
            <w:pPr>
              <w:pStyle w:val="CeldaAPA"/>
              <w:jc w:val="left"/>
            </w:pPr>
            <w:r>
              <w:rPr/>
              <w:t xml:space="preserve">PCM, PHC, PNC y PCC</w:t>
            </w:r>
          </w:p>
        </w:tc>
        <w:tc>
          <w:tcPr>
            <w:tcW w:w="3256" w:type="dxa"/>
          </w:tcPr>
          <w:p>
            <w:pPr>
              <w:pStyle w:val="CeldaAPA"/>
              <w:jc w:val="left"/>
            </w:pPr>
            <w:r>
              <w:rPr/>
              <w:t xml:space="preserve">Procedimientos de control de materiales (PCM-01 a 05), de control del hormigón (PHC-01), de no conformidades (PNC-01) y de costos de la calidad (PCC-01)</w:t>
            </w:r>
          </w:p>
        </w:tc>
        <w:tc>
          <w:tcPr>
            <w:tcW w:w="1455" w:type="dxa"/>
          </w:tcPr>
          <w:p>
            <w:pPr>
              <w:pStyle w:val="CeldaAPA"/>
              <w:jc w:val="left"/>
            </w:pPr>
            <w:r>
              <w:rPr/>
              <w:t xml:space="preserve">Interno</w:t>
            </w:r>
          </w:p>
        </w:tc>
        <w:tc>
          <w:tcPr>
            <w:tcW w:w="1458" w:type="dxa"/>
          </w:tcPr>
          <w:p>
            <w:pPr>
              <w:pStyle w:val="CeldaAPA"/>
              <w:jc w:val="left"/>
            </w:pPr>
            <w:r>
              <w:rPr/>
              <w:t xml:space="preserve">DO; SU para el PHC-01</w:t>
            </w:r>
          </w:p>
        </w:tc>
        <w:tc>
          <w:tcPr>
            <w:tcW w:w="1953" w:type="dxa"/>
          </w:tcPr>
          <w:p>
            <w:pPr>
              <w:pStyle w:val="CeldaAPA"/>
              <w:jc w:val="left"/>
            </w:pPr>
            <w:r>
              <w:rPr/>
              <w:t xml:space="preserve">Versión 0</w:t>
            </w:r>
          </w:p>
        </w:tc>
      </w:tr>
      <w:tr>
        <w:tc>
          <w:tcPr>
            <w:tcW w:w="1238" w:type="dxa"/>
          </w:tcPr>
          <w:p>
            <w:pPr>
              <w:pStyle w:val="CeldaAPA"/>
              <w:jc w:val="left"/>
            </w:pPr>
            <w:r>
              <w:rPr/>
              <w:t xml:space="preserve">C.1 a C.8</w:t>
            </w:r>
          </w:p>
        </w:tc>
        <w:tc>
          <w:tcPr>
            <w:tcW w:w="3256" w:type="dxa"/>
          </w:tcPr>
          <w:p>
            <w:pPr>
              <w:pStyle w:val="CeldaAPA"/>
              <w:jc w:val="left"/>
            </w:pPr>
            <w:r>
              <w:rPr/>
              <w:t xml:space="preserve">Formatos y registros (Anexo C)</w:t>
            </w:r>
          </w:p>
        </w:tc>
        <w:tc>
          <w:tcPr>
            <w:tcW w:w="1455" w:type="dxa"/>
          </w:tcPr>
          <w:p>
            <w:pPr>
              <w:pStyle w:val="CeldaAPA"/>
              <w:jc w:val="left"/>
            </w:pPr>
            <w:r>
              <w:rPr/>
              <w:t xml:space="preserve">Interno</w:t>
            </w:r>
          </w:p>
        </w:tc>
        <w:tc>
          <w:tcPr>
            <w:tcW w:w="1458" w:type="dxa"/>
          </w:tcPr>
          <w:p>
            <w:pPr>
              <w:pStyle w:val="CeldaAPA"/>
              <w:jc w:val="left"/>
            </w:pPr>
            <w:r>
              <w:rPr/>
              <w:t xml:space="preserve">DO</w:t>
            </w:r>
          </w:p>
        </w:tc>
        <w:tc>
          <w:tcPr>
            <w:tcW w:w="1953" w:type="dxa"/>
          </w:tcPr>
          <w:p>
            <w:pPr>
              <w:pStyle w:val="CeldaAPA"/>
              <w:jc w:val="left"/>
            </w:pPr>
            <w:r>
              <w:rPr/>
              <w:t xml:space="preserve">Versión 0</w:t>
            </w:r>
          </w:p>
        </w:tc>
      </w:tr>
      <w:tr>
        <w:tc>
          <w:tcPr>
            <w:tcW w:w="1238" w:type="dxa"/>
          </w:tcPr>
          <w:p>
            <w:pPr>
              <w:pStyle w:val="CeldaAPA"/>
              <w:jc w:val="left"/>
            </w:pPr>
            <w:r>
              <w:rPr/>
              <w:t xml:space="preserve">PL-01 a 03</w:t>
            </w:r>
          </w:p>
        </w:tc>
        <w:tc>
          <w:tcPr>
            <w:tcW w:w="3256" w:type="dxa"/>
          </w:tcPr>
          <w:p>
            <w:pPr>
              <w:pStyle w:val="CeldaAPA"/>
              <w:jc w:val="left"/>
            </w:pPr>
            <w:r>
              <w:rPr/>
              <w:t xml:space="preserve">Planos 01 (geometría), 02 (sección y detalles) y 03 (cantidad de viguetas)</w:t>
            </w:r>
          </w:p>
        </w:tc>
        <w:tc>
          <w:tcPr>
            <w:tcW w:w="1455" w:type="dxa"/>
          </w:tcPr>
          <w:p>
            <w:pPr>
              <w:pStyle w:val="CeldaAPA"/>
              <w:jc w:val="left"/>
            </w:pPr>
            <w:r>
              <w:rPr/>
              <w:t xml:space="preserve">Externo (UATF)</w:t>
            </w:r>
          </w:p>
        </w:tc>
        <w:tc>
          <w:tcPr>
            <w:tcW w:w="1458" w:type="dxa"/>
          </w:tcPr>
          <w:p>
            <w:pPr>
              <w:pStyle w:val="CeldaAPA"/>
              <w:jc w:val="left"/>
            </w:pPr>
            <w:r>
              <w:rPr/>
              <w:t xml:space="preserve">Proyectista y SU</w:t>
            </w:r>
          </w:p>
        </w:tc>
        <w:tc>
          <w:tcPr>
            <w:tcW w:w="1953" w:type="dxa"/>
          </w:tcPr>
          <w:p>
            <w:pPr>
              <w:pStyle w:val="CeldaAPA"/>
              <w:jc w:val="left"/>
            </w:pPr>
            <w:r>
              <w:rPr/>
              <w:t xml:space="preserve">Plano 02 en revisión (complemento EPS)</w:t>
            </w:r>
          </w:p>
        </w:tc>
      </w:tr>
      <w:tr>
        <w:tc>
          <w:tcPr>
            <w:tcW w:w="1238" w:type="dxa"/>
          </w:tcPr>
          <w:p>
            <w:pPr>
              <w:pStyle w:val="CeldaAPA"/>
              <w:jc w:val="left"/>
            </w:pPr>
            <w:r>
              <w:rPr/>
              <w:t xml:space="preserve">ET-13</w:t>
            </w:r>
          </w:p>
        </w:tc>
        <w:tc>
          <w:tcPr>
            <w:tcW w:w="3256" w:type="dxa"/>
          </w:tcPr>
          <w:p>
            <w:pPr>
              <w:pStyle w:val="CeldaAPA"/>
              <w:jc w:val="left"/>
            </w:pPr>
            <w:r>
              <w:rPr/>
              <w:t xml:space="preserve">Especificaciones técnicas de hormigones y de la losa alivianada</w:t>
            </w:r>
          </w:p>
        </w:tc>
        <w:tc>
          <w:tcPr>
            <w:tcW w:w="1455" w:type="dxa"/>
          </w:tcPr>
          <w:p>
            <w:pPr>
              <w:pStyle w:val="CeldaAPA"/>
              <w:jc w:val="left"/>
            </w:pPr>
            <w:r>
              <w:rPr/>
              <w:t xml:space="preserve">Externo (UATF)</w:t>
            </w:r>
          </w:p>
        </w:tc>
        <w:tc>
          <w:tcPr>
            <w:tcW w:w="1458" w:type="dxa"/>
          </w:tcPr>
          <w:p>
            <w:pPr>
              <w:pStyle w:val="CeldaAPA"/>
              <w:jc w:val="left"/>
            </w:pPr>
            <w:r>
              <w:rPr/>
              <w:t xml:space="preserve">UATF</w:t>
            </w:r>
          </w:p>
        </w:tc>
        <w:tc>
          <w:tcPr>
            <w:tcW w:w="1953" w:type="dxa"/>
          </w:tcPr>
          <w:p>
            <w:pPr>
              <w:pStyle w:val="CeldaAPA"/>
              <w:jc w:val="left"/>
            </w:pPr>
            <w:r>
              <w:rPr/>
              <w:t xml:space="preserve">En actualización</w:t>
            </w:r>
          </w:p>
        </w:tc>
      </w:tr>
      <w:tr>
        <w:tc>
          <w:tcPr>
            <w:tcW w:w="1238" w:type="dxa"/>
          </w:tcPr>
          <w:p>
            <w:pPr>
              <w:pStyle w:val="CeldaAPA"/>
              <w:jc w:val="left"/>
            </w:pPr>
            <w:r>
              <w:rPr/>
              <w:t xml:space="preserve">CERT y DOS-01</w:t>
            </w:r>
          </w:p>
        </w:tc>
        <w:tc>
          <w:tcPr>
            <w:tcW w:w="3256" w:type="dxa"/>
          </w:tcPr>
          <w:p>
            <w:pPr>
              <w:pStyle w:val="CeldaAPA"/>
              <w:jc w:val="left"/>
            </w:pPr>
            <w:r>
              <w:rPr/>
              <w:t xml:space="preserve">Certificados de viguetas, EPS, acero (por colada) y cemento (por lote); dosificación del H25</w:t>
            </w:r>
          </w:p>
        </w:tc>
        <w:tc>
          <w:tcPr>
            <w:tcW w:w="1455" w:type="dxa"/>
          </w:tcPr>
          <w:p>
            <w:pPr>
              <w:pStyle w:val="CeldaAPA"/>
              <w:jc w:val="left"/>
            </w:pPr>
            <w:r>
              <w:rPr/>
              <w:t xml:space="preserve">Externo</w:t>
            </w:r>
          </w:p>
        </w:tc>
        <w:tc>
          <w:tcPr>
            <w:tcW w:w="1458" w:type="dxa"/>
          </w:tcPr>
          <w:p>
            <w:pPr>
              <w:pStyle w:val="CeldaAPA"/>
              <w:jc w:val="left"/>
            </w:pPr>
            <w:r>
              <w:rPr/>
              <w:t xml:space="preserve">RC; SU</w:t>
            </w:r>
          </w:p>
        </w:tc>
        <w:tc>
          <w:tcPr>
            <w:tcW w:w="1953" w:type="dxa"/>
          </w:tcPr>
          <w:p>
            <w:pPr>
              <w:pStyle w:val="CeldaAPA"/>
              <w:jc w:val="left"/>
            </w:pPr>
            <w:r>
              <w:rPr/>
              <w:t xml:space="preserve">Con cada entrega; dosificación antes del primer vaciado</w:t>
            </w:r>
          </w:p>
        </w:tc>
      </w:tr>
      <w:tr>
        <w:tc>
          <w:tcPr>
            <w:tcW w:w="1238" w:type="dxa"/>
          </w:tcPr>
          <w:p>
            <w:pPr>
              <w:pStyle w:val="CeldaAPA"/>
              <w:jc w:val="left"/>
            </w:pPr>
            <w:r>
              <w:rPr/>
              <w:t xml:space="preserve">MAN-01</w:t>
            </w:r>
          </w:p>
        </w:tc>
        <w:tc>
          <w:tcPr>
            <w:tcW w:w="3256" w:type="dxa"/>
          </w:tcPr>
          <w:p>
            <w:pPr>
              <w:pStyle w:val="CeldaAPA"/>
              <w:jc w:val="left"/>
            </w:pPr>
            <w:r>
              <w:rPr/>
              <w:t xml:space="preserve">Instrucciones de montaje del fabricante de viguetas</w:t>
            </w:r>
          </w:p>
        </w:tc>
        <w:tc>
          <w:tcPr>
            <w:tcW w:w="1455" w:type="dxa"/>
          </w:tcPr>
          <w:p>
            <w:pPr>
              <w:pStyle w:val="CeldaAPA"/>
              <w:jc w:val="left"/>
            </w:pPr>
            <w:r>
              <w:rPr/>
              <w:t xml:space="preserve">Externo</w:t>
            </w:r>
          </w:p>
        </w:tc>
        <w:tc>
          <w:tcPr>
            <w:tcW w:w="1458" w:type="dxa"/>
          </w:tcPr>
          <w:p>
            <w:pPr>
              <w:pStyle w:val="CeldaAPA"/>
              <w:jc w:val="left"/>
            </w:pPr>
            <w:r>
              <w:rPr/>
              <w:t xml:space="preserve">–</w:t>
            </w:r>
          </w:p>
        </w:tc>
        <w:tc>
          <w:tcPr>
            <w:tcW w:w="1953" w:type="dxa"/>
          </w:tcPr>
          <w:p>
            <w:pPr>
              <w:pStyle w:val="CeldaAPA"/>
              <w:jc w:val="left"/>
            </w:pPr>
            <w:r>
              <w:rPr>
                <w:rStyle w:val="Pendiente"/>
                <w:bCs/>
                <w:b/>
              </w:rPr>
              <w:t xml:space="preserve">[Pendiente:</w:t>
            </w:r>
            <w:r>
              <w:rPr>
                <w:rStyle w:val="Pendiente"/>
              </w:rPr>
              <w:t xml:space="preserve"> </w:t>
            </w:r>
            <w:r>
              <w:rPr>
                <w:rStyle w:val="Pendiente"/>
              </w:rPr>
              <w:t xml:space="preserve">solicitar al fabricante</w:t>
            </w:r>
            <w:r>
              <w:rPr>
                <w:rStyle w:val="Pendiente"/>
                <w:bCs/>
                <w:b/>
              </w:rPr>
              <w:t xml:space="preserve">]</w:t>
            </w:r>
          </w:p>
        </w:tc>
      </w:tr>
      <w:tr>
        <w:tc>
          <w:tcPr>
            <w:tcW w:w="1238" w:type="dxa"/>
          </w:tcPr>
          <w:p>
            <w:pPr>
              <w:pStyle w:val="CeldaAPA"/>
              <w:jc w:val="left"/>
            </w:pPr>
            <w:r>
              <w:rPr/>
              <w:t xml:space="preserve">NOR</w:t>
            </w:r>
          </w:p>
        </w:tc>
        <w:tc>
          <w:tcPr>
            <w:tcW w:w="3256" w:type="dxa"/>
          </w:tcPr>
          <w:p>
            <w:pPr>
              <w:pStyle w:val="CeldaAPA"/>
              <w:jc w:val="left"/>
            </w:pPr>
            <w:r>
              <w:rPr/>
              <w:t xml:space="preserve">ACI CODE-318-25; NB 997:2016; NB 1225001-1:2017; ASTM C31, C39, C143 y C172</w:t>
            </w:r>
          </w:p>
        </w:tc>
        <w:tc>
          <w:tcPr>
            <w:tcW w:w="1455" w:type="dxa"/>
          </w:tcPr>
          <w:p>
            <w:pPr>
              <w:pStyle w:val="CeldaAPA"/>
              <w:jc w:val="left"/>
            </w:pPr>
            <w:r>
              <w:rPr/>
              <w:t xml:space="preserve">Externo</w:t>
            </w:r>
          </w:p>
        </w:tc>
        <w:tc>
          <w:tcPr>
            <w:tcW w:w="1458" w:type="dxa"/>
          </w:tcPr>
          <w:p>
            <w:pPr>
              <w:pStyle w:val="CeldaAPA"/>
              <w:jc w:val="left"/>
            </w:pPr>
            <w:r>
              <w:rPr/>
              <w:t xml:space="preserve">–</w:t>
            </w:r>
          </w:p>
        </w:tc>
        <w:tc>
          <w:tcPr>
            <w:tcW w:w="1953" w:type="dxa"/>
          </w:tcPr>
          <w:p>
            <w:pPr>
              <w:pStyle w:val="CeldaAPA"/>
              <w:jc w:val="left"/>
            </w:pPr>
            <w:r>
              <w:rPr/>
              <w:t xml:space="preserve">Consulta en obra</w:t>
            </w:r>
          </w:p>
        </w:tc>
      </w:tr>
      <w:tr>
        <w:tc>
          <w:tcPr>
            <w:tcW w:w="1238" w:type="dxa"/>
            <w:tcBorders>
              <w:bottom w:val="single" w:sz="8" w:space="0" w:color="000000"/>
            </w:tcBorders>
          </w:tcPr>
          <w:p>
            <w:pPr>
              <w:pStyle w:val="CeldaAPA"/>
              <w:jc w:val="left"/>
            </w:pPr>
            <w:r>
              <w:rPr/>
              <w:t xml:space="preserve">LO</w:t>
            </w:r>
          </w:p>
        </w:tc>
        <w:tc>
          <w:tcPr>
            <w:tcW w:w="3256" w:type="dxa"/>
            <w:tcBorders>
              <w:bottom w:val="single" w:sz="8" w:space="0" w:color="000000"/>
            </w:tcBorders>
          </w:tcPr>
          <w:p>
            <w:pPr>
              <w:pStyle w:val="CeldaAPA"/>
              <w:jc w:val="left"/>
            </w:pPr>
            <w:r>
              <w:rPr/>
              <w:t xml:space="preserve">Libro de Órdenes de la obra</w:t>
            </w:r>
          </w:p>
        </w:tc>
        <w:tc>
          <w:tcPr>
            <w:tcW w:w="1455" w:type="dxa"/>
            <w:tcBorders>
              <w:bottom w:val="single" w:sz="8" w:space="0" w:color="000000"/>
            </w:tcBorders>
          </w:tcPr>
          <w:p>
            <w:pPr>
              <w:pStyle w:val="CeldaAPA"/>
              <w:jc w:val="left"/>
            </w:pPr>
            <w:r>
              <w:rPr/>
              <w:t xml:space="preserve">Registro contractual</w:t>
            </w:r>
          </w:p>
        </w:tc>
        <w:tc>
          <w:tcPr>
            <w:tcW w:w="1458" w:type="dxa"/>
            <w:tcBorders>
              <w:bottom w:val="single" w:sz="8" w:space="0" w:color="000000"/>
            </w:tcBorders>
          </w:tcPr>
          <w:p>
            <w:pPr>
              <w:pStyle w:val="CeldaAPA"/>
              <w:jc w:val="left"/>
            </w:pPr>
            <w:r>
              <w:rPr/>
              <w:t xml:space="preserve">SU y DO</w:t>
            </w:r>
          </w:p>
        </w:tc>
        <w:tc>
          <w:tcPr>
            <w:tcW w:w="1953" w:type="dxa"/>
            <w:tcBorders>
              <w:bottom w:val="single" w:sz="8" w:space="0" w:color="000000"/>
            </w:tcBorders>
          </w:tcPr>
          <w:p>
            <w:pPr>
              <w:pStyle w:val="CeldaAPA"/>
              <w:jc w:val="left"/>
            </w:pPr>
            <w:r>
              <w:rPr/>
              <w:t xml:space="preserve">En uso</w:t>
            </w:r>
          </w:p>
        </w:tc>
      </w:tr>
    </w:tbl>
    <w:p>
      <w:pPr>
        <w:pStyle w:val="NotaAPA"/>
      </w:pPr>
      <w:r>
        <w:rPr>
          <w:iCs/>
          <w:i/>
        </w:rPr>
        <w:t xml:space="preserve">Nota.</w:t>
      </w:r>
      <w:r>
        <w:t xml:space="preserve"> </w:t>
      </w:r>
      <w:r>
        <w:t xml:space="preserve">Elaboración propia. DO: Director de obra; SU: Supervisor de obra; RC: Residente y encargado de calidad.</w:t>
      </w:r>
    </w:p>
    <w:p>
      <w:pPr>
        <w:pStyle w:val="BodyText"/>
      </w:pPr>
      <w:r>
        <w:rPr>
          <w:bCs/>
          <w:b/>
        </w:rPr>
        <w:t xml:space="preserve">Resolución de la discrepancia del complemento EPS (B3).</w:t>
      </w:r>
      <w:r>
        <w:t xml:space="preserve"> </w:t>
      </w:r>
      <w:r>
        <w:t xml:space="preserve">La geometría del complemento define la altura de la losa, el volumen de hormigón por m</w:t>
      </w:r>
      <w:r>
        <w:rPr>
          <w:vertAlign w:val="superscript"/>
        </w:rPr>
        <w:t xml:space="preserve">2</w:t>
      </w:r>
      <w:r>
        <w:t xml:space="preserve"> </w:t>
      </w:r>
      <w:r>
        <w:t xml:space="preserve">y las piezas que se deben comprar, por lo que la discrepancia se resuelve antes de comprar el EPS de la segunda losa:</w:t>
      </w:r>
      <w:r>
        <w:t xml:space="preserve"> </w:t>
      </w:r>
      <w:r>
        <w:t xml:space="preserve">(1) el encargado de calidad registra en el Libro de Órdenes una consulta técnica con los tres documentos y pide definir la altura y el ancho del complemento; (2) la Supervisión, con el proyectista, define la geometría de forma coherente con la descripción del ítem (h = 25 cm) y con el certificado del fabricante de viguetas (20 + 5 cm y 50 cm entre ejes)</w:t>
      </w:r>
      <w:r>
        <w:t xml:space="preserve"> </w:t>
      </w:r>
      <w:r>
        <w:t xml:space="preserve">(PRETENSA, 2025)</w:t>
      </w:r>
      <w:r>
        <w:t xml:space="preserve">, y aclara si los 50 cm de la ET son el módulo entre ejes y no el ancho de la pieza; (3) si cambian cantidades o precios, la Fiscalización tramita la modificación que corresponda; (4) se emiten el Plano 02 en revisión 1 y la enmienda de la ET, se actualiza la lista maestra y se retiran las copias obsoletas; y (5) la orden de compra del EPS se emite solo con la geometría aprobada, que es un punto de espera del abastecimiento.</w:t>
      </w:r>
      <w:r>
        <w:t xml:space="preserve"> </w:t>
      </w:r>
      <w:r>
        <w:t xml:space="preserve">La decisión técnica es del proyectista; el sistema asegura que se tome, se documente y llegue a obra antes de la compra.</w:t>
      </w:r>
    </w:p>
    <w:p>
      <w:pPr>
        <w:pStyle w:val="BodyText"/>
      </w:pPr>
      <w:r>
        <w:rPr>
          <w:bCs/>
          <w:b/>
        </w:rPr>
        <w:t xml:space="preserve">Actualización de las normas citadas en la ET.</w:t>
      </w:r>
      <w:r>
        <w:t xml:space="preserve"> </w:t>
      </w:r>
      <w:r>
        <w:t xml:space="preserve">La ET remite a la CBH-87 y a normas bolivianas de cemento (NB 2.1-001 a 2.1-014), de áridos (NB 596-91 a 612-91) y de agua (NB 587-91 y 588-91)</w:t>
      </w:r>
      <w:r>
        <w:t xml:space="preserve"> </w:t>
      </w:r>
      <w:r>
        <w:t xml:space="preserve">(UATF, s. f.-a, pp. 1–2)</w:t>
      </w:r>
      <w:r>
        <w:t xml:space="preserve">. Se recomienda actualizarlas a las ediciones vigentes de IBNORCA</w:t>
      </w:r>
      <w:r>
        <w:t xml:space="preserve"> </w:t>
      </w:r>
      <w:r>
        <w:rPr>
          <w:rStyle w:val="Pendiente"/>
          <w:bCs/>
          <w:b/>
        </w:rPr>
        <w:t xml:space="preserve">[Pendiente:</w:t>
      </w:r>
      <w:r>
        <w:rPr>
          <w:rStyle w:val="Pendiente"/>
        </w:rPr>
        <w:t xml:space="preserve"> </w:t>
      </w:r>
      <w:r>
        <w:rPr>
          <w:rStyle w:val="Pendiente"/>
        </w:rPr>
        <w:t xml:space="preserve">verificar códigos y ediciones vigentes</w:t>
      </w:r>
      <w:r>
        <w:rPr>
          <w:rStyle w:val="Pendiente"/>
          <w:bCs/>
          <w:b/>
        </w:rPr>
        <w:t xml:space="preserve">]</w:t>
      </w:r>
      <w:r>
        <w:t xml:space="preserve">, incluir la NB 1225001-1:2017</w:t>
      </w:r>
      <w:r>
        <w:t xml:space="preserve"> </w:t>
      </w:r>
      <w:r>
        <w:t xml:space="preserve">(IBNORCA, 2017)</w:t>
      </w:r>
      <w:r>
        <w:t xml:space="preserve"> </w:t>
      </w:r>
      <w:r>
        <w:t xml:space="preserve">y la NB 997:2016</w:t>
      </w:r>
      <w:r>
        <w:t xml:space="preserve"> </w:t>
      </w:r>
      <w:r>
        <w:t xml:space="preserve">(IBNORCA, 2016)</w:t>
      </w:r>
      <w:r>
        <w:t xml:space="preserve">, y declarar el criterio de aceptación del hormigón; este SGC adopta el del ACI 318-25. La resistencia de la ET (250 kg/cm</w:t>
      </w:r>
      <w:r>
        <w:rPr>
          <w:vertAlign w:val="superscript"/>
        </w:rPr>
        <w:t xml:space="preserve">2</w:t>
      </w:r>
      <w:r>
        <w:t xml:space="preserve">) gobierna sobre el mínimo de 21 MPa que el fabricante de viguetas indica para la carpeta</w:t>
      </w:r>
      <w:r>
        <w:t xml:space="preserve"> </w:t>
      </w:r>
      <w:r>
        <w:t xml:space="preserve">(PRETENSA, 2025)</w:t>
      </w:r>
      <w:r>
        <w:t xml:space="preserve">.</w:t>
      </w:r>
    </w:p>
    <w:p>
      <w:pPr>
        <w:pStyle w:val="BodyText"/>
      </w:pPr>
      <w:r>
        <w:rPr>
          <w:bCs/>
          <w:b/>
        </w:rPr>
        <w:t xml:space="preserve">Comunicación.</w:t>
      </w:r>
      <w:r>
        <w:t xml:space="preserve"> </w:t>
      </w:r>
      <w:r>
        <w:t xml:space="preserve">El Libro de Órdenes es el canal contractual: registra las solicitudes de liberación, las autorizaciones de vaciado, las consultas técnicas y las no conformidades que afectan al contrato, con la firma del Director de obra que la primera losa omitió. La reunión semanal de calidad (Director de obra, encargado de calidad, Capataz, Almacenero y Supervisión) revisa los paños por liberar, los indicadores, las no conformidades abiertas, la conciliación y los riesgos de la semana siguiente (existencias, clima y personal), y deja un acta con responsables y plazos. Además, la liberación de cada paño se solicita al menos 24 h antes del vaciado; las no conformidades se comunican dentro de las 24 h; el pronóstico de lluvia o helada se comunica 24 a 48 h antes de vaciar; los rechazos de lotes se notifican por escrito al proveedor; y el informe mensual de calidad (indicadores, conciliación y costos) acompaña a cada planilla.</w:t>
      </w:r>
    </w:p>
    <w:p>
      <w:pPr>
        <w:pStyle w:val="Heading3"/>
      </w:pPr>
      <w:bookmarkStart w:id="176" w:name="tit115"/>
      <w:r>
        <w:t xml:space="preserve">2.6.6. Operación: plan de la calidad, inspección y control de materiales</w:t>
      </w:r>
      <w:bookmarkEnd w:id="176"/>
    </w:p>
    <w:p>
      <w:pPr>
        <w:pStyle w:val="FirstParagraph"/>
      </w:pPr>
      <w:r>
        <w:t xml:space="preserve">La operación es el núcleo del sistema: traduce los requisitos en controles sobre cada material y cada paño. Comprende el mapa de procesos, el plan de la calidad, el PPI, cinco procedimientos de control de materiales (PCM), el control del hormigón, la liberación de los paños y la gestión de los cambios.</w:t>
      </w:r>
    </w:p>
    <w:p>
      <w:pPr>
        <w:pStyle w:val="Heading4"/>
      </w:pPr>
      <w:bookmarkStart w:id="165" w:name="tit116"/>
      <w:r>
        <w:t xml:space="preserve">2.6.6.1. Mapa de procesos del ítem.</w:t>
      </w:r>
      <w:bookmarkEnd w:id="165"/>
    </w:p>
    <w:p>
      <w:pPr>
        <w:pStyle w:val="FirstParagraph"/>
      </w:pPr>
      <w:r>
        <w:t xml:space="preserve">La Figura 11 ordena los procesos en tres niveles: estratégicos (planificación de la calidad, gestión del contrato y de los cambios, revisión y mejora), operativos (abastecimiento, ejecución de la losa y control de calidad y de cantidades) y de apoyo (almacén, laboratorio, documentación, competencia y equipos). El control de cantidades forma parte del proceso operativo de control, y no de una tarea administrativa de fin de mes, porque una diferencia detectada al cierre del contrato (B4) ya no se corrige en el proceso.</w:t>
      </w:r>
    </w:p>
    <w:p>
      <w:pPr>
        <w:pStyle w:val="Caption"/>
      </w:pPr>
      <w:bookmarkStart w:id="1437" w:name="fig11"/>
      <w:r>
        <w:t xml:space="preserve"/>
      </w:r>
      <w:r>
        <w:rPr>
          <w:bCs/>
          <w:b/>
        </w:rPr>
        <w:t xml:space="preserve">Figura 11</w:t>
      </w:r>
      <w:r>
        <w:br/>
      </w:r>
      <w:r>
        <w:rPr>
          <w:iCs/>
          <w:i/>
        </w:rPr>
        <w:t xml:space="preserve">Mapa de procesos del ítem losa alivianada</w:t>
      </w:r>
      <w:bookmarkEnd w:id="1437"/>
    </w:p>
    <w:p>
      <w:pPr>
        <w:pStyle w:val="FiguraAPA"/>
      </w:pPr>
      <w:r>
        <w:drawing>
          <wp:inline>
            <wp:extent cx="5612039" cy="3141158"/>
            <wp:effectExtent b="0" l="0" r="0" t="0"/>
            <wp:docPr descr="image" title="" id="163" name="Picture"/>
            <a:graphic>
              <a:graphicData uri="http://schemas.openxmlformats.org/drawingml/2006/picture">
                <pic:pic>
                  <pic:nvPicPr>
                    <pic:cNvPr descr="/home/user/TesisSGC/07_Entregables/scripts/_trabajo/tikz/tikz_3ec61b8de1993d7d3e4a.png" id="164" name="Picture"/>
                    <pic:cNvPicPr>
                      <a:picLocks noChangeArrowheads="1" noChangeAspect="1"/>
                    </pic:cNvPicPr>
                  </pic:nvPicPr>
                  <pic:blipFill>
                    <a:blip r:embed="rId162"/>
                    <a:stretch>
                      <a:fillRect/>
                    </a:stretch>
                  </pic:blipFill>
                  <pic:spPr bwMode="auto">
                    <a:xfrm>
                      <a:off x="0" y="0"/>
                      <a:ext cx="5612039" cy="3141158"/>
                    </a:xfrm>
                    <a:prstGeom prst="rect">
                      <a:avLst/>
                    </a:prstGeom>
                    <a:noFill/>
                    <a:ln w="9525">
                      <a:noFill/>
                      <a:headEnd/>
                      <a:tailEnd/>
                    </a:ln>
                  </pic:spPr>
                </pic:pic>
              </a:graphicData>
            </a:graphic>
          </wp:inline>
        </w:drawing>
      </w:r>
    </w:p>
    <w:p>
      <w:pPr>
        <w:pStyle w:val="NotaAPA"/>
      </w:pPr>
      <w:r>
        <w:rPr>
          <w:iCs/>
          <w:i/>
        </w:rPr>
        <w:t xml:space="preserve">Nota.</w:t>
      </w:r>
      <w:r>
        <w:t xml:space="preserve"> </w:t>
      </w:r>
      <w:r>
        <w:t xml:space="preserve">Elaboración propia. PCM: procedimiento de control de materiales; PPI: plan de puntos de inspección y ensayo.</w:t>
      </w:r>
    </w:p>
    <w:p>
      <w:pPr>
        <w:pStyle w:val="Heading4"/>
      </w:pPr>
      <w:bookmarkStart w:id="166" w:name="tit117"/>
      <w:r>
        <w:t xml:space="preserve">2.6.6.2. Estructura del plan de la calidad.</w:t>
      </w:r>
      <w:bookmarkEnd w:id="166"/>
    </w:p>
    <w:p>
      <w:pPr>
        <w:pStyle w:val="FirstParagraph"/>
      </w:pPr>
      <w:r>
        <w:t xml:space="preserve">El plan de la calidad se estructura con los elementos de contenido que propone la norma ISO 10005:2018</w:t>
      </w:r>
      <w:r>
        <w:t xml:space="preserve"> </w:t>
      </w:r>
      <w:r>
        <w:t xml:space="preserve">(ISO, 2018)</w:t>
      </w:r>
      <w:r>
        <w:t xml:space="preserve">. La Tabla 35 relaciona cada elemento con su contenido en este proyecto y con la sección o el formato donde se desarrolla. El plan se presenta a la Supervisión para su revisión y aceptación antes del inicio de la segunda losa, se aplica paño por paño y se revisa al concluir cada losa.</w:t>
      </w:r>
    </w:p>
    <w:p>
      <w:pPr>
        <w:pStyle w:val="Caption"/>
      </w:pPr>
      <w:bookmarkStart w:id="1438" w:name="tab35"/>
      <w:r>
        <w:t xml:space="preserve"/>
      </w:r>
      <w:r>
        <w:rPr>
          <w:bCs/>
          <w:b/>
        </w:rPr>
        <w:t xml:space="preserve">Tabla 35</w:t>
      </w:r>
      <w:r>
        <w:br/>
      </w:r>
      <w:r>
        <w:rPr>
          <w:iCs/>
          <w:i/>
        </w:rPr>
        <w:t xml:space="preserve">Estructura del plan de la calidad del ítem según la norma ISO 10005:2018</w:t>
      </w:r>
      <w:bookmarkEnd w:id="1438"/>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2580"/>
        <w:gridCol w:w="4499"/>
        <w:gridCol w:w="2281"/>
      </w:tblGrid>
      <w:tr>
        <w:trPr>
          <w:cantSplit/>
          <w:tblHeader w:val="true"/>
        </w:trPr>
        <w:tc>
          <w:tcPr>
            <w:tcW w:w="2580" w:type="dxa"/>
            <w:tcBorders>
              <w:top w:val="single" w:sz="8" w:space="0" w:color="000000"/>
              <w:bottom w:val="single" w:sz="4" w:space="0" w:color="000000"/>
            </w:tcBorders>
          </w:tcPr>
          <w:p>
            <w:pPr>
              <w:pStyle w:val="CeldaAPA"/>
              <w:jc w:val="center"/>
            </w:pPr>
            <w:r>
              <w:rPr>
                <w:bCs/>
                <w:b/>
              </w:rPr>
              <w:t xml:space="preserve">Elemento del plan</w:t>
            </w:r>
          </w:p>
        </w:tc>
        <w:tc>
          <w:tcPr>
            <w:tcW w:w="4499" w:type="dxa"/>
            <w:tcBorders>
              <w:top w:val="single" w:sz="8" w:space="0" w:color="000000"/>
              <w:bottom w:val="single" w:sz="4" w:space="0" w:color="000000"/>
            </w:tcBorders>
          </w:tcPr>
          <w:p>
            <w:pPr>
              <w:pStyle w:val="CeldaAPA"/>
              <w:jc w:val="center"/>
            </w:pPr>
            <w:r>
              <w:rPr>
                <w:bCs/>
                <w:b/>
              </w:rPr>
              <w:t xml:space="preserve">Contenido en este proyecto</w:t>
            </w:r>
          </w:p>
        </w:tc>
        <w:tc>
          <w:tcPr>
            <w:tcW w:w="2281" w:type="dxa"/>
            <w:tcBorders>
              <w:top w:val="single" w:sz="8" w:space="0" w:color="000000"/>
              <w:bottom w:val="single" w:sz="4" w:space="0" w:color="000000"/>
            </w:tcBorders>
          </w:tcPr>
          <w:p>
            <w:pPr>
              <w:pStyle w:val="CeldaAPA"/>
              <w:jc w:val="center"/>
            </w:pPr>
            <w:r>
              <w:rPr>
                <w:bCs/>
                <w:b/>
              </w:rPr>
              <w:t xml:space="preserve">Desarrollo</w:t>
            </w:r>
          </w:p>
        </w:tc>
      </w:tr>
      <w:tr>
        <w:tc>
          <w:tcPr>
            <w:tcW w:w="2580" w:type="dxa"/>
          </w:tcPr>
          <w:p>
            <w:pPr>
              <w:pStyle w:val="CeldaAPA"/>
              <w:jc w:val="left"/>
            </w:pPr>
            <w:r>
              <w:rPr/>
              <w:t xml:space="preserve">Alcance</w:t>
            </w:r>
          </w:p>
        </w:tc>
        <w:tc>
          <w:tcPr>
            <w:tcW w:w="4499" w:type="dxa"/>
          </w:tcPr>
          <w:p>
            <w:pPr>
              <w:pStyle w:val="CeldaAPA"/>
              <w:jc w:val="left"/>
            </w:pPr>
            <w:r>
              <w:rPr/>
              <w:t xml:space="preserve">Ítem 13 en la segunda y tercera losa (2.234,60 m</w:t>
            </w:r>
            <w:r>
              <w:rPr>
                <w:vertAlign w:val="superscript"/>
              </w:rPr>
              <w:t xml:space="preserve">2</w:t>
            </w:r>
            <w:r>
              <w:rPr/>
              <w:t xml:space="preserve">); de la compra al pago; exclusiones</w:t>
            </w:r>
          </w:p>
        </w:tc>
        <w:tc>
          <w:tcPr>
            <w:tcW w:w="2281" w:type="dxa"/>
          </w:tcPr>
          <w:p>
            <w:pPr>
              <w:pStyle w:val="CeldaAPA"/>
              <w:jc w:val="left"/>
            </w:pPr>
            <w:r>
              <w:rPr/>
              <w:t xml:space="preserve">Sección 2.6.2</w:t>
            </w:r>
          </w:p>
        </w:tc>
      </w:tr>
      <w:tr>
        <w:tc>
          <w:tcPr>
            <w:tcW w:w="2580" w:type="dxa"/>
          </w:tcPr>
          <w:p>
            <w:pPr>
              <w:pStyle w:val="CeldaAPA"/>
              <w:jc w:val="left"/>
            </w:pPr>
            <w:r>
              <w:rPr/>
              <w:t xml:space="preserve">Entradas del plan</w:t>
            </w:r>
          </w:p>
        </w:tc>
        <w:tc>
          <w:tcPr>
            <w:tcW w:w="4499" w:type="dxa"/>
          </w:tcPr>
          <w:p>
            <w:pPr>
              <w:pStyle w:val="CeldaAPA"/>
              <w:jc w:val="left"/>
            </w:pPr>
            <w:r>
              <w:rPr/>
              <w:t xml:space="preserve">Contrato; ET; planos 01 a 03; certificados; ACI 318-25; NB 997; brechas B1 a B9</w:t>
            </w:r>
          </w:p>
        </w:tc>
        <w:tc>
          <w:tcPr>
            <w:tcW w:w="2281" w:type="dxa"/>
          </w:tcPr>
          <w:p>
            <w:pPr>
              <w:pStyle w:val="CeldaAPA"/>
              <w:jc w:val="left"/>
            </w:pPr>
            <w:r>
              <w:rPr/>
              <w:t xml:space="preserve">Secciones 2.6 y 2.6.2</w:t>
            </w:r>
          </w:p>
        </w:tc>
      </w:tr>
      <w:tr>
        <w:tc>
          <w:tcPr>
            <w:tcW w:w="2580" w:type="dxa"/>
          </w:tcPr>
          <w:p>
            <w:pPr>
              <w:pStyle w:val="CeldaAPA"/>
              <w:jc w:val="left"/>
            </w:pPr>
            <w:r>
              <w:rPr/>
              <w:t xml:space="preserve">Objetivos de la calidad</w:t>
            </w:r>
          </w:p>
        </w:tc>
        <w:tc>
          <w:tcPr>
            <w:tcW w:w="4499" w:type="dxa"/>
          </w:tcPr>
          <w:p>
            <w:pPr>
              <w:pStyle w:val="CeldaAPA"/>
              <w:jc w:val="left"/>
            </w:pPr>
            <w:r>
              <w:rPr/>
              <w:t xml:space="preserve">Doce objetivos con indicador, meta, frecuencia y responsable</w:t>
            </w:r>
          </w:p>
        </w:tc>
        <w:tc>
          <w:tcPr>
            <w:tcW w:w="2281" w:type="dxa"/>
          </w:tcPr>
          <w:p>
            <w:pPr>
              <w:pStyle w:val="CeldaAPA"/>
              <w:jc w:val="left"/>
            </w:pPr>
            <w:r>
              <w:rPr/>
              <w:t xml:space="preserve">Tabla 33</w:t>
            </w:r>
          </w:p>
        </w:tc>
      </w:tr>
      <w:tr>
        <w:tc>
          <w:tcPr>
            <w:tcW w:w="2580" w:type="dxa"/>
          </w:tcPr>
          <w:p>
            <w:pPr>
              <w:pStyle w:val="CeldaAPA"/>
              <w:jc w:val="left"/>
            </w:pPr>
            <w:r>
              <w:rPr/>
              <w:t xml:space="preserve">Responsabilidades</w:t>
            </w:r>
          </w:p>
        </w:tc>
        <w:tc>
          <w:tcPr>
            <w:tcW w:w="4499" w:type="dxa"/>
          </w:tcPr>
          <w:p>
            <w:pPr>
              <w:pStyle w:val="CeldaAPA"/>
              <w:jc w:val="left"/>
            </w:pPr>
            <w:r>
              <w:rPr/>
              <w:t xml:space="preserve">Funciones y matriz RACI</w:t>
            </w:r>
          </w:p>
        </w:tc>
        <w:tc>
          <w:tcPr>
            <w:tcW w:w="2281" w:type="dxa"/>
          </w:tcPr>
          <w:p>
            <w:pPr>
              <w:pStyle w:val="CeldaAPA"/>
              <w:jc w:val="left"/>
            </w:pPr>
            <w:r>
              <w:rPr/>
              <w:t xml:space="preserve">Tabla 31</w:t>
            </w:r>
          </w:p>
        </w:tc>
      </w:tr>
      <w:tr>
        <w:tc>
          <w:tcPr>
            <w:tcW w:w="2580" w:type="dxa"/>
          </w:tcPr>
          <w:p>
            <w:pPr>
              <w:pStyle w:val="CeldaAPA"/>
              <w:jc w:val="left"/>
            </w:pPr>
            <w:r>
              <w:rPr/>
              <w:t xml:space="preserve">Control de la información documentada</w:t>
            </w:r>
          </w:p>
        </w:tc>
        <w:tc>
          <w:tcPr>
            <w:tcW w:w="4499" w:type="dxa"/>
          </w:tcPr>
          <w:p>
            <w:pPr>
              <w:pStyle w:val="CeldaAPA"/>
              <w:jc w:val="left"/>
            </w:pPr>
            <w:r>
              <w:rPr/>
              <w:t xml:space="preserve">Lista maestra; control de cambios de planos y ET; archivo de registros</w:t>
            </w:r>
          </w:p>
        </w:tc>
        <w:tc>
          <w:tcPr>
            <w:tcW w:w="2281" w:type="dxa"/>
          </w:tcPr>
          <w:p>
            <w:pPr>
              <w:pStyle w:val="CeldaAPA"/>
              <w:jc w:val="left"/>
            </w:pPr>
            <w:r>
              <w:rPr/>
              <w:t xml:space="preserve">Tabla 34</w:t>
            </w:r>
          </w:p>
        </w:tc>
      </w:tr>
      <w:tr>
        <w:tc>
          <w:tcPr>
            <w:tcW w:w="2580" w:type="dxa"/>
          </w:tcPr>
          <w:p>
            <w:pPr>
              <w:pStyle w:val="CeldaAPA"/>
              <w:jc w:val="left"/>
            </w:pPr>
            <w:r>
              <w:rPr/>
              <w:t xml:space="preserve">Recursos</w:t>
            </w:r>
          </w:p>
        </w:tc>
        <w:tc>
          <w:tcPr>
            <w:tcW w:w="4499" w:type="dxa"/>
          </w:tcPr>
          <w:p>
            <w:pPr>
              <w:pStyle w:val="CeldaAPA"/>
              <w:jc w:val="left"/>
            </w:pPr>
            <w:r>
              <w:rPr/>
              <w:t xml:space="preserve">Personas con tiempo asignado; almacén; equipos; laboratorio; capacitación</w:t>
            </w:r>
          </w:p>
        </w:tc>
        <w:tc>
          <w:tcPr>
            <w:tcW w:w="2281" w:type="dxa"/>
          </w:tcPr>
          <w:p>
            <w:pPr>
              <w:pStyle w:val="CeldaAPA"/>
              <w:jc w:val="left"/>
            </w:pPr>
            <w:r>
              <w:rPr/>
              <w:t xml:space="preserve">Sección 2.6.5</w:t>
            </w:r>
          </w:p>
        </w:tc>
      </w:tr>
      <w:tr>
        <w:tc>
          <w:tcPr>
            <w:tcW w:w="2580" w:type="dxa"/>
          </w:tcPr>
          <w:p>
            <w:pPr>
              <w:pStyle w:val="CeldaAPA"/>
              <w:jc w:val="left"/>
            </w:pPr>
            <w:r>
              <w:rPr/>
              <w:t xml:space="preserve">Comunicación con las partes interesadas</w:t>
            </w:r>
          </w:p>
        </w:tc>
        <w:tc>
          <w:tcPr>
            <w:tcW w:w="4499" w:type="dxa"/>
          </w:tcPr>
          <w:p>
            <w:pPr>
              <w:pStyle w:val="CeldaAPA"/>
              <w:jc w:val="left"/>
            </w:pPr>
            <w:r>
              <w:rPr/>
              <w:t xml:space="preserve">Libro de Órdenes, reunión semanal e informe mensual</w:t>
            </w:r>
          </w:p>
        </w:tc>
        <w:tc>
          <w:tcPr>
            <w:tcW w:w="2281" w:type="dxa"/>
          </w:tcPr>
          <w:p>
            <w:pPr>
              <w:pStyle w:val="CeldaAPA"/>
              <w:jc w:val="left"/>
            </w:pPr>
            <w:r>
              <w:rPr/>
              <w:t xml:space="preserve">Sección 2.6.5</w:t>
            </w:r>
          </w:p>
        </w:tc>
      </w:tr>
      <w:tr>
        <w:tc>
          <w:tcPr>
            <w:tcW w:w="2580" w:type="dxa"/>
          </w:tcPr>
          <w:p>
            <w:pPr>
              <w:pStyle w:val="CeldaAPA"/>
              <w:jc w:val="left"/>
            </w:pPr>
            <w:r>
              <w:rPr/>
              <w:t xml:space="preserve">Diseño y desarrollo</w:t>
            </w:r>
          </w:p>
        </w:tc>
        <w:tc>
          <w:tcPr>
            <w:tcW w:w="4499" w:type="dxa"/>
          </w:tcPr>
          <w:p>
            <w:pPr>
              <w:pStyle w:val="CeldaAPA"/>
              <w:jc w:val="left"/>
            </w:pPr>
            <w:r>
              <w:rPr/>
              <w:t xml:space="preserve">No aplica (diseño de la UATF); consultas técnicas y cambios</w:t>
            </w:r>
          </w:p>
        </w:tc>
        <w:tc>
          <w:tcPr>
            <w:tcW w:w="2281" w:type="dxa"/>
          </w:tcPr>
          <w:p>
            <w:pPr>
              <w:pStyle w:val="CeldaAPA"/>
              <w:jc w:val="left"/>
            </w:pPr>
            <w:r>
              <w:rPr/>
              <w:t xml:space="preserve">Gestión de cambios</w:t>
            </w:r>
          </w:p>
        </w:tc>
      </w:tr>
      <w:tr>
        <w:tc>
          <w:tcPr>
            <w:tcW w:w="2580" w:type="dxa"/>
          </w:tcPr>
          <w:p>
            <w:pPr>
              <w:pStyle w:val="CeldaAPA"/>
              <w:jc w:val="left"/>
            </w:pPr>
            <w:r>
              <w:rPr/>
              <w:t xml:space="preserve">Productos y servicios suministrados externamente</w:t>
            </w:r>
          </w:p>
        </w:tc>
        <w:tc>
          <w:tcPr>
            <w:tcW w:w="4499" w:type="dxa"/>
          </w:tcPr>
          <w:p>
            <w:pPr>
              <w:pStyle w:val="CeldaAPA"/>
              <w:jc w:val="left"/>
            </w:pPr>
            <w:r>
              <w:rPr/>
              <w:t xml:space="preserve">Evaluación de proveedores y del laboratorio; recepción antes de colocar</w:t>
            </w:r>
          </w:p>
        </w:tc>
        <w:tc>
          <w:tcPr>
            <w:tcW w:w="2281" w:type="dxa"/>
          </w:tcPr>
          <w:p>
            <w:pPr>
              <w:pStyle w:val="CeldaAPA"/>
              <w:jc w:val="left"/>
            </w:pPr>
            <w:r>
              <w:rPr/>
              <w:t xml:space="preserve">PCM-01; C.3</w:t>
            </w:r>
          </w:p>
        </w:tc>
      </w:tr>
      <w:tr>
        <w:tc>
          <w:tcPr>
            <w:tcW w:w="2580" w:type="dxa"/>
          </w:tcPr>
          <w:p>
            <w:pPr>
              <w:pStyle w:val="CeldaAPA"/>
              <w:jc w:val="left"/>
            </w:pPr>
            <w:r>
              <w:rPr/>
              <w:t xml:space="preserve">Producción y provisión del servicio</w:t>
            </w:r>
          </w:p>
        </w:tc>
        <w:tc>
          <w:tcPr>
            <w:tcW w:w="4499" w:type="dxa"/>
          </w:tcPr>
          <w:p>
            <w:pPr>
              <w:pStyle w:val="CeldaAPA"/>
              <w:jc w:val="left"/>
            </w:pPr>
            <w:r>
              <w:rPr/>
              <w:t xml:space="preserve">Secuencia por paño; PPI con puntos de espera; control del hormigón</w:t>
            </w:r>
          </w:p>
        </w:tc>
        <w:tc>
          <w:tcPr>
            <w:tcW w:w="2281" w:type="dxa"/>
          </w:tcPr>
          <w:p>
            <w:pPr>
              <w:pStyle w:val="CeldaAPA"/>
              <w:jc w:val="left"/>
            </w:pPr>
            <w:r>
              <w:rPr/>
              <w:t xml:space="preserve">Tabla 36</w:t>
            </w:r>
          </w:p>
        </w:tc>
      </w:tr>
      <w:tr>
        <w:tc>
          <w:tcPr>
            <w:tcW w:w="2580" w:type="dxa"/>
          </w:tcPr>
          <w:p>
            <w:pPr>
              <w:pStyle w:val="CeldaAPA"/>
              <w:jc w:val="left"/>
            </w:pPr>
            <w:r>
              <w:rPr/>
              <w:t xml:space="preserve">Identificación y trazabilidad</w:t>
            </w:r>
          </w:p>
        </w:tc>
        <w:tc>
          <w:tcPr>
            <w:tcW w:w="4499" w:type="dxa"/>
          </w:tcPr>
          <w:p>
            <w:pPr>
              <w:pStyle w:val="CeldaAPA"/>
              <w:jc w:val="left"/>
            </w:pPr>
            <w:r>
              <w:rPr/>
              <w:t xml:space="preserve">Códigos de lote, paño y vaciado en tarjetas, vales, kardex y probetas</w:t>
            </w:r>
          </w:p>
        </w:tc>
        <w:tc>
          <w:tcPr>
            <w:tcW w:w="2281" w:type="dxa"/>
          </w:tcPr>
          <w:p>
            <w:pPr>
              <w:pStyle w:val="CeldaAPA"/>
              <w:jc w:val="left"/>
            </w:pPr>
            <w:r>
              <w:rPr/>
              <w:t xml:space="preserve">PCM-02 y PCM-03</w:t>
            </w:r>
          </w:p>
        </w:tc>
      </w:tr>
      <w:tr>
        <w:tc>
          <w:tcPr>
            <w:tcW w:w="2580" w:type="dxa"/>
          </w:tcPr>
          <w:p>
            <w:pPr>
              <w:pStyle w:val="CeldaAPA"/>
              <w:jc w:val="left"/>
            </w:pPr>
            <w:r>
              <w:rPr/>
              <w:t xml:space="preserve">Propiedad de las partes interesadas</w:t>
            </w:r>
          </w:p>
        </w:tc>
        <w:tc>
          <w:tcPr>
            <w:tcW w:w="4499" w:type="dxa"/>
          </w:tcPr>
          <w:p>
            <w:pPr>
              <w:pStyle w:val="CeldaAPA"/>
              <w:jc w:val="left"/>
            </w:pPr>
            <w:r>
              <w:rPr/>
              <w:t xml:space="preserve">Estructura ya ejecutada y documentos de la UATF, protegidos</w:t>
            </w:r>
          </w:p>
        </w:tc>
        <w:tc>
          <w:tcPr>
            <w:tcW w:w="2281" w:type="dxa"/>
          </w:tcPr>
          <w:p>
            <w:pPr>
              <w:pStyle w:val="CeldaAPA"/>
              <w:jc w:val="left"/>
            </w:pPr>
            <w:r>
              <w:rPr/>
              <w:t xml:space="preserve">PCM-02</w:t>
            </w:r>
          </w:p>
        </w:tc>
      </w:tr>
      <w:tr>
        <w:tc>
          <w:tcPr>
            <w:tcW w:w="2580" w:type="dxa"/>
          </w:tcPr>
          <w:p>
            <w:pPr>
              <w:pStyle w:val="CeldaAPA"/>
              <w:jc w:val="left"/>
            </w:pPr>
            <w:r>
              <w:rPr/>
              <w:t xml:space="preserve">Preservación de las salidas</w:t>
            </w:r>
          </w:p>
        </w:tc>
        <w:tc>
          <w:tcPr>
            <w:tcW w:w="4499" w:type="dxa"/>
          </w:tcPr>
          <w:p>
            <w:pPr>
              <w:pStyle w:val="CeldaAPA"/>
              <w:jc w:val="left"/>
            </w:pPr>
            <w:r>
              <w:rPr/>
              <w:t xml:space="preserve">Acopio adecuado; protección del hormigón contra lluvia y helada; curado</w:t>
            </w:r>
          </w:p>
        </w:tc>
        <w:tc>
          <w:tcPr>
            <w:tcW w:w="2281" w:type="dxa"/>
          </w:tcPr>
          <w:p>
            <w:pPr>
              <w:pStyle w:val="CeldaAPA"/>
              <w:jc w:val="left"/>
            </w:pPr>
            <w:r>
              <w:rPr/>
              <w:t xml:space="preserve">PCM-02; hormigón</w:t>
            </w:r>
          </w:p>
        </w:tc>
      </w:tr>
      <w:tr>
        <w:tc>
          <w:tcPr>
            <w:tcW w:w="2580" w:type="dxa"/>
          </w:tcPr>
          <w:p>
            <w:pPr>
              <w:pStyle w:val="CeldaAPA"/>
              <w:jc w:val="left"/>
            </w:pPr>
            <w:r>
              <w:rPr/>
              <w:t xml:space="preserve">Control de las salidas no conformes</w:t>
            </w:r>
          </w:p>
        </w:tc>
        <w:tc>
          <w:tcPr>
            <w:tcW w:w="4499" w:type="dxa"/>
          </w:tcPr>
          <w:p>
            <w:pPr>
              <w:pStyle w:val="CeldaAPA"/>
              <w:jc w:val="left"/>
            </w:pPr>
            <w:r>
              <w:rPr/>
              <w:t xml:space="preserve">Retención e identificación; ningún paño sin liberar se vacía</w:t>
            </w:r>
          </w:p>
        </w:tc>
        <w:tc>
          <w:tcPr>
            <w:tcW w:w="2281" w:type="dxa"/>
          </w:tcPr>
          <w:p>
            <w:pPr>
              <w:pStyle w:val="CeldaAPA"/>
              <w:jc w:val="left"/>
            </w:pPr>
            <w:r>
              <w:rPr/>
              <w:t xml:space="preserve">PCM-05; liberación</w:t>
            </w:r>
          </w:p>
        </w:tc>
      </w:tr>
      <w:tr>
        <w:tc>
          <w:tcPr>
            <w:tcW w:w="2580" w:type="dxa"/>
          </w:tcPr>
          <w:p>
            <w:pPr>
              <w:pStyle w:val="CeldaAPA"/>
              <w:jc w:val="left"/>
            </w:pPr>
            <w:r>
              <w:rPr/>
              <w:t xml:space="preserve">Seguimiento y medición</w:t>
            </w:r>
          </w:p>
        </w:tc>
        <w:tc>
          <w:tcPr>
            <w:tcW w:w="4499" w:type="dxa"/>
          </w:tcPr>
          <w:p>
            <w:pPr>
              <w:pStyle w:val="CeldaAPA"/>
              <w:jc w:val="left"/>
            </w:pPr>
            <w:r>
              <w:rPr/>
              <w:t xml:space="preserve">Indicadores, ensayos de aceptación y conciliación</w:t>
            </w:r>
          </w:p>
        </w:tc>
        <w:tc>
          <w:tcPr>
            <w:tcW w:w="2281" w:type="dxa"/>
          </w:tcPr>
          <w:p>
            <w:pPr>
              <w:pStyle w:val="CeldaAPA"/>
              <w:jc w:val="left"/>
            </w:pPr>
            <w:r>
              <w:rPr/>
              <w:t xml:space="preserve">Sección 2.6.7</w:t>
            </w:r>
          </w:p>
        </w:tc>
      </w:tr>
      <w:tr>
        <w:tc>
          <w:tcPr>
            <w:tcW w:w="2580" w:type="dxa"/>
          </w:tcPr>
          <w:p>
            <w:pPr>
              <w:pStyle w:val="CeldaAPA"/>
              <w:jc w:val="left"/>
            </w:pPr>
            <w:r>
              <w:rPr/>
              <w:t xml:space="preserve">Auditorías</w:t>
            </w:r>
          </w:p>
        </w:tc>
        <w:tc>
          <w:tcPr>
            <w:tcW w:w="4499" w:type="dxa"/>
          </w:tcPr>
          <w:p>
            <w:pPr>
              <w:pStyle w:val="CeldaAPA"/>
              <w:jc w:val="left"/>
            </w:pPr>
            <w:r>
              <w:rPr/>
              <w:t xml:space="preserve">Auditoría interna simplificada con la lista C.1</w:t>
            </w:r>
          </w:p>
        </w:tc>
        <w:tc>
          <w:tcPr>
            <w:tcW w:w="2281" w:type="dxa"/>
          </w:tcPr>
          <w:p>
            <w:pPr>
              <w:pStyle w:val="CeldaAPA"/>
              <w:jc w:val="left"/>
            </w:pPr>
            <w:r>
              <w:rPr/>
              <w:t xml:space="preserve">Sección 2.6.7</w:t>
            </w:r>
          </w:p>
        </w:tc>
      </w:tr>
      <w:tr>
        <w:tc>
          <w:tcPr>
            <w:tcW w:w="2580" w:type="dxa"/>
            <w:tcBorders>
              <w:bottom w:val="single" w:sz="8" w:space="0" w:color="000000"/>
            </w:tcBorders>
          </w:tcPr>
          <w:p>
            <w:pPr>
              <w:pStyle w:val="CeldaAPA"/>
              <w:jc w:val="left"/>
            </w:pPr>
            <w:r>
              <w:rPr/>
              <w:t xml:space="preserve">Operación y control del plan</w:t>
            </w:r>
          </w:p>
        </w:tc>
        <w:tc>
          <w:tcPr>
            <w:tcW w:w="4499" w:type="dxa"/>
            <w:tcBorders>
              <w:bottom w:val="single" w:sz="8" w:space="0" w:color="000000"/>
            </w:tcBorders>
          </w:tcPr>
          <w:p>
            <w:pPr>
              <w:pStyle w:val="CeldaAPA"/>
              <w:jc w:val="left"/>
            </w:pPr>
            <w:r>
              <w:rPr/>
              <w:t xml:space="preserve">Aceptación por la Supervisión; aplicación por paño; revisión al cerrar cada losa</w:t>
            </w:r>
          </w:p>
        </w:tc>
        <w:tc>
          <w:tcPr>
            <w:tcW w:w="2281" w:type="dxa"/>
            <w:tcBorders>
              <w:bottom w:val="single" w:sz="8" w:space="0" w:color="000000"/>
            </w:tcBorders>
          </w:tcPr>
          <w:p>
            <w:pPr>
              <w:pStyle w:val="CeldaAPA"/>
              <w:jc w:val="left"/>
            </w:pPr>
            <w:r>
              <w:rPr/>
              <w:t xml:space="preserve">Secciones 2.6.7 y 2.6.8</w:t>
            </w:r>
          </w:p>
        </w:tc>
      </w:tr>
    </w:tbl>
    <w:p>
      <w:pPr>
        <w:pStyle w:val="NotaAPA"/>
      </w:pPr>
      <w:r>
        <w:rPr>
          <w:iCs/>
          <w:i/>
        </w:rPr>
        <w:t xml:space="preserve">Nota.</w:t>
      </w:r>
      <w:r>
        <w:t xml:space="preserve"> </w:t>
      </w:r>
      <w:r>
        <w:t xml:space="preserve">Elaboración propia. Los nombres de los elementos siguen la estructura de contenido de los planes de la calidad de la norma ISO 10005:2018</w:t>
      </w:r>
      <w:r>
        <w:t xml:space="preserve"> </w:t>
      </w:r>
      <w:r>
        <w:t xml:space="preserve">(ISO, 2018)</w:t>
      </w:r>
      <w:r>
        <w:t xml:space="preserve">; su desarrollo es propio de este proyecto.</w:t>
      </w:r>
    </w:p>
    <w:p>
      <w:pPr>
        <w:pStyle w:val="Heading4"/>
      </w:pPr>
      <w:bookmarkStart w:id="167" w:name="tit118"/>
      <w:r>
        <w:t xml:space="preserve">2.6.6.3. Plan de puntos de inspección y ensayo.</w:t>
      </w:r>
      <w:bookmarkEnd w:id="167"/>
    </w:p>
    <w:p>
      <w:pPr>
        <w:pStyle w:val="FirstParagraph"/>
      </w:pPr>
      <w:r>
        <w:t xml:space="preserve">El PPI define, para cada inspección, la característica que se controla, el criterio de aceptación, la referencia, la frecuencia, el responsable y el registro, e identifica los</w:t>
      </w:r>
      <w:r>
        <w:t xml:space="preserve"> </w:t>
      </w:r>
      <w:r>
        <w:rPr>
          <w:iCs/>
          <w:i/>
        </w:rPr>
        <w:t xml:space="preserve">puntos de espera</w:t>
      </w:r>
      <w:r>
        <w:t xml:space="preserve"> </w:t>
      </w:r>
      <w:r>
        <w:t xml:space="preserve">o de parada: inspecciones que, por su importancia, obligan a detener la actividad hasta obtener la conformidad del cliente o el resultado de un ensayo</w:t>
      </w:r>
      <w:r>
        <w:t xml:space="preserve"> </w:t>
      </w:r>
      <w:r>
        <w:t xml:space="preserve">(Muro Núñez, 2020, anexo 4)</w:t>
      </w:r>
      <w:r>
        <w:t xml:space="preserve">. En este proyecto se usan tres tipos de punto:</w:t>
      </w:r>
      <w:r>
        <w:t xml:space="preserve"> </w:t>
      </w:r>
      <w:r>
        <w:rPr>
          <w:bCs/>
          <w:b/>
        </w:rPr>
        <w:t xml:space="preserve">H</w:t>
      </w:r>
      <w:r>
        <w:t xml:space="preserve"> </w:t>
      </w:r>
      <w:r>
        <w:t xml:space="preserve">(punto de espera: la actividad siguiente no comienza sin la liberación firmada por la Supervisión),</w:t>
      </w:r>
      <w:r>
        <w:t xml:space="preserve"> </w:t>
      </w:r>
      <w:r>
        <w:rPr>
          <w:bCs/>
          <w:b/>
        </w:rPr>
        <w:t xml:space="preserve">W</w:t>
      </w:r>
      <w:r>
        <w:t xml:space="preserve"> </w:t>
      </w:r>
      <w:r>
        <w:t xml:space="preserve">(punto de aviso: se avisa a la Supervisión, que puede presenciar la actividad; si no asiste, se continúa con el autocontrol registrado) y</w:t>
      </w:r>
      <w:r>
        <w:t xml:space="preserve"> </w:t>
      </w:r>
      <w:r>
        <w:rPr>
          <w:bCs/>
          <w:b/>
        </w:rPr>
        <w:t xml:space="preserve">R</w:t>
      </w:r>
      <w:r>
        <w:t xml:space="preserve"> </w:t>
      </w:r>
      <w:r>
        <w:t xml:space="preserve">(revisión de registros y certificados). Los puntos de espera son el apuntalamiento, el armado, el vaciado y el desapuntalamiento (Tabla 36). Con ellos, la verificación que en la primera losa se hizo una sola vez, con un asiento genérico del Libro de Órdenes, se convierte en una liberación por paño, con criterios explícitos y registro firmado (B6).</w:t>
      </w:r>
    </w:p>
    <w:p>
      <w:pPr>
        <w:pStyle w:val="Caption"/>
      </w:pPr>
      <w:bookmarkStart w:id="1439" w:name="tab36"/>
      <w:r>
        <w:t xml:space="preserve"/>
      </w:r>
      <w:r>
        <w:rPr>
          <w:bCs/>
          <w:b/>
        </w:rPr>
        <w:t xml:space="preserve">Tabla 36</w:t>
      </w:r>
      <w:r>
        <w:br/>
      </w:r>
      <w:r>
        <w:rPr>
          <w:iCs/>
          <w:i/>
        </w:rPr>
        <w:t xml:space="preserve">Plan de puntos de inspección y ensayo (PPI) de la losa alivianada</w:t>
      </w:r>
      <w:bookmarkEnd w:id="1439"/>
    </w:p>
    <w:tbl>
      <w:tblPr>
        <w:tblStyle w:val="Table"/>
        <w:tblW w:w="11072" w:type="dxa"/>
        <w:jc w:val="left"/>
        <w:tblLayout w:type="fixed"/>
        <w:tblCellMar>
          <w:top w:w="0" w:type="dxa"/>
          <w:left w:w="85" w:type="dxa"/>
          <w:bottom w:w="0" w:type="dxa"/>
          <w:right w:w="85" w:type="dxa"/>
        </w:tblCellMar>
        <w:tblLook w:firstRow="1" w:lastRow="0" w:firstColumn="0" w:lastColumn="0" w:noHBand="0" w:noVBand="0" w:val="0020"/>
      </w:tblPr>
      <w:tblGrid>
        <w:gridCol w:w="666"/>
        <w:gridCol w:w="2076"/>
        <w:gridCol w:w="1854"/>
        <w:gridCol w:w="2540"/>
        <w:gridCol w:w="1572"/>
        <w:gridCol w:w="814"/>
        <w:gridCol w:w="1550"/>
      </w:tblGrid>
      <w:tr>
        <w:trPr>
          <w:cantSplit/>
          <w:tblHeader w:val="true"/>
        </w:trPr>
        <w:tc>
          <w:tcPr>
            <w:tcW w:w="666" w:type="dxa"/>
            <w:tcBorders>
              <w:top w:val="single" w:sz="8" w:space="0" w:color="000000"/>
              <w:bottom w:val="single" w:sz="4" w:space="0" w:color="000000"/>
            </w:tcBorders>
          </w:tcPr>
          <w:p>
            <w:pPr>
              <w:pStyle w:val="CeldaAPA"/>
              <w:jc w:val="center"/>
            </w:pPr>
            <w:r>
              <w:rPr>
                <w:bCs/>
                <w:b/>
              </w:rPr>
              <w:t xml:space="preserve">N.</w:t>
            </w:r>
            <w:r>
              <w:rPr>
                <w:vertAlign w:val="superscript"/>
                <w:bCs/>
                <w:b/>
              </w:rPr>
              <w:t xml:space="preserve">o</w:t>
            </w:r>
          </w:p>
        </w:tc>
        <w:tc>
          <w:tcPr>
            <w:tcW w:w="2076" w:type="dxa"/>
            <w:tcBorders>
              <w:top w:val="single" w:sz="8" w:space="0" w:color="000000"/>
              <w:bottom w:val="single" w:sz="4" w:space="0" w:color="000000"/>
            </w:tcBorders>
          </w:tcPr>
          <w:p>
            <w:pPr>
              <w:pStyle w:val="CeldaAPA"/>
              <w:jc w:val="center"/>
            </w:pPr>
            <w:r>
              <w:rPr>
                <w:bCs/>
                <w:b/>
              </w:rPr>
              <w:t xml:space="preserve">Actividad o punto</w:t>
            </w:r>
          </w:p>
        </w:tc>
        <w:tc>
          <w:tcPr>
            <w:tcW w:w="1854" w:type="dxa"/>
            <w:tcBorders>
              <w:top w:val="single" w:sz="8" w:space="0" w:color="000000"/>
              <w:bottom w:val="single" w:sz="4" w:space="0" w:color="000000"/>
            </w:tcBorders>
          </w:tcPr>
          <w:p>
            <w:pPr>
              <w:pStyle w:val="CeldaAPA"/>
              <w:jc w:val="center"/>
            </w:pPr>
            <w:r>
              <w:rPr>
                <w:bCs/>
                <w:b/>
              </w:rPr>
              <w:t xml:space="preserve">Característica y criterio de aceptación</w:t>
            </w:r>
          </w:p>
        </w:tc>
        <w:tc>
          <w:tcPr>
            <w:tcW w:w="2540" w:type="dxa"/>
            <w:tcBorders>
              <w:top w:val="single" w:sz="8" w:space="0" w:color="000000"/>
              <w:bottom w:val="single" w:sz="4" w:space="0" w:color="000000"/>
            </w:tcBorders>
          </w:tcPr>
          <w:p>
            <w:pPr>
              <w:pStyle w:val="CeldaAPA"/>
              <w:jc w:val="center"/>
            </w:pPr>
            <w:r>
              <w:rPr>
                <w:bCs/>
                <w:b/>
              </w:rPr>
              <w:t xml:space="preserve">Referencia</w:t>
            </w:r>
          </w:p>
        </w:tc>
        <w:tc>
          <w:tcPr>
            <w:tcW w:w="1572" w:type="dxa"/>
            <w:tcBorders>
              <w:top w:val="single" w:sz="8" w:space="0" w:color="000000"/>
              <w:bottom w:val="single" w:sz="4" w:space="0" w:color="000000"/>
            </w:tcBorders>
          </w:tcPr>
          <w:p>
            <w:pPr>
              <w:pStyle w:val="CeldaAPA"/>
              <w:jc w:val="center"/>
            </w:pPr>
            <w:r>
              <w:rPr>
                <w:bCs/>
                <w:b/>
              </w:rPr>
              <w:t xml:space="preserve">Frecuencia</w:t>
            </w:r>
          </w:p>
        </w:tc>
        <w:tc>
          <w:tcPr>
            <w:tcW w:w="814" w:type="dxa"/>
            <w:tcBorders>
              <w:top w:val="single" w:sz="8" w:space="0" w:color="000000"/>
              <w:bottom w:val="single" w:sz="4" w:space="0" w:color="000000"/>
            </w:tcBorders>
          </w:tcPr>
          <w:p>
            <w:pPr>
              <w:pStyle w:val="CeldaAPA"/>
              <w:jc w:val="center"/>
            </w:pPr>
            <w:r>
              <w:rPr>
                <w:bCs/>
                <w:b/>
              </w:rPr>
              <w:t xml:space="preserve">Tipo</w:t>
            </w:r>
          </w:p>
        </w:tc>
        <w:tc>
          <w:tcPr>
            <w:tcW w:w="1550" w:type="dxa"/>
            <w:tcBorders>
              <w:top w:val="single" w:sz="8" w:space="0" w:color="000000"/>
              <w:bottom w:val="single" w:sz="4" w:space="0" w:color="000000"/>
            </w:tcBorders>
          </w:tcPr>
          <w:p>
            <w:pPr>
              <w:pStyle w:val="CeldaAPA"/>
              <w:jc w:val="center"/>
            </w:pPr>
            <w:r>
              <w:rPr>
                <w:bCs/>
                <w:b/>
              </w:rPr>
              <w:t xml:space="preserve">Registro y responsable</w:t>
            </w:r>
          </w:p>
        </w:tc>
      </w:tr>
      <w:tr>
        <w:tc>
          <w:tcPr>
            <w:tcW w:w="666" w:type="dxa"/>
          </w:tcPr>
          <w:p>
            <w:pPr>
              <w:pStyle w:val="CeldaAPA"/>
              <w:jc w:val="left"/>
            </w:pPr>
            <w:r>
              <w:rPr/>
              <w:t xml:space="preserve">1</w:t>
            </w:r>
          </w:p>
        </w:tc>
        <w:tc>
          <w:tcPr>
            <w:tcW w:w="2076" w:type="dxa"/>
          </w:tcPr>
          <w:p>
            <w:pPr>
              <w:pStyle w:val="CeldaAPA"/>
              <w:jc w:val="left"/>
            </w:pPr>
            <w:r>
              <w:rPr/>
              <w:t xml:space="preserve">Recepción de materiales</w:t>
            </w:r>
          </w:p>
        </w:tc>
        <w:tc>
          <w:tcPr>
            <w:tcW w:w="1854" w:type="dxa"/>
          </w:tcPr>
          <w:p>
            <w:pPr>
              <w:pStyle w:val="CeldaAPA"/>
              <w:jc w:val="left"/>
            </w:pPr>
            <w:r>
              <w:rPr/>
              <w:t xml:space="preserve">Criterios de la Tabla 37: recepción antes de la colocación, con certificado firmado por lote (viguetas y EPS) o por colada y diámetro (acero)</w:t>
            </w:r>
          </w:p>
        </w:tc>
        <w:tc>
          <w:tcPr>
            <w:tcW w:w="2540" w:type="dxa"/>
          </w:tcPr>
          <w:p>
            <w:pPr>
              <w:pStyle w:val="CeldaAPA"/>
              <w:jc w:val="left"/>
            </w:pPr>
            <w:r>
              <w:rPr/>
              <w:t xml:space="preserve">PCM-01</w:t>
            </w:r>
          </w:p>
        </w:tc>
        <w:tc>
          <w:tcPr>
            <w:tcW w:w="1572" w:type="dxa"/>
          </w:tcPr>
          <w:p>
            <w:pPr>
              <w:pStyle w:val="CeldaAPA"/>
              <w:jc w:val="left"/>
            </w:pPr>
            <w:r>
              <w:rPr/>
              <w:t xml:space="preserve">Cada entrega</w:t>
            </w:r>
          </w:p>
        </w:tc>
        <w:tc>
          <w:tcPr>
            <w:tcW w:w="814" w:type="dxa"/>
          </w:tcPr>
          <w:p>
            <w:pPr>
              <w:pStyle w:val="CeldaAPA"/>
              <w:jc w:val="center"/>
            </w:pPr>
            <w:r>
              <w:rPr/>
              <w:t xml:space="preserve">R</w:t>
            </w:r>
          </w:p>
        </w:tc>
        <w:tc>
          <w:tcPr>
            <w:tcW w:w="1550" w:type="dxa"/>
          </w:tcPr>
          <w:p>
            <w:pPr>
              <w:pStyle w:val="CeldaAPA"/>
              <w:jc w:val="left"/>
            </w:pPr>
            <w:r>
              <w:rPr/>
              <w:t xml:space="preserve">C.3; AL y RC</w:t>
            </w:r>
          </w:p>
        </w:tc>
      </w:tr>
      <w:tr>
        <w:tc>
          <w:tcPr>
            <w:tcW w:w="666" w:type="dxa"/>
          </w:tcPr>
          <w:p>
            <w:pPr>
              <w:pStyle w:val="CeldaAPA"/>
              <w:jc w:val="left"/>
            </w:pPr>
            <w:r>
              <w:rPr/>
              <w:t xml:space="preserve">2</w:t>
            </w:r>
          </w:p>
        </w:tc>
        <w:tc>
          <w:tcPr>
            <w:tcW w:w="2076" w:type="dxa"/>
          </w:tcPr>
          <w:p>
            <w:pPr>
              <w:pStyle w:val="CeldaAPA"/>
              <w:jc w:val="left"/>
            </w:pPr>
            <w:r>
              <w:rPr/>
              <w:t xml:space="preserve">Replanteo y encofrado de vigas</w:t>
            </w:r>
          </w:p>
        </w:tc>
        <w:tc>
          <w:tcPr>
            <w:tcW w:w="1854" w:type="dxa"/>
          </w:tcPr>
          <w:p>
            <w:pPr>
              <w:pStyle w:val="CeldaAPA"/>
              <w:jc w:val="left"/>
            </w:pPr>
            <w:r>
              <w:rPr/>
              <w:t xml:space="preserve">Ejes y niveles según el Plano 01; encofrados estancos, arriostrados y limpios; alero de encofrado de al menos 20 cm donde la vigueta corre paralela a una viga</w:t>
            </w:r>
          </w:p>
        </w:tc>
        <w:tc>
          <w:tcPr>
            <w:tcW w:w="2540" w:type="dxa"/>
          </w:tcPr>
          <w:p>
            <w:pPr>
              <w:pStyle w:val="CeldaAPA"/>
              <w:jc w:val="left"/>
            </w:pPr>
            <w:r>
              <w:rPr/>
              <w:t xml:space="preserve">Plano 01;</w:t>
            </w:r>
            <w:r>
              <w:rPr/>
              <w:t xml:space="preserve"> </w:t>
            </w:r>
            <w:r>
              <w:rPr/>
              <w:t xml:space="preserve">Alcón Aranda (2009, p. 125)</w:t>
            </w:r>
            <w:r>
              <w:rPr/>
              <w:t xml:space="preserve">; ACI 318-25, 26.11.1.2</w:t>
            </w:r>
          </w:p>
        </w:tc>
        <w:tc>
          <w:tcPr>
            <w:tcW w:w="1572" w:type="dxa"/>
          </w:tcPr>
          <w:p>
            <w:pPr>
              <w:pStyle w:val="CeldaAPA"/>
              <w:jc w:val="left"/>
            </w:pPr>
            <w:r>
              <w:rPr/>
              <w:t xml:space="preserve">Cada paño</w:t>
            </w:r>
          </w:p>
        </w:tc>
        <w:tc>
          <w:tcPr>
            <w:tcW w:w="814" w:type="dxa"/>
          </w:tcPr>
          <w:p>
            <w:pPr>
              <w:pStyle w:val="CeldaAPA"/>
              <w:jc w:val="center"/>
            </w:pPr>
            <w:r>
              <w:rPr/>
              <w:t xml:space="preserve">W</w:t>
            </w:r>
          </w:p>
        </w:tc>
        <w:tc>
          <w:tcPr>
            <w:tcW w:w="1550" w:type="dxa"/>
          </w:tcPr>
          <w:p>
            <w:pPr>
              <w:pStyle w:val="CeldaAPA"/>
              <w:jc w:val="left"/>
            </w:pPr>
            <w:r>
              <w:rPr/>
              <w:t xml:space="preserve">C.2-A; CA y RC</w:t>
            </w:r>
          </w:p>
        </w:tc>
      </w:tr>
      <w:tr>
        <w:tc>
          <w:tcPr>
            <w:tcW w:w="666" w:type="dxa"/>
          </w:tcPr>
          <w:p>
            <w:pPr>
              <w:pStyle w:val="CeldaAPA"/>
              <w:jc w:val="left"/>
            </w:pPr>
            <w:r>
              <w:rPr/>
              <w:t xml:space="preserve">3</w:t>
            </w:r>
          </w:p>
        </w:tc>
        <w:tc>
          <w:tcPr>
            <w:tcW w:w="2076" w:type="dxa"/>
          </w:tcPr>
          <w:p>
            <w:pPr>
              <w:pStyle w:val="CeldaAPA"/>
              <w:jc w:val="left"/>
            </w:pPr>
            <w:r>
              <w:rPr>
                <w:bCs/>
                <w:b/>
              </w:rPr>
              <w:t xml:space="preserve">Apuntalamiento</w:t>
            </w:r>
          </w:p>
        </w:tc>
        <w:tc>
          <w:tcPr>
            <w:tcW w:w="1854" w:type="dxa"/>
          </w:tcPr>
          <w:p>
            <w:pPr>
              <w:pStyle w:val="CeldaAPA"/>
              <w:jc w:val="left"/>
            </w:pPr>
            <w:r>
              <w:rPr/>
              <w:t xml:space="preserve">Soleras transversales a las viguetas: una para luces de 2 a 4 m, dos para 4,5 a 6 m y tres para 6,5 a 7,5 m; puntales de diámetro</w:t>
            </w:r>
            <w:r>
              <w:rPr/>
              <w:t xml:space="preserve"> </w:t>
            </w:r>
            <m:oMath>
              <m:r>
                <m:rPr>
                  <m:sty m:val="p"/>
                </m:rPr>
                <m:t>≥</m:t>
              </m:r>
              <m:r>
                <m:t>4</m:t>
              </m:r>
              <m:r>
                <m:rPr>
                  <m:sty m:val="p"/>
                </m:rPr>
                <m:t>″</m:t>
              </m:r>
            </m:oMath>
            <w:r>
              <w:rPr/>
              <w:t xml:space="preserve"> </w:t>
            </w:r>
            <w:r>
              <w:rPr/>
              <w:t xml:space="preserve">cada 0,80 a 1,00 m, sobre tabla o cuña y arriostrados en cruz; contraflecha según el fabricante</w:t>
            </w:r>
          </w:p>
        </w:tc>
        <w:tc>
          <w:tcPr>
            <w:tcW w:w="2540" w:type="dxa"/>
          </w:tcPr>
          <w:p>
            <w:pPr>
              <w:pStyle w:val="CeldaAPA"/>
              <w:jc w:val="left"/>
            </w:pPr>
            <w:r>
              <w:rPr/>
              <w:t xml:space="preserve">Alcón Aranda (2009, p. 129)</w:t>
            </w:r>
            <w:r>
              <w:rPr/>
              <w:t xml:space="preserve">; instrucciones del fabricante</w:t>
            </w:r>
          </w:p>
        </w:tc>
        <w:tc>
          <w:tcPr>
            <w:tcW w:w="1572" w:type="dxa"/>
          </w:tcPr>
          <w:p>
            <w:pPr>
              <w:pStyle w:val="CeldaAPA"/>
              <w:jc w:val="left"/>
            </w:pPr>
            <w:r>
              <w:rPr/>
              <w:t xml:space="preserve">Cada paño</w:t>
            </w:r>
          </w:p>
        </w:tc>
        <w:tc>
          <w:tcPr>
            <w:tcW w:w="814" w:type="dxa"/>
          </w:tcPr>
          <w:p>
            <w:pPr>
              <w:pStyle w:val="CeldaAPA"/>
              <w:jc w:val="center"/>
            </w:pPr>
            <w:r>
              <w:rPr>
                <w:bCs/>
                <w:b/>
              </w:rPr>
              <w:t xml:space="preserve">H</w:t>
            </w:r>
          </w:p>
        </w:tc>
        <w:tc>
          <w:tcPr>
            <w:tcW w:w="1550" w:type="dxa"/>
          </w:tcPr>
          <w:p>
            <w:pPr>
              <w:pStyle w:val="CeldaAPA"/>
              <w:jc w:val="left"/>
            </w:pPr>
            <w:r>
              <w:rPr/>
              <w:t xml:space="preserve">C.2-A; RC y SU</w:t>
            </w:r>
          </w:p>
        </w:tc>
      </w:tr>
      <w:tr>
        <w:tc>
          <w:tcPr>
            <w:tcW w:w="666" w:type="dxa"/>
          </w:tcPr>
          <w:p>
            <w:pPr>
              <w:pStyle w:val="CeldaAPA"/>
              <w:jc w:val="left"/>
            </w:pPr>
            <w:r>
              <w:rPr/>
              <w:t xml:space="preserve">4</w:t>
            </w:r>
          </w:p>
        </w:tc>
        <w:tc>
          <w:tcPr>
            <w:tcW w:w="2076" w:type="dxa"/>
          </w:tcPr>
          <w:p>
            <w:pPr>
              <w:pStyle w:val="CeldaAPA"/>
              <w:jc w:val="left"/>
            </w:pPr>
            <w:r>
              <w:rPr/>
              <w:t xml:space="preserve">Colocación de viguetas</w:t>
            </w:r>
          </w:p>
        </w:tc>
        <w:tc>
          <w:tcPr>
            <w:tcW w:w="1854" w:type="dxa"/>
          </w:tcPr>
          <w:p>
            <w:pPr>
              <w:pStyle w:val="CeldaAPA"/>
              <w:jc w:val="left"/>
            </w:pPr>
            <w:r>
              <w:rPr/>
              <w:t xml:space="preserve">Tipo, número y longitud por paño según el Plano 03; separación entre ejes de 50 cm; apoyo</w:t>
            </w:r>
            <w:r>
              <w:rPr/>
              <w:t xml:space="preserve"> </w:t>
            </w:r>
            <m:oMath>
              <m:r>
                <m:rPr>
                  <m:sty m:val="p"/>
                </m:rPr>
                <m:t>≥</m:t>
              </m:r>
              <m:r>
                <m:t>5</m:t>
              </m:r>
            </m:oMath>
            <w:r>
              <w:rPr/>
              <w:t xml:space="preserve"> cm si se vacía con la viga y</w:t>
            </w:r>
            <w:r>
              <w:rPr/>
              <w:t xml:space="preserve"> </w:t>
            </w:r>
            <m:oMath>
              <m:r>
                <m:rPr>
                  <m:sty m:val="p"/>
                </m:rPr>
                <m:t>≥</m:t>
              </m:r>
              <m:r>
                <m:t>10</m:t>
              </m:r>
            </m:oMath>
            <w:r>
              <w:rPr/>
              <w:t xml:space="preserve"> cm sobre una viga ya vaciada; sin fisuras ni golpes</w:t>
            </w:r>
          </w:p>
        </w:tc>
        <w:tc>
          <w:tcPr>
            <w:tcW w:w="2540" w:type="dxa"/>
          </w:tcPr>
          <w:p>
            <w:pPr>
              <w:pStyle w:val="CeldaAPA"/>
              <w:jc w:val="left"/>
            </w:pPr>
            <w:r>
              <w:rPr/>
              <w:t xml:space="preserve">Plano 03;</w:t>
            </w:r>
            <w:r>
              <w:rPr/>
              <w:t xml:space="preserve"> </w:t>
            </w:r>
            <w:r>
              <w:rPr/>
              <w:t xml:space="preserve">PRETENSA (2025)</w:t>
            </w:r>
            <w:r>
              <w:rPr/>
              <w:t xml:space="preserve">;</w:t>
            </w:r>
            <w:r>
              <w:rPr/>
              <w:t xml:space="preserve"> </w:t>
            </w:r>
            <w:r>
              <w:rPr/>
              <w:t xml:space="preserve">Alcón Aranda (2009, pp. 125–126)</w:t>
            </w:r>
          </w:p>
        </w:tc>
        <w:tc>
          <w:tcPr>
            <w:tcW w:w="1572" w:type="dxa"/>
          </w:tcPr>
          <w:p>
            <w:pPr>
              <w:pStyle w:val="CeldaAPA"/>
              <w:jc w:val="left"/>
            </w:pPr>
            <w:r>
              <w:rPr/>
              <w:t xml:space="preserve">Cada paño</w:t>
            </w:r>
          </w:p>
        </w:tc>
        <w:tc>
          <w:tcPr>
            <w:tcW w:w="814" w:type="dxa"/>
          </w:tcPr>
          <w:p>
            <w:pPr>
              <w:pStyle w:val="CeldaAPA"/>
              <w:jc w:val="center"/>
            </w:pPr>
            <w:r>
              <w:rPr/>
              <w:t xml:space="preserve">W</w:t>
            </w:r>
          </w:p>
        </w:tc>
        <w:tc>
          <w:tcPr>
            <w:tcW w:w="1550" w:type="dxa"/>
          </w:tcPr>
          <w:p>
            <w:pPr>
              <w:pStyle w:val="CeldaAPA"/>
              <w:jc w:val="left"/>
            </w:pPr>
            <w:r>
              <w:rPr/>
              <w:t xml:space="preserve">C.2-B; CA</w:t>
            </w:r>
          </w:p>
        </w:tc>
      </w:tr>
      <w:tr>
        <w:tc>
          <w:tcPr>
            <w:tcW w:w="666" w:type="dxa"/>
          </w:tcPr>
          <w:p>
            <w:pPr>
              <w:pStyle w:val="CeldaAPA"/>
              <w:jc w:val="left"/>
            </w:pPr>
            <w:r>
              <w:rPr/>
              <w:t xml:space="preserve">5</w:t>
            </w:r>
          </w:p>
        </w:tc>
        <w:tc>
          <w:tcPr>
            <w:tcW w:w="2076" w:type="dxa"/>
          </w:tcPr>
          <w:p>
            <w:pPr>
              <w:pStyle w:val="CeldaAPA"/>
              <w:jc w:val="left"/>
            </w:pPr>
            <w:r>
              <w:rPr/>
              <w:t xml:space="preserve">Colocación del EPS</w:t>
            </w:r>
          </w:p>
        </w:tc>
        <w:tc>
          <w:tcPr>
            <w:tcW w:w="1854" w:type="dxa"/>
          </w:tcPr>
          <w:p>
            <w:pPr>
              <w:pStyle w:val="CeldaAPA"/>
              <w:jc w:val="left"/>
            </w:pPr>
            <w:r>
              <w:rPr/>
              <w:t xml:space="preserve">Piezas enteras, ajustadas entre viguetas, sin huecos ni roturas; cortes solo en bordes y nervios; tránsito sobre tablones y no sobre las piezas</w:t>
            </w:r>
          </w:p>
        </w:tc>
        <w:tc>
          <w:tcPr>
            <w:tcW w:w="2540" w:type="dxa"/>
          </w:tcPr>
          <w:p>
            <w:pPr>
              <w:pStyle w:val="CeldaAPA"/>
              <w:jc w:val="left"/>
            </w:pPr>
            <w:r>
              <w:rPr/>
              <w:t xml:space="preserve">Concretec (2016)</w:t>
            </w:r>
            <w:r>
              <w:rPr/>
              <w:t xml:space="preserve">;</w:t>
            </w:r>
            <w:r>
              <w:rPr/>
              <w:t xml:space="preserve"> </w:t>
            </w:r>
            <w:r>
              <w:rPr/>
              <w:t xml:space="preserve">Alcón Aranda (2009, p. 128)</w:t>
            </w:r>
          </w:p>
        </w:tc>
        <w:tc>
          <w:tcPr>
            <w:tcW w:w="1572" w:type="dxa"/>
          </w:tcPr>
          <w:p>
            <w:pPr>
              <w:pStyle w:val="CeldaAPA"/>
              <w:jc w:val="left"/>
            </w:pPr>
            <w:r>
              <w:rPr/>
              <w:t xml:space="preserve">Cada paño</w:t>
            </w:r>
          </w:p>
        </w:tc>
        <w:tc>
          <w:tcPr>
            <w:tcW w:w="814" w:type="dxa"/>
          </w:tcPr>
          <w:p>
            <w:pPr>
              <w:pStyle w:val="CeldaAPA"/>
              <w:jc w:val="center"/>
            </w:pPr>
            <w:r>
              <w:rPr/>
              <w:t xml:space="preserve">W</w:t>
            </w:r>
          </w:p>
        </w:tc>
        <w:tc>
          <w:tcPr>
            <w:tcW w:w="1550" w:type="dxa"/>
          </w:tcPr>
          <w:p>
            <w:pPr>
              <w:pStyle w:val="CeldaAPA"/>
              <w:jc w:val="left"/>
            </w:pPr>
            <w:r>
              <w:rPr/>
              <w:t xml:space="preserve">C.2-B; CA</w:t>
            </w:r>
          </w:p>
        </w:tc>
      </w:tr>
      <w:tr>
        <w:tc>
          <w:tcPr>
            <w:tcW w:w="666" w:type="dxa"/>
          </w:tcPr>
          <w:p>
            <w:pPr>
              <w:pStyle w:val="CeldaAPA"/>
              <w:jc w:val="left"/>
            </w:pPr>
            <w:r>
              <w:rPr/>
              <w:t xml:space="preserve">6</w:t>
            </w:r>
          </w:p>
        </w:tc>
        <w:tc>
          <w:tcPr>
            <w:tcW w:w="2076" w:type="dxa"/>
          </w:tcPr>
          <w:p>
            <w:pPr>
              <w:pStyle w:val="CeldaAPA"/>
              <w:jc w:val="left"/>
            </w:pPr>
            <w:r>
              <w:rPr>
                <w:bCs/>
                <w:b/>
              </w:rPr>
              <w:t xml:space="preserve">Nervios, armadura de distribución, negativos y continuidad</w:t>
            </w:r>
          </w:p>
        </w:tc>
        <w:tc>
          <w:tcPr>
            <w:tcW w:w="1854" w:type="dxa"/>
          </w:tcPr>
          <w:p>
            <w:pPr>
              <w:pStyle w:val="CeldaAPA"/>
              <w:jc w:val="left"/>
            </w:pPr>
            <w:r>
              <w:rPr/>
              <w:t xml:space="preserve">Nervios transversales y armaduras según el Plano 02 (</w:t>
            </w:r>
            <m:oMath>
              <m:r>
                <m:t>ϕ</m:t>
              </m:r>
            </m:oMath>
            <w:r>
              <w:rPr/>
              <w:t xml:space="preserve">6 c/20 cm en ambas direcciones; armadura de nervios y de momentos negativos según planos); aceros de continuidad exigidos por el fabricante; parrilla separada del EPS con separadores que aseguren el recubrimiento; empalmes y amarres completos; barras limpias</w:t>
            </w:r>
          </w:p>
        </w:tc>
        <w:tc>
          <w:tcPr>
            <w:tcW w:w="2540" w:type="dxa"/>
          </w:tcPr>
          <w:p>
            <w:pPr>
              <w:pStyle w:val="CeldaAPA"/>
              <w:jc w:val="left"/>
            </w:pPr>
            <w:r>
              <w:rPr/>
              <w:t xml:space="preserve">Plano 02;</w:t>
            </w:r>
            <w:r>
              <w:rPr/>
              <w:t xml:space="preserve"> </w:t>
            </w:r>
            <w:r>
              <w:rPr/>
              <w:t xml:space="preserve">PRETENSA (2025)</w:t>
            </w:r>
            <w:r>
              <w:rPr/>
              <w:t xml:space="preserve">; ACI 318-25, 26.13.3.3</w:t>
            </w:r>
          </w:p>
        </w:tc>
        <w:tc>
          <w:tcPr>
            <w:tcW w:w="1572" w:type="dxa"/>
          </w:tcPr>
          <w:p>
            <w:pPr>
              <w:pStyle w:val="CeldaAPA"/>
              <w:jc w:val="left"/>
            </w:pPr>
            <w:r>
              <w:rPr/>
              <w:t xml:space="preserve">Cada paño</w:t>
            </w:r>
          </w:p>
        </w:tc>
        <w:tc>
          <w:tcPr>
            <w:tcW w:w="814" w:type="dxa"/>
          </w:tcPr>
          <w:p>
            <w:pPr>
              <w:pStyle w:val="CeldaAPA"/>
              <w:jc w:val="center"/>
            </w:pPr>
            <w:r>
              <w:rPr>
                <w:bCs/>
                <w:b/>
              </w:rPr>
              <w:t xml:space="preserve">H</w:t>
            </w:r>
          </w:p>
        </w:tc>
        <w:tc>
          <w:tcPr>
            <w:tcW w:w="1550" w:type="dxa"/>
          </w:tcPr>
          <w:p>
            <w:pPr>
              <w:pStyle w:val="CeldaAPA"/>
              <w:jc w:val="left"/>
            </w:pPr>
            <w:r>
              <w:rPr/>
              <w:t xml:space="preserve">C.2-C; RC y SU</w:t>
            </w:r>
          </w:p>
        </w:tc>
      </w:tr>
      <w:tr>
        <w:tc>
          <w:tcPr>
            <w:tcW w:w="666" w:type="dxa"/>
          </w:tcPr>
          <w:p>
            <w:pPr>
              <w:pStyle w:val="CeldaAPA"/>
              <w:jc w:val="left"/>
            </w:pPr>
            <w:r>
              <w:rPr/>
              <w:t xml:space="preserve">7</w:t>
            </w:r>
          </w:p>
        </w:tc>
        <w:tc>
          <w:tcPr>
            <w:tcW w:w="2076" w:type="dxa"/>
          </w:tcPr>
          <w:p>
            <w:pPr>
              <w:pStyle w:val="CeldaAPA"/>
              <w:jc w:val="left"/>
            </w:pPr>
            <w:r>
              <w:rPr/>
              <w:t xml:space="preserve">Instalaciones embebidas</w:t>
            </w:r>
          </w:p>
        </w:tc>
        <w:tc>
          <w:tcPr>
            <w:tcW w:w="1854" w:type="dxa"/>
          </w:tcPr>
          <w:p>
            <w:pPr>
              <w:pStyle w:val="CeldaAPA"/>
              <w:jc w:val="left"/>
            </w:pPr>
            <w:r>
              <w:rPr/>
              <w:t xml:space="preserve">Ductos y cajas según los planos de instalaciones; sin cortar viguetas ni nervios; cajas y pasos obturados</w:t>
            </w:r>
          </w:p>
        </w:tc>
        <w:tc>
          <w:tcPr>
            <w:tcW w:w="2540" w:type="dxa"/>
          </w:tcPr>
          <w:p>
            <w:pPr>
              <w:pStyle w:val="CeldaAPA"/>
              <w:jc w:val="left"/>
            </w:pPr>
            <w:r>
              <w:rPr/>
              <w:t xml:space="preserve">Planos de instalaciones; ACI 318-25, 26.13.3.3</w:t>
            </w:r>
          </w:p>
        </w:tc>
        <w:tc>
          <w:tcPr>
            <w:tcW w:w="1572" w:type="dxa"/>
          </w:tcPr>
          <w:p>
            <w:pPr>
              <w:pStyle w:val="CeldaAPA"/>
              <w:jc w:val="left"/>
            </w:pPr>
            <w:r>
              <w:rPr/>
              <w:t xml:space="preserve">Cada paño</w:t>
            </w:r>
          </w:p>
        </w:tc>
        <w:tc>
          <w:tcPr>
            <w:tcW w:w="814" w:type="dxa"/>
          </w:tcPr>
          <w:p>
            <w:pPr>
              <w:pStyle w:val="CeldaAPA"/>
              <w:jc w:val="center"/>
            </w:pPr>
            <w:r>
              <w:rPr/>
              <w:t xml:space="preserve">W</w:t>
            </w:r>
          </w:p>
        </w:tc>
        <w:tc>
          <w:tcPr>
            <w:tcW w:w="1550" w:type="dxa"/>
          </w:tcPr>
          <w:p>
            <w:pPr>
              <w:pStyle w:val="CeldaAPA"/>
              <w:jc w:val="left"/>
            </w:pPr>
            <w:r>
              <w:rPr/>
              <w:t xml:space="preserve">C.2-D; RC</w:t>
            </w:r>
          </w:p>
        </w:tc>
      </w:tr>
      <w:tr>
        <w:tc>
          <w:tcPr>
            <w:tcW w:w="666" w:type="dxa"/>
          </w:tcPr>
          <w:p>
            <w:pPr>
              <w:pStyle w:val="CeldaAPA"/>
              <w:jc w:val="left"/>
            </w:pPr>
            <w:r>
              <w:rPr/>
              <w:t xml:space="preserve">8</w:t>
            </w:r>
          </w:p>
        </w:tc>
        <w:tc>
          <w:tcPr>
            <w:tcW w:w="2076" w:type="dxa"/>
          </w:tcPr>
          <w:p>
            <w:pPr>
              <w:pStyle w:val="CeldaAPA"/>
              <w:jc w:val="left"/>
            </w:pPr>
            <w:r>
              <w:rPr>
                <w:bCs/>
                <w:b/>
              </w:rPr>
              <w:t xml:space="preserve">Liberación para el vaciado</w:t>
            </w:r>
          </w:p>
        </w:tc>
        <w:tc>
          <w:tcPr>
            <w:tcW w:w="1854" w:type="dxa"/>
          </w:tcPr>
          <w:p>
            <w:pPr>
              <w:pStyle w:val="CeldaAPA"/>
              <w:jc w:val="left"/>
            </w:pPr>
            <w:r>
              <w:rPr/>
              <w:t xml:space="preserve">Puntos 2 a 7 conformes; superficie limpia, sin escombros, hielo ni agua estancada, y humedecida; dosificación aprobada; existencia de materiales para el vaciado completo; equipos (incluido vibrador de reserva) y personal de muestreo presentes; pronóstico sin lluvia; plan de tiempo frío activo si se prevé una temperatura menor de 4,4 </w:t>
            </w:r>
            <m:oMath>
              <m:sSup>
                <m:e>
                  <m:r>
                    <m:t>​</m:t>
                  </m:r>
                </m:e>
                <m:sup>
                  <m:r>
                    <m:rPr>
                      <m:sty m:val="p"/>
                    </m:rPr>
                    <m:t>∘</m:t>
                  </m:r>
                </m:sup>
              </m:sSup>
            </m:oMath>
            <w:r>
              <w:rPr/>
              <w:t xml:space="preserve">C</w:t>
            </w:r>
          </w:p>
        </w:tc>
        <w:tc>
          <w:tcPr>
            <w:tcW w:w="2540" w:type="dxa"/>
          </w:tcPr>
          <w:p>
            <w:pPr>
              <w:pStyle w:val="CeldaAPA"/>
              <w:jc w:val="left"/>
            </w:pPr>
            <w:r>
              <w:rPr/>
              <w:t xml:space="preserve">ACI 318-25, 26.4.4.1, 26.5.2.2 y 26.5.4.2; ISO 9001, 8.6</w:t>
            </w:r>
          </w:p>
        </w:tc>
        <w:tc>
          <w:tcPr>
            <w:tcW w:w="1572" w:type="dxa"/>
          </w:tcPr>
          <w:p>
            <w:pPr>
              <w:pStyle w:val="CeldaAPA"/>
              <w:jc w:val="left"/>
            </w:pPr>
            <w:r>
              <w:rPr/>
              <w:t xml:space="preserve">Cada vaciado</w:t>
            </w:r>
          </w:p>
        </w:tc>
        <w:tc>
          <w:tcPr>
            <w:tcW w:w="814" w:type="dxa"/>
          </w:tcPr>
          <w:p>
            <w:pPr>
              <w:pStyle w:val="CeldaAPA"/>
              <w:jc w:val="center"/>
            </w:pPr>
            <w:r>
              <w:rPr>
                <w:bCs/>
                <w:b/>
              </w:rPr>
              <w:t xml:space="preserve">H</w:t>
            </w:r>
          </w:p>
        </w:tc>
        <w:tc>
          <w:tcPr>
            <w:tcW w:w="1550" w:type="dxa"/>
          </w:tcPr>
          <w:p>
            <w:pPr>
              <w:pStyle w:val="CeldaAPA"/>
              <w:jc w:val="left"/>
            </w:pPr>
            <w:r>
              <w:rPr/>
              <w:t xml:space="preserve">C.2-E; SU y Libro de Órdenes</w:t>
            </w:r>
          </w:p>
        </w:tc>
      </w:tr>
      <w:tr>
        <w:tc>
          <w:tcPr>
            <w:tcW w:w="666" w:type="dxa"/>
          </w:tcPr>
          <w:p>
            <w:pPr>
              <w:pStyle w:val="CeldaAPA"/>
              <w:jc w:val="left"/>
            </w:pPr>
            <w:r>
              <w:rPr/>
              <w:t xml:space="preserve">9</w:t>
            </w:r>
          </w:p>
        </w:tc>
        <w:tc>
          <w:tcPr>
            <w:tcW w:w="2076" w:type="dxa"/>
          </w:tcPr>
          <w:p>
            <w:pPr>
              <w:pStyle w:val="CeldaAPA"/>
              <w:jc w:val="left"/>
            </w:pPr>
            <w:r>
              <w:rPr/>
              <w:t xml:space="preserve">Hormigón fresco y vaciado</w:t>
            </w:r>
          </w:p>
        </w:tc>
        <w:tc>
          <w:tcPr>
            <w:tcW w:w="1854" w:type="dxa"/>
          </w:tcPr>
          <w:p>
            <w:pPr>
              <w:pStyle w:val="CeldaAPA"/>
              <w:jc w:val="left"/>
            </w:pPr>
            <w:r>
              <w:rPr/>
              <w:t xml:space="preserve">Asentamiento dentro del rango de la dosificación aprobada; temperatura del hormigón registrada; agua de amasado a más de 5 </w:t>
            </w:r>
            <m:oMath>
              <m:sSup>
                <m:e>
                  <m:r>
                    <m:t>​</m:t>
                  </m:r>
                </m:e>
                <m:sup>
                  <m:r>
                    <m:rPr>
                      <m:sty m:val="p"/>
                    </m:rPr>
                    <m:t>∘</m:t>
                  </m:r>
                </m:sup>
              </m:sSup>
            </m:oMath>
            <w:r>
              <w:rPr/>
              <w:t xml:space="preserve">C; vaciado por franjas, continuo hasta completar el paño o la junta prevista, sin juntas frías; vibrado; tránsito de carretillas y personal sobre pasarelas, sin pisar la parrilla ni el EPS</w:t>
            </w:r>
          </w:p>
        </w:tc>
        <w:tc>
          <w:tcPr>
            <w:tcW w:w="2540" w:type="dxa"/>
          </w:tcPr>
          <w:p>
            <w:pPr>
              <w:pStyle w:val="CeldaAPA"/>
              <w:jc w:val="left"/>
            </w:pPr>
            <w:r>
              <w:rPr/>
              <w:t xml:space="preserve">ASTM C143; ET</w:t>
            </w:r>
            <w:r>
              <w:rPr/>
              <w:t xml:space="preserve"> </w:t>
            </w:r>
            <w:r>
              <w:rPr/>
              <w:t xml:space="preserve">(UATF, s. f.-a, pp. 2–3)</w:t>
            </w:r>
            <w:r>
              <w:rPr/>
              <w:t xml:space="preserve">; ACI 318-25, 26.5.2.2</w:t>
            </w:r>
          </w:p>
        </w:tc>
        <w:tc>
          <w:tcPr>
            <w:tcW w:w="1572" w:type="dxa"/>
          </w:tcPr>
          <w:p>
            <w:pPr>
              <w:pStyle w:val="CeldaAPA"/>
              <w:jc w:val="left"/>
            </w:pPr>
            <w:r>
              <w:rPr/>
              <w:t xml:space="preserve">Cada pastón muestreado; continuo</w:t>
            </w:r>
          </w:p>
        </w:tc>
        <w:tc>
          <w:tcPr>
            <w:tcW w:w="814" w:type="dxa"/>
          </w:tcPr>
          <w:p>
            <w:pPr>
              <w:pStyle w:val="CeldaAPA"/>
              <w:jc w:val="center"/>
            </w:pPr>
            <w:r>
              <w:rPr/>
              <w:t xml:space="preserve">W</w:t>
            </w:r>
          </w:p>
        </w:tc>
        <w:tc>
          <w:tcPr>
            <w:tcW w:w="1550" w:type="dxa"/>
          </w:tcPr>
          <w:p>
            <w:pPr>
              <w:pStyle w:val="CeldaAPA"/>
              <w:jc w:val="left"/>
            </w:pPr>
            <w:r>
              <w:rPr/>
              <w:t xml:space="preserve">C.2-E; RC</w:t>
            </w:r>
          </w:p>
        </w:tc>
      </w:tr>
      <w:tr>
        <w:tc>
          <w:tcPr>
            <w:tcW w:w="666" w:type="dxa"/>
          </w:tcPr>
          <w:p>
            <w:pPr>
              <w:pStyle w:val="CeldaAPA"/>
              <w:jc w:val="left"/>
            </w:pPr>
            <w:r>
              <w:rPr/>
              <w:t xml:space="preserve">10</w:t>
            </w:r>
          </w:p>
        </w:tc>
        <w:tc>
          <w:tcPr>
            <w:tcW w:w="2076" w:type="dxa"/>
          </w:tcPr>
          <w:p>
            <w:pPr>
              <w:pStyle w:val="CeldaAPA"/>
              <w:jc w:val="left"/>
            </w:pPr>
            <w:r>
              <w:rPr/>
              <w:t xml:space="preserve">Muestreo y probetas</w:t>
            </w:r>
          </w:p>
        </w:tc>
        <w:tc>
          <w:tcPr>
            <w:tcW w:w="1854" w:type="dxa"/>
          </w:tcPr>
          <w:p>
            <w:pPr>
              <w:pStyle w:val="CeldaAPA"/>
              <w:jc w:val="left"/>
            </w:pPr>
            <w:r>
              <w:rPr/>
              <w:t xml:space="preserve">Muestras de pastones elegidos al azar en el número de la Tabla 40; cada ensayo con dos cilindros de 15 </w:t>
            </w:r>
            <m:oMath>
              <m:r>
                <m:rPr>
                  <m:sty m:val="p"/>
                </m:rPr>
                <m:t>×</m:t>
              </m:r>
            </m:oMath>
            <w:r>
              <w:rPr/>
              <w:t xml:space="preserve"> 30 cm a 28 días; probetas codificadas por paño y vaciado; fotografía fechada de la toma de muestras</w:t>
            </w:r>
          </w:p>
        </w:tc>
        <w:tc>
          <w:tcPr>
            <w:tcW w:w="2540" w:type="dxa"/>
          </w:tcPr>
          <w:p>
            <w:pPr>
              <w:pStyle w:val="CeldaAPA"/>
              <w:jc w:val="left"/>
            </w:pPr>
            <w:r>
              <w:rPr/>
              <w:t xml:space="preserve">ACI 318-25, 26.12.1.1 y 26.12.2.1; ASTM C172 y C31</w:t>
            </w:r>
          </w:p>
        </w:tc>
        <w:tc>
          <w:tcPr>
            <w:tcW w:w="1572" w:type="dxa"/>
          </w:tcPr>
          <w:p>
            <w:pPr>
              <w:pStyle w:val="CeldaAPA"/>
              <w:jc w:val="left"/>
            </w:pPr>
            <w:r>
              <w:rPr/>
              <w:t xml:space="preserve">Cada vaciado</w:t>
            </w:r>
          </w:p>
        </w:tc>
        <w:tc>
          <w:tcPr>
            <w:tcW w:w="814" w:type="dxa"/>
          </w:tcPr>
          <w:p>
            <w:pPr>
              <w:pStyle w:val="CeldaAPA"/>
              <w:jc w:val="center"/>
            </w:pPr>
            <w:r>
              <w:rPr/>
              <w:t xml:space="preserve">W</w:t>
            </w:r>
          </w:p>
        </w:tc>
        <w:tc>
          <w:tcPr>
            <w:tcW w:w="1550" w:type="dxa"/>
          </w:tcPr>
          <w:p>
            <w:pPr>
              <w:pStyle w:val="CeldaAPA"/>
              <w:jc w:val="left"/>
            </w:pPr>
            <w:r>
              <w:rPr/>
              <w:t xml:space="preserve">Planilla de muestreo; LB</w:t>
            </w:r>
          </w:p>
        </w:tc>
      </w:tr>
      <w:tr>
        <w:tc>
          <w:tcPr>
            <w:tcW w:w="666" w:type="dxa"/>
          </w:tcPr>
          <w:p>
            <w:pPr>
              <w:pStyle w:val="CeldaAPA"/>
              <w:jc w:val="left"/>
            </w:pPr>
            <w:r>
              <w:rPr/>
              <w:t xml:space="preserve">11</w:t>
            </w:r>
          </w:p>
        </w:tc>
        <w:tc>
          <w:tcPr>
            <w:tcW w:w="2076" w:type="dxa"/>
          </w:tcPr>
          <w:p>
            <w:pPr>
              <w:pStyle w:val="CeldaAPA"/>
              <w:jc w:val="left"/>
            </w:pPr>
            <w:r>
              <w:rPr/>
              <w:t xml:space="preserve">Curado y protección</w:t>
            </w:r>
          </w:p>
        </w:tc>
        <w:tc>
          <w:tcPr>
            <w:tcW w:w="1854" w:type="dxa"/>
          </w:tcPr>
          <w:p>
            <w:pPr>
              <w:pStyle w:val="CeldaAPA"/>
              <w:jc w:val="left"/>
            </w:pPr>
            <w:r>
              <w:rPr/>
              <w:t xml:space="preserve">Hormigón húmedo al menos 7 días con temperatura</w:t>
            </w:r>
            <w:r>
              <w:rPr/>
              <w:t xml:space="preserve"> </w:t>
            </w:r>
            <m:oMath>
              <m:r>
                <m:rPr>
                  <m:sty m:val="p"/>
                </m:rPr>
                <m:t>≥</m:t>
              </m:r>
              <m:r>
                <m:t>10</m:t>
              </m:r>
            </m:oMath>
            <w:r>
              <w:rPr/>
              <w:t xml:space="preserve"> </w:t>
            </w:r>
            <m:oMath>
              <m:sSup>
                <m:e>
                  <m:r>
                    <m:t>​</m:t>
                  </m:r>
                </m:e>
                <m:sup>
                  <m:r>
                    <m:rPr>
                      <m:sty m:val="p"/>
                    </m:rPr>
                    <m:t>∘</m:t>
                  </m:r>
                </m:sup>
              </m:sSup>
            </m:oMath>
            <w:r>
              <w:rPr/>
              <w:t xml:space="preserve">C (o las alternativas del código); protección contra lluvia y helada; registro diario del curado y de las temperaturas, con fotografía fechada</w:t>
            </w:r>
          </w:p>
        </w:tc>
        <w:tc>
          <w:tcPr>
            <w:tcW w:w="2540" w:type="dxa"/>
          </w:tcPr>
          <w:p>
            <w:pPr>
              <w:pStyle w:val="CeldaAPA"/>
              <w:jc w:val="left"/>
            </w:pPr>
            <w:r>
              <w:rPr/>
              <w:t xml:space="preserve">ACI 318-25, 26.5.3.2 y 26.13.2.2</w:t>
            </w:r>
          </w:p>
        </w:tc>
        <w:tc>
          <w:tcPr>
            <w:tcW w:w="1572" w:type="dxa"/>
          </w:tcPr>
          <w:p>
            <w:pPr>
              <w:pStyle w:val="CeldaAPA"/>
              <w:jc w:val="left"/>
            </w:pPr>
            <w:r>
              <w:rPr/>
              <w:t xml:space="preserve">Diaria durante el curado</w:t>
            </w:r>
          </w:p>
        </w:tc>
        <w:tc>
          <w:tcPr>
            <w:tcW w:w="814" w:type="dxa"/>
          </w:tcPr>
          <w:p>
            <w:pPr>
              <w:pStyle w:val="CeldaAPA"/>
              <w:jc w:val="center"/>
            </w:pPr>
            <w:r>
              <w:rPr/>
              <w:t xml:space="preserve">W</w:t>
            </w:r>
          </w:p>
        </w:tc>
        <w:tc>
          <w:tcPr>
            <w:tcW w:w="1550" w:type="dxa"/>
          </w:tcPr>
          <w:p>
            <w:pPr>
              <w:pStyle w:val="CeldaAPA"/>
              <w:jc w:val="left"/>
            </w:pPr>
            <w:r>
              <w:rPr/>
              <w:t xml:space="preserve">C.2-F; CA y RC</w:t>
            </w:r>
          </w:p>
        </w:tc>
      </w:tr>
      <w:tr>
        <w:tc>
          <w:tcPr>
            <w:tcW w:w="666" w:type="dxa"/>
          </w:tcPr>
          <w:p>
            <w:pPr>
              <w:pStyle w:val="CeldaAPA"/>
              <w:jc w:val="left"/>
            </w:pPr>
            <w:r>
              <w:rPr/>
              <w:t xml:space="preserve">12</w:t>
            </w:r>
          </w:p>
        </w:tc>
        <w:tc>
          <w:tcPr>
            <w:tcW w:w="2076" w:type="dxa"/>
          </w:tcPr>
          <w:p>
            <w:pPr>
              <w:pStyle w:val="CeldaAPA"/>
              <w:jc w:val="left"/>
            </w:pPr>
            <w:r>
              <w:rPr/>
              <w:t xml:space="preserve">Resistencia a compresión</w:t>
            </w:r>
          </w:p>
        </w:tc>
        <w:tc>
          <w:tcPr>
            <w:tcW w:w="1854" w:type="dxa"/>
          </w:tcPr>
          <w:p>
            <w:pPr>
              <w:pStyle w:val="CeldaAPA"/>
              <w:jc w:val="left"/>
            </w:pPr>
            <w:r>
              <w:rPr/>
              <w:t xml:space="preserve">Todo promedio de tres ensayos consecutivos</w:t>
            </w:r>
            <w:r>
              <w:rPr/>
              <w:t xml:space="preserve"> </w:t>
            </w:r>
            <m:oMath>
              <m:r>
                <m:rPr>
                  <m:sty m:val="p"/>
                </m:rPr>
                <m:t>≥</m:t>
              </m:r>
              <m:r>
                <m:t>f</m:t>
              </m:r>
              <m:sSub>
                <m:e>
                  <m:r>
                    <m:rPr>
                      <m:sty m:val="p"/>
                    </m:rPr>
                    <m:t>′</m:t>
                  </m:r>
                </m:e>
                <m:sub>
                  <m:r>
                    <m:t>c</m:t>
                  </m:r>
                </m:sub>
              </m:sSub>
            </m:oMath>
            <w:r>
              <w:rPr/>
              <w:t xml:space="preserve">; ningún ensayo menor que</w:t>
            </w:r>
            <w:r>
              <w:rPr/>
              <w:t xml:space="preserve"> </w:t>
            </w:r>
            <m:oMath>
              <m:r>
                <m:t>f</m:t>
              </m:r>
              <m:sSub>
                <m:e>
                  <m:r>
                    <m:rPr>
                      <m:sty m:val="p"/>
                    </m:rPr>
                    <m:t>′</m:t>
                  </m:r>
                </m:e>
                <m:sub>
                  <m:r>
                    <m:t>c</m:t>
                  </m:r>
                </m:sub>
              </m:sSub>
              <m:r>
                <m:rPr>
                  <m:sty m:val="p"/>
                </m:rPr>
                <m:t>−</m:t>
              </m:r>
              <m:r>
                <m:t>3</m:t>
              </m:r>
              <m:r>
                <m:rPr>
                  <m:sty m:val="p"/>
                </m:rPr>
                <m:t>,</m:t>
              </m:r>
              <m:r>
                <m:t>45</m:t>
              </m:r>
            </m:oMath>
            <w:r>
              <w:rPr/>
              <w:t xml:space="preserve"> MPa (</w:t>
            </w:r>
            <m:oMath>
              <m:r>
                <m:rPr>
                  <m:sty m:val="p"/>
                </m:rPr>
                <m:t>≈</m:t>
              </m:r>
            </m:oMath>
            <w:r>
              <w:rPr/>
              <w:t xml:space="preserve"> 215 kg/cm</w:t>
            </w:r>
            <w:r>
              <w:rPr>
                <w:vertAlign w:val="superscript"/>
              </w:rPr>
              <w:t xml:space="preserve">2</w:t>
            </w:r>
            <w:r>
              <w:rPr/>
              <w:t xml:space="preserve"> </w:t>
            </w:r>
            <w:r>
              <w:rPr/>
              <w:t xml:space="preserve">para el H25); ensayos a 28 días, sin resistencias «proyectadas»; el paño se certifica para pago con sus ensayos conformes</w:t>
            </w:r>
          </w:p>
        </w:tc>
        <w:tc>
          <w:tcPr>
            <w:tcW w:w="2540" w:type="dxa"/>
          </w:tcPr>
          <w:p>
            <w:pPr>
              <w:pStyle w:val="CeldaAPA"/>
              <w:jc w:val="left"/>
            </w:pPr>
            <w:r>
              <w:rPr/>
              <w:t xml:space="preserve">ACI 318-25, 26.12.3.1; ASTM C39</w:t>
            </w:r>
          </w:p>
        </w:tc>
        <w:tc>
          <w:tcPr>
            <w:tcW w:w="1572" w:type="dxa"/>
          </w:tcPr>
          <w:p>
            <w:pPr>
              <w:pStyle w:val="CeldaAPA"/>
              <w:jc w:val="left"/>
            </w:pPr>
            <w:r>
              <w:rPr/>
              <w:t xml:space="preserve">Cada ensayo</w:t>
            </w:r>
          </w:p>
        </w:tc>
        <w:tc>
          <w:tcPr>
            <w:tcW w:w="814" w:type="dxa"/>
          </w:tcPr>
          <w:p>
            <w:pPr>
              <w:pStyle w:val="CeldaAPA"/>
              <w:jc w:val="center"/>
            </w:pPr>
            <w:r>
              <w:rPr/>
              <w:t xml:space="preserve">R</w:t>
            </w:r>
          </w:p>
        </w:tc>
        <w:tc>
          <w:tcPr>
            <w:tcW w:w="1550" w:type="dxa"/>
          </w:tcPr>
          <w:p>
            <w:pPr>
              <w:pStyle w:val="CeldaAPA"/>
              <w:jc w:val="left"/>
            </w:pPr>
            <w:r>
              <w:rPr/>
              <w:t xml:space="preserve">Informe del laboratorio; SU</w:t>
            </w:r>
          </w:p>
        </w:tc>
      </w:tr>
      <w:tr>
        <w:tc>
          <w:tcPr>
            <w:tcW w:w="666" w:type="dxa"/>
          </w:tcPr>
          <w:p>
            <w:pPr>
              <w:pStyle w:val="CeldaAPA"/>
              <w:jc w:val="left"/>
            </w:pPr>
            <w:r>
              <w:rPr/>
              <w:t xml:space="preserve">13</w:t>
            </w:r>
          </w:p>
        </w:tc>
        <w:tc>
          <w:tcPr>
            <w:tcW w:w="2076" w:type="dxa"/>
          </w:tcPr>
          <w:p>
            <w:pPr>
              <w:pStyle w:val="CeldaAPA"/>
              <w:jc w:val="left"/>
            </w:pPr>
            <w:r>
              <w:rPr>
                <w:bCs/>
                <w:b/>
              </w:rPr>
              <w:t xml:space="preserve">Retiro de puntales</w:t>
            </w:r>
          </w:p>
        </w:tc>
        <w:tc>
          <w:tcPr>
            <w:tcW w:w="1854" w:type="dxa"/>
          </w:tcPr>
          <w:p>
            <w:pPr>
              <w:pStyle w:val="CeldaAPA"/>
              <w:jc w:val="left"/>
            </w:pPr>
            <w:r>
              <w:rPr/>
              <w:t xml:space="preserve">Plazo mínimo de 15 días para luces menores de 5 m y de 21 días para luces mayores; si la Supervisión lo exige, cilindros curados en obra con resistencia</w:t>
            </w:r>
            <w:r>
              <w:rPr/>
              <w:t xml:space="preserve"> </w:t>
            </w:r>
            <m:oMath>
              <m:r>
                <m:rPr>
                  <m:sty m:val="p"/>
                </m:rPr>
                <m:t>≥</m:t>
              </m:r>
            </m:oMath>
            <w:r>
              <w:rPr/>
              <w:t xml:space="preserve"> </w:t>
            </w:r>
            <w:r>
              <w:rPr/>
              <w:t xml:space="preserve">la requerida para la etapa; sin cargas de construcción excesivas</w:t>
            </w:r>
          </w:p>
        </w:tc>
        <w:tc>
          <w:tcPr>
            <w:tcW w:w="2540" w:type="dxa"/>
          </w:tcPr>
          <w:p>
            <w:pPr>
              <w:pStyle w:val="CeldaAPA"/>
              <w:jc w:val="left"/>
            </w:pPr>
            <w:r>
              <w:rPr/>
              <w:t xml:space="preserve">Alcón Aranda (2009, p. 136)</w:t>
            </w:r>
            <w:r>
              <w:rPr/>
              <w:t xml:space="preserve">; ACI 318-25, 26.11.2.1 y 26.12.4.1</w:t>
            </w:r>
          </w:p>
        </w:tc>
        <w:tc>
          <w:tcPr>
            <w:tcW w:w="1572" w:type="dxa"/>
          </w:tcPr>
          <w:p>
            <w:pPr>
              <w:pStyle w:val="CeldaAPA"/>
              <w:jc w:val="left"/>
            </w:pPr>
            <w:r>
              <w:rPr/>
              <w:t xml:space="preserve">Cada paño</w:t>
            </w:r>
          </w:p>
        </w:tc>
        <w:tc>
          <w:tcPr>
            <w:tcW w:w="814" w:type="dxa"/>
          </w:tcPr>
          <w:p>
            <w:pPr>
              <w:pStyle w:val="CeldaAPA"/>
              <w:jc w:val="center"/>
            </w:pPr>
            <w:r>
              <w:rPr>
                <w:bCs/>
                <w:b/>
              </w:rPr>
              <w:t xml:space="preserve">H</w:t>
            </w:r>
          </w:p>
        </w:tc>
        <w:tc>
          <w:tcPr>
            <w:tcW w:w="1550" w:type="dxa"/>
          </w:tcPr>
          <w:p>
            <w:pPr>
              <w:pStyle w:val="CeldaAPA"/>
              <w:jc w:val="left"/>
            </w:pPr>
            <w:r>
              <w:rPr/>
              <w:t xml:space="preserve">C.2-G; RC y SU</w:t>
            </w:r>
          </w:p>
        </w:tc>
      </w:tr>
      <w:tr>
        <w:tc>
          <w:tcPr>
            <w:tcW w:w="666" w:type="dxa"/>
            <w:tcBorders>
              <w:bottom w:val="single" w:sz="8" w:space="0" w:color="000000"/>
            </w:tcBorders>
          </w:tcPr>
          <w:p>
            <w:pPr>
              <w:pStyle w:val="CeldaAPA"/>
              <w:jc w:val="left"/>
            </w:pPr>
            <w:r>
              <w:rPr/>
              <w:t xml:space="preserve">14</w:t>
            </w:r>
          </w:p>
        </w:tc>
        <w:tc>
          <w:tcPr>
            <w:tcW w:w="2076" w:type="dxa"/>
            <w:tcBorders>
              <w:bottom w:val="single" w:sz="8" w:space="0" w:color="000000"/>
            </w:tcBorders>
          </w:tcPr>
          <w:p>
            <w:pPr>
              <w:pStyle w:val="CeldaAPA"/>
              <w:jc w:val="left"/>
            </w:pPr>
            <w:r>
              <w:rPr/>
              <w:t xml:space="preserve">Consumos y conciliación</w:t>
            </w:r>
          </w:p>
        </w:tc>
        <w:tc>
          <w:tcPr>
            <w:tcW w:w="1854" w:type="dxa"/>
            <w:tcBorders>
              <w:bottom w:val="single" w:sz="8" w:space="0" w:color="000000"/>
            </w:tcBorders>
          </w:tcPr>
          <w:p>
            <w:pPr>
              <w:pStyle w:val="CeldaAPA"/>
              <w:jc w:val="left"/>
            </w:pPr>
            <w:r>
              <w:rPr/>
              <w:t xml:space="preserve">Cantidades despachadas, devueltas, colocadas y medidas por paño;</w:t>
            </w:r>
            <w:r>
              <w:rPr/>
              <w:t xml:space="preserve"> </w:t>
            </w:r>
            <m:oMath>
              <m:r>
                <m:t>I</m:t>
              </m:r>
              <m:r>
                <m:t>D</m:t>
              </m:r>
              <m:r>
                <m:t>M</m:t>
              </m:r>
            </m:oMath>
            <w:r>
              <w:rPr/>
              <w:t xml:space="preserve"> </w:t>
            </w:r>
            <w:r>
              <w:rPr/>
              <w:t xml:space="preserve">dentro de la meta; diferencias dentro de la tolerancia</w:t>
            </w:r>
          </w:p>
        </w:tc>
        <w:tc>
          <w:tcPr>
            <w:tcW w:w="2540" w:type="dxa"/>
            <w:tcBorders>
              <w:bottom w:val="single" w:sz="8" w:space="0" w:color="000000"/>
            </w:tcBorders>
          </w:tcPr>
          <w:p>
            <w:pPr>
              <w:pStyle w:val="CeldaAPA"/>
              <w:jc w:val="left"/>
            </w:pPr>
            <w:r>
              <w:rPr/>
              <w:t xml:space="preserve">PCM-03 y PCM-04</w:t>
            </w:r>
          </w:p>
        </w:tc>
        <w:tc>
          <w:tcPr>
            <w:tcW w:w="1572" w:type="dxa"/>
            <w:tcBorders>
              <w:bottom w:val="single" w:sz="8" w:space="0" w:color="000000"/>
            </w:tcBorders>
          </w:tcPr>
          <w:p>
            <w:pPr>
              <w:pStyle w:val="CeldaAPA"/>
              <w:jc w:val="left"/>
            </w:pPr>
            <w:r>
              <w:rPr/>
              <w:t xml:space="preserve">Cada paño y planilla</w:t>
            </w:r>
          </w:p>
        </w:tc>
        <w:tc>
          <w:tcPr>
            <w:tcW w:w="814" w:type="dxa"/>
            <w:tcBorders>
              <w:bottom w:val="single" w:sz="8" w:space="0" w:color="000000"/>
            </w:tcBorders>
          </w:tcPr>
          <w:p>
            <w:pPr>
              <w:pStyle w:val="CeldaAPA"/>
              <w:jc w:val="center"/>
            </w:pPr>
            <w:r>
              <w:rPr/>
              <w:t xml:space="preserve">R</w:t>
            </w:r>
          </w:p>
        </w:tc>
        <w:tc>
          <w:tcPr>
            <w:tcW w:w="1550" w:type="dxa"/>
            <w:tcBorders>
              <w:bottom w:val="single" w:sz="8" w:space="0" w:color="000000"/>
            </w:tcBorders>
          </w:tcPr>
          <w:p>
            <w:pPr>
              <w:pStyle w:val="CeldaAPA"/>
              <w:jc w:val="left"/>
            </w:pPr>
            <w:r>
              <w:rPr/>
              <w:t xml:space="preserve">C.4; AL y RC</w:t>
            </w:r>
          </w:p>
        </w:tc>
      </w:tr>
    </w:tbl>
    <w:p>
      <w:pPr>
        <w:pStyle w:val="NotaAPA"/>
      </w:pPr>
      <w:r>
        <w:rPr>
          <w:iCs/>
          <w:i/>
        </w:rPr>
        <w:t xml:space="preserve">Nota.</w:t>
      </w:r>
      <w:r>
        <w:t xml:space="preserve"> </w:t>
      </w:r>
      <w:r>
        <w:t xml:space="preserve">Elaboración propia con base en las especificaciones técnicas</w:t>
      </w:r>
      <w:r>
        <w:t xml:space="preserve"> </w:t>
      </w:r>
      <w:r>
        <w:t xml:space="preserve">(UATF, s. f.-a)</w:t>
      </w:r>
      <w:r>
        <w:t xml:space="preserve">, el certificado del fabricante</w:t>
      </w:r>
      <w:r>
        <w:t xml:space="preserve"> </w:t>
      </w:r>
      <w:r>
        <w:t xml:space="preserve">(PRETENSA, 2025)</w:t>
      </w:r>
      <w:r>
        <w:t xml:space="preserve">, el código ACI 318-25</w:t>
      </w:r>
      <w:r>
        <w:t xml:space="preserve"> </w:t>
      </w:r>
      <w:r>
        <w:t xml:space="preserve">(ACI Committee 318, 2025)</w:t>
      </w:r>
      <w:r>
        <w:t xml:space="preserve"> </w:t>
      </w:r>
      <w:r>
        <w:t xml:space="preserve">y las fuentes indicadas. H: punto de espera; W: punto de aviso; R: revisión de registros. AL: Almacenero; RC: Residente y encargado de calidad; CA: Capataz; SU: Supervisor; LB: laboratorio. Las tolerancias del EPS se toman de la ficha técnica de otro fabricante nacional mientras el proveedor no declare las suyas. Los criterios de recepción de viguetas recogidos por</w:t>
      </w:r>
      <w:r>
        <w:t xml:space="preserve"> </w:t>
      </w:r>
      <w:r>
        <w:t xml:space="preserve">Capcha Canaza (2016, pp. 89–92)</w:t>
      </w:r>
      <w:r>
        <w:t xml:space="preserve"> </w:t>
      </w:r>
      <w:r>
        <w:t xml:space="preserve">se basan en la edición de 2005 de la NB 997.</w:t>
      </w:r>
      <w:r>
        <w:t xml:space="preserve"> </w:t>
      </w:r>
      <w:r>
        <w:rPr>
          <w:rStyle w:val="Pendiente"/>
          <w:bCs/>
          <w:b/>
        </w:rPr>
        <w:t xml:space="preserve">[Pendiente:</w:t>
      </w:r>
      <w:r>
        <w:rPr>
          <w:rStyle w:val="Pendiente"/>
        </w:rPr>
        <w:t xml:space="preserve"> </w:t>
      </w:r>
      <w:r>
        <w:rPr>
          <w:rStyle w:val="Pendiente"/>
        </w:rPr>
        <w:t xml:space="preserve">verificar tolerancias, defectos y criterio de rechazo del lote con la NB 997:2016 y el porcentaje mínimo de masa con la edición vigente de la norma de la barra.</w:t>
      </w:r>
      <w:r>
        <w:rPr>
          <w:rStyle w:val="Pendiente"/>
          <w:bCs/>
          <w:b/>
        </w:rPr>
        <w:t xml:space="preserve">]</w:t>
      </w:r>
      <w:r>
        <w:t xml:space="preserve"> </w:t>
      </w:r>
      <w:r>
        <w:rPr>
          <w:rStyle w:val="Pendiente"/>
          <w:bCs/>
          <w:b/>
        </w:rPr>
        <w:t xml:space="preserve">[Pendiente:</w:t>
      </w:r>
      <w:r>
        <w:rPr>
          <w:rStyle w:val="Pendiente"/>
        </w:rPr>
        <w:t xml:space="preserve"> </w:t>
      </w:r>
      <w:r>
        <w:rPr>
          <w:rStyle w:val="Pendiente"/>
        </w:rPr>
        <w:t xml:space="preserve">incorporar las instrucciones de montaje del fabricante de viguetas (separación de soleras, contraflecha y plazos de desapuntalamiento) y verificar que no contradigan estos criterios.</w:t>
      </w:r>
      <w:r>
        <w:rPr>
          <w:rStyle w:val="Pendiente"/>
          <w:bCs/>
          <w:b/>
        </w:rPr>
        <w:t xml:space="preserve">]</w:t>
      </w:r>
    </w:p>
    <w:p>
      <w:pPr>
        <w:pStyle w:val="Heading4"/>
      </w:pPr>
      <w:bookmarkStart w:id="168" w:name="tit119"/>
      <w:r>
        <w:t xml:space="preserve">2.6.6.4. PCM-01: recepción y aceptación de materiales.</w:t>
      </w:r>
      <w:bookmarkEnd w:id="168"/>
    </w:p>
    <w:p>
      <w:pPr>
        <w:pStyle w:val="FirstParagraph"/>
      </w:pPr>
      <w:r>
        <w:rPr>
          <w:iCs/>
          <w:i/>
        </w:rPr>
        <w:t xml:space="preserve">Objetivo:</w:t>
      </w:r>
      <w:r>
        <w:t xml:space="preserve"> </w:t>
      </w:r>
      <w:r>
        <w:t xml:space="preserve">asegurar que solo se incorporen a la losa materiales conformes, con evidencia obtenida</w:t>
      </w:r>
      <w:r>
        <w:t xml:space="preserve"> </w:t>
      </w:r>
      <w:r>
        <w:rPr>
          <w:iCs/>
          <w:i/>
        </w:rPr>
        <w:t xml:space="preserve">antes</w:t>
      </w:r>
      <w:r>
        <w:t xml:space="preserve"> </w:t>
      </w:r>
      <w:r>
        <w:t xml:space="preserve">de su colocación (B2). En la primera losa, los certificados de viguetas y de EPS se emitieron cuando la losa ya se armaba y no hubo inspección de recepción registrada; este procedimiento invierte ese orden.</w:t>
      </w:r>
      <w:r>
        <w:t xml:space="preserve"> </w:t>
      </w:r>
      <w:r>
        <w:rPr>
          <w:iCs/>
          <w:i/>
        </w:rPr>
        <w:t xml:space="preserve">Responsables:</w:t>
      </w:r>
      <w:r>
        <w:t xml:space="preserve"> </w:t>
      </w:r>
      <w:r>
        <w:t xml:space="preserve">el Almacenero recibe y cuenta; el encargado de calidad inspecciona y decide; la Supervisión puede presenciar la recepción y revisa los certificados, conforme a las cláusulas 26.6 y 26.9 del contrato</w:t>
      </w:r>
      <w:r>
        <w:t xml:space="preserve"> </w:t>
      </w:r>
      <w:r>
        <w:t xml:space="preserve">(UATF, 2025, p. 102)</w:t>
      </w:r>
      <w:r>
        <w:t xml:space="preserve">.</w:t>
      </w:r>
      <w:r>
        <w:t xml:space="preserve"> </w:t>
      </w:r>
      <w:r>
        <w:rPr>
          <w:iCs/>
          <w:i/>
        </w:rPr>
        <w:t xml:space="preserve">Pasos:</w:t>
      </w:r>
      <w:r>
        <w:t xml:space="preserve"> </w:t>
      </w:r>
      <w:r>
        <w:t xml:space="preserve">(1) la orden de compra indica material, norma, cantidad por paño o vaciado y los documentos exigidos (certificado firmado con lote y cantidad; longitudes por paño según el Plano 03; geometría aprobada del EPS; certificado por colada de cada diámetro de acero); (2) al llegar, se comparan remisión, factura, certificado y orden, y se cuenta o se cubica lo entregado; (3) se inspecciona según la Tabla 37; (4) se decide: aceptado, aceptado bajo concesión escrita de la Supervisión o rechazado (PCM-05); (5) el lote aceptado recibe una tarjeta con su código y entra al kardex (PCM-02); y (6) se completa y firma la ficha C.3 y se archivan los certificados.</w:t>
      </w:r>
      <w:r>
        <w:t xml:space="preserve"> </w:t>
      </w:r>
      <w:r>
        <w:t xml:space="preserve">Ningún material se coloca sin su ficha C.3 aceptada: es un punto de espera del proceso de abastecimiento.</w:t>
      </w:r>
    </w:p>
    <w:p>
      <w:pPr>
        <w:pStyle w:val="Caption"/>
      </w:pPr>
      <w:bookmarkStart w:id="1440" w:name="tab37"/>
      <w:r>
        <w:t xml:space="preserve"/>
      </w:r>
      <w:r>
        <w:rPr>
          <w:bCs/>
          <w:b/>
        </w:rPr>
        <w:t xml:space="preserve">Tabla 37</w:t>
      </w:r>
      <w:r>
        <w:br/>
      </w:r>
      <w:r>
        <w:rPr>
          <w:iCs/>
          <w:i/>
        </w:rPr>
        <w:t xml:space="preserve">Criterios de recepción y aceptación de materiales (PCM-01)</w:t>
      </w:r>
      <w:bookmarkEnd w:id="1440"/>
    </w:p>
    <w:tbl>
      <w:tblPr>
        <w:tblStyle w:val="Table"/>
        <w:tblW w:w="9361" w:type="dxa"/>
        <w:jc w:val="left"/>
        <w:tblLayout w:type="fixed"/>
        <w:tblCellMar>
          <w:top w:w="0" w:type="dxa"/>
          <w:left w:w="85" w:type="dxa"/>
          <w:bottom w:w="0" w:type="dxa"/>
          <w:right w:w="85" w:type="dxa"/>
        </w:tblCellMar>
        <w:tblLook w:firstRow="1" w:lastRow="0" w:firstColumn="0" w:lastColumn="0" w:noHBand="0" w:noVBand="0" w:val="0020"/>
      </w:tblPr>
      <w:tblGrid>
        <w:gridCol w:w="1725"/>
        <w:gridCol w:w="1763"/>
        <w:gridCol w:w="1755"/>
        <w:gridCol w:w="2540"/>
        <w:gridCol w:w="1578"/>
      </w:tblGrid>
      <w:tr>
        <w:trPr>
          <w:cantSplit/>
          <w:tblHeader w:val="true"/>
        </w:trPr>
        <w:tc>
          <w:tcPr>
            <w:tcW w:w="1725" w:type="dxa"/>
            <w:tcBorders>
              <w:top w:val="single" w:sz="8" w:space="0" w:color="000000"/>
              <w:bottom w:val="single" w:sz="4" w:space="0" w:color="000000"/>
            </w:tcBorders>
          </w:tcPr>
          <w:p>
            <w:pPr>
              <w:pStyle w:val="CeldaAPA"/>
              <w:jc w:val="center"/>
            </w:pPr>
            <w:r>
              <w:rPr>
                <w:bCs/>
                <w:b/>
              </w:rPr>
              <w:t xml:space="preserve">Material</w:t>
            </w:r>
          </w:p>
        </w:tc>
        <w:tc>
          <w:tcPr>
            <w:tcW w:w="1763" w:type="dxa"/>
            <w:tcBorders>
              <w:top w:val="single" w:sz="8" w:space="0" w:color="000000"/>
              <w:bottom w:val="single" w:sz="4" w:space="0" w:color="000000"/>
            </w:tcBorders>
          </w:tcPr>
          <w:p>
            <w:pPr>
              <w:pStyle w:val="CeldaAPA"/>
              <w:jc w:val="center"/>
            </w:pPr>
            <w:r>
              <w:rPr>
                <w:bCs/>
                <w:b/>
              </w:rPr>
              <w:t xml:space="preserve">Documento exigido</w:t>
            </w:r>
          </w:p>
        </w:tc>
        <w:tc>
          <w:tcPr>
            <w:tcW w:w="1755" w:type="dxa"/>
            <w:tcBorders>
              <w:top w:val="single" w:sz="8" w:space="0" w:color="000000"/>
              <w:bottom w:val="single" w:sz="4" w:space="0" w:color="000000"/>
            </w:tcBorders>
          </w:tcPr>
          <w:p>
            <w:pPr>
              <w:pStyle w:val="CeldaAPA"/>
              <w:jc w:val="center"/>
            </w:pPr>
            <w:r>
              <w:rPr>
                <w:bCs/>
                <w:b/>
              </w:rPr>
              <w:t xml:space="preserve">Verificación en obra y muestra</w:t>
            </w:r>
          </w:p>
        </w:tc>
        <w:tc>
          <w:tcPr>
            <w:tcW w:w="2540" w:type="dxa"/>
            <w:tcBorders>
              <w:top w:val="single" w:sz="8" w:space="0" w:color="000000"/>
              <w:bottom w:val="single" w:sz="4" w:space="0" w:color="000000"/>
            </w:tcBorders>
          </w:tcPr>
          <w:p>
            <w:pPr>
              <w:pStyle w:val="CeldaAPA"/>
              <w:jc w:val="center"/>
            </w:pPr>
            <w:r>
              <w:rPr>
                <w:bCs/>
                <w:b/>
              </w:rPr>
              <w:t xml:space="preserve">Criterio de aceptación</w:t>
            </w:r>
          </w:p>
        </w:tc>
        <w:tc>
          <w:tcPr>
            <w:tcW w:w="1578" w:type="dxa"/>
            <w:tcBorders>
              <w:top w:val="single" w:sz="8" w:space="0" w:color="000000"/>
              <w:bottom w:val="single" w:sz="4" w:space="0" w:color="000000"/>
            </w:tcBorders>
          </w:tcPr>
          <w:p>
            <w:pPr>
              <w:pStyle w:val="CeldaAPA"/>
              <w:jc w:val="center"/>
            </w:pPr>
            <w:r>
              <w:rPr>
                <w:bCs/>
                <w:b/>
              </w:rPr>
              <w:t xml:space="preserve">Si no cumple</w:t>
            </w:r>
          </w:p>
        </w:tc>
      </w:tr>
      <w:tr>
        <w:tc>
          <w:tcPr>
            <w:tcW w:w="1725" w:type="dxa"/>
          </w:tcPr>
          <w:p>
            <w:pPr>
              <w:pStyle w:val="CeldaAPA"/>
              <w:jc w:val="left"/>
            </w:pPr>
            <w:r>
              <w:rPr/>
              <w:t xml:space="preserve">Viguetas pretensadas</w:t>
            </w:r>
          </w:p>
        </w:tc>
        <w:tc>
          <w:tcPr>
            <w:tcW w:w="1763" w:type="dxa"/>
          </w:tcPr>
          <w:p>
            <w:pPr>
              <w:pStyle w:val="CeldaAPA"/>
              <w:jc w:val="left"/>
            </w:pPr>
            <w:r>
              <w:rPr/>
              <w:t xml:space="preserve">Certificado firmado del fabricante con lote, cantidad, tipo y conformidad a la NB 997; remisión con las longitudes por paño</w:t>
            </w:r>
          </w:p>
        </w:tc>
        <w:tc>
          <w:tcPr>
            <w:tcW w:w="1755" w:type="dxa"/>
          </w:tcPr>
          <w:p>
            <w:pPr>
              <w:pStyle w:val="CeldaAPA"/>
              <w:jc w:val="left"/>
            </w:pPr>
            <w:r>
              <w:rPr/>
              <w:t xml:space="preserve">Conteo por tipo y longitud (todas); inspección visual (todas); medición de longitud, sección, flecha y contraflecha en cinco viguetas por entrega y tipo; descarga sin golpes y apilado inmediato sobre listones (PCM-02)</w:t>
            </w:r>
          </w:p>
        </w:tc>
        <w:tc>
          <w:tcPr>
            <w:tcW w:w="2540" w:type="dxa"/>
          </w:tcPr>
          <w:p>
            <w:pPr>
              <w:pStyle w:val="CeldaAPA"/>
              <w:jc w:val="left"/>
            </w:pPr>
            <w:r>
              <w:rPr/>
              <w:t xml:space="preserve">Longitudes del Plano 03 con +30/</w:t>
            </w:r>
            <m:oMath>
              <m:r>
                <m:rPr>
                  <m:sty m:val="p"/>
                </m:rPr>
                <m:t>−</m:t>
              </m:r>
            </m:oMath>
            <w:r>
              <w:rPr/>
              <w:t xml:space="preserve">20 mm; sección con +5/</w:t>
            </w:r>
            <m:oMath>
              <m:r>
                <m:rPr>
                  <m:sty m:val="p"/>
                </m:rPr>
                <m:t>−</m:t>
              </m:r>
            </m:oMath>
            <w:r>
              <w:rPr/>
              <w:t xml:space="preserve">2 mm; sin fisuras visibles, oquedades ni armaduras expuestas; sin flecha; contraflecha y flecha lateral</w:t>
            </w:r>
            <w:r>
              <w:rPr/>
              <w:t xml:space="preserve"> </w:t>
            </w:r>
            <m:oMath>
              <m:r>
                <m:rPr>
                  <m:sty m:val="p"/>
                </m:rPr>
                <m:t>≤</m:t>
              </m:r>
              <m:r>
                <m:t>L</m:t>
              </m:r>
              <m:r>
                <m:rPr>
                  <m:sty m:val="p"/>
                </m:rPr>
                <m:t>/</m:t>
              </m:r>
              <m:r>
                <m:t>300</m:t>
              </m:r>
            </m:oMath>
            <w:r>
              <w:rPr/>
              <w:t xml:space="preserve">; lote rechazado con más de 2 defectos principales o más de 4 secundarios en la muestra</w:t>
            </w:r>
            <w:r>
              <w:rPr/>
              <w:t xml:space="preserve"> </w:t>
            </w:r>
            <w:r>
              <w:rPr/>
              <w:t xml:space="preserve">(Capcha Canaza, 2016, pp. 89–92)</w:t>
            </w:r>
          </w:p>
        </w:tc>
        <w:tc>
          <w:tcPr>
            <w:tcW w:w="1578" w:type="dxa"/>
          </w:tcPr>
          <w:p>
            <w:pPr>
              <w:pStyle w:val="CeldaAPA"/>
              <w:jc w:val="left"/>
            </w:pPr>
            <w:r>
              <w:rPr/>
              <w:t xml:space="preserve">Rechazo de piezas o del lote (PCM-05); reclamo al proveedor</w:t>
            </w:r>
          </w:p>
        </w:tc>
      </w:tr>
      <w:tr>
        <w:tc>
          <w:tcPr>
            <w:tcW w:w="1725" w:type="dxa"/>
          </w:tcPr>
          <w:p>
            <w:pPr>
              <w:pStyle w:val="CeldaAPA"/>
              <w:jc w:val="left"/>
            </w:pPr>
            <w:r>
              <w:rPr/>
              <w:t xml:space="preserve">Complemento EPS</w:t>
            </w:r>
          </w:p>
        </w:tc>
        <w:tc>
          <w:tcPr>
            <w:tcW w:w="1763" w:type="dxa"/>
          </w:tcPr>
          <w:p>
            <w:pPr>
              <w:pStyle w:val="CeldaAPA"/>
              <w:jc w:val="left"/>
            </w:pPr>
            <w:r>
              <w:rPr/>
              <w:t xml:space="preserve">Certificado firmado con lote, cantidad, dimensiones y densidad</w:t>
            </w:r>
          </w:p>
        </w:tc>
        <w:tc>
          <w:tcPr>
            <w:tcW w:w="1755" w:type="dxa"/>
          </w:tcPr>
          <w:p>
            <w:pPr>
              <w:pStyle w:val="CeldaAPA"/>
              <w:jc w:val="left"/>
            </w:pPr>
            <w:r>
              <w:rPr/>
              <w:t xml:space="preserve">Conteo (todas); medición de dimensiones y masa de cinco piezas; densidad = masa / volumen</w:t>
            </w:r>
          </w:p>
        </w:tc>
        <w:tc>
          <w:tcPr>
            <w:tcW w:w="2540" w:type="dxa"/>
          </w:tcPr>
          <w:p>
            <w:pPr>
              <w:pStyle w:val="CeldaAPA"/>
              <w:jc w:val="left"/>
            </w:pPr>
            <w:r>
              <w:rPr/>
              <w:t xml:space="preserve">Geometría aprobada (B3);</w:t>
            </w:r>
            <w:r>
              <w:rPr/>
              <w:t xml:space="preserve"> </w:t>
            </w:r>
            <m:oMath>
              <m:r>
                <m:rPr>
                  <m:sty m:val="p"/>
                </m:rPr>
                <m:t>±</m:t>
              </m:r>
              <m:r>
                <m:t>2</m:t>
              </m:r>
            </m:oMath>
            <w:r>
              <w:rPr/>
              <w:t xml:space="preserve"> cm en longitud y</w:t>
            </w:r>
            <w:r>
              <w:rPr/>
              <w:t xml:space="preserve"> </w:t>
            </w:r>
            <m:oMath>
              <m:r>
                <m:rPr>
                  <m:sty m:val="p"/>
                </m:rPr>
                <m:t>±</m:t>
              </m:r>
              <m:r>
                <m:t>1</m:t>
              </m:r>
            </m:oMath>
            <w:r>
              <w:rPr/>
              <w:t xml:space="preserve"> cm en la sección</w:t>
            </w:r>
            <w:r>
              <w:rPr/>
              <w:t xml:space="preserve"> </w:t>
            </w:r>
            <w:r>
              <w:rPr/>
              <w:t xml:space="preserve">(Concretec, 2016)</w:t>
            </w:r>
            <w:r>
              <w:rPr/>
              <w:t xml:space="preserve">; densidad media de la muestra no menor que la declarada (10 kg/m</w:t>
            </w:r>
            <w:r>
              <w:rPr>
                <w:vertAlign w:val="superscript"/>
              </w:rPr>
              <w:t xml:space="preserve">3</w:t>
            </w:r>
            <w:r>
              <w:rPr/>
              <w:t xml:space="preserve">)</w:t>
            </w:r>
            <w:r>
              <w:rPr/>
              <w:t xml:space="preserve"> </w:t>
            </w:r>
            <w:r>
              <w:rPr/>
              <w:t xml:space="preserve">(UNICON, 2025)</w:t>
            </w:r>
            <w:r>
              <w:rPr/>
              <w:t xml:space="preserve">; piezas enteras</w:t>
            </w:r>
          </w:p>
        </w:tc>
        <w:tc>
          <w:tcPr>
            <w:tcW w:w="1578" w:type="dxa"/>
          </w:tcPr>
          <w:p>
            <w:pPr>
              <w:pStyle w:val="CeldaAPA"/>
              <w:jc w:val="left"/>
            </w:pPr>
            <w:r>
              <w:rPr/>
              <w:t xml:space="preserve">Separar las piezas rotas o deformadas; rechazo del lote si la densidad no cumple</w:t>
            </w:r>
          </w:p>
        </w:tc>
      </w:tr>
      <w:tr>
        <w:tc>
          <w:tcPr>
            <w:tcW w:w="1725" w:type="dxa"/>
          </w:tcPr>
          <w:p>
            <w:pPr>
              <w:pStyle w:val="CeldaAPA"/>
              <w:jc w:val="left"/>
            </w:pPr>
            <w:r>
              <w:rPr/>
              <w:t xml:space="preserve">Acero de refuerzo</w:t>
            </w:r>
          </w:p>
        </w:tc>
        <w:tc>
          <w:tcPr>
            <w:tcW w:w="1763" w:type="dxa"/>
          </w:tcPr>
          <w:p>
            <w:pPr>
              <w:pStyle w:val="CeldaAPA"/>
              <w:jc w:val="left"/>
            </w:pPr>
            <w:r>
              <w:rPr/>
              <w:t xml:space="preserve">Certificado por colada de cada diámetro, incluidos el</w:t>
            </w:r>
            <w:r>
              <w:rPr/>
              <w:t xml:space="preserve"> </w:t>
            </w:r>
            <m:oMath>
              <m:r>
                <m:t>ϕ</m:t>
              </m:r>
            </m:oMath>
            <w:r>
              <w:rPr/>
              <w:t xml:space="preserve">6 y el</w:t>
            </w:r>
            <w:r>
              <w:rPr/>
              <w:t xml:space="preserve"> </w:t>
            </w:r>
            <m:oMath>
              <m:r>
                <m:t>ϕ</m:t>
              </m:r>
            </m:oMath>
            <w:r>
              <w:rPr/>
              <w:t xml:space="preserve">10, con fluencia, relación de resistencias y alargamiento; etiqueta de colada en cada paquete</w:t>
            </w:r>
          </w:p>
        </w:tc>
        <w:tc>
          <w:tcPr>
            <w:tcW w:w="1755" w:type="dxa"/>
          </w:tcPr>
          <w:p>
            <w:pPr>
              <w:pStyle w:val="CeldaAPA"/>
              <w:jc w:val="left"/>
            </w:pPr>
            <w:r>
              <w:rPr/>
              <w:t xml:space="preserve">Conteo de barras; verificación del diámetro y del corrugado; pesaje de tres barras por diámetro y colada para obtener la masa por metro</w:t>
            </w:r>
          </w:p>
        </w:tc>
        <w:tc>
          <w:tcPr>
            <w:tcW w:w="2540" w:type="dxa"/>
          </w:tcPr>
          <w:p>
            <w:pPr>
              <w:pStyle w:val="CeldaAPA"/>
              <w:jc w:val="left"/>
            </w:pPr>
            <w:r>
              <w:rPr/>
              <w:t xml:space="preserve">Fluencia</w:t>
            </w:r>
            <w:r>
              <w:rPr/>
              <w:t xml:space="preserve"> </w:t>
            </w:r>
            <m:oMath>
              <m:r>
                <m:rPr>
                  <m:sty m:val="p"/>
                </m:rPr>
                <m:t>≥</m:t>
              </m:r>
            </m:oMath>
            <w:r>
              <w:rPr/>
              <w:t xml:space="preserve"> </w:t>
            </w:r>
            <w:r>
              <w:rPr/>
              <w:t xml:space="preserve">5.000 kg/cm</w:t>
            </w:r>
            <w:r>
              <w:rPr>
                <w:vertAlign w:val="superscript"/>
              </w:rPr>
              <w:t xml:space="preserve">2</w:t>
            </w:r>
            <w:r>
              <w:rPr/>
              <w:t xml:space="preserve"> </w:t>
            </w:r>
            <w:r>
              <w:rPr/>
              <w:t xml:space="preserve">(contrato); masa por metro</w:t>
            </w:r>
            <w:r>
              <w:rPr/>
              <w:t xml:space="preserve"> </w:t>
            </w:r>
            <m:oMath>
              <m:r>
                <m:rPr>
                  <m:sty m:val="p"/>
                </m:rPr>
                <m:t>≥</m:t>
              </m:r>
              <m:r>
                <m:t>94</m:t>
              </m:r>
            </m:oMath>
            <w:r>
              <w:rPr/>
              <w:t xml:space="preserve"> % de la nominal (límite de la norma ASTM A615); sin óxido suelto, aceite ni barro</w:t>
            </w:r>
          </w:p>
        </w:tc>
        <w:tc>
          <w:tcPr>
            <w:tcW w:w="1578" w:type="dxa"/>
          </w:tcPr>
          <w:p>
            <w:pPr>
              <w:pStyle w:val="CeldaAPA"/>
              <w:jc w:val="left"/>
            </w:pPr>
            <w:r>
              <w:rPr/>
              <w:t xml:space="preserve">Retener la colada sin certificado; rechazo si no cumple</w:t>
            </w:r>
          </w:p>
        </w:tc>
      </w:tr>
      <w:tr>
        <w:tc>
          <w:tcPr>
            <w:tcW w:w="1725" w:type="dxa"/>
          </w:tcPr>
          <w:p>
            <w:pPr>
              <w:pStyle w:val="CeldaAPA"/>
              <w:jc w:val="left"/>
            </w:pPr>
            <w:r>
              <w:rPr/>
              <w:t xml:space="preserve">Cemento</w:t>
            </w:r>
          </w:p>
        </w:tc>
        <w:tc>
          <w:tcPr>
            <w:tcW w:w="1763" w:type="dxa"/>
          </w:tcPr>
          <w:p>
            <w:pPr>
              <w:pStyle w:val="CeldaAPA"/>
              <w:jc w:val="left"/>
            </w:pPr>
            <w:r>
              <w:rPr/>
              <w:t xml:space="preserve">Guía de despacho con tipo, clase y fecha de fabricación; sello de calidad IBNORCA</w:t>
            </w:r>
          </w:p>
        </w:tc>
        <w:tc>
          <w:tcPr>
            <w:tcW w:w="1755" w:type="dxa"/>
          </w:tcPr>
          <w:p>
            <w:pPr>
              <w:pStyle w:val="CeldaAPA"/>
              <w:jc w:val="left"/>
            </w:pPr>
            <w:r>
              <w:rPr/>
              <w:t xml:space="preserve">Conteo de bolsas; inspección de todas las bolsas</w:t>
            </w:r>
          </w:p>
        </w:tc>
        <w:tc>
          <w:tcPr>
            <w:tcW w:w="2540" w:type="dxa"/>
          </w:tcPr>
          <w:p>
            <w:pPr>
              <w:pStyle w:val="CeldaAPA"/>
              <w:jc w:val="left"/>
            </w:pPr>
            <w:r>
              <w:rPr/>
              <w:t xml:space="preserve">Bolsas intactas, sin grumos, terrones ni costras</w:t>
            </w:r>
            <w:r>
              <w:rPr/>
              <w:t xml:space="preserve"> </w:t>
            </w:r>
            <w:r>
              <w:rPr/>
              <w:t xml:space="preserve">(UATF, s. f.-a, p. 1)</w:t>
            </w:r>
            <w:r>
              <w:rPr/>
              <w:t xml:space="preserve">; uso por orden de llegada</w:t>
            </w:r>
          </w:p>
        </w:tc>
        <w:tc>
          <w:tcPr>
            <w:tcW w:w="1578" w:type="dxa"/>
          </w:tcPr>
          <w:p>
            <w:pPr>
              <w:pStyle w:val="CeldaAPA"/>
              <w:jc w:val="left"/>
            </w:pPr>
            <w:r>
              <w:rPr/>
              <w:t xml:space="preserve">Rechazo y retiro de la obra</w:t>
            </w:r>
          </w:p>
        </w:tc>
      </w:tr>
      <w:tr>
        <w:tc>
          <w:tcPr>
            <w:tcW w:w="1725" w:type="dxa"/>
          </w:tcPr>
          <w:p>
            <w:pPr>
              <w:pStyle w:val="CeldaAPA"/>
              <w:jc w:val="left"/>
            </w:pPr>
            <w:r>
              <w:rPr/>
              <w:t xml:space="preserve">Áridos</w:t>
            </w:r>
          </w:p>
        </w:tc>
        <w:tc>
          <w:tcPr>
            <w:tcW w:w="1763" w:type="dxa"/>
          </w:tcPr>
          <w:p>
            <w:pPr>
              <w:pStyle w:val="CeldaAPA"/>
              <w:jc w:val="left"/>
            </w:pPr>
            <w:r>
              <w:rPr/>
              <w:t xml:space="preserve">Procedencia; ensayos de granulometría y limpieza que respaldan la dosificación</w:t>
            </w:r>
          </w:p>
        </w:tc>
        <w:tc>
          <w:tcPr>
            <w:tcW w:w="1755" w:type="dxa"/>
          </w:tcPr>
          <w:p>
            <w:pPr>
              <w:pStyle w:val="CeldaAPA"/>
              <w:jc w:val="left"/>
            </w:pPr>
            <w:r>
              <w:rPr/>
              <w:t xml:space="preserve">Cubicación de cada volquete; inspección visual de limpieza y tamaño</w:t>
            </w:r>
          </w:p>
        </w:tc>
        <w:tc>
          <w:tcPr>
            <w:tcW w:w="2540" w:type="dxa"/>
          </w:tcPr>
          <w:p>
            <w:pPr>
              <w:pStyle w:val="CeldaAPA"/>
              <w:jc w:val="left"/>
            </w:pPr>
            <w:r>
              <w:rPr/>
              <w:t xml:space="preserve">Sin arcilla ni materia orgánica; tamaño máximo no mayor que la mitad del espesor de la carpeta ni que un tercio del ancho libre de los nervios</w:t>
            </w:r>
            <w:r>
              <w:rPr/>
              <w:t xml:space="preserve"> </w:t>
            </w:r>
            <w:r>
              <w:rPr/>
              <w:t xml:space="preserve">(UATF, s. f.-a, p. 2)</w:t>
            </w:r>
          </w:p>
        </w:tc>
        <w:tc>
          <w:tcPr>
            <w:tcW w:w="1578" w:type="dxa"/>
          </w:tcPr>
          <w:p>
            <w:pPr>
              <w:pStyle w:val="CeldaAPA"/>
              <w:jc w:val="left"/>
            </w:pPr>
            <w:r>
              <w:rPr/>
              <w:t xml:space="preserve">Rechazo del volquete</w:t>
            </w:r>
          </w:p>
        </w:tc>
      </w:tr>
      <w:tr>
        <w:tc>
          <w:tcPr>
            <w:tcW w:w="1725" w:type="dxa"/>
            <w:tcBorders>
              <w:bottom w:val="single" w:sz="8" w:space="0" w:color="000000"/>
            </w:tcBorders>
          </w:tcPr>
          <w:p>
            <w:pPr>
              <w:pStyle w:val="CeldaAPA"/>
              <w:jc w:val="left"/>
            </w:pPr>
            <w:r>
              <w:rPr/>
              <w:t xml:space="preserve">Agua</w:t>
            </w:r>
          </w:p>
        </w:tc>
        <w:tc>
          <w:tcPr>
            <w:tcW w:w="1763" w:type="dxa"/>
            <w:tcBorders>
              <w:bottom w:val="single" w:sz="8" w:space="0" w:color="000000"/>
            </w:tcBorders>
          </w:tcPr>
          <w:p>
            <w:pPr>
              <w:pStyle w:val="CeldaAPA"/>
              <w:jc w:val="left"/>
            </w:pPr>
            <w:r>
              <w:rPr/>
              <w:t xml:space="preserve">Fuente aprobada por la Supervisión</w:t>
            </w:r>
          </w:p>
        </w:tc>
        <w:tc>
          <w:tcPr>
            <w:tcW w:w="1755" w:type="dxa"/>
            <w:tcBorders>
              <w:bottom w:val="single" w:sz="8" w:space="0" w:color="000000"/>
            </w:tcBorders>
          </w:tcPr>
          <w:p>
            <w:pPr>
              <w:pStyle w:val="CeldaAPA"/>
              <w:jc w:val="left"/>
            </w:pPr>
            <w:r>
              <w:rPr/>
              <w:t xml:space="preserve">Inspección visual; temperatura al amasar</w:t>
            </w:r>
          </w:p>
        </w:tc>
        <w:tc>
          <w:tcPr>
            <w:tcW w:w="2540" w:type="dxa"/>
            <w:tcBorders>
              <w:bottom w:val="single" w:sz="8" w:space="0" w:color="000000"/>
            </w:tcBorders>
          </w:tcPr>
          <w:p>
            <w:pPr>
              <w:pStyle w:val="CeldaAPA"/>
              <w:jc w:val="left"/>
            </w:pPr>
            <w:r>
              <w:rPr/>
              <w:t xml:space="preserve">Limpia; más de 5 </w:t>
            </w:r>
            <m:oMath>
              <m:sSup>
                <m:e>
                  <m:r>
                    <m:t>​</m:t>
                  </m:r>
                </m:e>
                <m:sup>
                  <m:r>
                    <m:rPr>
                      <m:sty m:val="p"/>
                    </m:rPr>
                    <m:t>∘</m:t>
                  </m:r>
                </m:sup>
              </m:sSup>
            </m:oMath>
            <w:r>
              <w:rPr/>
              <w:t xml:space="preserve">C al amasar</w:t>
            </w:r>
            <w:r>
              <w:rPr/>
              <w:t xml:space="preserve"> </w:t>
            </w:r>
            <w:r>
              <w:rPr/>
              <w:t xml:space="preserve">(UATF, s. f.-a, p. 2)</w:t>
            </w:r>
          </w:p>
        </w:tc>
        <w:tc>
          <w:tcPr>
            <w:tcW w:w="1578" w:type="dxa"/>
            <w:tcBorders>
              <w:bottom w:val="single" w:sz="8" w:space="0" w:color="000000"/>
            </w:tcBorders>
          </w:tcPr>
          <w:p>
            <w:pPr>
              <w:pStyle w:val="CeldaAPA"/>
              <w:jc w:val="left"/>
            </w:pPr>
            <w:r>
              <w:rPr/>
              <w:t xml:space="preserve">No usar; análisis si hay duda</w:t>
            </w:r>
          </w:p>
        </w:tc>
      </w:tr>
    </w:tbl>
    <w:p>
      <w:pPr>
        <w:pStyle w:val="NotaAPA"/>
      </w:pPr>
      <w:r>
        <w:rPr>
          <w:iCs/>
          <w:i/>
        </w:rPr>
        <w:t xml:space="preserve">Nota.</w:t>
      </w:r>
      <w:r>
        <w:t xml:space="preserve"> </w:t>
      </w:r>
      <w:r>
        <w:t xml:space="preserve">Elaboración propia. Los criterios de las viguetas siguen la tabla de requisitos que</w:t>
      </w:r>
      <w:r>
        <w:t xml:space="preserve"> </w:t>
      </w:r>
      <w:r>
        <w:t xml:space="preserve">Capcha Canaza (2016, pp. 89–92)</w:t>
      </w:r>
      <w:r>
        <w:t xml:space="preserve"> </w:t>
      </w:r>
      <w:r>
        <w:t xml:space="preserve">elaboró con base en la NB 997; las tolerancias del EPS son las de la ficha técnica de otro fabricante nacional, a falta de las del proveedor. El tamaño de la muestra (cinco piezas o tres barras) es una propuesta del autor. El límite de masa del acero y los criterios de la NB 997 deben verificarse con las ediciones vigentes de las normas (véase la nota de la Tabla 36).</w:t>
      </w:r>
    </w:p>
    <w:p>
      <w:pPr>
        <w:pStyle w:val="Heading4"/>
      </w:pPr>
      <w:bookmarkStart w:id="169" w:name="tit120"/>
      <w:r>
        <w:t xml:space="preserve">2.6.6.5. PCM-02: almacenamiento e identificación.</w:t>
      </w:r>
      <w:bookmarkEnd w:id="169"/>
    </w:p>
    <w:p>
      <w:pPr>
        <w:pStyle w:val="FirstParagraph"/>
      </w:pPr>
      <w:r>
        <w:rPr>
          <w:iCs/>
          <w:i/>
        </w:rPr>
        <w:t xml:space="preserve">Objetivo:</w:t>
      </w:r>
      <w:r>
        <w:t xml:space="preserve"> </w:t>
      </w:r>
      <w:r>
        <w:t xml:space="preserve">preservar la conformidad de los materiales aceptados y saber en todo momento qué existe, de qué lote y en qué estado.</w:t>
      </w:r>
      <w:r>
        <w:t xml:space="preserve"> </w:t>
      </w:r>
      <w:r>
        <w:rPr>
          <w:iCs/>
          <w:i/>
        </w:rPr>
        <w:t xml:space="preserve">Reglas:</w:t>
      </w:r>
      <w:r>
        <w:t xml:space="preserve"> </w:t>
      </w:r>
      <w:r>
        <w:t xml:space="preserve">(a) cada material se acopia en una zona aprobada por la Supervisión (cláusula 26.9 del contrato), con las condiciones descritas en la Sección 2.6.5; (b) cada lote lleva una tarjeta con el material, el código de lote o colada, la fecha de ingreso y su estado: verde (aceptado), amarillo (retenido, en espera de decisión) o rojo (rechazado); (c) el cemento se usa por orden de llegada; (d) el kardex de cada material registra entradas (ficha C.3), salidas (vales), devoluciones y saldo; (e) cada semana y antes de cada planilla se hace un inventario físico y se compara con el kardex; una diferencia mayor que la tolerancia de la Tabla 38 abre una no conformidad; y (f) no se acopian materiales sobre paños recién vaciados, y la estructura ya ejecutada de la UATF se protege de golpes y cargas.</w:t>
      </w:r>
    </w:p>
    <w:p>
      <w:pPr>
        <w:pStyle w:val="Heading4"/>
      </w:pPr>
      <w:bookmarkStart w:id="170" w:name="tit121"/>
      <w:r>
        <w:t xml:space="preserve">2.6.6.6. PCM-03: despacho y registro de consumos por paño.</w:t>
      </w:r>
      <w:bookmarkEnd w:id="170"/>
    </w:p>
    <w:p>
      <w:pPr>
        <w:pStyle w:val="FirstParagraph"/>
      </w:pPr>
      <w:r>
        <w:rPr>
          <w:iCs/>
          <w:i/>
        </w:rPr>
        <w:t xml:space="preserve">Objetivo:</w:t>
      </w:r>
      <w:r>
        <w:t xml:space="preserve"> </w:t>
      </w:r>
      <w:r>
        <w:t xml:space="preserve">medir lo que realmente consume cada paño, que es el dato que faltó en la primera losa (B5).</w:t>
      </w:r>
      <w:r>
        <w:t xml:space="preserve"> </w:t>
      </w:r>
      <w:r>
        <w:rPr>
          <w:iCs/>
          <w:i/>
        </w:rPr>
        <w:t xml:space="preserve">Pasos:</w:t>
      </w:r>
      <w:r>
        <w:t xml:space="preserve"> </w:t>
      </w:r>
      <w:r>
        <w:t xml:space="preserve">(1) antes de ejecutar el paño, el encargado de calidad emite la lista de cantidades teóricas</w:t>
      </w:r>
      <w:r>
        <w:t xml:space="preserve"> </w:t>
      </w:r>
      <m:oMath>
        <m:sSub>
          <m:e>
            <m:r>
              <m:t>Q</m:t>
            </m:r>
          </m:e>
          <m:sub>
            <m:r>
              <m:t>T</m:t>
            </m:r>
          </m:sub>
        </m:sSub>
      </m:oMath>
      <w:r>
        <w:t xml:space="preserve">: viguetas por tipo y longitud (Plano 03), piezas de EPS, despiece del acero por diámetro, volumen de hormigón y bolsas de cemento; (2) el Almacenero entrega el material solo contra un vale por paño (formato C.4) firmado por quien entrega y por quien recibe; (3) los sobrantes recuperables vuelven al almacén con vale de devolución, y los recortes no aprovechables se cuentan o miden como desperdicio; (4) por cada vaciado se registran los pastones, las bolsas de cemento, los áridos, el agua y los paños cubiertos; el volumen producido es el número de pastones por el rendimiento de la dosificación; y (5) el acero se registra en barras de 12 m y en longitud (planilla de corte) y se convierte a kilogramos con la masa nominal, para no confundir con desperdicio la diferencia entre la masa real y la nominal de las barras, que en los certificados de la obra fue de 1,8 a 5,8 % por debajo de la nominal (cálculo propio con los datos de las pp. 82–86 de la planilla N.</w:t>
      </w:r>
      <w:r>
        <w:rPr>
          <w:vertAlign w:val="superscript"/>
        </w:rPr>
        <w:t xml:space="preserve">o</w:t>
      </w:r>
      <w:r>
        <w:t xml:space="preserve"> 2).</w:t>
      </w:r>
      <w:r>
        <w:t xml:space="preserve"> </w:t>
      </w:r>
      <w:r>
        <w:t xml:space="preserve">La cantidad colocada en el paño</w:t>
      </w:r>
      <w:r>
        <w:t xml:space="preserve"> </w:t>
      </w:r>
      <m:oMath>
        <m:r>
          <m:t>k</m:t>
        </m:r>
      </m:oMath>
      <w:r>
        <w:t xml:space="preserve"> </w:t>
      </w:r>
      <w:r>
        <w:t xml:space="preserve">y su índice de desperdicio se obtienen con</w:t>
      </w:r>
    </w:p>
    <w:tbl>
      <w:tblPr>
        <w:tblW w:w="9360" w:type="dxa"/>
        <w:tblLayout w:type="fixed"/>
        <w:tblCellMar>
          <w:left w:w="0" w:type="dxa"/>
          <w:right w:w="0" w:type="dxa"/>
        </w:tblCellMar>
        <w:tblLook w:val="0000" w:firstRow="0" w:lastRow="0" w:firstColumn="0" w:lastColumn="0" w:noHBand="1" w:noVBand="1"/>
        <w:tblCaption w:val="Ecuación"/>
      </w:tblPr>
      <w:tblGrid>
        <w:gridCol w:w="1134"/>
        <w:gridCol w:w="7092"/>
        <w:gridCol w:w="1134"/>
      </w:tblGrid>
      <w:tr>
        <w:trPr>
          <w:cantSplit/>
        </w:trPr>
        <w:tc>
          <w:tcPr>
            <w:tcW w:w="1134" w:type="dxa"/>
            <w:vAlign w:val="center"/>
          </w:tcPr>
          <w:p>
            <w:pPr>
              <w:pStyle w:val="EcuacionAPA"/>
            </w:pPr>
          </w:p>
        </w:tc>
        <w:tc>
          <w:tcPr>
            <w:tcW w:w="7092" w:type="dxa"/>
            <w:vAlign w:val="center"/>
          </w:tcPr>
          <w:p>
            <w:pPr>
              <w:pStyle w:val="EcuacionAPA"/>
            </w:pPr>
            <m:oMathPara>
              <m:oMathParaPr>
                <m:jc m:val="center"/>
              </m:oMathParaPr>
              <m:oMath>
                <m:sSub>
                  <m:e>
                    <m:r>
                      <m:t>Q</m:t>
                    </m:r>
                  </m:e>
                  <m:sub>
                    <m:r>
                      <m:t>C</m:t>
                    </m:r>
                    <m:r>
                      <m:rPr>
                        <m:sty m:val="p"/>
                      </m:rPr>
                      <m:t>,</m:t>
                    </m:r>
                    <m:r>
                      <m:t>k</m:t>
                    </m:r>
                  </m:sub>
                </m:sSub>
                <m:r>
                  <m:rPr>
                    <m:sty m:val="p"/>
                  </m:rPr>
                  <m:t>=</m:t>
                </m:r>
                <m:sSub>
                  <m:e>
                    <m:r>
                      <m:t>Q</m:t>
                    </m:r>
                  </m:e>
                  <m:sub>
                    <m:r>
                      <m:t>D</m:t>
                    </m:r>
                    <m:r>
                      <m:rPr>
                        <m:sty m:val="p"/>
                      </m:rPr>
                      <m:t>,</m:t>
                    </m:r>
                    <m:r>
                      <m:t>k</m:t>
                    </m:r>
                  </m:sub>
                </m:sSub>
                <m:r>
                  <m:rPr>
                    <m:sty m:val="p"/>
                  </m:rPr>
                  <m:t>−</m:t>
                </m:r>
                <m:sSub>
                  <m:e>
                    <m:r>
                      <m:t>Q</m:t>
                    </m:r>
                  </m:e>
                  <m:sub>
                    <m:r>
                      <m:t>V</m:t>
                    </m:r>
                    <m:r>
                      <m:rPr>
                        <m:sty m:val="p"/>
                      </m:rPr>
                      <m:t>,</m:t>
                    </m:r>
                    <m:r>
                      <m:t>k</m:t>
                    </m:r>
                  </m:sub>
                </m:sSub>
                <m:r>
                  <m:rPr>
                    <m:sty m:val="p"/>
                  </m:rPr>
                  <m:t>,</m:t>
                </m:r>
                <m:r>
                  <m:t>  </m:t>
                </m:r>
                <m:r>
                  <m:t>I</m:t>
                </m:r>
                <m:r>
                  <m:t>D</m:t>
                </m:r>
                <m:sSub>
                  <m:e>
                    <m:r>
                      <m:t>M</m:t>
                    </m:r>
                  </m:e>
                  <m:sub>
                    <m:r>
                      <m:t>k</m:t>
                    </m:r>
                  </m:sub>
                </m:sSub>
                <m:r>
                  <m:rPr>
                    <m:sty m:val="p"/>
                  </m:rPr>
                  <m:t>=</m:t>
                </m:r>
                <m:f>
                  <m:fPr>
                    <m:type m:val="bar"/>
                  </m:fPr>
                  <m:num>
                    <m:sSub>
                      <m:e>
                        <m:r>
                          <m:t>Q</m:t>
                        </m:r>
                      </m:e>
                      <m:sub>
                        <m:r>
                          <m:t>C</m:t>
                        </m:r>
                        <m:r>
                          <m:rPr>
                            <m:sty m:val="p"/>
                          </m:rPr>
                          <m:t>,</m:t>
                        </m:r>
                        <m:r>
                          <m:t>k</m:t>
                        </m:r>
                      </m:sub>
                    </m:sSub>
                    <m:r>
                      <m:rPr>
                        <m:sty m:val="p"/>
                      </m:rPr>
                      <m:t>−</m:t>
                    </m:r>
                    <m:sSub>
                      <m:e>
                        <m:r>
                          <m:t>Q</m:t>
                        </m:r>
                      </m:e>
                      <m:sub>
                        <m:r>
                          <m:t>T</m:t>
                        </m:r>
                        <m:r>
                          <m:rPr>
                            <m:sty m:val="p"/>
                          </m:rPr>
                          <m:t>,</m:t>
                        </m:r>
                        <m:r>
                          <m:t>k</m:t>
                        </m:r>
                      </m:sub>
                    </m:sSub>
                  </m:num>
                  <m:den>
                    <m:sSub>
                      <m:e>
                        <m:r>
                          <m:t>Q</m:t>
                        </m:r>
                      </m:e>
                      <m:sub>
                        <m:r>
                          <m:t>T</m:t>
                        </m:r>
                        <m:r>
                          <m:rPr>
                            <m:sty m:val="p"/>
                          </m:rPr>
                          <m:t>,</m:t>
                        </m:r>
                        <m:r>
                          <m:t>k</m:t>
                        </m:r>
                      </m:sub>
                    </m:sSub>
                  </m:den>
                </m:f>
                <m:r>
                  <m:rPr>
                    <m:sty m:val="p"/>
                  </m:rPr>
                  <m:t>×</m:t>
                </m:r>
                <m:r>
                  <m:t>100</m:t>
                </m:r>
              </m:oMath>
            </m:oMathPara>
          </w:p>
        </w:tc>
        <w:tc>
          <w:tcPr>
            <w:tcW w:w="1134" w:type="dxa"/>
            <w:vAlign w:val="center"/>
          </w:tcPr>
          <w:p>
            <w:pPr>
              <w:pStyle w:val="EcuacionAPA"/>
              <w:jc w:val="right"/>
            </w:pPr>
            <w:r>
              <w:t>(12)</w:t>
            </w:r>
          </w:p>
        </w:tc>
      </w:tr>
    </w:tbl>
    <w:p>
      <w:pPr>
        <w:pStyle w:val="FirstParagraph"/>
        <w:ind w:firstLine="0"/>
      </w:pPr>
      <w:r>
        <w:t xml:space="preserve"/>
      </w:r>
      <w:r>
        <w:t xml:space="preserve"/>
      </w:r>
      <w:r>
        <w:t xml:space="preserve">donde</w:t>
      </w:r>
      <w:r>
        <w:t xml:space="preserve"> </w:t>
      </w:r>
      <m:oMath>
        <m:sSub>
          <m:e>
            <m:r>
              <m:t>Q</m:t>
            </m:r>
          </m:e>
          <m:sub>
            <m:r>
              <m:t>D</m:t>
            </m:r>
            <m:r>
              <m:rPr>
                <m:sty m:val="p"/>
              </m:rPr>
              <m:t>,</m:t>
            </m:r>
            <m:r>
              <m:t>k</m:t>
            </m:r>
          </m:sub>
        </m:sSub>
      </m:oMath>
      <w:r>
        <w:t xml:space="preserve"> </w:t>
      </w:r>
      <w:r>
        <w:t xml:space="preserve">es la cantidad despachada con vales,</w:t>
      </w:r>
      <w:r>
        <w:t xml:space="preserve"> </w:t>
      </w:r>
      <m:oMath>
        <m:sSub>
          <m:e>
            <m:r>
              <m:t>Q</m:t>
            </m:r>
          </m:e>
          <m:sub>
            <m:r>
              <m:t>V</m:t>
            </m:r>
            <m:r>
              <m:rPr>
                <m:sty m:val="p"/>
              </m:rPr>
              <m:t>,</m:t>
            </m:r>
            <m:r>
              <m:t>k</m:t>
            </m:r>
          </m:sub>
        </m:sSub>
      </m:oMath>
      <w:r>
        <w:t xml:space="preserve"> </w:t>
      </w:r>
      <w:r>
        <w:t xml:space="preserve">la devuelta al almacén y</w:t>
      </w:r>
      <w:r>
        <w:t xml:space="preserve"> </w:t>
      </w:r>
      <m:oMath>
        <m:sSub>
          <m:e>
            <m:r>
              <m:t>Q</m:t>
            </m:r>
          </m:e>
          <m:sub>
            <m:r>
              <m:t>T</m:t>
            </m:r>
            <m:r>
              <m:rPr>
                <m:sty m:val="p"/>
              </m:rPr>
              <m:t>,</m:t>
            </m:r>
            <m:r>
              <m:t>k</m:t>
            </m:r>
          </m:sub>
        </m:sSub>
      </m:oMath>
      <w:r>
        <w:t xml:space="preserve"> </w:t>
      </w:r>
      <w:r>
        <w:t xml:space="preserve">la teórica del paño. La segunda expresión es la ecuación (8) aplicada al paño, con</w:t>
      </w:r>
      <w:r>
        <w:t xml:space="preserve"> </w:t>
      </w:r>
      <m:oMath>
        <m:sSub>
          <m:e>
            <m:r>
              <m:t>Q</m:t>
            </m:r>
          </m:e>
          <m:sub>
            <m:r>
              <m:rPr>
                <m:nor/>
                <m:sty m:val="p"/>
              </m:rPr>
              <m:t>real</m:t>
            </m:r>
          </m:sub>
        </m:sSub>
        <m:r>
          <m:rPr>
            <m:sty m:val="p"/>
          </m:rPr>
          <m:t>=</m:t>
        </m:r>
        <m:sSub>
          <m:e>
            <m:r>
              <m:t>Q</m:t>
            </m:r>
          </m:e>
          <m:sub>
            <m:r>
              <m:t>C</m:t>
            </m:r>
            <m:r>
              <m:rPr>
                <m:sty m:val="p"/>
              </m:rPr>
              <m:t>,</m:t>
            </m:r>
            <m:r>
              <m:t>k</m:t>
            </m:r>
          </m:sub>
        </m:sSub>
      </m:oMath>
      <w:r>
        <w:t xml:space="preserve">.</w:t>
      </w:r>
    </w:p>
    <w:p>
      <w:pPr>
        <w:pStyle w:val="Heading4"/>
      </w:pPr>
      <w:bookmarkStart w:id="171" w:name="tit122"/>
      <w:r>
        <w:t xml:space="preserve">2.6.6.7. PCM-04: conciliación de cantidades por paño y por planilla.</w:t>
      </w:r>
      <w:bookmarkEnd w:id="171"/>
    </w:p>
    <w:p>
      <w:pPr>
        <w:pStyle w:val="FirstParagraph"/>
      </w:pPr>
      <w:r>
        <w:rPr>
          <w:iCs/>
          <w:i/>
        </w:rPr>
        <w:t xml:space="preserve">Objetivo:</w:t>
      </w:r>
      <w:r>
        <w:t xml:space="preserve"> </w:t>
      </w:r>
      <w:r>
        <w:t xml:space="preserve">que cada cantidad que se paga esté respaldada por una cadena verificable desde el plano hasta la planilla, y que las diferencias se detecten en el mes en que se originan y no al cierre del contrato (B4). Para cada material y cada paño se registran cinco cantidades en la ficha C.4: la teórica de planos (</w:t>
      </w:r>
      <m:oMath>
        <m:sSub>
          <m:e>
            <m:r>
              <m:t>Q</m:t>
            </m:r>
          </m:e>
          <m:sub>
            <m:r>
              <m:t>T</m:t>
            </m:r>
          </m:sub>
        </m:sSub>
      </m:oMath>
      <w:r>
        <w:t xml:space="preserve">), la entregada según remisiones y kardex (</w:t>
      </w:r>
      <m:oMath>
        <m:sSub>
          <m:e>
            <m:r>
              <m:t>Q</m:t>
            </m:r>
          </m:e>
          <m:sub>
            <m:r>
              <m:t>E</m:t>
            </m:r>
          </m:sub>
        </m:sSub>
      </m:oMath>
      <w:r>
        <w:t xml:space="preserve">), la colocada según vales y devoluciones (</w:t>
      </w:r>
      <m:oMath>
        <m:sSub>
          <m:e>
            <m:r>
              <m:t>Q</m:t>
            </m:r>
          </m:e>
          <m:sub>
            <m:r>
              <m:t>C</m:t>
            </m:r>
          </m:sub>
        </m:sSub>
      </m:oMath>
      <w:r>
        <w:t xml:space="preserve">), la medida en la medición conjunta con la Supervisión (</w:t>
      </w:r>
      <m:oMath>
        <m:sSub>
          <m:e>
            <m:r>
              <m:t>Q</m:t>
            </m:r>
          </m:e>
          <m:sub>
            <m:r>
              <m:t>M</m:t>
            </m:r>
          </m:sub>
        </m:sSub>
      </m:oMath>
      <w:r>
        <w:t xml:space="preserve">) y la pagada en la planilla (</w:t>
      </w:r>
      <m:oMath>
        <m:sSub>
          <m:e>
            <m:r>
              <m:t>Q</m:t>
            </m:r>
          </m:e>
          <m:sub>
            <m:r>
              <m:t>P</m:t>
            </m:r>
          </m:sub>
        </m:sSub>
      </m:oMath>
      <w:r>
        <w:t xml:space="preserve">). Las comparaciones se expresan como desviaciones relativas:</w:t>
      </w:r>
    </w:p>
    <w:tbl>
      <w:tblPr>
        <w:tblW w:w="9360" w:type="dxa"/>
        <w:tblLayout w:type="fixed"/>
        <w:tblCellMar>
          <w:left w:w="0" w:type="dxa"/>
          <w:right w:w="0" w:type="dxa"/>
        </w:tblCellMar>
        <w:tblLook w:val="0000" w:firstRow="0" w:lastRow="0" w:firstColumn="0" w:lastColumn="0" w:noHBand="1" w:noVBand="1"/>
        <w:tblCaption w:val="Ecuación"/>
      </w:tblPr>
      <w:tblGrid>
        <w:gridCol w:w="1134"/>
        <w:gridCol w:w="7092"/>
        <w:gridCol w:w="1134"/>
      </w:tblGrid>
      <w:tr>
        <w:trPr>
          <w:cantSplit/>
        </w:trPr>
        <w:tc>
          <w:tcPr>
            <w:tcW w:w="1134" w:type="dxa"/>
            <w:vAlign w:val="center"/>
          </w:tcPr>
          <w:p>
            <w:pPr>
              <w:pStyle w:val="EcuacionAPA"/>
            </w:pPr>
          </w:p>
        </w:tc>
        <w:tc>
          <w:tcPr>
            <w:tcW w:w="7092" w:type="dxa"/>
            <w:vAlign w:val="center"/>
          </w:tcPr>
          <w:p>
            <w:pPr>
              <w:pStyle w:val="EcuacionAPA"/>
            </w:pPr>
            <m:oMathPara>
              <m:oMathParaPr>
                <m:jc m:val="center"/>
              </m:oMathParaPr>
              <m:oMath>
                <m:sSub>
                  <m:e>
                    <m:r>
                      <m:t>δ</m:t>
                    </m:r>
                  </m:e>
                  <m:sub>
                    <m:r>
                      <m:t>X</m:t>
                    </m:r>
                    <m:r>
                      <m:rPr>
                        <m:sty m:val="p"/>
                      </m:rPr>
                      <m:t>/</m:t>
                    </m:r>
                    <m:r>
                      <m:t>Y</m:t>
                    </m:r>
                  </m:sub>
                </m:sSub>
                <m:r>
                  <m:rPr>
                    <m:sty m:val="p"/>
                  </m:rPr>
                  <m:t>=</m:t>
                </m:r>
                <m:f>
                  <m:fPr>
                    <m:type m:val="bar"/>
                  </m:fPr>
                  <m:num>
                    <m:sSub>
                      <m:e>
                        <m:r>
                          <m:t>Q</m:t>
                        </m:r>
                      </m:e>
                      <m:sub>
                        <m:r>
                          <m:t>X</m:t>
                        </m:r>
                      </m:sub>
                    </m:sSub>
                    <m:r>
                      <m:rPr>
                        <m:sty m:val="p"/>
                      </m:rPr>
                      <m:t>−</m:t>
                    </m:r>
                    <m:sSub>
                      <m:e>
                        <m:r>
                          <m:t>Q</m:t>
                        </m:r>
                      </m:e>
                      <m:sub>
                        <m:r>
                          <m:t>Y</m:t>
                        </m:r>
                      </m:sub>
                    </m:sSub>
                  </m:num>
                  <m:den>
                    <m:sSub>
                      <m:e>
                        <m:r>
                          <m:t>Q</m:t>
                        </m:r>
                      </m:e>
                      <m:sub>
                        <m:r>
                          <m:t>Y</m:t>
                        </m:r>
                      </m:sub>
                    </m:sSub>
                  </m:den>
                </m:f>
                <m:r>
                  <m:rPr>
                    <m:sty m:val="p"/>
                  </m:rPr>
                  <m:t>×</m:t>
                </m:r>
                <m:r>
                  <m:t>100</m:t>
                </m:r>
              </m:oMath>
            </m:oMathPara>
          </w:p>
        </w:tc>
        <w:tc>
          <w:tcPr>
            <w:tcW w:w="1134" w:type="dxa"/>
            <w:vAlign w:val="center"/>
          </w:tcPr>
          <w:p>
            <w:pPr>
              <w:pStyle w:val="EcuacionAPA"/>
              <w:jc w:val="right"/>
            </w:pPr>
            <w:r>
              <w:t>(13)</w:t>
            </w:r>
          </w:p>
        </w:tc>
      </w:tr>
    </w:tbl>
    <w:p>
      <w:pPr>
        <w:pStyle w:val="FirstParagraph"/>
        <w:ind w:firstLine="0"/>
      </w:pPr>
      <w:r>
        <w:t xml:space="preserve"/>
      </w:r>
      <w:r>
        <w:t xml:space="preserve"/>
      </w:r>
      <w:r>
        <w:t xml:space="preserve">donde</w:t>
      </w:r>
      <w:r>
        <w:t xml:space="preserve"> </w:t>
      </w:r>
      <m:oMath>
        <m:sSub>
          <m:e>
            <m:r>
              <m:t>δ</m:t>
            </m:r>
          </m:e>
          <m:sub>
            <m:r>
              <m:t>C</m:t>
            </m:r>
            <m:r>
              <m:rPr>
                <m:sty m:val="p"/>
              </m:rPr>
              <m:t>/</m:t>
            </m:r>
            <m:r>
              <m:t>T</m:t>
            </m:r>
          </m:sub>
        </m:sSub>
      </m:oMath>
      <w:r>
        <w:t xml:space="preserve"> </w:t>
      </w:r>
      <w:r>
        <w:t xml:space="preserve">es el índice de desperdicio del paño (ecuación 12),</w:t>
      </w:r>
      <w:r>
        <w:t xml:space="preserve"> </w:t>
      </w:r>
      <m:oMath>
        <m:sSub>
          <m:e>
            <m:r>
              <m:t>δ</m:t>
            </m:r>
          </m:e>
          <m:sub>
            <m:r>
              <m:t>M</m:t>
            </m:r>
            <m:r>
              <m:rPr>
                <m:sty m:val="p"/>
              </m:rPr>
              <m:t>/</m:t>
            </m:r>
            <m:r>
              <m:t>T</m:t>
            </m:r>
          </m:sub>
        </m:sSub>
      </m:oMath>
      <w:r>
        <w:t xml:space="preserve"> </w:t>
      </w:r>
      <w:r>
        <w:t xml:space="preserve">compara la medición con los planos y</w:t>
      </w:r>
      <w:r>
        <w:t xml:space="preserve"> </w:t>
      </w:r>
      <m:oMath>
        <m:sSub>
          <m:e>
            <m:r>
              <m:t>δ</m:t>
            </m:r>
          </m:e>
          <m:sub>
            <m:r>
              <m:t>P</m:t>
            </m:r>
            <m:r>
              <m:rPr>
                <m:sty m:val="p"/>
              </m:rPr>
              <m:t>/</m:t>
            </m:r>
            <m:r>
              <m:t>M</m:t>
            </m:r>
          </m:sub>
        </m:sSub>
      </m:oMath>
      <w:r>
        <w:t xml:space="preserve"> </w:t>
      </w:r>
      <w:r>
        <w:t xml:space="preserve">compara lo pagado con lo medido. A ellas se suman la diferencia de inventario</w:t>
      </w:r>
      <w:r>
        <w:t xml:space="preserve"> </w:t>
      </w:r>
      <m:oMath>
        <m:sSub>
          <m:e>
            <m:r>
              <m:t>Δ</m:t>
            </m:r>
          </m:e>
          <m:sub>
            <m:r>
              <m:t>I</m:t>
            </m:r>
          </m:sub>
        </m:sSub>
        <m:r>
          <m:rPr>
            <m:sty m:val="p"/>
          </m:rPr>
          <m:t>=</m:t>
        </m:r>
        <m:sSub>
          <m:e>
            <m:r>
              <m:t>Q</m:t>
            </m:r>
          </m:e>
          <m:sub>
            <m:r>
              <m:t>E</m:t>
            </m:r>
          </m:sub>
        </m:sSub>
        <m:r>
          <m:rPr>
            <m:sty m:val="p"/>
          </m:rPr>
          <m:t>−</m:t>
        </m:r>
        <m:sSub>
          <m:e>
            <m:r>
              <m:t>Q</m:t>
            </m:r>
          </m:e>
          <m:sub>
            <m:r>
              <m:t>C</m:t>
            </m:r>
          </m:sub>
        </m:sSub>
        <m:r>
          <m:rPr>
            <m:sty m:val="p"/>
          </m:rPr>
          <m:t>−</m:t>
        </m:r>
        <m:sSub>
          <m:e>
            <m:r>
              <m:t>I</m:t>
            </m:r>
          </m:e>
          <m:sub>
            <m:r>
              <m:t>F</m:t>
            </m:r>
          </m:sub>
        </m:sSub>
      </m:oMath>
      <w:r>
        <w:t xml:space="preserve">, donde</w:t>
      </w:r>
      <w:r>
        <w:t xml:space="preserve"> </w:t>
      </w:r>
      <m:oMath>
        <m:sSub>
          <m:e>
            <m:r>
              <m:t>I</m:t>
            </m:r>
          </m:e>
          <m:sub>
            <m:r>
              <m:t>F</m:t>
            </m:r>
          </m:sub>
        </m:sSub>
      </m:oMath>
      <w:r>
        <w:t xml:space="preserve"> </w:t>
      </w:r>
      <w:r>
        <w:t xml:space="preserve">es la existencia física contada, y la cuantía de acero de la losa en kg/m</w:t>
      </w:r>
      <w:r>
        <w:rPr>
          <w:vertAlign w:val="superscript"/>
        </w:rPr>
        <w:t xml:space="preserve">2</w:t>
      </w:r>
      <w:r>
        <w:t xml:space="preserve">. La Tabla 38 fija los umbrales de alerta. Cuando un control supera su umbral, el encargado de calidad abre una no conformidad, informa a la Supervisión y no presenta ese ítem en la planilla hasta explicar o corregir la diferencia. La medición sigue la regla del contrato: las obras se miden netas y no se miden volúmenes excedentes que la Supervisión no haya aprobado por escrito</w:t>
      </w:r>
      <w:r>
        <w:t xml:space="preserve"> </w:t>
      </w:r>
      <w:r>
        <w:t xml:space="preserve">(UATF, 2025, p. 99)</w:t>
      </w:r>
      <w:r>
        <w:t xml:space="preserve">; por eso el acero se mide con la planilla de armado de cada paño, documento que faltó en la planilla N.</w:t>
      </w:r>
      <w:r>
        <w:rPr>
          <w:vertAlign w:val="superscript"/>
        </w:rPr>
        <w:t xml:space="preserve">o</w:t>
      </w:r>
      <w:r>
        <w:t xml:space="preserve"> 2</w:t>
      </w:r>
      <w:r>
        <w:t xml:space="preserve"> </w:t>
      </w:r>
      <w:r>
        <w:t xml:space="preserve">(UATF, 2025, p. 20)</w:t>
      </w:r>
      <w:r>
        <w:t xml:space="preserve">.</w:t>
      </w:r>
    </w:p>
    <w:p>
      <w:pPr>
        <w:pStyle w:val="Caption"/>
      </w:pPr>
      <w:bookmarkStart w:id="1441" w:name="tab38"/>
      <w:r>
        <w:t xml:space="preserve"/>
      </w:r>
      <w:r>
        <w:rPr>
          <w:bCs/>
          <w:b/>
        </w:rPr>
        <w:t xml:space="preserve">Tabla 38</w:t>
      </w:r>
      <w:r>
        <w:br/>
      </w:r>
      <w:r>
        <w:rPr>
          <w:iCs/>
          <w:i/>
        </w:rPr>
        <w:t xml:space="preserve">Controles de conciliación de cantidades y umbrales de alerta (PCM-04)</w:t>
      </w:r>
      <w:bookmarkEnd w:id="1441"/>
    </w:p>
    <w:tbl>
      <w:tblPr>
        <w:tblStyle w:val="Table"/>
        <w:tblW w:w="9359" w:type="dxa"/>
        <w:jc w:val="left"/>
        <w:tblLayout w:type="fixed"/>
        <w:tblCellMar>
          <w:top w:w="0" w:type="dxa"/>
          <w:left w:w="85" w:type="dxa"/>
          <w:bottom w:w="0" w:type="dxa"/>
          <w:right w:w="85" w:type="dxa"/>
        </w:tblCellMar>
        <w:tblLook w:firstRow="1" w:lastRow="0" w:firstColumn="0" w:lastColumn="0" w:noHBand="0" w:noVBand="0" w:val="0020"/>
      </w:tblPr>
      <w:tblGrid>
        <w:gridCol w:w="2256"/>
        <w:gridCol w:w="2143"/>
        <w:gridCol w:w="2256"/>
        <w:gridCol w:w="2704"/>
      </w:tblGrid>
      <w:tr>
        <w:trPr>
          <w:cantSplit/>
          <w:tblHeader w:val="true"/>
        </w:trPr>
        <w:tc>
          <w:tcPr>
            <w:tcW w:w="2256" w:type="dxa"/>
            <w:tcBorders>
              <w:top w:val="single" w:sz="8" w:space="0" w:color="000000"/>
              <w:bottom w:val="single" w:sz="4" w:space="0" w:color="000000"/>
            </w:tcBorders>
          </w:tcPr>
          <w:p>
            <w:pPr>
              <w:pStyle w:val="CeldaAPA"/>
              <w:jc w:val="center"/>
            </w:pPr>
            <w:r>
              <w:rPr>
                <w:bCs/>
                <w:b/>
              </w:rPr>
              <w:t xml:space="preserve">Control</w:t>
            </w:r>
          </w:p>
        </w:tc>
        <w:tc>
          <w:tcPr>
            <w:tcW w:w="2143" w:type="dxa"/>
            <w:tcBorders>
              <w:top w:val="single" w:sz="8" w:space="0" w:color="000000"/>
              <w:bottom w:val="single" w:sz="4" w:space="0" w:color="000000"/>
            </w:tcBorders>
          </w:tcPr>
          <w:p>
            <w:pPr>
              <w:pStyle w:val="CeldaAPA"/>
              <w:jc w:val="center"/>
            </w:pPr>
            <w:r>
              <w:rPr>
                <w:bCs/>
                <w:b/>
              </w:rPr>
              <w:t xml:space="preserve">Expresión</w:t>
            </w:r>
          </w:p>
        </w:tc>
        <w:tc>
          <w:tcPr>
            <w:tcW w:w="2256" w:type="dxa"/>
            <w:tcBorders>
              <w:top w:val="single" w:sz="8" w:space="0" w:color="000000"/>
              <w:bottom w:val="single" w:sz="4" w:space="0" w:color="000000"/>
            </w:tcBorders>
          </w:tcPr>
          <w:p>
            <w:pPr>
              <w:pStyle w:val="CeldaAPA"/>
              <w:jc w:val="center"/>
            </w:pPr>
            <w:r>
              <w:rPr>
                <w:bCs/>
                <w:b/>
              </w:rPr>
              <w:t xml:space="preserve">Umbral de alerta</w:t>
            </w:r>
          </w:p>
        </w:tc>
        <w:tc>
          <w:tcPr>
            <w:tcW w:w="2704" w:type="dxa"/>
            <w:tcBorders>
              <w:top w:val="single" w:sz="8" w:space="0" w:color="000000"/>
              <w:bottom w:val="single" w:sz="4" w:space="0" w:color="000000"/>
            </w:tcBorders>
          </w:tcPr>
          <w:p>
            <w:pPr>
              <w:pStyle w:val="CeldaAPA"/>
              <w:jc w:val="center"/>
            </w:pPr>
            <w:r>
              <w:rPr>
                <w:bCs/>
                <w:b/>
              </w:rPr>
              <w:t xml:space="preserve">Acción</w:t>
            </w:r>
          </w:p>
        </w:tc>
      </w:tr>
      <w:tr>
        <w:tc>
          <w:tcPr>
            <w:tcW w:w="2256" w:type="dxa"/>
          </w:tcPr>
          <w:p>
            <w:pPr>
              <w:pStyle w:val="CeldaAPA"/>
              <w:jc w:val="left"/>
            </w:pPr>
            <w:r>
              <w:rPr/>
              <w:t xml:space="preserve">Inventario</w:t>
            </w:r>
          </w:p>
        </w:tc>
        <w:tc>
          <w:tcPr>
            <w:tcW w:w="2143" w:type="dxa"/>
          </w:tcPr>
          <w:p>
            <w:pPr>
              <w:pStyle w:val="CeldaAPA"/>
              <w:jc w:val="left"/>
            </w:pPr>
            <m:oMath>
              <m:sSub>
                <m:e>
                  <m:r>
                    <m:t>Δ</m:t>
                  </m:r>
                </m:e>
                <m:sub>
                  <m:r>
                    <m:t>I</m:t>
                  </m:r>
                </m:sub>
              </m:sSub>
              <m:r>
                <m:rPr>
                  <m:sty m:val="p"/>
                </m:rPr>
                <m:t>=</m:t>
              </m:r>
              <m:sSub>
                <m:e>
                  <m:r>
                    <m:t>Q</m:t>
                  </m:r>
                </m:e>
                <m:sub>
                  <m:r>
                    <m:t>E</m:t>
                  </m:r>
                </m:sub>
              </m:sSub>
              <m:r>
                <m:rPr>
                  <m:sty m:val="p"/>
                </m:rPr>
                <m:t>−</m:t>
              </m:r>
              <m:sSub>
                <m:e>
                  <m:r>
                    <m:t>Q</m:t>
                  </m:r>
                </m:e>
                <m:sub>
                  <m:r>
                    <m:t>C</m:t>
                  </m:r>
                </m:sub>
              </m:sSub>
              <m:r>
                <m:rPr>
                  <m:sty m:val="p"/>
                </m:rPr>
                <m:t>−</m:t>
              </m:r>
              <m:sSub>
                <m:e>
                  <m:r>
                    <m:t>I</m:t>
                  </m:r>
                </m:e>
                <m:sub>
                  <m:r>
                    <m:t>F</m:t>
                  </m:r>
                </m:sub>
              </m:sSub>
            </m:oMath>
          </w:p>
        </w:tc>
        <w:tc>
          <w:tcPr>
            <w:tcW w:w="2256" w:type="dxa"/>
          </w:tcPr>
          <w:p>
            <w:pPr>
              <w:pStyle w:val="CeldaAPA"/>
              <w:jc w:val="left"/>
            </w:pPr>
            <w:r>
              <w:rPr/>
              <w:t xml:space="preserve">Piezas y bolsas: 0; áridos: 5 % de</w:t>
            </w:r>
            <w:r>
              <w:rPr/>
              <w:t xml:space="preserve"> </w:t>
            </w:r>
            <m:oMath>
              <m:sSub>
                <m:e>
                  <m:r>
                    <m:t>Q</m:t>
                  </m:r>
                </m:e>
                <m:sub>
                  <m:r>
                    <m:t>E</m:t>
                  </m:r>
                </m:sub>
              </m:sSub>
            </m:oMath>
          </w:p>
        </w:tc>
        <w:tc>
          <w:tcPr>
            <w:tcW w:w="2704" w:type="dxa"/>
          </w:tcPr>
          <w:p>
            <w:pPr>
              <w:pStyle w:val="CeldaAPA"/>
              <w:jc w:val="left"/>
            </w:pPr>
            <w:r>
              <w:rPr/>
              <w:t xml:space="preserve">Reconteo; no conformidad si persiste</w:t>
            </w:r>
          </w:p>
        </w:tc>
      </w:tr>
      <w:tr>
        <w:tc>
          <w:tcPr>
            <w:tcW w:w="2256" w:type="dxa"/>
          </w:tcPr>
          <w:p>
            <w:pPr>
              <w:pStyle w:val="CeldaAPA"/>
              <w:jc w:val="left"/>
            </w:pPr>
            <w:r>
              <w:rPr/>
              <w:t xml:space="preserve">Desperdicio del paño</w:t>
            </w:r>
          </w:p>
        </w:tc>
        <w:tc>
          <w:tcPr>
            <w:tcW w:w="2143" w:type="dxa"/>
          </w:tcPr>
          <w:p>
            <w:pPr>
              <w:pStyle w:val="CeldaAPA"/>
              <w:jc w:val="left"/>
            </w:pPr>
            <m:oMath>
              <m:sSub>
                <m:e>
                  <m:r>
                    <m:t>δ</m:t>
                  </m:r>
                </m:e>
                <m:sub>
                  <m:r>
                    <m:t>C</m:t>
                  </m:r>
                  <m:r>
                    <m:rPr>
                      <m:sty m:val="p"/>
                    </m:rPr>
                    <m:t>/</m:t>
                  </m:r>
                  <m:r>
                    <m:t>T</m:t>
                  </m:r>
                </m:sub>
              </m:sSub>
              <m:r>
                <m:rPr>
                  <m:sty m:val="p"/>
                </m:rPr>
                <m:t>=</m:t>
              </m:r>
              <m:r>
                <m:t>I</m:t>
              </m:r>
              <m:r>
                <m:t>D</m:t>
              </m:r>
              <m:sSub>
                <m:e>
                  <m:r>
                    <m:t>M</m:t>
                  </m:r>
                </m:e>
                <m:sub>
                  <m:r>
                    <m:t>k</m:t>
                  </m:r>
                </m:sub>
              </m:sSub>
            </m:oMath>
          </w:p>
        </w:tc>
        <w:tc>
          <w:tcPr>
            <w:tcW w:w="2256" w:type="dxa"/>
          </w:tcPr>
          <w:p>
            <w:pPr>
              <w:pStyle w:val="CeldaAPA"/>
              <w:jc w:val="left"/>
            </w:pPr>
            <w:r>
              <w:rPr/>
              <w:t xml:space="preserve">Mayor que la meta (OC1 a OC4)</w:t>
            </w:r>
          </w:p>
        </w:tc>
        <w:tc>
          <w:tcPr>
            <w:tcW w:w="2704" w:type="dxa"/>
          </w:tcPr>
          <w:p>
            <w:pPr>
              <w:pStyle w:val="CeldaAPA"/>
              <w:jc w:val="left"/>
            </w:pPr>
            <w:r>
              <w:rPr/>
              <w:t xml:space="preserve">Análisis de causa antes del paño siguiente</w:t>
            </w:r>
          </w:p>
        </w:tc>
      </w:tr>
      <w:tr>
        <w:tc>
          <w:tcPr>
            <w:tcW w:w="2256" w:type="dxa"/>
          </w:tcPr>
          <w:p>
            <w:pPr>
              <w:pStyle w:val="CeldaAPA"/>
              <w:jc w:val="left"/>
            </w:pPr>
            <w:r>
              <w:rPr/>
              <w:t xml:space="preserve">Medición frente a planos</w:t>
            </w:r>
          </w:p>
        </w:tc>
        <w:tc>
          <w:tcPr>
            <w:tcW w:w="2143" w:type="dxa"/>
          </w:tcPr>
          <w:p>
            <w:pPr>
              <w:pStyle w:val="CeldaAPA"/>
              <w:jc w:val="left"/>
            </w:pPr>
            <m:oMath>
              <m:sSub>
                <m:e>
                  <m:r>
                    <m:t>δ</m:t>
                  </m:r>
                </m:e>
                <m:sub>
                  <m:r>
                    <m:t>M</m:t>
                  </m:r>
                  <m:r>
                    <m:rPr>
                      <m:sty m:val="p"/>
                    </m:rPr>
                    <m:t>/</m:t>
                  </m:r>
                  <m:r>
                    <m:t>T</m:t>
                  </m:r>
                </m:sub>
              </m:sSub>
            </m:oMath>
          </w:p>
        </w:tc>
        <w:tc>
          <w:tcPr>
            <w:tcW w:w="2256" w:type="dxa"/>
          </w:tcPr>
          <w:p>
            <w:pPr>
              <w:pStyle w:val="CeldaAPA"/>
              <w:jc w:val="left"/>
            </w:pPr>
            <m:oMath>
              <m:r>
                <m:rPr>
                  <m:sty m:val="p"/>
                </m:rPr>
                <m:t>±</m:t>
              </m:r>
              <m:r>
                <m:t>1</m:t>
              </m:r>
            </m:oMath>
            <w:r>
              <w:rPr/>
              <w:t xml:space="preserve"> %</w:t>
            </w:r>
          </w:p>
        </w:tc>
        <w:tc>
          <w:tcPr>
            <w:tcW w:w="2704" w:type="dxa"/>
          </w:tcPr>
          <w:p>
            <w:pPr>
              <w:pStyle w:val="CeldaAPA"/>
              <w:jc w:val="left"/>
            </w:pPr>
            <w:r>
              <w:rPr/>
              <w:t xml:space="preserve">Exigir el cambio aprobado; si no existe, se mide lo neto de planos</w:t>
            </w:r>
          </w:p>
        </w:tc>
      </w:tr>
      <w:tr>
        <w:tc>
          <w:tcPr>
            <w:tcW w:w="2256" w:type="dxa"/>
          </w:tcPr>
          <w:p>
            <w:pPr>
              <w:pStyle w:val="CeldaAPA"/>
              <w:jc w:val="left"/>
            </w:pPr>
            <w:r>
              <w:rPr/>
              <w:t xml:space="preserve">Pago frente a medición</w:t>
            </w:r>
          </w:p>
        </w:tc>
        <w:tc>
          <w:tcPr>
            <w:tcW w:w="2143" w:type="dxa"/>
          </w:tcPr>
          <w:p>
            <w:pPr>
              <w:pStyle w:val="CeldaAPA"/>
              <w:jc w:val="left"/>
            </w:pPr>
            <m:oMath>
              <m:sSub>
                <m:e>
                  <m:r>
                    <m:t>δ</m:t>
                  </m:r>
                </m:e>
                <m:sub>
                  <m:r>
                    <m:t>P</m:t>
                  </m:r>
                  <m:r>
                    <m:rPr>
                      <m:sty m:val="p"/>
                    </m:rPr>
                    <m:t>/</m:t>
                  </m:r>
                  <m:r>
                    <m:t>M</m:t>
                  </m:r>
                </m:sub>
              </m:sSub>
            </m:oMath>
            <w:r>
              <w:rPr/>
              <w:t xml:space="preserve"> </w:t>
            </w:r>
            <w:r>
              <w:rPr/>
              <w:t xml:space="preserve">(acumulado)</w:t>
            </w:r>
          </w:p>
        </w:tc>
        <w:tc>
          <w:tcPr>
            <w:tcW w:w="2256" w:type="dxa"/>
          </w:tcPr>
          <w:p>
            <w:pPr>
              <w:pStyle w:val="CeldaAPA"/>
              <w:jc w:val="left"/>
            </w:pPr>
            <w:r>
              <w:rPr/>
              <w:t xml:space="preserve">Cualquier diferencia</w:t>
            </w:r>
          </w:p>
        </w:tc>
        <w:tc>
          <w:tcPr>
            <w:tcW w:w="2704" w:type="dxa"/>
          </w:tcPr>
          <w:p>
            <w:pPr>
              <w:pStyle w:val="CeldaAPA"/>
              <w:jc w:val="left"/>
            </w:pPr>
            <w:r>
              <w:rPr/>
              <w:t xml:space="preserve">Corregir antes de presentar la planilla</w:t>
            </w:r>
          </w:p>
        </w:tc>
      </w:tr>
      <w:tr>
        <w:tc>
          <w:tcPr>
            <w:tcW w:w="2256" w:type="dxa"/>
          </w:tcPr>
          <w:p>
            <w:pPr>
              <w:pStyle w:val="CeldaAPA"/>
              <w:jc w:val="left"/>
            </w:pPr>
            <w:r>
              <w:rPr/>
              <w:t xml:space="preserve">Cuantía de acero de la losa</w:t>
            </w:r>
          </w:p>
        </w:tc>
        <w:tc>
          <w:tcPr>
            <w:tcW w:w="2143" w:type="dxa"/>
          </w:tcPr>
          <w:p>
            <w:pPr>
              <w:pStyle w:val="CeldaAPA"/>
              <w:jc w:val="left"/>
            </w:pPr>
            <w:r>
              <w:rPr/>
              <w:t xml:space="preserve">kg medidos / m</w:t>
            </w:r>
            <w:r>
              <w:rPr>
                <w:vertAlign w:val="superscript"/>
              </w:rPr>
              <w:t xml:space="preserve">2</w:t>
            </w:r>
            <w:r>
              <w:rPr/>
              <w:t xml:space="preserve"> </w:t>
            </w:r>
            <w:r>
              <w:rPr/>
              <w:t xml:space="preserve">medidos</w:t>
            </w:r>
          </w:p>
        </w:tc>
        <w:tc>
          <w:tcPr>
            <w:tcW w:w="2256" w:type="dxa"/>
          </w:tcPr>
          <w:p>
            <w:pPr>
              <w:pStyle w:val="CeldaAPA"/>
              <w:jc w:val="left"/>
            </w:pPr>
            <m:oMath>
              <m:r>
                <m:rPr>
                  <m:sty m:val="p"/>
                </m:rPr>
                <m:t>±</m:t>
              </m:r>
              <m:r>
                <m:t>5</m:t>
              </m:r>
            </m:oMath>
            <w:r>
              <w:rPr/>
              <w:t xml:space="preserve"> % del valor de planos</w:t>
            </w:r>
          </w:p>
        </w:tc>
        <w:tc>
          <w:tcPr>
            <w:tcW w:w="2704" w:type="dxa"/>
          </w:tcPr>
          <w:p>
            <w:pPr>
              <w:pStyle w:val="CeldaAPA"/>
              <w:jc w:val="left"/>
            </w:pPr>
            <w:r>
              <w:rPr/>
              <w:t xml:space="preserve">Revisar la planilla de armado y el cómputo</w:t>
            </w:r>
          </w:p>
        </w:tc>
      </w:tr>
      <w:tr>
        <w:tc>
          <w:tcPr>
            <w:tcW w:w="2256" w:type="dxa"/>
          </w:tcPr>
          <w:p>
            <w:pPr>
              <w:pStyle w:val="CeldaAPA"/>
              <w:jc w:val="left"/>
            </w:pPr>
            <w:r>
              <w:rPr/>
              <w:t xml:space="preserve">Coherencia entre documentos</w:t>
            </w:r>
          </w:p>
        </w:tc>
        <w:tc>
          <w:tcPr>
            <w:tcW w:w="2143" w:type="dxa"/>
          </w:tcPr>
          <w:p>
            <w:pPr>
              <w:pStyle w:val="CeldaAPA"/>
              <w:jc w:val="left"/>
            </w:pPr>
            <w:r>
              <w:rPr/>
              <w:t xml:space="preserve">Misma cantidad en planilla, cómputo e informes</w:t>
            </w:r>
          </w:p>
        </w:tc>
        <w:tc>
          <w:tcPr>
            <w:tcW w:w="2256" w:type="dxa"/>
          </w:tcPr>
          <w:p>
            <w:pPr>
              <w:pStyle w:val="CeldaAPA"/>
              <w:jc w:val="left"/>
            </w:pPr>
            <w:r>
              <w:rPr/>
              <w:t xml:space="preserve">Cualquier diferencia</w:t>
            </w:r>
          </w:p>
        </w:tc>
        <w:tc>
          <w:tcPr>
            <w:tcW w:w="2704" w:type="dxa"/>
          </w:tcPr>
          <w:p>
            <w:pPr>
              <w:pStyle w:val="CeldaAPA"/>
              <w:jc w:val="left"/>
            </w:pPr>
            <w:r>
              <w:rPr/>
              <w:t xml:space="preserve">Registro único de cantidades</w:t>
            </w:r>
          </w:p>
        </w:tc>
      </w:tr>
      <w:tr>
        <w:tc>
          <w:tcPr>
            <w:tcW w:w="2256" w:type="dxa"/>
            <w:tcBorders>
              <w:bottom w:val="single" w:sz="8" w:space="0" w:color="000000"/>
            </w:tcBorders>
          </w:tcPr>
          <w:p>
            <w:pPr>
              <w:pStyle w:val="CeldaAPA"/>
              <w:jc w:val="left"/>
            </w:pPr>
            <w:r>
              <w:rPr/>
              <w:t xml:space="preserve">Ítem de pago</w:t>
            </w:r>
          </w:p>
        </w:tc>
        <w:tc>
          <w:tcPr>
            <w:tcW w:w="2143" w:type="dxa"/>
            <w:tcBorders>
              <w:bottom w:val="single" w:sz="8" w:space="0" w:color="000000"/>
            </w:tcBorders>
          </w:tcPr>
          <w:p>
            <w:pPr>
              <w:pStyle w:val="CeldaAPA"/>
              <w:jc w:val="left"/>
            </w:pPr>
            <w:r>
              <w:rPr/>
              <w:t xml:space="preserve">Kg de acero asignados a cada ítem</w:t>
            </w:r>
          </w:p>
        </w:tc>
        <w:tc>
          <w:tcPr>
            <w:tcW w:w="2256" w:type="dxa"/>
            <w:tcBorders>
              <w:bottom w:val="single" w:sz="8" w:space="0" w:color="000000"/>
            </w:tcBorders>
          </w:tcPr>
          <w:p>
            <w:pPr>
              <w:pStyle w:val="CeldaAPA"/>
              <w:jc w:val="left"/>
            </w:pPr>
            <w:r>
              <w:rPr/>
              <w:t xml:space="preserve">Superposición distinta de cero</w:t>
            </w:r>
          </w:p>
        </w:tc>
        <w:tc>
          <w:tcPr>
            <w:tcW w:w="2704" w:type="dxa"/>
            <w:tcBorders>
              <w:bottom w:val="single" w:sz="8" w:space="0" w:color="000000"/>
            </w:tcBorders>
          </w:tcPr>
          <w:p>
            <w:pPr>
              <w:pStyle w:val="CeldaAPA"/>
              <w:jc w:val="left"/>
            </w:pPr>
            <w:r>
              <w:rPr/>
              <w:t xml:space="preserve">Definir con el APU el único ítem de pago</w:t>
            </w:r>
          </w:p>
        </w:tc>
      </w:tr>
    </w:tbl>
    <w:p>
      <w:pPr>
        <w:pStyle w:val="NotaAPA"/>
      </w:pPr>
      <w:r>
        <w:rPr>
          <w:iCs/>
          <w:i/>
        </w:rPr>
        <w:t xml:space="preserve">Nota.</w:t>
      </w:r>
      <w:r>
        <w:t xml:space="preserve"> </w:t>
      </w:r>
      <w:r>
        <w:t xml:space="preserve">Elaboración propia. Los umbrales son propuestas del autor para la gestión del SGC; deben validarse por juicio de expertos y aprobarse con el plan de la calidad.</w:t>
      </w:r>
      <w:r>
        <w:t xml:space="preserve"> </w:t>
      </w:r>
      <m:oMath>
        <m:sSub>
          <m:e>
            <m:r>
              <m:t>Q</m:t>
            </m:r>
          </m:e>
          <m:sub>
            <m:r>
              <m:t>T</m:t>
            </m:r>
          </m:sub>
        </m:sSub>
      </m:oMath>
      <w:r>
        <w:t xml:space="preserve">: teórica;</w:t>
      </w:r>
      <w:r>
        <w:t xml:space="preserve"> </w:t>
      </w:r>
      <m:oMath>
        <m:sSub>
          <m:e>
            <m:r>
              <m:t>Q</m:t>
            </m:r>
          </m:e>
          <m:sub>
            <m:r>
              <m:t>E</m:t>
            </m:r>
          </m:sub>
        </m:sSub>
      </m:oMath>
      <w:r>
        <w:t xml:space="preserve">: entregada;</w:t>
      </w:r>
      <w:r>
        <w:t xml:space="preserve"> </w:t>
      </w:r>
      <m:oMath>
        <m:sSub>
          <m:e>
            <m:r>
              <m:t>Q</m:t>
            </m:r>
          </m:e>
          <m:sub>
            <m:r>
              <m:t>C</m:t>
            </m:r>
          </m:sub>
        </m:sSub>
      </m:oMath>
      <w:r>
        <w:t xml:space="preserve">: colocada;</w:t>
      </w:r>
      <w:r>
        <w:t xml:space="preserve"> </w:t>
      </w:r>
      <m:oMath>
        <m:sSub>
          <m:e>
            <m:r>
              <m:t>Q</m:t>
            </m:r>
          </m:e>
          <m:sub>
            <m:r>
              <m:t>M</m:t>
            </m:r>
          </m:sub>
        </m:sSub>
      </m:oMath>
      <w:r>
        <w:t xml:space="preserve">: medida;</w:t>
      </w:r>
      <w:r>
        <w:t xml:space="preserve"> </w:t>
      </w:r>
      <m:oMath>
        <m:sSub>
          <m:e>
            <m:r>
              <m:t>Q</m:t>
            </m:r>
          </m:e>
          <m:sub>
            <m:r>
              <m:t>P</m:t>
            </m:r>
          </m:sub>
        </m:sSub>
      </m:oMath>
      <w:r>
        <w:t xml:space="preserve">: pagada;</w:t>
      </w:r>
      <w:r>
        <w:t xml:space="preserve"> </w:t>
      </w:r>
      <m:oMath>
        <m:sSub>
          <m:e>
            <m:r>
              <m:t>I</m:t>
            </m:r>
          </m:e>
          <m:sub>
            <m:r>
              <m:t>F</m:t>
            </m:r>
          </m:sub>
        </m:sSub>
      </m:oMath>
      <w:r>
        <w:t xml:space="preserve">: existencia física.</w:t>
      </w:r>
    </w:p>
    <w:p>
      <w:pPr>
        <w:pStyle w:val="BodyText"/>
      </w:pPr>
      <w:r>
        <w:rPr>
          <w:bCs/>
          <w:b/>
        </w:rPr>
        <w:t xml:space="preserve">Aplicación a las inconsistencias del acero de la línea base.</w:t>
      </w:r>
      <w:r>
        <w:t xml:space="preserve"> </w:t>
      </w:r>
      <w:r>
        <w:t xml:space="preserve">La Tabla 39 aplica estos controles, de forma retrospectiva, a los datos documentados del acero. Cada control habría dado una alerta en el mes en que se originó la diferencia, y no al cierre del contrato. El control de cuantía, por ejemplo, habría detectado de inmediato que 12.513,54 kg para 1.109,84 m</w:t>
      </w:r>
      <w:r>
        <w:rPr>
          <w:vertAlign w:val="superscript"/>
        </w:rPr>
        <w:t xml:space="preserve">2</w:t>
      </w:r>
      <w:r>
        <w:t xml:space="preserve"> </w:t>
      </w:r>
      <w:r>
        <w:t xml:space="preserve">equivalen a 11,28 kg/m</w:t>
      </w:r>
      <w:r>
        <w:rPr>
          <w:vertAlign w:val="superscript"/>
        </w:rPr>
        <w:t xml:space="preserve">2</w:t>
      </w:r>
      <w:r>
        <w:t xml:space="preserve">, el triple de la cuantía de la planilla N.</w:t>
      </w:r>
      <w:r>
        <w:rPr>
          <w:vertAlign w:val="superscript"/>
        </w:rPr>
        <w:t xml:space="preserve">o</w:t>
      </w:r>
      <w:r>
        <w:t xml:space="preserve"> 2. Los resultados son alertas que exigen explicación; no prueban por sí mismos un error ni un pago indebido, y deben verificarlos la Supervisión y la Fiscalización.</w:t>
      </w:r>
    </w:p>
    <w:p>
      <w:pPr>
        <w:pStyle w:val="Caption"/>
      </w:pPr>
      <w:bookmarkStart w:id="1442" w:name="tab39"/>
      <w:r>
        <w:t xml:space="preserve"/>
      </w:r>
      <w:r>
        <w:rPr>
          <w:bCs/>
          <w:b/>
        </w:rPr>
        <w:t xml:space="preserve">Tabla 39</w:t>
      </w:r>
      <w:r>
        <w:br/>
      </w:r>
      <w:r>
        <w:rPr>
          <w:iCs/>
          <w:i/>
        </w:rPr>
        <w:t xml:space="preserve">Aplicación retrospectiva de la conciliación al acero de la primera losa</w:t>
      </w:r>
      <w:bookmarkEnd w:id="1442"/>
    </w:p>
    <w:tbl>
      <w:tblPr>
        <w:tblStyle w:val="Table"/>
        <w:tblW w:w="9359" w:type="dxa"/>
        <w:jc w:val="left"/>
        <w:tblLayout w:type="fixed"/>
        <w:tblCellMar>
          <w:top w:w="0" w:type="dxa"/>
          <w:left w:w="85" w:type="dxa"/>
          <w:bottom w:w="0" w:type="dxa"/>
          <w:right w:w="85" w:type="dxa"/>
        </w:tblCellMar>
        <w:tblLook w:firstRow="1" w:lastRow="0" w:firstColumn="0" w:lastColumn="0" w:noHBand="0" w:noVBand="0" w:val="0020"/>
      </w:tblPr>
      <w:tblGrid>
        <w:gridCol w:w="1837"/>
        <w:gridCol w:w="3250"/>
        <w:gridCol w:w="2163"/>
        <w:gridCol w:w="2109"/>
      </w:tblGrid>
      <w:tr>
        <w:trPr>
          <w:cantSplit/>
          <w:tblHeader w:val="true"/>
        </w:trPr>
        <w:tc>
          <w:tcPr>
            <w:tcW w:w="1837" w:type="dxa"/>
            <w:tcBorders>
              <w:top w:val="single" w:sz="8" w:space="0" w:color="000000"/>
              <w:bottom w:val="single" w:sz="4" w:space="0" w:color="000000"/>
            </w:tcBorders>
          </w:tcPr>
          <w:p>
            <w:pPr>
              <w:pStyle w:val="CeldaAPA"/>
              <w:jc w:val="center"/>
            </w:pPr>
            <w:r>
              <w:rPr>
                <w:bCs/>
                <w:b/>
              </w:rPr>
              <w:t xml:space="preserve">Control</w:t>
            </w:r>
          </w:p>
        </w:tc>
        <w:tc>
          <w:tcPr>
            <w:tcW w:w="3250" w:type="dxa"/>
            <w:tcBorders>
              <w:top w:val="single" w:sz="8" w:space="0" w:color="000000"/>
              <w:bottom w:val="single" w:sz="4" w:space="0" w:color="000000"/>
            </w:tcBorders>
          </w:tcPr>
          <w:p>
            <w:pPr>
              <w:pStyle w:val="CeldaAPA"/>
              <w:jc w:val="center"/>
            </w:pPr>
            <w:r>
              <w:rPr>
                <w:bCs/>
                <w:b/>
              </w:rPr>
              <w:t xml:space="preserve">Dato documentado</w:t>
            </w:r>
          </w:p>
        </w:tc>
        <w:tc>
          <w:tcPr>
            <w:tcW w:w="2163" w:type="dxa"/>
            <w:tcBorders>
              <w:top w:val="single" w:sz="8" w:space="0" w:color="000000"/>
              <w:bottom w:val="single" w:sz="4" w:space="0" w:color="000000"/>
            </w:tcBorders>
          </w:tcPr>
          <w:p>
            <w:pPr>
              <w:pStyle w:val="CeldaAPA"/>
              <w:jc w:val="center"/>
            </w:pPr>
            <w:r>
              <w:rPr>
                <w:bCs/>
                <w:b/>
              </w:rPr>
              <w:t xml:space="preserve">Resultado</w:t>
            </w:r>
          </w:p>
        </w:tc>
        <w:tc>
          <w:tcPr>
            <w:tcW w:w="2109" w:type="dxa"/>
            <w:tcBorders>
              <w:top w:val="single" w:sz="8" w:space="0" w:color="000000"/>
              <w:bottom w:val="single" w:sz="4" w:space="0" w:color="000000"/>
            </w:tcBorders>
          </w:tcPr>
          <w:p>
            <w:pPr>
              <w:pStyle w:val="CeldaAPA"/>
              <w:jc w:val="center"/>
            </w:pPr>
            <w:r>
              <w:rPr>
                <w:bCs/>
                <w:b/>
              </w:rPr>
              <w:t xml:space="preserve">Alerta y acción</w:t>
            </w:r>
          </w:p>
        </w:tc>
      </w:tr>
      <w:tr>
        <w:tc>
          <w:tcPr>
            <w:tcW w:w="1837" w:type="dxa"/>
          </w:tcPr>
          <w:p>
            <w:pPr>
              <w:pStyle w:val="CeldaAPA"/>
              <w:jc w:val="left"/>
            </w:pPr>
            <w:r>
              <w:rPr/>
              <w:t xml:space="preserve">Cuantía de acero de la losa</w:t>
            </w:r>
          </w:p>
        </w:tc>
        <w:tc>
          <w:tcPr>
            <w:tcW w:w="3250" w:type="dxa"/>
          </w:tcPr>
          <w:p>
            <w:pPr>
              <w:pStyle w:val="CeldaAPA"/>
              <w:jc w:val="left"/>
            </w:pPr>
            <w:r>
              <w:rPr/>
              <w:t xml:space="preserve">Planilla N.</w:t>
            </w:r>
            <w:r>
              <w:rPr>
                <w:vertAlign w:val="superscript"/>
              </w:rPr>
              <w:t xml:space="preserve">o</w:t>
            </w:r>
            <w:r>
              <w:rPr/>
              <w:t xml:space="preserve"> 2: 1,00 </w:t>
            </w:r>
            <m:oMath>
              <m:r>
                <m:rPr>
                  <m:sty m:val="p"/>
                </m:rPr>
                <m:t>×</m:t>
              </m:r>
            </m:oMath>
            <w:r>
              <w:rPr/>
              <w:t xml:space="preserve"> 4.171,18 kg; cómputo de cierre: 3 </w:t>
            </w:r>
            <m:oMath>
              <m:r>
                <m:rPr>
                  <m:sty m:val="p"/>
                </m:rPr>
                <m:t>×</m:t>
              </m:r>
            </m:oMath>
            <w:r>
              <w:rPr/>
              <w:t xml:space="preserve"> 4.171,18 = 12.513,54 kg; losa medida: 1.109,84 m</w:t>
            </w:r>
            <w:r>
              <w:rPr>
                <w:vertAlign w:val="superscript"/>
              </w:rPr>
              <w:t xml:space="preserve">2</w:t>
            </w:r>
          </w:p>
        </w:tc>
        <w:tc>
          <w:tcPr>
            <w:tcW w:w="2163" w:type="dxa"/>
          </w:tcPr>
          <w:p>
            <w:pPr>
              <w:pStyle w:val="CeldaAPA"/>
              <w:jc w:val="left"/>
            </w:pPr>
            <w:r>
              <w:rPr/>
              <w:t xml:space="preserve">3,76 kg/m</w:t>
            </w:r>
            <w:r>
              <w:rPr>
                <w:vertAlign w:val="superscript"/>
              </w:rPr>
              <w:t xml:space="preserve">2</w:t>
            </w:r>
            <w:r>
              <w:rPr/>
              <w:t xml:space="preserve"> </w:t>
            </w:r>
            <w:r>
              <w:rPr/>
              <w:t xml:space="preserve">frente a 11,28 kg/m</w:t>
            </w:r>
            <w:r>
              <w:rPr>
                <w:vertAlign w:val="superscript"/>
              </w:rPr>
              <w:t xml:space="preserve">2</w:t>
            </w:r>
            <w:r>
              <w:rPr/>
              <w:t xml:space="preserve">: +200 %</w:t>
            </w:r>
          </w:p>
        </w:tc>
        <w:tc>
          <w:tcPr>
            <w:tcW w:w="2109" w:type="dxa"/>
          </w:tcPr>
          <w:p>
            <w:pPr>
              <w:pStyle w:val="CeldaAPA"/>
              <w:jc w:val="left"/>
            </w:pPr>
            <w:r>
              <w:rPr/>
              <w:t xml:space="preserve">Sí: aclarar a qué corresponde el factor 3</w:t>
            </w:r>
          </w:p>
        </w:tc>
      </w:tr>
      <w:tr>
        <w:tc>
          <w:tcPr>
            <w:tcW w:w="1837" w:type="dxa"/>
          </w:tcPr>
          <w:p>
            <w:pPr>
              <w:pStyle w:val="CeldaAPA"/>
              <w:jc w:val="left"/>
            </w:pPr>
            <w:r>
              <w:rPr/>
              <w:t xml:space="preserve">Pago frente a medición</w:t>
            </w:r>
          </w:p>
        </w:tc>
        <w:tc>
          <w:tcPr>
            <w:tcW w:w="3250" w:type="dxa"/>
          </w:tcPr>
          <w:p>
            <w:pPr>
              <w:pStyle w:val="CeldaAPA"/>
              <w:jc w:val="left"/>
            </w:pPr>
            <w:r>
              <w:rPr/>
              <w:t xml:space="preserve">Acumulado pagado: 52.424,65 kg; medición de cierre: 50.509,49 kg</w:t>
            </w:r>
          </w:p>
        </w:tc>
        <w:tc>
          <w:tcPr>
            <w:tcW w:w="2163" w:type="dxa"/>
          </w:tcPr>
          <w:p>
            <w:pPr>
              <w:pStyle w:val="CeldaAPA"/>
              <w:jc w:val="left"/>
            </w:pPr>
            <m:oMath>
              <m:sSub>
                <m:e>
                  <m:r>
                    <m:t>δ</m:t>
                  </m:r>
                </m:e>
                <m:sub>
                  <m:r>
                    <m:t>P</m:t>
                  </m:r>
                  <m:r>
                    <m:rPr>
                      <m:sty m:val="p"/>
                    </m:rPr>
                    <m:t>/</m:t>
                  </m:r>
                  <m:r>
                    <m:t>M</m:t>
                  </m:r>
                </m:sub>
              </m:sSub>
              <m:r>
                <m:rPr>
                  <m:sty m:val="p"/>
                </m:rPr>
                <m:t>=</m:t>
              </m:r>
              <m:r>
                <m:rPr>
                  <m:sty m:val="p"/>
                </m:rPr>
                <m:t>+</m:t>
              </m:r>
              <m:r>
                <m:t>3</m:t>
              </m:r>
              <m:r>
                <m:rPr>
                  <m:sty m:val="p"/>
                </m:rPr>
                <m:t>,</m:t>
              </m:r>
              <m:r>
                <m:t>79</m:t>
              </m:r>
            </m:oMath>
            <w:r>
              <w:rPr/>
              <w:t xml:space="preserve"> % (descuento de 1.915,16 kg)</w:t>
            </w:r>
          </w:p>
        </w:tc>
        <w:tc>
          <w:tcPr>
            <w:tcW w:w="2109" w:type="dxa"/>
          </w:tcPr>
          <w:p>
            <w:pPr>
              <w:pStyle w:val="CeldaAPA"/>
              <w:jc w:val="left"/>
            </w:pPr>
            <w:r>
              <w:rPr/>
              <w:t xml:space="preserve">Sí: conciliar por elemento en cada planilla</w:t>
            </w:r>
          </w:p>
        </w:tc>
      </w:tr>
      <w:tr>
        <w:tc>
          <w:tcPr>
            <w:tcW w:w="1837" w:type="dxa"/>
          </w:tcPr>
          <w:p>
            <w:pPr>
              <w:pStyle w:val="CeldaAPA"/>
              <w:jc w:val="left"/>
            </w:pPr>
            <w:r>
              <w:rPr/>
              <w:t xml:space="preserve">Variación por partidas</w:t>
            </w:r>
          </w:p>
        </w:tc>
        <w:tc>
          <w:tcPr>
            <w:tcW w:w="3250" w:type="dxa"/>
          </w:tcPr>
          <w:p>
            <w:pPr>
              <w:pStyle w:val="CeldaAPA"/>
              <w:jc w:val="left"/>
            </w:pPr>
            <w:r>
              <w:rPr/>
              <w:t xml:space="preserve">La línea de la losa sube 8.342,36 kg y el total baja 1.915,42 kg</w:t>
            </w:r>
          </w:p>
        </w:tc>
        <w:tc>
          <w:tcPr>
            <w:tcW w:w="2163" w:type="dxa"/>
          </w:tcPr>
          <w:p>
            <w:pPr>
              <w:pStyle w:val="CeldaAPA"/>
              <w:jc w:val="left"/>
            </w:pPr>
            <w:r>
              <w:rPr/>
              <w:t xml:space="preserve">Las demás partidas bajan</w:t>
            </w:r>
            <w:r>
              <w:rPr/>
              <w:t xml:space="preserve"> </w:t>
            </w:r>
            <m:oMath>
              <m:r>
                <m:rPr>
                  <m:sty m:val="p"/>
                </m:rPr>
                <m:t>≈</m:t>
              </m:r>
            </m:oMath>
            <w:r>
              <w:rPr/>
              <w:t xml:space="preserve"> 10.257,78 kg sin respaldo línea por línea</w:t>
            </w:r>
          </w:p>
        </w:tc>
        <w:tc>
          <w:tcPr>
            <w:tcW w:w="2109" w:type="dxa"/>
          </w:tcPr>
          <w:p>
            <w:pPr>
              <w:pStyle w:val="CeldaAPA"/>
              <w:jc w:val="left"/>
            </w:pPr>
            <w:r>
              <w:rPr/>
              <w:t xml:space="preserve">Sí: conciliación elemento por elemento</w:t>
            </w:r>
          </w:p>
        </w:tc>
      </w:tr>
      <w:tr>
        <w:tc>
          <w:tcPr>
            <w:tcW w:w="1837" w:type="dxa"/>
          </w:tcPr>
          <w:p>
            <w:pPr>
              <w:pStyle w:val="CeldaAPA"/>
              <w:jc w:val="left"/>
            </w:pPr>
            <w:r>
              <w:rPr/>
              <w:t xml:space="preserve">Coherencia entre documentos</w:t>
            </w:r>
          </w:p>
        </w:tc>
        <w:tc>
          <w:tcPr>
            <w:tcW w:w="3250" w:type="dxa"/>
          </w:tcPr>
          <w:p>
            <w:pPr>
              <w:pStyle w:val="CeldaAPA"/>
              <w:jc w:val="left"/>
            </w:pPr>
            <w:r>
              <w:rPr/>
              <w:t xml:space="preserve">52.424,65; 50.509,49; 50.509,23 y 50.561,84 kg en distintos documentos</w:t>
            </w:r>
          </w:p>
        </w:tc>
        <w:tc>
          <w:tcPr>
            <w:tcW w:w="2163" w:type="dxa"/>
          </w:tcPr>
          <w:p>
            <w:pPr>
              <w:pStyle w:val="CeldaAPA"/>
              <w:jc w:val="left"/>
            </w:pPr>
            <w:r>
              <w:rPr/>
              <w:t xml:space="preserve">Cuatro valores distintos, con 0,26 kg de diferencia entre planilla y cómputo de cierre</w:t>
            </w:r>
          </w:p>
        </w:tc>
        <w:tc>
          <w:tcPr>
            <w:tcW w:w="2109" w:type="dxa"/>
          </w:tcPr>
          <w:p>
            <w:pPr>
              <w:pStyle w:val="CeldaAPA"/>
              <w:jc w:val="left"/>
            </w:pPr>
            <w:r>
              <w:rPr/>
              <w:t xml:space="preserve">Sí: registro único de cantidades</w:t>
            </w:r>
          </w:p>
        </w:tc>
      </w:tr>
      <w:tr>
        <w:tc>
          <w:tcPr>
            <w:tcW w:w="1837" w:type="dxa"/>
            <w:tcBorders>
              <w:bottom w:val="single" w:sz="8" w:space="0" w:color="000000"/>
            </w:tcBorders>
          </w:tcPr>
          <w:p>
            <w:pPr>
              <w:pStyle w:val="CeldaAPA"/>
              <w:jc w:val="left"/>
            </w:pPr>
            <w:r>
              <w:rPr/>
              <w:t xml:space="preserve">Ítem de pago</w:t>
            </w:r>
          </w:p>
        </w:tc>
        <w:tc>
          <w:tcPr>
            <w:tcW w:w="3250" w:type="dxa"/>
            <w:tcBorders>
              <w:bottom w:val="single" w:sz="8" w:space="0" w:color="000000"/>
            </w:tcBorders>
          </w:tcPr>
          <w:p>
            <w:pPr>
              <w:pStyle w:val="CeldaAPA"/>
              <w:jc w:val="left"/>
            </w:pPr>
            <w:r>
              <w:rPr/>
              <w:t xml:space="preserve">Acero de la losa pagado en el ítem 8 (4.171,18 kg) y ET del ítem 13 que incluye la parrilla y los negativos</w:t>
            </w:r>
          </w:p>
        </w:tc>
        <w:tc>
          <w:tcPr>
            <w:tcW w:w="2163" w:type="dxa"/>
            <w:tcBorders>
              <w:bottom w:val="single" w:sz="8" w:space="0" w:color="000000"/>
            </w:tcBorders>
          </w:tcPr>
          <w:p>
            <w:pPr>
              <w:pStyle w:val="CeldaAPA"/>
              <w:jc w:val="left"/>
            </w:pPr>
            <w:r>
              <w:rPr/>
              <w:t xml:space="preserve">Posible doble pago</w:t>
            </w:r>
          </w:p>
        </w:tc>
        <w:tc>
          <w:tcPr>
            <w:tcW w:w="2109" w:type="dxa"/>
            <w:tcBorders>
              <w:bottom w:val="single" w:sz="8" w:space="0" w:color="000000"/>
            </w:tcBorders>
          </w:tcPr>
          <w:p>
            <w:pPr>
              <w:pStyle w:val="CeldaAPA"/>
              <w:jc w:val="left"/>
            </w:pPr>
            <w:r>
              <w:rPr/>
              <w:t xml:space="preserve">Sí: definir el ítem de pago con el APU</w:t>
            </w:r>
          </w:p>
        </w:tc>
      </w:tr>
    </w:tbl>
    <w:p>
      <w:pPr>
        <w:pStyle w:val="NotaAPA"/>
      </w:pPr>
      <w:r>
        <w:rPr>
          <w:iCs/>
          <w:i/>
        </w:rPr>
        <w:t xml:space="preserve">Nota.</w:t>
      </w:r>
      <w:r>
        <w:t xml:space="preserve"> </w:t>
      </w:r>
      <w:r>
        <w:t xml:space="preserve">Elaboración propia (cálculos propios) con base en</w:t>
      </w:r>
      <w:r>
        <w:t xml:space="preserve"> </w:t>
      </w:r>
      <w:r>
        <w:t xml:space="preserve">UATF (2025, pp. 16, 19–20)</w:t>
      </w:r>
      <w:r>
        <w:t xml:space="preserve">,</w:t>
      </w:r>
      <w:r>
        <w:t xml:space="preserve"> </w:t>
      </w:r>
      <w:r>
        <w:t xml:space="preserve">UATF (s. f.-c)</w:t>
      </w:r>
      <w:r>
        <w:t xml:space="preserve"> </w:t>
      </w:r>
      <w:r>
        <w:t xml:space="preserve">(hoja «Cómputos métricos», filas 375 a 541),</w:t>
      </w:r>
      <w:r>
        <w:t xml:space="preserve"> </w:t>
      </w:r>
      <w:r>
        <w:t xml:space="preserve">UATF (s. f.-b, p. 12)</w:t>
      </w:r>
      <w:r>
        <w:t xml:space="preserve"> </w:t>
      </w:r>
      <w:r>
        <w:t xml:space="preserve">y</w:t>
      </w:r>
      <w:r>
        <w:t xml:space="preserve"> </w:t>
      </w:r>
      <w:r>
        <w:t xml:space="preserve">UATF (s. f.-a, p. 3)</w:t>
      </w:r>
      <w:r>
        <w:t xml:space="preserve">.</w:t>
      </w:r>
      <w:r>
        <w:t xml:space="preserve"> </w:t>
      </w:r>
      <m:oMath>
        <m:sSub>
          <m:e>
            <m:r>
              <m:t>δ</m:t>
            </m:r>
          </m:e>
          <m:sub>
            <m:r>
              <m:t>P</m:t>
            </m:r>
            <m:r>
              <m:rPr>
                <m:sty m:val="p"/>
              </m:rPr>
              <m:t>/</m:t>
            </m:r>
            <m:r>
              <m:t>M</m:t>
            </m:r>
          </m:sub>
        </m:sSub>
        <m:r>
          <m:rPr>
            <m:sty m:val="p"/>
          </m:rPr>
          <m:t>=</m:t>
        </m:r>
        <m:d>
          <m:dPr>
            <m:begChr m:val="("/>
            <m:endChr m:val=")"/>
            <m:sepChr m:val=""/>
            <m:grow/>
          </m:dPr>
          <m:e>
            <m:r>
              <m:t>52.424</m:t>
            </m:r>
            <m:r>
              <m:rPr>
                <m:sty m:val="p"/>
              </m:rPr>
              <m:t>,</m:t>
            </m:r>
            <m:r>
              <m:t>65</m:t>
            </m:r>
            <m:r>
              <m:rPr>
                <m:sty m:val="p"/>
              </m:rPr>
              <m:t>−</m:t>
            </m:r>
            <m:r>
              <m:t>50.509</m:t>
            </m:r>
            <m:r>
              <m:rPr>
                <m:sty m:val="p"/>
              </m:rPr>
              <m:t>,</m:t>
            </m:r>
            <m:r>
              <m:t>49</m:t>
            </m:r>
          </m:e>
        </m:d>
        <m:r>
          <m:rPr>
            <m:sty m:val="p"/>
          </m:rPr>
          <m:t>/</m:t>
        </m:r>
        <m:r>
          <m:t>50.509</m:t>
        </m:r>
        <m:r>
          <m:rPr>
            <m:sty m:val="p"/>
          </m:rPr>
          <m:t>,</m:t>
        </m:r>
        <m:r>
          <m:t>49</m:t>
        </m:r>
      </m:oMath>
      <w:r>
        <w:t xml:space="preserve">. Variación de las demás partidas:</w:t>
      </w:r>
      <w:r>
        <w:t xml:space="preserve"> </w:t>
      </w:r>
      <m:oMath>
        <m:r>
          <m:t>8.342</m:t>
        </m:r>
        <m:r>
          <m:rPr>
            <m:sty m:val="p"/>
          </m:rPr>
          <m:t>,</m:t>
        </m:r>
        <m:r>
          <m:t>36</m:t>
        </m:r>
        <m:r>
          <m:rPr>
            <m:sty m:val="p"/>
          </m:rPr>
          <m:t>+</m:t>
        </m:r>
        <m:r>
          <m:t>1.915</m:t>
        </m:r>
        <m:r>
          <m:rPr>
            <m:sty m:val="p"/>
          </m:rPr>
          <m:t>,</m:t>
        </m:r>
        <m:r>
          <m:t>42</m:t>
        </m:r>
        <m:r>
          <m:rPr>
            <m:sty m:val="p"/>
          </m:rPr>
          <m:t>=</m:t>
        </m:r>
        <m:r>
          <m:t>10.257</m:t>
        </m:r>
        <m:r>
          <m:rPr>
            <m:sty m:val="p"/>
          </m:rPr>
          <m:t>,</m:t>
        </m:r>
        <m:r>
          <m:t>78</m:t>
        </m:r>
      </m:oMath>
      <w:r>
        <w:t xml:space="preserve"> kg.</w:t>
      </w:r>
    </w:p>
    <w:p>
      <w:pPr>
        <w:pStyle w:val="Heading4"/>
      </w:pPr>
      <w:bookmarkStart w:id="172" w:name="tit123"/>
      <w:r>
        <w:t xml:space="preserve">2.6.6.8. PCM-05: control del material no conforme.</w:t>
      </w:r>
      <w:bookmarkEnd w:id="172"/>
    </w:p>
    <w:p>
      <w:pPr>
        <w:pStyle w:val="FirstParagraph"/>
      </w:pPr>
      <w:r>
        <w:rPr>
          <w:iCs/>
          <w:i/>
        </w:rPr>
        <w:t xml:space="preserve">Objetivo:</w:t>
      </w:r>
      <w:r>
        <w:t xml:space="preserve"> </w:t>
      </w:r>
      <w:r>
        <w:t xml:space="preserve">impedir que un material no conforme se use por error y dejar constancia de su costo. Todo material rechazado o dudoso se identifica con la tarjeta roja «no conforme — no usar», se separa en una zona exclusiva y se registra en el formato C.5. La disposición la decide el encargado de calidad y, si afecta a requisitos del contrato, la Supervisión: devolución al proveedor, reclasificación para un uso menor aprobado (por ejemplo, piezas de EPS cortadas para bordes), aceptación bajo concesión escrita o descarte. Una vigueta fisurada no se repara ni se coloca. El costo del material no conforme y de su reposición se registra como falla interna en la planilla de costos de la calidad (Sección 2.6.9), y el reclamo al proveedor alimenta su evaluación. Si la no conformidad se detecta después de colocado el material, el paño queda retenido y se aplica el control de salidas no conformes.</w:t>
      </w:r>
    </w:p>
    <w:p>
      <w:pPr>
        <w:pStyle w:val="Heading4"/>
      </w:pPr>
      <w:bookmarkStart w:id="173" w:name="tit124"/>
      <w:r>
        <w:t xml:space="preserve">2.6.6.9. Control de calidad del hormigón de la carpeta y de los nervios.</w:t>
      </w:r>
      <w:bookmarkEnd w:id="173"/>
    </w:p>
    <w:p>
      <w:pPr>
        <w:pStyle w:val="FirstParagraph"/>
      </w:pPr>
      <w:r>
        <w:t xml:space="preserve">El hormigón de la losa es H25 (</w:t>
      </w:r>
      <m:oMath>
        <m:r>
          <m:t>f</m:t>
        </m:r>
        <m:sSub>
          <m:e>
            <m:r>
              <m:rPr>
                <m:sty m:val="p"/>
              </m:rPr>
              <m:t>′</m:t>
            </m:r>
          </m:e>
          <m:sub>
            <m:r>
              <m:t>c</m:t>
            </m:r>
          </m:sub>
        </m:sSub>
        <m:r>
          <m:rPr>
            <m:sty m:val="p"/>
          </m:rPr>
          <m:t>=</m:t>
        </m:r>
        <m:r>
          <m:t>250</m:t>
        </m:r>
      </m:oMath>
      <w:r>
        <w:t xml:space="preserve"> kg/cm</w:t>
      </w:r>
      <w:r>
        <w:rPr>
          <w:vertAlign w:val="superscript"/>
        </w:rPr>
        <w:t xml:space="preserve">2</w:t>
      </w:r>
      <w:r>
        <w:t xml:space="preserve"> </w:t>
      </w:r>
      <m:oMath>
        <m:r>
          <m:rPr>
            <m:sty m:val="p"/>
          </m:rPr>
          <m:t>≈</m:t>
        </m:r>
      </m:oMath>
      <w:r>
        <w:t xml:space="preserve"> </w:t>
      </w:r>
      <w:r>
        <w:t xml:space="preserve">24,5 MPa; al menos 400 kg/m</w:t>
      </w:r>
      <w:r>
        <w:rPr>
          <w:vertAlign w:val="superscript"/>
        </w:rPr>
        <w:t xml:space="preserve">3</w:t>
      </w:r>
      <w:r>
        <w:t xml:space="preserve"> </w:t>
      </w:r>
      <w:r>
        <w:t xml:space="preserve">de cemento) y se vacía monolíticamente con las vigas</w:t>
      </w:r>
      <w:r>
        <w:t xml:space="preserve"> </w:t>
      </w:r>
      <w:r>
        <w:t xml:space="preserve">(UATF, s. f.-a, pp. 3–4)</w:t>
      </w:r>
      <w:r>
        <w:t xml:space="preserve">. Su control responde a la brecha B1 con los requisitos del capítulo 26 del ACI 318-25, base de la NB 1225001-1:2017.</w:t>
      </w:r>
      <w:r>
        <w:t xml:space="preserve"> </w:t>
      </w:r>
      <w:r>
        <w:rPr>
          <w:iCs/>
          <w:i/>
        </w:rPr>
        <w:t xml:space="preserve">Dosificación:</w:t>
      </w:r>
      <w:r>
        <w:t xml:space="preserve"> </w:t>
      </w:r>
      <w:r>
        <w:t xml:space="preserve">antes del primer vaciado la contratista presenta la dosificación con evidencia de ensayos o pastones de prueba</w:t>
      </w:r>
      <w:r>
        <w:t xml:space="preserve"> </w:t>
      </w:r>
      <w:r>
        <w:t xml:space="preserve">(ACI Committee 318, 2025, Sección 26.4.4.1)</w:t>
      </w:r>
      <w:r>
        <w:t xml:space="preserve">; un cambio de cemento, áridos o aditivos es una mezcla distinta y exige nueva aprobación</w:t>
      </w:r>
      <w:r>
        <w:t xml:space="preserve"> </w:t>
      </w:r>
      <w:r>
        <w:t xml:space="preserve">(ACI Committee 318, 2025, Sección R26.4.3.1)</w:t>
      </w:r>
      <w:r>
        <w:t xml:space="preserve">.</w:t>
      </w:r>
      <w:r>
        <w:t xml:space="preserve"> </w:t>
      </w:r>
      <w:r>
        <w:rPr>
          <w:iCs/>
          <w:i/>
        </w:rPr>
        <w:t xml:space="preserve">Producción:</w:t>
      </w:r>
      <w:r>
        <w:t xml:space="preserve"> </w:t>
      </w:r>
      <w:r>
        <w:t xml:space="preserve">el hormigón elaborado en obra se dosifica y mezcla según ASTM C94 o C685</w:t>
      </w:r>
      <w:r>
        <w:t xml:space="preserve"> </w:t>
      </w:r>
      <w:r>
        <w:t xml:space="preserve">(ACI Committee 318, 2025, Sección 26.5.1.1)</w:t>
      </w:r>
      <w:r>
        <w:t xml:space="preserve">, con control del número de bolsas por pastón.</w:t>
      </w:r>
      <w:r>
        <w:t xml:space="preserve"> </w:t>
      </w:r>
      <w:r>
        <w:rPr>
          <w:iCs/>
          <w:i/>
        </w:rPr>
        <w:t xml:space="preserve">Muestreo:</w:t>
      </w:r>
      <w:r>
        <w:t xml:space="preserve"> </w:t>
      </w:r>
      <w:r>
        <w:t xml:space="preserve">un ensayo de resistencia es el promedio de al menos dos cilindros de 15 </w:t>
      </w:r>
      <m:oMath>
        <m:r>
          <m:rPr>
            <m:sty m:val="p"/>
          </m:rPr>
          <m:t>×</m:t>
        </m:r>
      </m:oMath>
      <w:r>
        <w:t xml:space="preserve"> 30 cm de una misma muestra tomada según ASTM C172 en el punto de entrega, curados según ASTM C31 y ensayados según ASTM C39 a 28 días, por técnicos certificados</w:t>
      </w:r>
      <w:r>
        <w:t xml:space="preserve"> </w:t>
      </w:r>
      <w:r>
        <w:t xml:space="preserve">(ACI Committee 318, 2025, Sección 26.12.1.1)</w:t>
      </w:r>
      <w:r>
        <w:t xml:space="preserve">; los pastones se eligen al azar antes del vaciado, no por su apariencia ni por conveniencia</w:t>
      </w:r>
      <w:r>
        <w:t xml:space="preserve"> </w:t>
      </w:r>
      <w:r>
        <w:t xml:space="preserve">(ACI Committee 318, 2025, Sección R26.12.2.1)</w:t>
      </w:r>
      <w:r>
        <w:t xml:space="preserve">.</w:t>
      </w:r>
      <w:r>
        <w:t xml:space="preserve"> </w:t>
      </w:r>
      <w:r>
        <w:rPr>
          <w:iCs/>
          <w:i/>
        </w:rPr>
        <w:t xml:space="preserve">Aceptación:</w:t>
      </w:r>
      <w:r>
        <w:t xml:space="preserve"> </w:t>
      </w:r>
      <w:r>
        <w:t xml:space="preserve">todo promedio de tres ensayos consecutivos debe ser</w:t>
      </w:r>
      <w:r>
        <w:t xml:space="preserve"> </w:t>
      </w:r>
      <m:oMath>
        <m:r>
          <m:rPr>
            <m:sty m:val="p"/>
          </m:rPr>
          <m:t>≥</m:t>
        </m:r>
        <m:r>
          <m:t>f</m:t>
        </m:r>
        <m:sSub>
          <m:e>
            <m:r>
              <m:rPr>
                <m:sty m:val="p"/>
              </m:rPr>
              <m:t>′</m:t>
            </m:r>
          </m:e>
          <m:sub>
            <m:r>
              <m:t>c</m:t>
            </m:r>
          </m:sub>
        </m:sSub>
      </m:oMath>
      <w:r>
        <w:t xml:space="preserve"> </w:t>
      </w:r>
      <w:r>
        <w:t xml:space="preserve">y ningún ensayo puede quedar por debajo de</w:t>
      </w:r>
      <w:r>
        <w:t xml:space="preserve"> </w:t>
      </w:r>
      <m:oMath>
        <m:r>
          <m:t>f</m:t>
        </m:r>
        <m:sSub>
          <m:e>
            <m:r>
              <m:rPr>
                <m:sty m:val="p"/>
              </m:rPr>
              <m:t>′</m:t>
            </m:r>
          </m:e>
          <m:sub>
            <m:r>
              <m:t>c</m:t>
            </m:r>
          </m:sub>
        </m:sSub>
      </m:oMath>
      <w:r>
        <w:t xml:space="preserve"> </w:t>
      </w:r>
      <w:r>
        <w:t xml:space="preserve">en más de 500 psi (3,45 MPa)</w:t>
      </w:r>
      <w:r>
        <w:t xml:space="preserve"> </w:t>
      </w:r>
      <w:r>
        <w:t xml:space="preserve">(ACI Committee 318, 2025, Sección 26.12.3.1)</w:t>
      </w:r>
      <w:r>
        <w:t xml:space="preserve">; para el H25 el límite individual es</w:t>
      </w:r>
      <w:r>
        <w:t xml:space="preserve"> </w:t>
      </w:r>
      <m:oMath>
        <m:r>
          <m:rPr>
            <m:sty m:val="p"/>
          </m:rPr>
          <m:t>≈</m:t>
        </m:r>
      </m:oMath>
      <w:r>
        <w:t xml:space="preserve"> 215 kg/cm</w:t>
      </w:r>
      <w:r>
        <w:rPr>
          <w:vertAlign w:val="superscript"/>
        </w:rPr>
        <w:t xml:space="preserve">2</w:t>
      </w:r>
      <w:r>
        <w:t xml:space="preserve">, y no se aceptan resistencias «proyectadas» desde otras edades.</w:t>
      </w:r>
      <w:r>
        <w:t xml:space="preserve"> </w:t>
      </w:r>
      <w:r>
        <w:rPr>
          <w:iCs/>
          <w:i/>
        </w:rPr>
        <w:t xml:space="preserve">Resultados bajos:</w:t>
      </w:r>
      <w:r>
        <w:t xml:space="preserve"> </w:t>
      </w:r>
      <w:r>
        <w:t xml:space="preserve">si falla el criterio de los promedios se ajustan la dosificación, el control del agua o la calidad del ensayo; si un ensayo queda bajo el límite individual se investiga la resistencia en el lugar con tres núcleos por ensayo bajo, aceptables si su promedio alcanza el 85 % de</w:t>
      </w:r>
      <w:r>
        <w:t xml:space="preserve"> </w:t>
      </w:r>
      <m:oMath>
        <m:r>
          <m:t>f</m:t>
        </m:r>
        <m:sSub>
          <m:e>
            <m:r>
              <m:rPr>
                <m:sty m:val="p"/>
              </m:rPr>
              <m:t>′</m:t>
            </m:r>
          </m:e>
          <m:sub>
            <m:r>
              <m:t>c</m:t>
            </m:r>
          </m:sub>
        </m:sSub>
      </m:oMath>
      <w:r>
        <w:t xml:space="preserve"> </w:t>
      </w:r>
      <w:r>
        <w:t xml:space="preserve">y ningún núcleo baja del 75 %</w:t>
      </w:r>
      <w:r>
        <w:t xml:space="preserve"> </w:t>
      </w:r>
      <w:r>
        <w:t xml:space="preserve">(ACI Committee 318, 2025, Sección 26.12.7.1)</w:t>
      </w:r>
      <w:r>
        <w:t xml:space="preserve">. Los informes del laboratorio se entregan a la Supervisión y a la contratista y se registran por paño y vaciado.</w:t>
      </w:r>
    </w:p>
    <w:p>
      <w:pPr>
        <w:pStyle w:val="BodyText"/>
      </w:pPr>
      <w:r>
        <w:t xml:space="preserve">El número mínimo de ensayos de resistencia por losa es</w:t>
      </w:r>
    </w:p>
    <w:tbl>
      <w:tblPr>
        <w:tblW w:w="9360" w:type="dxa"/>
        <w:tblLayout w:type="fixed"/>
        <w:tblCellMar>
          <w:left w:w="0" w:type="dxa"/>
          <w:right w:w="0" w:type="dxa"/>
        </w:tblCellMar>
        <w:tblLook w:val="0000" w:firstRow="0" w:lastRow="0" w:firstColumn="0" w:lastColumn="0" w:noHBand="1" w:noVBand="1"/>
        <w:tblCaption w:val="Ecuación"/>
      </w:tblPr>
      <w:tblGrid>
        <w:gridCol w:w="1134"/>
        <w:gridCol w:w="7092"/>
        <w:gridCol w:w="1134"/>
      </w:tblGrid>
      <w:tr>
        <w:trPr>
          <w:cantSplit/>
        </w:trPr>
        <w:tc>
          <w:tcPr>
            <w:tcW w:w="1134" w:type="dxa"/>
            <w:vAlign w:val="center"/>
          </w:tcPr>
          <w:p>
            <w:pPr>
              <w:pStyle w:val="EcuacionAPA"/>
            </w:pPr>
          </w:p>
        </w:tc>
        <w:tc>
          <w:tcPr>
            <w:tcW w:w="7092" w:type="dxa"/>
            <w:vAlign w:val="center"/>
          </w:tcPr>
          <w:p>
            <w:pPr>
              <w:pStyle w:val="EcuacionAPA"/>
            </w:pPr>
            <m:oMathPara>
              <m:oMathParaPr>
                <m:jc m:val="center"/>
              </m:oMathParaPr>
              <m:oMath>
                <m:sSub>
                  <m:e>
                    <m:r>
                      <m:t>n</m:t>
                    </m:r>
                  </m:e>
                  <m:sub>
                    <m:r>
                      <m:rPr>
                        <m:nor/>
                        <m:sty m:val="p"/>
                      </m:rPr>
                      <m:t>mín</m:t>
                    </m:r>
                  </m:sub>
                </m:sSub>
                <m:r>
                  <m:rPr>
                    <m:sty m:val="p"/>
                  </m:rPr>
                  <m:t>=</m:t>
                </m:r>
                <m:r>
                  <m:rPr>
                    <m:sty m:val="p"/>
                  </m:rPr>
                  <m:t>max</m:t>
                </m:r>
                <m:d>
                  <m:dPr>
                    <m:begChr m:val="{"/>
                    <m:endChr m:val="}"/>
                    <m:sepChr m:val=""/>
                    <m:grow/>
                  </m:dPr>
                  <m:e>
                    <m:r>
                      <m:t> </m:t>
                    </m:r>
                    <m:sSub>
                      <m:e>
                        <m:r>
                          <m:t>n</m:t>
                        </m:r>
                      </m:e>
                      <m:sub>
                        <m:r>
                          <m:t>d</m:t>
                        </m:r>
                      </m:sub>
                    </m:sSub>
                    <m:r>
                      <m:rPr>
                        <m:sty m:val="p"/>
                      </m:rPr>
                      <m:t>,</m:t>
                    </m:r>
                    <m:r>
                      <m:t> </m:t>
                    </m:r>
                    <m:d>
                      <m:dPr>
                        <m:begChr m:val="⌈"/>
                        <m:endChr m:val="⌉"/>
                        <m:sepChr m:val=""/>
                        <m:grow/>
                      </m:dPr>
                      <m:e>
                        <m:f>
                          <m:fPr>
                            <m:type m:val="bar"/>
                          </m:fPr>
                          <m:num>
                            <m:r>
                              <m:t>V</m:t>
                            </m:r>
                          </m:num>
                          <m:den>
                            <m:r>
                              <m:t>114</m:t>
                            </m:r>
                            <m:r>
                              <m:rPr>
                                <m:sty m:val="p"/>
                              </m:rPr>
                              <m:t>,</m:t>
                            </m:r>
                            <m:r>
                              <m:t>7</m:t>
                            </m:r>
                          </m:den>
                        </m:f>
                      </m:e>
                    </m:d>
                    <m:r>
                      <m:rPr>
                        <m:sty m:val="p"/>
                      </m:rPr>
                      <m:t>,</m:t>
                    </m:r>
                    <m:r>
                      <m:t> </m:t>
                    </m:r>
                    <m:d>
                      <m:dPr>
                        <m:begChr m:val="⌈"/>
                        <m:endChr m:val="⌉"/>
                        <m:sepChr m:val=""/>
                        <m:grow/>
                      </m:dPr>
                      <m:e>
                        <m:f>
                          <m:fPr>
                            <m:type m:val="bar"/>
                          </m:fPr>
                          <m:num>
                            <m:r>
                              <m:t>A</m:t>
                            </m:r>
                          </m:num>
                          <m:den>
                            <m:r>
                              <m:t>464</m:t>
                            </m:r>
                            <m:r>
                              <m:rPr>
                                <m:sty m:val="p"/>
                              </m:rPr>
                              <m:t>,</m:t>
                            </m:r>
                            <m:r>
                              <m:t>5</m:t>
                            </m:r>
                          </m:den>
                        </m:f>
                      </m:e>
                    </m:d>
                    <m:r>
                      <m:rPr>
                        <m:sty m:val="p"/>
                      </m:rPr>
                      <m:t>,</m:t>
                    </m:r>
                    <m:r>
                      <m:t> </m:t>
                    </m:r>
                    <m:r>
                      <m:t>5</m:t>
                    </m:r>
                    <m:r>
                      <m:t> </m:t>
                    </m:r>
                  </m:e>
                </m:d>
              </m:oMath>
            </m:oMathPara>
          </w:p>
        </w:tc>
        <w:tc>
          <w:tcPr>
            <w:tcW w:w="1134" w:type="dxa"/>
            <w:vAlign w:val="center"/>
          </w:tcPr>
          <w:p>
            <w:pPr>
              <w:pStyle w:val="EcuacionAPA"/>
              <w:jc w:val="right"/>
            </w:pPr>
            <w:r>
              <w:t>(14)</w:t>
            </w:r>
          </w:p>
        </w:tc>
      </w:tr>
    </w:tbl>
    <w:p>
      <w:pPr>
        <w:pStyle w:val="FirstParagraph"/>
        <w:ind w:firstLine="0"/>
      </w:pPr>
      <w:r>
        <w:t xml:space="preserve"/>
      </w:r>
      <w:r>
        <w:t xml:space="preserve"/>
      </w:r>
      <w:r>
        <w:t xml:space="preserve">donde</w:t>
      </w:r>
      <w:r>
        <w:t xml:space="preserve"> </w:t>
      </w:r>
      <m:oMath>
        <m:sSub>
          <m:e>
            <m:r>
              <m:t>n</m:t>
            </m:r>
          </m:e>
          <m:sub>
            <m:r>
              <m:t>d</m:t>
            </m:r>
          </m:sub>
        </m:sSub>
      </m:oMath>
      <w:r>
        <w:t xml:space="preserve"> </w:t>
      </w:r>
      <w:r>
        <w:t xml:space="preserve">es el número de días de vaciado de la mezcla,</w:t>
      </w:r>
      <w:r>
        <w:t xml:space="preserve"> </w:t>
      </w:r>
      <m:oMath>
        <m:r>
          <m:t>V</m:t>
        </m:r>
      </m:oMath>
      <w:r>
        <w:t xml:space="preserve"> </w:t>
      </w:r>
      <w:r>
        <w:t xml:space="preserve">el volumen vaciado (m</w:t>
      </w:r>
      <w:r>
        <w:rPr>
          <w:vertAlign w:val="superscript"/>
        </w:rPr>
        <w:t xml:space="preserve">3</w:t>
      </w:r>
      <w:r>
        <w:t xml:space="preserve">),</w:t>
      </w:r>
      <w:r>
        <w:t xml:space="preserve"> </w:t>
      </w:r>
      <m:oMath>
        <m:r>
          <m:t>A</m:t>
        </m:r>
      </m:oMath>
      <w:r>
        <w:t xml:space="preserve"> </w:t>
      </w:r>
      <w:r>
        <w:t xml:space="preserve">la superficie de losa (m</w:t>
      </w:r>
      <w:r>
        <w:rPr>
          <w:vertAlign w:val="superscript"/>
        </w:rPr>
        <w:t xml:space="preserve">2</w:t>
      </w:r>
      <w:r>
        <w:t xml:space="preserve">), 114,7 m</w:t>
      </w:r>
      <w:r>
        <w:rPr>
          <w:vertAlign w:val="superscript"/>
        </w:rPr>
        <w:t xml:space="preserve">3</w:t>
      </w:r>
      <w:r>
        <w:t xml:space="preserve"> </w:t>
      </w:r>
      <w:r>
        <w:t xml:space="preserve">equivale a 150 yd</w:t>
      </w:r>
      <w:r>
        <w:rPr>
          <w:vertAlign w:val="superscript"/>
        </w:rPr>
        <w:t xml:space="preserve">3</w:t>
      </w:r>
      <w:r>
        <w:t xml:space="preserve">, 464,5 m</w:t>
      </w:r>
      <w:r>
        <w:rPr>
          <w:vertAlign w:val="superscript"/>
        </w:rPr>
        <w:t xml:space="preserve">2</w:t>
      </w:r>
      <w:r>
        <w:t xml:space="preserve"> </w:t>
      </w:r>
      <w:r>
        <w:t xml:space="preserve">a 5.000 ft</w:t>
      </w:r>
      <w:r>
        <w:rPr>
          <w:vertAlign w:val="superscript"/>
        </w:rPr>
        <w:t xml:space="preserve">2</w:t>
      </w:r>
      <w:r>
        <w:t xml:space="preserve">, y 5 es el número mínimo de ensayos que el SGC adopta por losa. Las tres primeras frecuencias son las del código</w:t>
      </w:r>
      <w:r>
        <w:t xml:space="preserve"> </w:t>
      </w:r>
      <w:r>
        <w:t xml:space="preserve">(ACI Committee 318, 2025, Sección 26.12.2.1)</w:t>
      </w:r>
      <w:r>
        <w:t xml:space="preserve">. El mínimo de cinco ensayos responde a que, si la frecuencia da menos de cinco ensayos para una mezcla, el código exige muestrear al menos cinco pastones elegidos al azar; además, cinco ensayos por losa permiten evaluar tres promedios móviles de tres ensayos consecutivos dentro de cada losa. La Tabla 40 aplica la ecuación a una losa de</w:t>
      </w:r>
      <w:r>
        <w:t xml:space="preserve"> </w:t>
      </w:r>
      <m:oMath>
        <m:r>
          <m:rPr>
            <m:sty m:val="p"/>
          </m:rPr>
          <m:t>≈</m:t>
        </m:r>
      </m:oMath>
      <w:r>
        <w:t xml:space="preserve"> 1.117,30 m</w:t>
      </w:r>
      <w:r>
        <w:rPr>
          <w:vertAlign w:val="superscript"/>
        </w:rPr>
        <w:t xml:space="preserve">2</w:t>
      </w:r>
      <w:r>
        <w:t xml:space="preserve">.</w:t>
      </w:r>
    </w:p>
    <w:p>
      <w:pPr>
        <w:pStyle w:val="Caption"/>
      </w:pPr>
      <w:bookmarkStart w:id="1443" w:name="tab40"/>
      <w:r>
        <w:t xml:space="preserve"/>
      </w:r>
      <w:r>
        <w:rPr>
          <w:bCs/>
          <w:b/>
        </w:rPr>
        <w:t xml:space="preserve">Tabla 40</w:t>
      </w:r>
      <w:r>
        <w:br/>
      </w:r>
      <w:r>
        <w:rPr>
          <w:iCs/>
          <w:i/>
        </w:rPr>
        <w:t xml:space="preserve">Número mínimo de ensayos de resistencia para una losa de 1.117,30 m</w:t>
      </w:r>
      <w:r>
        <w:rPr>
          <w:vertAlign w:val="superscript"/>
          <w:iCs/>
          <w:i/>
        </w:rPr>
        <w:t xml:space="preserve">2</w:t>
      </w:r>
      <w:bookmarkEnd w:id="1443"/>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2086"/>
        <w:gridCol w:w="2370"/>
        <w:gridCol w:w="3611"/>
        <w:gridCol w:w="1293"/>
      </w:tblGrid>
      <w:tr>
        <w:trPr>
          <w:cantSplit/>
          <w:tblHeader w:val="true"/>
        </w:trPr>
        <w:tc>
          <w:tcPr>
            <w:tcW w:w="2086" w:type="dxa"/>
            <w:tcBorders>
              <w:top w:val="single" w:sz="8" w:space="0" w:color="000000"/>
              <w:bottom w:val="single" w:sz="4" w:space="0" w:color="000000"/>
            </w:tcBorders>
          </w:tcPr>
          <w:p>
            <w:pPr>
              <w:pStyle w:val="CeldaAPA"/>
              <w:jc w:val="center"/>
            </w:pPr>
            <w:r>
              <w:rPr>
                <w:bCs/>
                <w:b/>
              </w:rPr>
              <w:t xml:space="preserve">Criterio</w:t>
            </w:r>
          </w:p>
        </w:tc>
        <w:tc>
          <w:tcPr>
            <w:tcW w:w="2370" w:type="dxa"/>
            <w:tcBorders>
              <w:top w:val="single" w:sz="8" w:space="0" w:color="000000"/>
              <w:bottom w:val="single" w:sz="4" w:space="0" w:color="000000"/>
            </w:tcBorders>
          </w:tcPr>
          <w:p>
            <w:pPr>
              <w:pStyle w:val="CeldaAPA"/>
              <w:jc w:val="center"/>
            </w:pPr>
            <w:r>
              <w:rPr>
                <w:bCs/>
                <w:b/>
              </w:rPr>
              <w:t xml:space="preserve">Regla</w:t>
            </w:r>
          </w:p>
        </w:tc>
        <w:tc>
          <w:tcPr>
            <w:tcW w:w="3611" w:type="dxa"/>
            <w:tcBorders>
              <w:top w:val="single" w:sz="8" w:space="0" w:color="000000"/>
              <w:bottom w:val="single" w:sz="4" w:space="0" w:color="000000"/>
            </w:tcBorders>
          </w:tcPr>
          <w:p>
            <w:pPr>
              <w:pStyle w:val="CeldaAPA"/>
              <w:jc w:val="center"/>
            </w:pPr>
            <w:r>
              <w:rPr>
                <w:bCs/>
                <w:b/>
              </w:rPr>
              <w:t xml:space="preserve">Cálculo</w:t>
            </w:r>
          </w:p>
        </w:tc>
        <w:tc>
          <w:tcPr>
            <w:tcW w:w="1293" w:type="dxa"/>
            <w:tcBorders>
              <w:top w:val="single" w:sz="8" w:space="0" w:color="000000"/>
              <w:bottom w:val="single" w:sz="4" w:space="0" w:color="000000"/>
            </w:tcBorders>
          </w:tcPr>
          <w:p>
            <w:pPr>
              <w:pStyle w:val="CeldaAPA"/>
              <w:jc w:val="center"/>
            </w:pPr>
            <w:r>
              <w:rPr>
                <w:bCs/>
                <w:b/>
              </w:rPr>
              <w:t xml:space="preserve">Ensayos</w:t>
            </w:r>
          </w:p>
        </w:tc>
      </w:tr>
      <w:tr>
        <w:tc>
          <w:tcPr>
            <w:tcW w:w="2086" w:type="dxa"/>
          </w:tcPr>
          <w:p>
            <w:pPr>
              <w:pStyle w:val="CeldaAPA"/>
              <w:jc w:val="left"/>
            </w:pPr>
            <w:r>
              <w:rPr/>
              <w:t xml:space="preserve">Diario</w:t>
            </w:r>
          </w:p>
        </w:tc>
        <w:tc>
          <w:tcPr>
            <w:tcW w:w="2370" w:type="dxa"/>
          </w:tcPr>
          <w:p>
            <w:pPr>
              <w:pStyle w:val="CeldaAPA"/>
              <w:jc w:val="left"/>
            </w:pPr>
            <w:r>
              <w:rPr/>
              <w:t xml:space="preserve">Al menos una muestra por día de vaciado de la mezcla</w:t>
            </w:r>
          </w:p>
        </w:tc>
        <w:tc>
          <w:tcPr>
            <w:tcW w:w="3611" w:type="dxa"/>
          </w:tcPr>
          <w:p>
            <w:pPr>
              <w:pStyle w:val="CeldaAPA"/>
              <w:jc w:val="left"/>
            </w:pPr>
            <m:oMath>
              <m:sSub>
                <m:e>
                  <m:r>
                    <m:t>n</m:t>
                  </m:r>
                </m:e>
                <m:sub>
                  <m:r>
                    <m:t>d</m:t>
                  </m:r>
                </m:sub>
              </m:sSub>
            </m:oMath>
            <w:r>
              <w:rPr/>
              <w:t xml:space="preserve"> </w:t>
            </w:r>
            <w:r>
              <w:rPr/>
              <w:t xml:space="preserve">días según el programa de vaciado por franjas</w:t>
            </w:r>
          </w:p>
        </w:tc>
        <w:tc>
          <w:tcPr>
            <w:tcW w:w="1293" w:type="dxa"/>
          </w:tcPr>
          <w:p>
            <w:pPr>
              <w:pStyle w:val="CeldaAPA"/>
              <w:jc w:val="center"/>
            </w:pPr>
            <m:oMath>
              <m:r>
                <m:rPr>
                  <m:sty m:val="p"/>
                </m:rPr>
                <m:t>≥</m:t>
              </m:r>
              <m:sSub>
                <m:e>
                  <m:r>
                    <m:t>n</m:t>
                  </m:r>
                </m:e>
                <m:sub>
                  <m:r>
                    <m:t>d</m:t>
                  </m:r>
                </m:sub>
              </m:sSub>
            </m:oMath>
          </w:p>
        </w:tc>
      </w:tr>
      <w:tr>
        <w:tc>
          <w:tcPr>
            <w:tcW w:w="2086" w:type="dxa"/>
          </w:tcPr>
          <w:p>
            <w:pPr>
              <w:pStyle w:val="CeldaAPA"/>
              <w:jc w:val="left"/>
            </w:pPr>
            <w:r>
              <w:rPr/>
              <w:t xml:space="preserve">(ii) Volumen</w:t>
            </w:r>
          </w:p>
        </w:tc>
        <w:tc>
          <w:tcPr>
            <w:tcW w:w="2370" w:type="dxa"/>
          </w:tcPr>
          <w:p>
            <w:pPr>
              <w:pStyle w:val="CeldaAPA"/>
              <w:jc w:val="left"/>
            </w:pPr>
            <w:r>
              <w:rPr/>
              <w:t xml:space="preserve">Una muestra por cada 150 yd</w:t>
            </w:r>
            <w:r>
              <w:rPr>
                <w:vertAlign w:val="superscript"/>
              </w:rPr>
              <w:t xml:space="preserve">3</w:t>
            </w:r>
            <w:r>
              <w:rPr/>
              <w:t xml:space="preserve"> </w:t>
            </w:r>
            <w:r>
              <w:rPr/>
              <w:t xml:space="preserve">(114,7 m</w:t>
            </w:r>
            <w:r>
              <w:rPr>
                <w:vertAlign w:val="superscript"/>
              </w:rPr>
              <w:t xml:space="preserve">3</w:t>
            </w:r>
            <w:r>
              <w:rPr/>
              <w:t xml:space="preserve">)</w:t>
            </w:r>
          </w:p>
        </w:tc>
        <w:tc>
          <w:tcPr>
            <w:tcW w:w="3611" w:type="dxa"/>
          </w:tcPr>
          <w:p>
            <w:pPr>
              <w:pStyle w:val="CeldaAPA"/>
              <w:jc w:val="left"/>
            </w:pPr>
            <w:r>
              <w:rPr/>
              <w:t xml:space="preserve">Solo la carpeta suma</w:t>
            </w:r>
            <w:r>
              <w:rPr/>
              <w:t xml:space="preserve"> </w:t>
            </w:r>
            <m:oMath>
              <m:r>
                <m:t>0</m:t>
              </m:r>
              <m:r>
                <m:rPr>
                  <m:sty m:val="p"/>
                </m:rPr>
                <m:t>,</m:t>
              </m:r>
              <m:r>
                <m:t>05</m:t>
              </m:r>
              <m:r>
                <m:rPr>
                  <m:sty m:val="p"/>
                </m:rPr>
                <m:t>×</m:t>
              </m:r>
              <m:r>
                <m:t>1.117</m:t>
              </m:r>
              <m:r>
                <m:rPr>
                  <m:sty m:val="p"/>
                </m:rPr>
                <m:t>,</m:t>
              </m:r>
              <m:r>
                <m:t>30</m:t>
              </m:r>
              <m:r>
                <m:rPr>
                  <m:sty m:val="p"/>
                </m:rPr>
                <m:t>=</m:t>
              </m:r>
              <m:r>
                <m:t>55</m:t>
              </m:r>
              <m:r>
                <m:rPr>
                  <m:sty m:val="p"/>
                </m:rPr>
                <m:t>,</m:t>
              </m:r>
              <m:r>
                <m:t>9</m:t>
              </m:r>
            </m:oMath>
            <w:r>
              <w:rPr/>
              <w:t xml:space="preserve"> m</w:t>
            </w:r>
            <w:r>
              <w:rPr>
                <w:vertAlign w:val="superscript"/>
              </w:rPr>
              <w:t xml:space="preserve">3</w:t>
            </w:r>
            <w:r>
              <w:rPr/>
              <w:t xml:space="preserve">; con nervios y vigas,</w:t>
            </w:r>
            <w:r>
              <w:rPr/>
              <w:t xml:space="preserve"> </w:t>
            </w:r>
            <m:oMath>
              <m:r>
                <m:t>V</m:t>
              </m:r>
            </m:oMath>
            <w:r>
              <w:rPr/>
              <w:t xml:space="preserve"> </w:t>
            </w:r>
            <w:r>
              <w:rPr/>
              <w:t xml:space="preserve">según el cómputo del vaciado</w:t>
            </w:r>
          </w:p>
        </w:tc>
        <w:tc>
          <w:tcPr>
            <w:tcW w:w="1293" w:type="dxa"/>
          </w:tcPr>
          <w:p>
            <w:pPr>
              <w:pStyle w:val="CeldaAPA"/>
              <w:jc w:val="center"/>
            </w:pPr>
            <m:oMath>
              <m:r>
                <m:rPr>
                  <m:sty m:val="p"/>
                </m:rPr>
                <m:t>⌈</m:t>
              </m:r>
              <m:r>
                <m:t>V</m:t>
              </m:r>
              <m:r>
                <m:rPr>
                  <m:sty m:val="p"/>
                </m:rPr>
                <m:t>/</m:t>
              </m:r>
              <m:r>
                <m:t>114</m:t>
              </m:r>
              <m:r>
                <m:rPr>
                  <m:sty m:val="p"/>
                </m:rPr>
                <m:t>,</m:t>
              </m:r>
              <m:r>
                <m:t>7</m:t>
              </m:r>
              <m:r>
                <m:rPr>
                  <m:sty m:val="p"/>
                </m:rPr>
                <m:t>⌉</m:t>
              </m:r>
            </m:oMath>
          </w:p>
        </w:tc>
      </w:tr>
      <w:tr>
        <w:tc>
          <w:tcPr>
            <w:tcW w:w="2086" w:type="dxa"/>
          </w:tcPr>
          <w:p>
            <w:pPr>
              <w:pStyle w:val="CeldaAPA"/>
              <w:jc w:val="left"/>
            </w:pPr>
            <w:r>
              <w:rPr/>
              <w:t xml:space="preserve">(iii) Superficie</w:t>
            </w:r>
          </w:p>
        </w:tc>
        <w:tc>
          <w:tcPr>
            <w:tcW w:w="2370" w:type="dxa"/>
          </w:tcPr>
          <w:p>
            <w:pPr>
              <w:pStyle w:val="CeldaAPA"/>
              <w:jc w:val="left"/>
            </w:pPr>
            <w:r>
              <w:rPr/>
              <w:t xml:space="preserve">Una muestra por cada 5.000 ft</w:t>
            </w:r>
            <w:r>
              <w:rPr>
                <w:vertAlign w:val="superscript"/>
              </w:rPr>
              <w:t xml:space="preserve">2</w:t>
            </w:r>
            <w:r>
              <w:rPr/>
              <w:t xml:space="preserve"> </w:t>
            </w:r>
            <w:r>
              <w:rPr/>
              <w:t xml:space="preserve">(464,5 m</w:t>
            </w:r>
            <w:r>
              <w:rPr>
                <w:vertAlign w:val="superscript"/>
              </w:rPr>
              <w:t xml:space="preserve">2</w:t>
            </w:r>
            <w:r>
              <w:rPr/>
              <w:t xml:space="preserve">) de losa</w:t>
            </w:r>
          </w:p>
        </w:tc>
        <w:tc>
          <w:tcPr>
            <w:tcW w:w="3611" w:type="dxa"/>
          </w:tcPr>
          <w:p>
            <w:pPr>
              <w:pStyle w:val="CeldaAPA"/>
              <w:jc w:val="left"/>
            </w:pPr>
            <m:oMath>
              <m:r>
                <m:t>1.117</m:t>
              </m:r>
              <m:r>
                <m:rPr>
                  <m:sty m:val="p"/>
                </m:rPr>
                <m:t>,</m:t>
              </m:r>
              <m:r>
                <m:t>30</m:t>
              </m:r>
              <m:r>
                <m:rPr>
                  <m:sty m:val="p"/>
                </m:rPr>
                <m:t>/</m:t>
              </m:r>
              <m:r>
                <m:t>464</m:t>
              </m:r>
              <m:r>
                <m:rPr>
                  <m:sty m:val="p"/>
                </m:rPr>
                <m:t>,</m:t>
              </m:r>
              <m:r>
                <m:t>5</m:t>
              </m:r>
              <m:r>
                <m:rPr>
                  <m:sty m:val="p"/>
                </m:rPr>
                <m:t>=</m:t>
              </m:r>
              <m:r>
                <m:t>2</m:t>
              </m:r>
              <m:r>
                <m:rPr>
                  <m:sty m:val="p"/>
                </m:rPr>
                <m:t>,</m:t>
              </m:r>
              <m:r>
                <m:t>41</m:t>
              </m:r>
            </m:oMath>
          </w:p>
        </w:tc>
        <w:tc>
          <w:tcPr>
            <w:tcW w:w="1293" w:type="dxa"/>
          </w:tcPr>
          <w:p>
            <w:pPr>
              <w:pStyle w:val="CeldaAPA"/>
              <w:jc w:val="center"/>
            </w:pPr>
            <w:r>
              <w:rPr/>
              <w:t xml:space="preserve">3</w:t>
            </w:r>
          </w:p>
        </w:tc>
      </w:tr>
      <w:tr>
        <w:tc>
          <w:tcPr>
            <w:tcW w:w="2086" w:type="dxa"/>
          </w:tcPr>
          <w:p>
            <w:pPr>
              <w:pStyle w:val="CeldaAPA"/>
              <w:jc w:val="left"/>
            </w:pPr>
            <w:r>
              <w:rPr/>
              <w:t xml:space="preserve">Mínimo por mezcla</w:t>
            </w:r>
          </w:p>
        </w:tc>
        <w:tc>
          <w:tcPr>
            <w:tcW w:w="2370" w:type="dxa"/>
          </w:tcPr>
          <w:p>
            <w:pPr>
              <w:pStyle w:val="CeldaAPA"/>
              <w:jc w:val="left"/>
            </w:pPr>
            <w:r>
              <w:rPr/>
              <w:t xml:space="preserve">Al menos cinco pastones al azar si la frecuencia da menos de cinco ensayos</w:t>
            </w:r>
          </w:p>
        </w:tc>
        <w:tc>
          <w:tcPr>
            <w:tcW w:w="3611" w:type="dxa"/>
          </w:tcPr>
          <w:p>
            <w:pPr>
              <w:pStyle w:val="CeldaAPA"/>
              <w:jc w:val="left"/>
            </w:pPr>
            <w:r>
              <w:rPr/>
              <w:t xml:space="preserve">Criterio adoptado por el SGC para cada losa</w:t>
            </w:r>
          </w:p>
        </w:tc>
        <w:tc>
          <w:tcPr>
            <w:tcW w:w="1293" w:type="dxa"/>
          </w:tcPr>
          <w:p>
            <w:pPr>
              <w:pStyle w:val="CeldaAPA"/>
              <w:jc w:val="center"/>
            </w:pPr>
            <w:r>
              <w:rPr/>
              <w:t xml:space="preserve">5</w:t>
            </w:r>
          </w:p>
        </w:tc>
      </w:tr>
      <w:tr>
        <w:tc>
          <w:tcPr>
            <w:tcW w:w="8067" w:type="dxa"/>
            <w:gridSpan w:val="3"/>
            <w:tcBorders>
              <w:top w:val="single" w:sz="4" w:space="0" w:color="000000"/>
              <w:bottom w:val="single" w:sz="8" w:space="0" w:color="000000"/>
            </w:tcBorders>
          </w:tcPr>
          <w:p>
            <w:pPr>
              <w:pStyle w:val="CeldaAPA"/>
              <w:jc w:val="left"/>
            </w:pPr>
            <w:r>
              <w:rPr>
                <w:bCs/>
                <w:b/>
              </w:rPr>
              <w:t xml:space="preserve">Ensayos adoptados por losa</w:t>
            </w:r>
            <w:r>
              <w:rPr/>
              <w:t xml:space="preserve"> </w:t>
            </w:r>
            <w:r>
              <w:rPr/>
              <w:t xml:space="preserve">(mientras</w:t>
            </w:r>
            <w:r>
              <w:rPr/>
              <w:t xml:space="preserve"> </w:t>
            </w:r>
            <m:oMath>
              <m:sSub>
                <m:e>
                  <m:r>
                    <m:t>n</m:t>
                  </m:r>
                </m:e>
                <m:sub>
                  <m:r>
                    <m:t>d</m:t>
                  </m:r>
                </m:sub>
              </m:sSub>
              <m:r>
                <m:rPr>
                  <m:sty m:val="p"/>
                </m:rPr>
                <m:t>≤</m:t>
              </m:r>
              <m:r>
                <m:t>5</m:t>
              </m:r>
            </m:oMath>
            <w:r>
              <w:rPr/>
              <w:t xml:space="preserve"> </w:t>
            </w:r>
            <w:r>
              <w:rPr/>
              <w:t xml:space="preserve">y</w:t>
            </w:r>
            <w:r>
              <w:rPr/>
              <w:t xml:space="preserve"> </w:t>
            </w:r>
            <m:oMath>
              <m:r>
                <m:t>V</m:t>
              </m:r>
              <m:r>
                <m:rPr>
                  <m:sty m:val="p"/>
                </m:rPr>
                <m:t>≤</m:t>
              </m:r>
              <m:r>
                <m:t>573</m:t>
              </m:r>
            </m:oMath>
            <w:r>
              <w:rPr/>
              <w:t xml:space="preserve"> m</w:t>
            </w:r>
            <w:r>
              <w:rPr>
                <w:vertAlign w:val="superscript"/>
              </w:rPr>
              <w:t xml:space="preserve">3</w:t>
            </w:r>
            <w:r>
              <w:rPr/>
              <w:t xml:space="preserve">)</w:t>
            </w:r>
          </w:p>
        </w:tc>
        <w:tc>
          <w:tcPr>
            <w:tcW w:w="1293" w:type="dxa"/>
            <w:tcBorders>
              <w:top w:val="single" w:sz="4" w:space="0" w:color="000000"/>
              <w:bottom w:val="single" w:sz="8" w:space="0" w:color="000000"/>
            </w:tcBorders>
          </w:tcPr>
          <w:p>
            <w:pPr>
              <w:pStyle w:val="CeldaAPA"/>
              <w:jc w:val="center"/>
            </w:pPr>
            <w:r>
              <w:rPr>
                <w:bCs/>
                <w:b/>
              </w:rPr>
              <w:t xml:space="preserve">5</w:t>
            </w:r>
          </w:p>
        </w:tc>
      </w:tr>
    </w:tbl>
    <w:p>
      <w:pPr>
        <w:pStyle w:val="NotaAPA"/>
      </w:pPr>
      <w:r>
        <w:rPr>
          <w:iCs/>
          <w:i/>
        </w:rPr>
        <w:t xml:space="preserve">Nota.</w:t>
      </w:r>
      <w:r>
        <w:t xml:space="preserve"> </w:t>
      </w:r>
      <w:r>
        <w:t xml:space="preserve">Elaboración propia con base en</w:t>
      </w:r>
      <w:r>
        <w:t xml:space="preserve"> </w:t>
      </w:r>
      <w:r>
        <w:t xml:space="preserve">ACI Committee 318 (2025, Sección 26.12.2.1)</w:t>
      </w:r>
      <w:r>
        <w:t xml:space="preserve">. Superficie por losa: 2.234,60 m</w:t>
      </w:r>
      <w:r>
        <w:rPr>
          <w:vertAlign w:val="superscript"/>
        </w:rPr>
        <w:t xml:space="preserve">2</w:t>
      </w:r>
      <w:r>
        <w:t xml:space="preserve"> </w:t>
      </w:r>
      <w:r>
        <w:t xml:space="preserve">/ 2</w:t>
      </w:r>
      <w:r>
        <w:t xml:space="preserve"> </w:t>
      </w:r>
      <w:r>
        <w:t xml:space="preserve">(UATF, s. f.-c)</w:t>
      </w:r>
      <w:r>
        <w:t xml:space="preserve">. Cada ensayo requiere dos cilindros de 15 </w:t>
      </w:r>
      <m:oMath>
        <m:r>
          <m:rPr>
            <m:sty m:val="p"/>
          </m:rPr>
          <m:t>×</m:t>
        </m:r>
      </m:oMath>
      <w:r>
        <w:t xml:space="preserve"> 30 cm a 28 días; el SGC añade un cilindro por muestra a 7 días como alerta temprana, de modo que se elaboran al menos 15 cilindros de curado estándar por losa, más los cilindros curados en obra que exija la Supervisión para el desapuntalamiento. Las secciones citadas del ACI CODE-318-25 figuran en las pp. 577 a 611 de la edición consultada.</w:t>
      </w:r>
    </w:p>
    <w:p>
      <w:pPr>
        <w:pStyle w:val="BodyText"/>
      </w:pPr>
      <w:r>
        <w:rPr>
          <w:bCs/>
          <w:b/>
        </w:rPr>
        <w:t xml:space="preserve">Curado, tiempo frío y lluvia.</w:t>
      </w:r>
      <w:r>
        <w:t xml:space="preserve"> </w:t>
      </w:r>
      <w:r>
        <w:t xml:space="preserve">El hormigón se mantiene húmedo al menos 7 días con una temperatura de al menos 10 </w:t>
      </w:r>
      <m:oMath>
        <m:sSup>
          <m:e>
            <m:r>
              <m:t>​</m:t>
            </m:r>
          </m:e>
          <m:sup>
            <m:r>
              <m:rPr>
                <m:sty m:val="p"/>
              </m:rPr>
              <m:t>∘</m:t>
            </m:r>
          </m:sup>
        </m:sSup>
      </m:oMath>
      <w:r>
        <w:t xml:space="preserve">C, o 3 días si alcanza 0,7 </w:t>
      </w:r>
      <m:oMath>
        <m:r>
          <m:t>f</m:t>
        </m:r>
        <m:sSub>
          <m:e>
            <m:r>
              <m:rPr>
                <m:sty m:val="p"/>
              </m:rPr>
              <m:t>′</m:t>
            </m:r>
          </m:e>
          <m:sub>
            <m:r>
              <m:t>c</m:t>
            </m:r>
          </m:sub>
        </m:sSub>
      </m:oMath>
      <w:r>
        <w:t xml:space="preserve"> </w:t>
      </w:r>
      <w:r>
        <w:t xml:space="preserve">en ese plazo, o hasta que la resistencia en el lugar llegue a 0,7 </w:t>
      </w:r>
      <m:oMath>
        <m:r>
          <m:t>f</m:t>
        </m:r>
        <m:sSub>
          <m:e>
            <m:r>
              <m:rPr>
                <m:sty m:val="p"/>
              </m:rPr>
              <m:t>′</m:t>
            </m:r>
          </m:e>
          <m:sub>
            <m:r>
              <m:t>c</m:t>
            </m:r>
          </m:sub>
        </m:sSub>
      </m:oMath>
      <w:r>
        <w:t xml:space="preserve"> </w:t>
      </w:r>
      <w:r>
        <w:t xml:space="preserve">(ACI Committee 318, 2025, Sección 26.5.3.2)</w:t>
      </w:r>
      <w:r>
        <w:t xml:space="preserve">; en obra se propone riego continuo o arpilleras húmedas bajo láminas de plástico, con registro diario (ficha C.2-F). A 3.650 m s. n. m., la contratista presenta un plan de hormigonado en tiempo frío antes del primer vaciado; no se usan áridos con terrones congelados o hielo, y encofrados y superficies deben estar libres de escarcha y hielo</w:t>
      </w:r>
      <w:r>
        <w:t xml:space="preserve"> </w:t>
      </w:r>
      <w:r>
        <w:t xml:space="preserve">(ACI Committee 318, 2025, Sección 26.5.4.2)</w:t>
      </w:r>
      <w:r>
        <w:t xml:space="preserve">. Si la temperatura ambiente baja de 4,4 </w:t>
      </w:r>
      <m:oMath>
        <m:sSup>
          <m:e>
            <m:r>
              <m:t>​</m:t>
            </m:r>
          </m:e>
          <m:sup>
            <m:r>
              <m:rPr>
                <m:sty m:val="p"/>
              </m:rPr>
              <m:t>∘</m:t>
            </m:r>
          </m:sup>
        </m:sSup>
      </m:oMath>
      <w:r>
        <w:t xml:space="preserve">C (40 </w:t>
      </w:r>
      <m:oMath>
        <m:sSup>
          <m:e>
            <m:r>
              <m:t>​</m:t>
            </m:r>
          </m:e>
          <m:sup>
            <m:r>
              <m:rPr>
                <m:sty m:val="p"/>
              </m:rPr>
              <m:t>∘</m:t>
            </m:r>
          </m:sup>
        </m:sSup>
      </m:oMath>
      <w:r>
        <w:t xml:space="preserve">F) se registran la temperatura del hormigón y la protección aplicada</w:t>
      </w:r>
      <w:r>
        <w:t xml:space="preserve"> </w:t>
      </w:r>
      <w:r>
        <w:t xml:space="preserve">(ACI Committee 318, 2025, Sección 26.13.2.2)</w:t>
      </w:r>
      <w:r>
        <w:t xml:space="preserve">; si el hormigón no se mantiene a 10 </w:t>
      </w:r>
      <m:oMath>
        <m:sSup>
          <m:e>
            <m:r>
              <m:t>​</m:t>
            </m:r>
          </m:e>
          <m:sup>
            <m:r>
              <m:rPr>
                <m:sty m:val="p"/>
              </m:rPr>
              <m:t>∘</m:t>
            </m:r>
          </m:sup>
        </m:sSup>
      </m:oMath>
      <w:r>
        <w:t xml:space="preserve">C o más, el curado se prolonga y se verifica con cilindros curados en obra. El agua de amasado debe superar los 5 </w:t>
      </w:r>
      <m:oMath>
        <m:sSup>
          <m:e>
            <m:r>
              <m:t>​</m:t>
            </m:r>
          </m:e>
          <m:sup>
            <m:r>
              <m:rPr>
                <m:sty m:val="p"/>
              </m:rPr>
              <m:t>∘</m:t>
            </m:r>
          </m:sup>
        </m:sSup>
      </m:oMath>
      <w:r>
        <w:t xml:space="preserve">C</w:t>
      </w:r>
      <w:r>
        <w:t xml:space="preserve"> </w:t>
      </w:r>
      <w:r>
        <w:t xml:space="preserve">(UATF, s. f.-a, p. 2)</w:t>
      </w:r>
      <w:r>
        <w:t xml:space="preserve">. Para la lluvia, el vaciado se programa con el pronóstico del SENAMHI, se dispone de cobertores y se retira el agua estancada</w:t>
      </w:r>
      <w:r>
        <w:t xml:space="preserve"> </w:t>
      </w:r>
      <w:r>
        <w:t xml:space="preserve">(ACI Committee 318, 2025, Sección 26.5.2.2)</w:t>
      </w:r>
      <w:r>
        <w:t xml:space="preserve">. La temperatura que activa el plan se mide con el termómetro de la obra.</w:t>
      </w:r>
    </w:p>
    <w:p>
      <w:pPr>
        <w:pStyle w:val="Heading4"/>
      </w:pPr>
      <w:bookmarkStart w:id="174" w:name="tit125"/>
      <w:r>
        <w:t xml:space="preserve">2.6.6.10. Liberación de los paños y control de las salidas no conformes.</w:t>
      </w:r>
      <w:bookmarkEnd w:id="174"/>
    </w:p>
    <w:p>
      <w:pPr>
        <w:pStyle w:val="FirstParagraph"/>
      </w:pPr>
      <w:r>
        <w:t xml:space="preserve">La liberación (cláusula 8.6) tiene tres niveles: (1)</w:t>
      </w:r>
      <w:r>
        <w:t xml:space="preserve"> </w:t>
      </w:r>
      <w:r>
        <w:rPr>
          <w:iCs/>
          <w:i/>
        </w:rPr>
        <w:t xml:space="preserve">para vaciar</w:t>
      </w:r>
      <w:r>
        <w:t xml:space="preserve">, con la ficha C.2 completa en los puntos de espera y en la verificación previa al vaciado (punto 8 del PPI), firmada por el encargado de calidad y el Supervisor y asentada en el Libro de Órdenes con la firma del Director de obra que exige la cláusula 25.ª</w:t>
      </w:r>
      <w:r>
        <w:t xml:space="preserve"> </w:t>
      </w:r>
      <w:r>
        <w:t xml:space="preserve">(UATF, 2025, p. 100)</w:t>
      </w:r>
      <w:r>
        <w:t xml:space="preserve">; (2)</w:t>
      </w:r>
      <w:r>
        <w:t xml:space="preserve"> </w:t>
      </w:r>
      <w:r>
        <w:rPr>
          <w:iCs/>
          <w:i/>
        </w:rPr>
        <w:t xml:space="preserve">para desapuntalar</w:t>
      </w:r>
      <w:r>
        <w:t xml:space="preserve">, con el plazo mínimo y, si corresponde, los cilindros curados en obra con la resistencia requerida</w:t>
      </w:r>
      <w:r>
        <w:t xml:space="preserve"> </w:t>
      </w:r>
      <w:r>
        <w:t xml:space="preserve">(ACI Committee 318, 2025, Sección 26.12.4.1)</w:t>
      </w:r>
      <w:r>
        <w:t xml:space="preserve">; y (3)</w:t>
      </w:r>
      <w:r>
        <w:t xml:space="preserve"> </w:t>
      </w:r>
      <w:r>
        <w:rPr>
          <w:iCs/>
          <w:i/>
        </w:rPr>
        <w:t xml:space="preserve">para pago</w:t>
      </w:r>
      <w:r>
        <w:t xml:space="preserve">, con los ensayos de aceptación conformes y las cantidades conciliadas (PCM-04). Como los ensayos a 28 días pueden llegar después del cierre de una planilla, como ocurrió en la primera losa, se recomienda que el contrato del saldo de la obra prevea certificar con observación y retención de pago el paño cuyo hormigón aún no tenga resultados.</w:t>
      </w:r>
    </w:p>
    <w:p>
      <w:pPr>
        <w:pStyle w:val="BodyText"/>
      </w:pPr>
      <w:r>
        <w:t xml:space="preserve">Una salida no conforme (cláusula 8.7) es un paño que no cumple un criterio del PPI o un ensayo. Antes del vaciado, el paño queda retenido hasta corregirse y reinspeccionarse. Después del vaciado (nidos de grava, fisuras, recubrimiento insuficiente o resistencia baja), el paño se identifica, se registra en el formato C.5, se restringen su carga y su desapuntalamiento, y la Supervisión, con el proyectista si es necesario, decide la disposición: reparación aprobada, refuerzo, demolición o aceptación bajo concesión documentada. El costo se registra como falla interna y el pago del paño se retiene hasta su resolución.</w:t>
      </w:r>
    </w:p>
    <w:p>
      <w:pPr>
        <w:pStyle w:val="Heading4"/>
      </w:pPr>
      <w:bookmarkStart w:id="175" w:name="tit126"/>
      <w:r>
        <w:t xml:space="preserve">2.6.6.11. Gestión de los cambios.</w:t>
      </w:r>
      <w:bookmarkEnd w:id="175"/>
    </w:p>
    <w:p>
      <w:pPr>
        <w:pStyle w:val="FirstParagraph"/>
      </w:pPr>
      <w:r>
        <w:t xml:space="preserve">Todo cambio de material, proveedor, dosificación, procedimiento o diseño sigue cinco pasos: (1) solicitud escrita en el Libro de Órdenes, con su causa; (2) evaluación del efecto en la calidad, las cantidades, el costo y el plazo; (3) aprobación técnica de la Supervisión (con el proyectista si cambia el diseño) y contractual de la Fiscalización si cambian cantidades o monto; (4) actualización de los documentos y de la lista maestra; y (5) comunicación al personal y verificación en obra. La «modificación estructural» por falta de viguetas de los tamaños requeridos, mencionada sin detalle en el informe de Supervisión</w:t>
      </w:r>
      <w:r>
        <w:t xml:space="preserve"> </w:t>
      </w:r>
      <w:r>
        <w:t xml:space="preserve">(UATF, 2025, p. 11)</w:t>
      </w:r>
      <w:r>
        <w:t xml:space="preserve">, habría dejado así registro de su causa, de su aprobación y de su efecto en las cantidades; la resolución de la discrepancia del EPS es otra aplicación del procedimiento.</w:t>
      </w:r>
    </w:p>
    <w:p>
      <w:pPr>
        <w:pStyle w:val="Heading3"/>
      </w:pPr>
      <w:bookmarkStart w:id="177" w:name="tit127"/>
      <w:r>
        <w:t xml:space="preserve">2.6.7. Evaluación del desempeño</w:t>
      </w:r>
      <w:bookmarkEnd w:id="177"/>
    </w:p>
    <w:p>
      <w:pPr>
        <w:pStyle w:val="FirstParagraph"/>
      </w:pPr>
      <w:r>
        <w:rPr>
          <w:bCs/>
          <w:b/>
        </w:rPr>
        <w:t xml:space="preserve">Seguimiento y medición.</w:t>
      </w:r>
      <w:r>
        <w:t xml:space="preserve"> </w:t>
      </w:r>
      <w:r>
        <w:t xml:space="preserve">Los indicadores de la Tabla 33 se alimentan de los registros del Anexo C y se revisan con los umbrales de la Tabla 41, apoyados en gráficos sencillos: el</w:t>
      </w:r>
      <w:r>
        <w:t xml:space="preserve"> </w:t>
      </w:r>
      <m:oMath>
        <m:r>
          <m:t>I</m:t>
        </m:r>
        <m:r>
          <m:t>D</m:t>
        </m:r>
        <m:r>
          <m:t>M</m:t>
        </m:r>
      </m:oMath>
      <w:r>
        <w:t xml:space="preserve"> </w:t>
      </w:r>
      <w:r>
        <w:t xml:space="preserve">de cada material paño por paño, el promedio móvil de tres ensayos frente a</w:t>
      </w:r>
      <w:r>
        <w:t xml:space="preserve"> </w:t>
      </w:r>
      <m:oMath>
        <m:r>
          <m:t>f</m:t>
        </m:r>
        <m:sSub>
          <m:e>
            <m:r>
              <m:rPr>
                <m:sty m:val="p"/>
              </m:rPr>
              <m:t>′</m:t>
            </m:r>
          </m:e>
          <m:sub>
            <m:r>
              <m:t>c</m:t>
            </m:r>
          </m:sub>
        </m:sSub>
      </m:oMath>
      <w:r>
        <w:t xml:space="preserve"> </w:t>
      </w:r>
      <w:r>
        <w:t xml:space="preserve">y las no conformidades abiertas y cerradas. Como las losas repiten los 41 paños de la primera, cada indicador se compara con el de su paño homólogo.</w:t>
      </w:r>
    </w:p>
    <w:p>
      <w:pPr>
        <w:pStyle w:val="Caption"/>
      </w:pPr>
      <w:bookmarkStart w:id="1444" w:name="tab41"/>
      <w:r>
        <w:t xml:space="preserve"/>
      </w:r>
      <w:r>
        <w:rPr>
          <w:bCs/>
          <w:b/>
        </w:rPr>
        <w:t xml:space="preserve">Tabla 41</w:t>
      </w:r>
      <w:r>
        <w:br/>
      </w:r>
      <w:r>
        <w:rPr>
          <w:iCs/>
          <w:i/>
        </w:rPr>
        <w:t xml:space="preserve">Seguimiento de los indicadores: registros, umbrales de reacción y respuesta</w:t>
      </w:r>
      <w:bookmarkEnd w:id="1444"/>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1783"/>
        <w:gridCol w:w="2163"/>
        <w:gridCol w:w="2544"/>
        <w:gridCol w:w="2870"/>
      </w:tblGrid>
      <w:tr>
        <w:trPr>
          <w:cantSplit/>
          <w:tblHeader w:val="true"/>
        </w:trPr>
        <w:tc>
          <w:tcPr>
            <w:tcW w:w="1783" w:type="dxa"/>
            <w:tcBorders>
              <w:top w:val="single" w:sz="8" w:space="0" w:color="000000"/>
              <w:bottom w:val="single" w:sz="4" w:space="0" w:color="000000"/>
            </w:tcBorders>
          </w:tcPr>
          <w:p>
            <w:pPr>
              <w:pStyle w:val="CeldaAPA"/>
              <w:jc w:val="center"/>
            </w:pPr>
            <w:r>
              <w:rPr>
                <w:bCs/>
                <w:b/>
              </w:rPr>
              <w:t xml:space="preserve">Indicador</w:t>
            </w:r>
          </w:p>
        </w:tc>
        <w:tc>
          <w:tcPr>
            <w:tcW w:w="2163" w:type="dxa"/>
            <w:tcBorders>
              <w:top w:val="single" w:sz="8" w:space="0" w:color="000000"/>
              <w:bottom w:val="single" w:sz="4" w:space="0" w:color="000000"/>
            </w:tcBorders>
          </w:tcPr>
          <w:p>
            <w:pPr>
              <w:pStyle w:val="CeldaAPA"/>
              <w:jc w:val="center"/>
            </w:pPr>
            <w:r>
              <w:rPr>
                <w:bCs/>
                <w:b/>
              </w:rPr>
              <w:t xml:space="preserve">Registro que lo alimenta</w:t>
            </w:r>
          </w:p>
        </w:tc>
        <w:tc>
          <w:tcPr>
            <w:tcW w:w="2544" w:type="dxa"/>
            <w:tcBorders>
              <w:top w:val="single" w:sz="8" w:space="0" w:color="000000"/>
              <w:bottom w:val="single" w:sz="4" w:space="0" w:color="000000"/>
            </w:tcBorders>
          </w:tcPr>
          <w:p>
            <w:pPr>
              <w:pStyle w:val="CeldaAPA"/>
              <w:jc w:val="center"/>
            </w:pPr>
            <w:r>
              <w:rPr>
                <w:bCs/>
                <w:b/>
              </w:rPr>
              <w:t xml:space="preserve">Umbral de reacción</w:t>
            </w:r>
          </w:p>
        </w:tc>
        <w:tc>
          <w:tcPr>
            <w:tcW w:w="2870" w:type="dxa"/>
            <w:tcBorders>
              <w:top w:val="single" w:sz="8" w:space="0" w:color="000000"/>
              <w:bottom w:val="single" w:sz="4" w:space="0" w:color="000000"/>
            </w:tcBorders>
          </w:tcPr>
          <w:p>
            <w:pPr>
              <w:pStyle w:val="CeldaAPA"/>
              <w:jc w:val="center"/>
            </w:pPr>
            <w:r>
              <w:rPr>
                <w:bCs/>
                <w:b/>
              </w:rPr>
              <w:t xml:space="preserve">Respuesta</w:t>
            </w:r>
          </w:p>
        </w:tc>
      </w:tr>
      <w:tr>
        <w:tc>
          <w:tcPr>
            <w:tcW w:w="1783" w:type="dxa"/>
          </w:tcPr>
          <w:p>
            <w:pPr>
              <w:pStyle w:val="CeldaAPA"/>
              <w:jc w:val="left"/>
            </w:pPr>
            <m:oMath>
              <m:r>
                <m:t>I</m:t>
              </m:r>
              <m:r>
                <m:t>D</m:t>
              </m:r>
              <m:r>
                <m:t>M</m:t>
              </m:r>
            </m:oMath>
            <w:r>
              <w:rPr/>
              <w:t xml:space="preserve"> </w:t>
            </w:r>
            <w:r>
              <w:rPr/>
              <w:t xml:space="preserve">por material (OC1 a OC4)</w:t>
            </w:r>
          </w:p>
        </w:tc>
        <w:tc>
          <w:tcPr>
            <w:tcW w:w="2163" w:type="dxa"/>
          </w:tcPr>
          <w:p>
            <w:pPr>
              <w:pStyle w:val="CeldaAPA"/>
              <w:jc w:val="left"/>
            </w:pPr>
            <w:r>
              <w:rPr/>
              <w:t xml:space="preserve">Ficha C.4; kardex; vales</w:t>
            </w:r>
          </w:p>
        </w:tc>
        <w:tc>
          <w:tcPr>
            <w:tcW w:w="2544" w:type="dxa"/>
          </w:tcPr>
          <w:p>
            <w:pPr>
              <w:pStyle w:val="CeldaAPA"/>
              <w:jc w:val="left"/>
            </w:pPr>
            <w:r>
              <w:rPr/>
              <w:t xml:space="preserve">Un paño o vaciado sobre la meta</w:t>
            </w:r>
          </w:p>
        </w:tc>
        <w:tc>
          <w:tcPr>
            <w:tcW w:w="2870" w:type="dxa"/>
          </w:tcPr>
          <w:p>
            <w:pPr>
              <w:pStyle w:val="CeldaAPA"/>
              <w:jc w:val="left"/>
            </w:pPr>
            <w:r>
              <w:rPr/>
              <w:t xml:space="preserve">Análisis de causa antes del paño siguiente; ajuste del pedido o del despiece</w:t>
            </w:r>
          </w:p>
        </w:tc>
      </w:tr>
      <w:tr>
        <w:tc>
          <w:tcPr>
            <w:tcW w:w="1783" w:type="dxa"/>
          </w:tcPr>
          <w:p>
            <w:pPr>
              <w:pStyle w:val="CeldaAPA"/>
              <w:jc w:val="left"/>
            </w:pPr>
            <w:r>
              <w:rPr/>
              <w:t xml:space="preserve">Lotes conformes (OC5)</w:t>
            </w:r>
          </w:p>
        </w:tc>
        <w:tc>
          <w:tcPr>
            <w:tcW w:w="2163" w:type="dxa"/>
          </w:tcPr>
          <w:p>
            <w:pPr>
              <w:pStyle w:val="CeldaAPA"/>
              <w:jc w:val="left"/>
            </w:pPr>
            <w:r>
              <w:rPr/>
              <w:t xml:space="preserve">Ficha C.3</w:t>
            </w:r>
          </w:p>
        </w:tc>
        <w:tc>
          <w:tcPr>
            <w:tcW w:w="2544" w:type="dxa"/>
          </w:tcPr>
          <w:p>
            <w:pPr>
              <w:pStyle w:val="CeldaAPA"/>
              <w:jc w:val="left"/>
            </w:pPr>
            <w:r>
              <w:rPr/>
              <w:t xml:space="preserve">Cualquier lote incorporado sin recepción aceptada</w:t>
            </w:r>
          </w:p>
        </w:tc>
        <w:tc>
          <w:tcPr>
            <w:tcW w:w="2870" w:type="dxa"/>
          </w:tcPr>
          <w:p>
            <w:pPr>
              <w:pStyle w:val="CeldaAPA"/>
              <w:jc w:val="left"/>
            </w:pPr>
            <w:r>
              <w:rPr/>
              <w:t xml:space="preserve">No conformidad mayor; retención del paño afectado</w:t>
            </w:r>
          </w:p>
        </w:tc>
      </w:tr>
      <w:tr>
        <w:tc>
          <w:tcPr>
            <w:tcW w:w="1783" w:type="dxa"/>
          </w:tcPr>
          <w:p>
            <w:pPr>
              <w:pStyle w:val="CeldaAPA"/>
              <w:jc w:val="left"/>
            </w:pPr>
            <w:r>
              <w:rPr/>
              <w:t xml:space="preserve">Paños liberados (OC6)</w:t>
            </w:r>
          </w:p>
        </w:tc>
        <w:tc>
          <w:tcPr>
            <w:tcW w:w="2163" w:type="dxa"/>
          </w:tcPr>
          <w:p>
            <w:pPr>
              <w:pStyle w:val="CeldaAPA"/>
              <w:jc w:val="left"/>
            </w:pPr>
            <w:r>
              <w:rPr/>
              <w:t xml:space="preserve">Ficha C.2; Libro de Órdenes</w:t>
            </w:r>
          </w:p>
        </w:tc>
        <w:tc>
          <w:tcPr>
            <w:tcW w:w="2544" w:type="dxa"/>
          </w:tcPr>
          <w:p>
            <w:pPr>
              <w:pStyle w:val="CeldaAPA"/>
              <w:jc w:val="left"/>
            </w:pPr>
            <w:r>
              <w:rPr/>
              <w:t xml:space="preserve">Cualquier paño vaciado sin liberación</w:t>
            </w:r>
          </w:p>
        </w:tc>
        <w:tc>
          <w:tcPr>
            <w:tcW w:w="2870" w:type="dxa"/>
          </w:tcPr>
          <w:p>
            <w:pPr>
              <w:pStyle w:val="CeldaAPA"/>
              <w:jc w:val="left"/>
            </w:pPr>
            <w:r>
              <w:rPr/>
              <w:t xml:space="preserve">No conformidad crítica; evaluación del paño por la Supervisión</w:t>
            </w:r>
          </w:p>
        </w:tc>
      </w:tr>
      <w:tr>
        <w:tc>
          <w:tcPr>
            <w:tcW w:w="1783" w:type="dxa"/>
          </w:tcPr>
          <w:p>
            <w:pPr>
              <w:pStyle w:val="CeldaAPA"/>
              <w:jc w:val="left"/>
            </w:pPr>
            <w:r>
              <w:rPr/>
              <w:t xml:space="preserve">Ensayos conformes (OC7)</w:t>
            </w:r>
          </w:p>
        </w:tc>
        <w:tc>
          <w:tcPr>
            <w:tcW w:w="2163" w:type="dxa"/>
          </w:tcPr>
          <w:p>
            <w:pPr>
              <w:pStyle w:val="CeldaAPA"/>
              <w:jc w:val="left"/>
            </w:pPr>
            <w:r>
              <w:rPr/>
              <w:t xml:space="preserve">Informe del laboratorio</w:t>
            </w:r>
          </w:p>
        </w:tc>
        <w:tc>
          <w:tcPr>
            <w:tcW w:w="2544" w:type="dxa"/>
          </w:tcPr>
          <w:p>
            <w:pPr>
              <w:pStyle w:val="CeldaAPA"/>
              <w:jc w:val="left"/>
            </w:pPr>
            <w:r>
              <w:rPr/>
              <w:t xml:space="preserve">Un promedio de tres ensayos</w:t>
            </w:r>
            <w:r>
              <w:rPr/>
              <w:t xml:space="preserve"> </w:t>
            </w:r>
            <m:oMath>
              <m:r>
                <m:rPr>
                  <m:sty m:val="p"/>
                </m:rPr>
                <m:t>&lt;</m:t>
              </m:r>
              <m:r>
                <m:t>f</m:t>
              </m:r>
              <m:sSub>
                <m:e>
                  <m:r>
                    <m:rPr>
                      <m:sty m:val="p"/>
                    </m:rPr>
                    <m:t>′</m:t>
                  </m:r>
                </m:e>
                <m:sub>
                  <m:r>
                    <m:t>c</m:t>
                  </m:r>
                </m:sub>
              </m:sSub>
            </m:oMath>
            <w:r>
              <w:rPr/>
              <w:t xml:space="preserve"> </w:t>
            </w:r>
            <w:r>
              <w:rPr/>
              <w:t xml:space="preserve">o un ensayo</w:t>
            </w:r>
            <w:r>
              <w:rPr/>
              <w:t xml:space="preserve"> </w:t>
            </w:r>
            <m:oMath>
              <m:r>
                <m:rPr>
                  <m:sty m:val="p"/>
                </m:rPr>
                <m:t>&lt;</m:t>
              </m:r>
            </m:oMath>
            <w:r>
              <w:rPr/>
              <w:t xml:space="preserve"> </w:t>
            </w:r>
            <m:oMath>
              <m:r>
                <m:t>f</m:t>
              </m:r>
              <m:sSub>
                <m:e>
                  <m:r>
                    <m:rPr>
                      <m:sty m:val="p"/>
                    </m:rPr>
                    <m:t>′</m:t>
                  </m:r>
                </m:e>
                <m:sub>
                  <m:r>
                    <m:t>c</m:t>
                  </m:r>
                </m:sub>
              </m:sSub>
              <m:r>
                <m:rPr>
                  <m:sty m:val="p"/>
                </m:rPr>
                <m:t>−</m:t>
              </m:r>
              <m:r>
                <m:t>3</m:t>
              </m:r>
              <m:r>
                <m:rPr>
                  <m:sty m:val="p"/>
                </m:rPr>
                <m:t>,</m:t>
              </m:r>
              <m:r>
                <m:t>45</m:t>
              </m:r>
            </m:oMath>
            <w:r>
              <w:rPr/>
              <w:t xml:space="preserve"> MPa</w:t>
            </w:r>
          </w:p>
        </w:tc>
        <w:tc>
          <w:tcPr>
            <w:tcW w:w="2870" w:type="dxa"/>
          </w:tcPr>
          <w:p>
            <w:pPr>
              <w:pStyle w:val="CeldaAPA"/>
              <w:jc w:val="left"/>
            </w:pPr>
            <w:r>
              <w:rPr/>
              <w:t xml:space="preserve">Ajuste de la dosificación; investigación según la sección 26.12.7</w:t>
            </w:r>
          </w:p>
        </w:tc>
      </w:tr>
      <w:tr>
        <w:tc>
          <w:tcPr>
            <w:tcW w:w="1783" w:type="dxa"/>
          </w:tcPr>
          <w:p>
            <w:pPr>
              <w:pStyle w:val="CeldaAPA"/>
              <w:jc w:val="left"/>
            </w:pPr>
            <w:r>
              <w:rPr/>
              <w:t xml:space="preserve">Plan de muestreo (OC8)</w:t>
            </w:r>
          </w:p>
        </w:tc>
        <w:tc>
          <w:tcPr>
            <w:tcW w:w="2163" w:type="dxa"/>
          </w:tcPr>
          <w:p>
            <w:pPr>
              <w:pStyle w:val="CeldaAPA"/>
              <w:jc w:val="left"/>
            </w:pPr>
            <w:r>
              <w:rPr/>
              <w:t xml:space="preserve">Planilla de muestreo</w:t>
            </w:r>
          </w:p>
        </w:tc>
        <w:tc>
          <w:tcPr>
            <w:tcW w:w="2544" w:type="dxa"/>
          </w:tcPr>
          <w:p>
            <w:pPr>
              <w:pStyle w:val="CeldaAPA"/>
              <w:jc w:val="left"/>
            </w:pPr>
            <w:r>
              <w:rPr/>
              <w:t xml:space="preserve">Menos ensayos que</w:t>
            </w:r>
            <w:r>
              <w:rPr/>
              <w:t xml:space="preserve"> </w:t>
            </w:r>
            <m:oMath>
              <m:sSub>
                <m:e>
                  <m:r>
                    <m:t>n</m:t>
                  </m:r>
                </m:e>
                <m:sub>
                  <m:r>
                    <m:rPr>
                      <m:nor/>
                      <m:sty m:val="p"/>
                    </m:rPr>
                    <m:t>mín</m:t>
                  </m:r>
                </m:sub>
              </m:sSub>
            </m:oMath>
          </w:p>
        </w:tc>
        <w:tc>
          <w:tcPr>
            <w:tcW w:w="2870" w:type="dxa"/>
          </w:tcPr>
          <w:p>
            <w:pPr>
              <w:pStyle w:val="CeldaAPA"/>
              <w:jc w:val="left"/>
            </w:pPr>
            <w:r>
              <w:rPr/>
              <w:t xml:space="preserve">No conformidad; refuerzo del muestreo en el vaciado siguiente</w:t>
            </w:r>
          </w:p>
        </w:tc>
      </w:tr>
      <w:tr>
        <w:tc>
          <w:tcPr>
            <w:tcW w:w="1783" w:type="dxa"/>
          </w:tcPr>
          <w:p>
            <w:pPr>
              <w:pStyle w:val="CeldaAPA"/>
              <w:jc w:val="left"/>
            </w:pPr>
            <w:r>
              <w:rPr/>
              <w:t xml:space="preserve">Cierre de NC (OC9)</w:t>
            </w:r>
          </w:p>
        </w:tc>
        <w:tc>
          <w:tcPr>
            <w:tcW w:w="2163" w:type="dxa"/>
          </w:tcPr>
          <w:p>
            <w:pPr>
              <w:pStyle w:val="CeldaAPA"/>
              <w:jc w:val="left"/>
            </w:pPr>
            <w:r>
              <w:rPr/>
              <w:t xml:space="preserve">Registro C.5</w:t>
            </w:r>
          </w:p>
        </w:tc>
        <w:tc>
          <w:tcPr>
            <w:tcW w:w="2544" w:type="dxa"/>
          </w:tcPr>
          <w:p>
            <w:pPr>
              <w:pStyle w:val="CeldaAPA"/>
              <w:jc w:val="left"/>
            </w:pPr>
            <w:r>
              <w:rPr/>
              <w:t xml:space="preserve">Menos del 90 % cerradas en 7 días</w:t>
            </w:r>
          </w:p>
        </w:tc>
        <w:tc>
          <w:tcPr>
            <w:tcW w:w="2870" w:type="dxa"/>
          </w:tcPr>
          <w:p>
            <w:pPr>
              <w:pStyle w:val="CeldaAPA"/>
              <w:jc w:val="left"/>
            </w:pPr>
            <w:r>
              <w:rPr/>
              <w:t xml:space="preserve">Escalamiento al Director de obra en la reunión semanal</w:t>
            </w:r>
          </w:p>
        </w:tc>
      </w:tr>
      <w:tr>
        <w:tc>
          <w:tcPr>
            <w:tcW w:w="1783" w:type="dxa"/>
          </w:tcPr>
          <w:p>
            <w:pPr>
              <w:pStyle w:val="CeldaAPA"/>
              <w:jc w:val="left"/>
            </w:pPr>
            <w:r>
              <w:rPr/>
              <w:t xml:space="preserve">Conciliación (OC10)</w:t>
            </w:r>
          </w:p>
        </w:tc>
        <w:tc>
          <w:tcPr>
            <w:tcW w:w="2163" w:type="dxa"/>
          </w:tcPr>
          <w:p>
            <w:pPr>
              <w:pStyle w:val="CeldaAPA"/>
              <w:jc w:val="left"/>
            </w:pPr>
            <w:r>
              <w:rPr/>
              <w:t xml:space="preserve">Ficha C.4 (conciliación por planilla)</w:t>
            </w:r>
          </w:p>
        </w:tc>
        <w:tc>
          <w:tcPr>
            <w:tcW w:w="2544" w:type="dxa"/>
          </w:tcPr>
          <w:p>
            <w:pPr>
              <w:pStyle w:val="CeldaAPA"/>
              <w:jc w:val="left"/>
            </w:pPr>
            <w:r>
              <w:rPr/>
              <w:t xml:space="preserve">Un ítem fuera de tolerancia</w:t>
            </w:r>
          </w:p>
        </w:tc>
        <w:tc>
          <w:tcPr>
            <w:tcW w:w="2870" w:type="dxa"/>
          </w:tcPr>
          <w:p>
            <w:pPr>
              <w:pStyle w:val="CeldaAPA"/>
              <w:jc w:val="left"/>
            </w:pPr>
            <w:r>
              <w:rPr/>
              <w:t xml:space="preserve">El ítem no se presenta en la planilla hasta explicar o corregir la diferencia</w:t>
            </w:r>
          </w:p>
        </w:tc>
      </w:tr>
      <w:tr>
        <w:tc>
          <w:tcPr>
            <w:tcW w:w="1783" w:type="dxa"/>
          </w:tcPr>
          <w:p>
            <w:pPr>
              <w:pStyle w:val="CeldaAPA"/>
              <w:jc w:val="left"/>
            </w:pPr>
            <m:oMath>
              <m:r>
                <m:rPr>
                  <m:sty m:val="p"/>
                </m:rPr>
                <m:t>%</m:t>
              </m:r>
              <m:r>
                <m:t>C</m:t>
              </m:r>
              <m:r>
                <m:t>N</m:t>
              </m:r>
              <m:r>
                <m:t>C</m:t>
              </m:r>
            </m:oMath>
            <w:r>
              <w:rPr/>
              <w:t xml:space="preserve"> </w:t>
            </w:r>
            <w:r>
              <w:rPr/>
              <w:t xml:space="preserve">(OC11)</w:t>
            </w:r>
          </w:p>
        </w:tc>
        <w:tc>
          <w:tcPr>
            <w:tcW w:w="2163" w:type="dxa"/>
          </w:tcPr>
          <w:p>
            <w:pPr>
              <w:pStyle w:val="CeldaAPA"/>
              <w:jc w:val="left"/>
            </w:pPr>
            <w:r>
              <w:rPr/>
              <w:t xml:space="preserve">Planilla C.6</w:t>
            </w:r>
          </w:p>
        </w:tc>
        <w:tc>
          <w:tcPr>
            <w:tcW w:w="2544" w:type="dxa"/>
          </w:tcPr>
          <w:p>
            <w:pPr>
              <w:pStyle w:val="CeldaAPA"/>
              <w:jc w:val="left"/>
            </w:pPr>
            <w:r>
              <w:rPr/>
              <w:t xml:space="preserve">Valor mensual sobre la meta</w:t>
            </w:r>
          </w:p>
        </w:tc>
        <w:tc>
          <w:tcPr>
            <w:tcW w:w="2870" w:type="dxa"/>
          </w:tcPr>
          <w:p>
            <w:pPr>
              <w:pStyle w:val="CeldaAPA"/>
              <w:jc w:val="left"/>
            </w:pPr>
            <w:r>
              <w:rPr/>
              <w:t xml:space="preserve">Revisión mensual: acciones sobre las fallas de mayor costo (Pareto)</w:t>
            </w:r>
          </w:p>
        </w:tc>
      </w:tr>
      <w:tr>
        <w:tc>
          <w:tcPr>
            <w:tcW w:w="1783" w:type="dxa"/>
            <w:tcBorders>
              <w:bottom w:val="single" w:sz="8" w:space="0" w:color="000000"/>
            </w:tcBorders>
          </w:tcPr>
          <w:p>
            <w:pPr>
              <w:pStyle w:val="CeldaAPA"/>
              <w:jc w:val="left"/>
            </w:pPr>
            <w:r>
              <w:rPr/>
              <w:t xml:space="preserve">Reducción del costo unitario (OC12)</w:t>
            </w:r>
          </w:p>
        </w:tc>
        <w:tc>
          <w:tcPr>
            <w:tcW w:w="2163" w:type="dxa"/>
            <w:tcBorders>
              <w:bottom w:val="single" w:sz="8" w:space="0" w:color="000000"/>
            </w:tcBorders>
          </w:tcPr>
          <w:p>
            <w:pPr>
              <w:pStyle w:val="CeldaAPA"/>
              <w:jc w:val="left"/>
            </w:pPr>
            <w:r>
              <w:rPr/>
              <w:t xml:space="preserve">Planilla C.6 y planillas de avance</w:t>
            </w:r>
          </w:p>
        </w:tc>
        <w:tc>
          <w:tcPr>
            <w:tcW w:w="2544" w:type="dxa"/>
            <w:tcBorders>
              <w:bottom w:val="single" w:sz="8" w:space="0" w:color="000000"/>
            </w:tcBorders>
          </w:tcPr>
          <w:p>
            <w:pPr>
              <w:pStyle w:val="CeldaAPA"/>
              <w:jc w:val="left"/>
            </w:pPr>
            <m:oMath>
              <m:r>
                <m:t>r</m:t>
              </m:r>
              <m:r>
                <m:rPr>
                  <m:sty m:val="p"/>
                </m:rPr>
                <m:t>&lt;</m:t>
              </m:r>
              <m:r>
                <m:t>5</m:t>
              </m:r>
            </m:oMath>
            <w:r>
              <w:rPr/>
              <w:t xml:space="preserve"> % al cerrar una losa</w:t>
            </w:r>
          </w:p>
        </w:tc>
        <w:tc>
          <w:tcPr>
            <w:tcW w:w="2870" w:type="dxa"/>
            <w:tcBorders>
              <w:bottom w:val="single" w:sz="8" w:space="0" w:color="000000"/>
            </w:tcBorders>
          </w:tcPr>
          <w:p>
            <w:pPr>
              <w:pStyle w:val="CeldaAPA"/>
              <w:jc w:val="left"/>
            </w:pPr>
            <w:r>
              <w:rPr/>
              <w:t xml:space="preserve">Revisión del plan de la calidad antes de la losa siguiente</w:t>
            </w:r>
          </w:p>
        </w:tc>
      </w:tr>
    </w:tbl>
    <w:p>
      <w:pPr>
        <w:pStyle w:val="NotaAPA"/>
      </w:pPr>
      <w:r>
        <w:rPr>
          <w:iCs/>
          <w:i/>
        </w:rPr>
        <w:t xml:space="preserve">Nota.</w:t>
      </w:r>
      <w:r>
        <w:t xml:space="preserve"> </w:t>
      </w:r>
      <w:r>
        <w:t xml:space="preserve">Elaboración propia. OC: objetivo de la calidad (Tabla 33); NC: no conformidad.</w:t>
      </w:r>
    </w:p>
    <w:p>
      <w:pPr>
        <w:pStyle w:val="BodyText"/>
      </w:pPr>
      <w:r>
        <w:rPr>
          <w:bCs/>
          <w:b/>
        </w:rPr>
        <w:t xml:space="preserve">Conciliación mensual con la planilla de avance.</w:t>
      </w:r>
      <w:r>
        <w:t xml:space="preserve"> </w:t>
      </w:r>
      <w:r>
        <w:t xml:space="preserve">Como el contrato exige notificar la medición con dos días hábiles de anticipación y medir conjuntamente con la Supervisión</w:t>
      </w:r>
      <w:r>
        <w:t xml:space="preserve"> </w:t>
      </w:r>
      <w:r>
        <w:t xml:space="preserve">(UATF, 2025, p. 99)</w:t>
      </w:r>
      <w:r>
        <w:t xml:space="preserve">, la conciliación se integra al ciclo de la planilla:</w:t>
      </w:r>
      <w:r>
        <w:t xml:space="preserve"> </w:t>
      </w:r>
      <w:r>
        <w:t xml:space="preserve">(1) dos días antes de medir, se cierran las fichas C.4 del mes y el kardex; (2) se mide de forma conjunta y neta con la Supervisión; (3) se completa la conciliación acumulada de cada material e ítem con sus desviaciones y alertas (Tabla 38); (4) solo se presentan los ítems sin alertas pendientes; (5) la conciliación, firmada por el encargado de calidad y el Supervisor, se adjunta a la planilla y al informe mensual que revisa el Fiscal; y (6) las cantidades aprobadas actualizan el registro único de cantidades.</w:t>
      </w:r>
    </w:p>
    <w:p>
      <w:pPr>
        <w:pStyle w:val="BodyText"/>
      </w:pPr>
      <w:r>
        <w:rPr>
          <w:bCs/>
          <w:b/>
        </w:rPr>
        <w:t xml:space="preserve">Auditoría interna simplificada.</w:t>
      </w:r>
      <w:r>
        <w:t xml:space="preserve"> </w:t>
      </w:r>
      <w:r>
        <w:t xml:space="preserve">Dos auditorías por losa, a la mitad y al cierre, con la lista de verificación C.1 y el plan de la calidad como criterios, a cargo del Supervisor o de un profesional independiente del proceso. La muestra mínima abarca todos los puntos de espera de tres paños elegidos al azar, cinco vales contrastados con el kardex, la codificación de las probetas de un vaciado y la última conciliación. Los hallazgos se registran como no conformidades (C.5).</w:t>
      </w:r>
    </w:p>
    <w:p>
      <w:pPr>
        <w:pStyle w:val="BodyText"/>
      </w:pPr>
      <w:r>
        <w:rPr>
          <w:bCs/>
          <w:b/>
        </w:rPr>
        <w:t xml:space="preserve">Revisión semanal y mensual.</w:t>
      </w:r>
      <w:r>
        <w:t xml:space="preserve"> </w:t>
      </w:r>
      <w:r>
        <w:t xml:space="preserve">La revisión semanal es operativa (Sección 2.6.5). La mensual, presidida por el Director de obra con la Supervisión y la Fiscalización, analiza indicadores y tendencias, no conformidades y acciones correctivas, auditorías, costos de la calidad, conciliación, desempeño de proveedores, riesgos y cambios, y decide mejoras, recursos y ajustes del plan, de las metas y de los riesgos, que constan en un acta.</w:t>
      </w:r>
    </w:p>
    <w:p>
      <w:pPr>
        <w:pStyle w:val="Heading3"/>
      </w:pPr>
      <w:bookmarkStart w:id="181" w:name="tit128"/>
      <w:r>
        <w:t xml:space="preserve">2.6.8. Mejora: no conformidades, acción correctiva y mejora continua</w:t>
      </w:r>
      <w:bookmarkEnd w:id="181"/>
    </w:p>
    <w:p>
      <w:pPr>
        <w:pStyle w:val="FirstParagraph"/>
      </w:pPr>
      <w:r>
        <w:rPr>
          <w:bCs/>
          <w:b/>
        </w:rPr>
        <w:t xml:space="preserve">Procedimiento de no conformidades y acción correctiva.</w:t>
      </w:r>
      <w:r>
        <w:t xml:space="preserve"> </w:t>
      </w:r>
      <w:r>
        <w:t xml:space="preserve">Una no conformidad es todo incumplimiento de un requisito del plano, de la ET, del PPI, de un procedimiento o del contrato. Es</w:t>
      </w:r>
      <w:r>
        <w:t xml:space="preserve"> </w:t>
      </w:r>
      <w:r>
        <w:rPr>
          <w:iCs/>
          <w:i/>
        </w:rPr>
        <w:t xml:space="preserve">crítica</w:t>
      </w:r>
      <w:r>
        <w:t xml:space="preserve"> </w:t>
      </w:r>
      <w:r>
        <w:t xml:space="preserve">si compromete la seguridad estructural o si un paño se vació sin liberación;</w:t>
      </w:r>
      <w:r>
        <w:t xml:space="preserve"> </w:t>
      </w:r>
      <w:r>
        <w:rPr>
          <w:iCs/>
          <w:i/>
        </w:rPr>
        <w:t xml:space="preserve">mayor</w:t>
      </w:r>
      <w:r>
        <w:t xml:space="preserve"> </w:t>
      </w:r>
      <w:r>
        <w:t xml:space="preserve">si afecta a la calidad, a las cantidades o al costo; y</w:t>
      </w:r>
      <w:r>
        <w:t xml:space="preserve"> </w:t>
      </w:r>
      <w:r>
        <w:rPr>
          <w:iCs/>
          <w:i/>
        </w:rPr>
        <w:t xml:space="preserve">menor</w:t>
      </w:r>
      <w:r>
        <w:t xml:space="preserve"> </w:t>
      </w:r>
      <w:r>
        <w:t xml:space="preserve">si es documental y sin efecto en el producto. Toda no conformidad se cierra en 7 días o menos (OC9), y las críticas exigen contención inmediata e intervención de la Supervisión (Figura 12). En la primera losa ninguno de los 24 asientos del Libro de Órdenes registró una no conformidad</w:t>
      </w:r>
      <w:r>
        <w:t xml:space="preserve"> </w:t>
      </w:r>
      <w:r>
        <w:t xml:space="preserve">(UATF, 2025, pp. 114–125)</w:t>
      </w:r>
      <w:r>
        <w:t xml:space="preserve">: el procedimiento busca que los defectos dejen de ser invisibles (B7).</w:t>
      </w:r>
    </w:p>
    <w:p>
      <w:pPr>
        <w:pStyle w:val="Caption"/>
      </w:pPr>
      <w:bookmarkStart w:id="1445" w:name="fig12"/>
      <w:r>
        <w:t xml:space="preserve"/>
      </w:r>
      <w:r>
        <w:rPr>
          <w:bCs/>
          <w:b/>
        </w:rPr>
        <w:t xml:space="preserve">Figura 12</w:t>
      </w:r>
      <w:r>
        <w:br/>
      </w:r>
      <w:r>
        <w:rPr>
          <w:iCs/>
          <w:i/>
        </w:rPr>
        <w:t xml:space="preserve">Flujo del procedimiento de no conformidades y acción correctiva</w:t>
      </w:r>
      <w:bookmarkEnd w:id="1445"/>
    </w:p>
    <w:p>
      <w:pPr>
        <w:pStyle w:val="FiguraAPA"/>
      </w:pPr>
      <w:r>
        <w:drawing>
          <wp:inline>
            <wp:extent cx="4520879" cy="5035724"/>
            <wp:effectExtent b="0" l="0" r="0" t="0"/>
            <wp:docPr descr="image" title="" id="179" name="Picture"/>
            <a:graphic>
              <a:graphicData uri="http://schemas.openxmlformats.org/drawingml/2006/picture">
                <pic:pic>
                  <pic:nvPicPr>
                    <pic:cNvPr descr="/home/user/TesisSGC/07_Entregables/scripts/_trabajo/tikz/tikz_184c501e2e5893b346b1.png" id="180" name="Picture"/>
                    <pic:cNvPicPr>
                      <a:picLocks noChangeArrowheads="1" noChangeAspect="1"/>
                    </pic:cNvPicPr>
                  </pic:nvPicPr>
                  <pic:blipFill>
                    <a:blip r:embed="rId178"/>
                    <a:stretch>
                      <a:fillRect/>
                    </a:stretch>
                  </pic:blipFill>
                  <pic:spPr bwMode="auto">
                    <a:xfrm>
                      <a:off x="0" y="0"/>
                      <a:ext cx="4520879" cy="5035724"/>
                    </a:xfrm>
                    <a:prstGeom prst="rect">
                      <a:avLst/>
                    </a:prstGeom>
                    <a:noFill/>
                    <a:ln w="9525">
                      <a:noFill/>
                      <a:headEnd/>
                      <a:tailEnd/>
                    </a:ln>
                  </pic:spPr>
                </pic:pic>
              </a:graphicData>
            </a:graphic>
          </wp:inline>
        </w:drawing>
      </w:r>
    </w:p>
    <w:p>
      <w:pPr>
        <w:pStyle w:val="NotaAPA"/>
      </w:pPr>
      <w:r>
        <w:rPr>
          <w:iCs/>
          <w:i/>
        </w:rPr>
        <w:t xml:space="preserve">Nota.</w:t>
      </w:r>
      <w:r>
        <w:t xml:space="preserve"> </w:t>
      </w:r>
      <w:r>
        <w:t xml:space="preserve">Elaboración propia. 6M: mano de obra, método, materiales, maquinaria, medición y medio ambiente.</w:t>
      </w:r>
    </w:p>
    <w:p>
      <w:pPr>
        <w:pStyle w:val="BodyText"/>
      </w:pPr>
      <w:r>
        <w:rPr>
          <w:bCs/>
          <w:b/>
        </w:rPr>
        <w:t xml:space="preserve">Análisis de causas.</w:t>
      </w:r>
      <w:r>
        <w:t xml:space="preserve"> </w:t>
      </w:r>
      <w:r>
        <w:t xml:space="preserve">El análisis distingue la corrección (eliminar el defecto) de la acción correctiva (eliminar su causa). Por ejemplo, los 5 porqués aplicados a la brecha B1 dan la cadena siguiente: la losa no tiene probetas porque no se muestreó en el vaciado; no se muestreó porque nadie tenía asignada la tarea ni existía un plan de muestreo; no existía porque no se exigió un plan de la calidad ni un PPI; y no se exigió porque el control descansaba solo en la verificación de la Supervisión, sin requisitos de registro para la contratista. La causa raíz es la falta de planificación de la calidad del ítem, y la acción correctiva es el plan de muestreo con responsables, el PPI y la certificación condicionada. El ejemplo se basa en hallazgos documentales; las causas deben confirmarse con las entrevistas (formato C.7). Para el desperdicio, el diagrama de Ishikawa ordena las causas en las seis categorías de la Figura 12.</w:t>
      </w:r>
    </w:p>
    <w:p>
      <w:pPr>
        <w:pStyle w:val="BodyText"/>
      </w:pPr>
      <w:r>
        <w:rPr>
          <w:bCs/>
          <w:b/>
        </w:rPr>
        <w:t xml:space="preserve">Mejora continua.</w:t>
      </w:r>
      <w:r>
        <w:t xml:space="preserve"> </w:t>
      </w:r>
      <w:r>
        <w:t xml:space="preserve">Al cerrar cada losa, una revisión de cierre compara los indicadores con las metas y con los paños homólogos de la losa anterior, registra las lecciones aprendidas y actualiza el plan, el PPI, los procedimientos y las metas antes de la losa siguiente; las sugerencias del personal se recogen en la reunión semanal. Así se cierra el ciclo PHVA de la Figura 10.</w:t>
      </w:r>
    </w:p>
    <w:p>
      <w:pPr>
        <w:pStyle w:val="Heading3"/>
      </w:pPr>
      <w:bookmarkStart w:id="182" w:name="tit129"/>
      <w:r>
        <w:t xml:space="preserve">2.6.9. Registro de costos de la calidad</w:t>
      </w:r>
      <w:bookmarkEnd w:id="182"/>
    </w:p>
    <w:p>
      <w:pPr>
        <w:pStyle w:val="FirstParagraph"/>
      </w:pPr>
      <w:r>
        <w:t xml:space="preserve">El registro de costos de la calidad hace visible lo que en la primera losa no se midió (B7) y vincula el SGC con la variable dependiente de la investigación. Se adopta el modelo de prevención, evaluación y fallas (PAF) presentado en el Capítulo 1 (Tabla 8), que sigue siendo el modelo genérico más empleado en las empresas constructoras</w:t>
      </w:r>
      <w:r>
        <w:t xml:space="preserve"> </w:t>
      </w:r>
      <w:r>
        <w:t xml:space="preserve">(Gracia Villar y Dzul López, 2007, p. 43)</w:t>
      </w:r>
      <w:r>
        <w:t xml:space="preserve">. Los costos de prevención corresponden a las actividades que evitan defectos; los de evaluación, a las inspecciones y ensayos que verifican la conformidad; los de fallas internas, a los errores detectados antes de la entrega, como desperdicios y repetición de trabajos; y los de fallas externas, a los que aparecen después de entregado el producto al cliente</w:t>
      </w:r>
      <w:r>
        <w:t xml:space="preserve"> </w:t>
      </w:r>
      <w:r>
        <w:t xml:space="preserve">(Gracia Villar y Dzul López, 2007, pp. 48–49)</w:t>
      </w:r>
      <w:r>
        <w:t xml:space="preserve">. La Tabla 42 concreta los conceptos para la losa con base en los ítems de costo de la calidad identificados por</w:t>
      </w:r>
      <w:r>
        <w:t xml:space="preserve"> </w:t>
      </w:r>
      <w:r>
        <w:t xml:space="preserve">Khadim et al. (2023, pp. 5409–5410)</w:t>
      </w:r>
      <w:r>
        <w:t xml:space="preserve">.</w:t>
      </w:r>
    </w:p>
    <w:p>
      <w:pPr>
        <w:pStyle w:val="Caption"/>
      </w:pPr>
      <w:bookmarkStart w:id="1446" w:name="tab42"/>
      <w:r>
        <w:t xml:space="preserve"/>
      </w:r>
      <w:r>
        <w:rPr>
          <w:bCs/>
          <w:b/>
        </w:rPr>
        <w:t xml:space="preserve">Tabla 42</w:t>
      </w:r>
      <w:r>
        <w:br/>
      </w:r>
      <w:r>
        <w:rPr>
          <w:iCs/>
          <w:i/>
        </w:rPr>
        <w:t xml:space="preserve">Conceptos de costos de la calidad de la losa y su valoración (modelo PAF)</w:t>
      </w:r>
      <w:bookmarkEnd w:id="1446"/>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1475"/>
        <w:gridCol w:w="3218"/>
        <w:gridCol w:w="2894"/>
        <w:gridCol w:w="1773"/>
      </w:tblGrid>
      <w:tr>
        <w:trPr>
          <w:cantSplit/>
          <w:tblHeader w:val="true"/>
        </w:trPr>
        <w:tc>
          <w:tcPr>
            <w:tcW w:w="1475" w:type="dxa"/>
            <w:tcBorders>
              <w:top w:val="single" w:sz="8" w:space="0" w:color="000000"/>
              <w:bottom w:val="single" w:sz="4" w:space="0" w:color="000000"/>
            </w:tcBorders>
          </w:tcPr>
          <w:p>
            <w:pPr>
              <w:pStyle w:val="CeldaAPA"/>
              <w:jc w:val="center"/>
            </w:pPr>
            <w:r>
              <w:rPr>
                <w:bCs/>
                <w:b/>
              </w:rPr>
              <w:t xml:space="preserve">Categoría</w:t>
            </w:r>
          </w:p>
        </w:tc>
        <w:tc>
          <w:tcPr>
            <w:tcW w:w="3218" w:type="dxa"/>
            <w:tcBorders>
              <w:top w:val="single" w:sz="8" w:space="0" w:color="000000"/>
              <w:bottom w:val="single" w:sz="4" w:space="0" w:color="000000"/>
            </w:tcBorders>
          </w:tcPr>
          <w:p>
            <w:pPr>
              <w:pStyle w:val="CeldaAPA"/>
              <w:jc w:val="center"/>
            </w:pPr>
            <w:r>
              <w:rPr>
                <w:bCs/>
                <w:b/>
              </w:rPr>
              <w:t xml:space="preserve">Concepto típico en la losa</w:t>
            </w:r>
          </w:p>
        </w:tc>
        <w:tc>
          <w:tcPr>
            <w:tcW w:w="2894" w:type="dxa"/>
            <w:tcBorders>
              <w:top w:val="single" w:sz="8" w:space="0" w:color="000000"/>
              <w:bottom w:val="single" w:sz="4" w:space="0" w:color="000000"/>
            </w:tcBorders>
          </w:tcPr>
          <w:p>
            <w:pPr>
              <w:pStyle w:val="CeldaAPA"/>
              <w:jc w:val="center"/>
            </w:pPr>
            <w:r>
              <w:rPr>
                <w:bCs/>
                <w:b/>
              </w:rPr>
              <w:t xml:space="preserve">Base de valoración</w:t>
            </w:r>
          </w:p>
        </w:tc>
        <w:tc>
          <w:tcPr>
            <w:tcW w:w="1773" w:type="dxa"/>
            <w:tcBorders>
              <w:top w:val="single" w:sz="8" w:space="0" w:color="000000"/>
              <w:bottom w:val="single" w:sz="4" w:space="0" w:color="000000"/>
            </w:tcBorders>
          </w:tcPr>
          <w:p>
            <w:pPr>
              <w:pStyle w:val="CeldaAPA"/>
              <w:jc w:val="center"/>
            </w:pPr>
            <w:r>
              <w:rPr>
                <w:bCs/>
                <w:b/>
              </w:rPr>
              <w:t xml:space="preserve">Registro</w:t>
            </w:r>
          </w:p>
        </w:tc>
      </w:tr>
      <w:tr>
        <w:tc>
          <w:tcPr>
            <w:tcW w:w="1475" w:type="dxa"/>
          </w:tcPr>
          <w:p>
            <w:pPr>
              <w:pStyle w:val="CeldaAPA"/>
              <w:jc w:val="left"/>
            </w:pPr>
            <w:r>
              <w:rPr/>
              <w:t xml:space="preserve">Prevención (</w:t>
            </w:r>
            <m:oMath>
              <m:sSub>
                <m:e>
                  <m:r>
                    <m:t>C</m:t>
                  </m:r>
                </m:e>
                <m:sub>
                  <m:r>
                    <m:t>P</m:t>
                  </m:r>
                </m:sub>
              </m:sSub>
            </m:oMath>
            <w:r>
              <w:rPr/>
              <w:t xml:space="preserve">)</w:t>
            </w:r>
          </w:p>
        </w:tc>
        <w:tc>
          <w:tcPr>
            <w:tcW w:w="3218" w:type="dxa"/>
          </w:tcPr>
          <w:p>
            <w:pPr>
              <w:pStyle w:val="CeldaAPA"/>
              <w:jc w:val="left"/>
            </w:pPr>
            <w:r>
              <w:rPr/>
              <w:t xml:space="preserve">Plan de la calidad, PPI y procedimientos; despiece y planillas de armado; plan de tiempo frío</w:t>
            </w:r>
          </w:p>
        </w:tc>
        <w:tc>
          <w:tcPr>
            <w:tcW w:w="2894" w:type="dxa"/>
          </w:tcPr>
          <w:p>
            <w:pPr>
              <w:pStyle w:val="CeldaAPA"/>
              <w:jc w:val="left"/>
            </w:pPr>
            <w:r>
              <w:rPr/>
              <w:t xml:space="preserve">Horas</w:t>
            </w:r>
            <w:r>
              <w:rPr/>
              <w:t xml:space="preserve"> </w:t>
            </w:r>
            <m:oMath>
              <m:r>
                <m:rPr>
                  <m:sty m:val="p"/>
                </m:rPr>
                <m:t>×</m:t>
              </m:r>
            </m:oMath>
            <w:r>
              <w:rPr/>
              <w:t xml:space="preserve"> </w:t>
            </w:r>
            <w:r>
              <w:rPr/>
              <w:t xml:space="preserve">costo horario del APU; materiales de protección</w:t>
            </w:r>
          </w:p>
        </w:tc>
        <w:tc>
          <w:tcPr>
            <w:tcW w:w="1773" w:type="dxa"/>
          </w:tcPr>
          <w:p>
            <w:pPr>
              <w:pStyle w:val="CeldaAPA"/>
              <w:jc w:val="left"/>
            </w:pPr>
            <w:r>
              <w:rPr/>
              <w:t xml:space="preserve">Parte de horas</w:t>
            </w:r>
          </w:p>
        </w:tc>
      </w:tr>
      <w:tr>
        <w:tc>
          <w:tcPr>
            <w:tcW w:w="1475" w:type="dxa"/>
          </w:tcPr>
          <w:p>
            <w:pPr>
              <w:pStyle w:val="CeldaAPA"/>
            </w:pPr>
          </w:p>
        </w:tc>
        <w:tc>
          <w:tcPr>
            <w:tcW w:w="3218" w:type="dxa"/>
          </w:tcPr>
          <w:p>
            <w:pPr>
              <w:pStyle w:val="CeldaAPA"/>
              <w:jc w:val="left"/>
            </w:pPr>
            <w:r>
              <w:rPr/>
              <w:t xml:space="preserve">Capacitación (tres charlas)</w:t>
            </w:r>
          </w:p>
        </w:tc>
        <w:tc>
          <w:tcPr>
            <w:tcW w:w="2894" w:type="dxa"/>
          </w:tcPr>
          <w:p>
            <w:pPr>
              <w:pStyle w:val="CeldaAPA"/>
              <w:jc w:val="left"/>
            </w:pPr>
            <w:r>
              <w:rPr/>
              <w:t xml:space="preserve">Horas-hombre de participantes e instructor</w:t>
            </w:r>
            <w:r>
              <w:rPr/>
              <w:t xml:space="preserve"> </w:t>
            </w:r>
            <m:oMath>
              <m:r>
                <m:rPr>
                  <m:sty m:val="p"/>
                </m:rPr>
                <m:t>×</m:t>
              </m:r>
            </m:oMath>
            <w:r>
              <w:rPr/>
              <w:t xml:space="preserve"> </w:t>
            </w:r>
            <w:r>
              <w:rPr/>
              <w:t xml:space="preserve">costo horario</w:t>
            </w:r>
          </w:p>
        </w:tc>
        <w:tc>
          <w:tcPr>
            <w:tcW w:w="1773" w:type="dxa"/>
          </w:tcPr>
          <w:p>
            <w:pPr>
              <w:pStyle w:val="CeldaAPA"/>
              <w:jc w:val="left"/>
            </w:pPr>
            <w:r>
              <w:rPr/>
              <w:t xml:space="preserve">Lista de asistencia</w:t>
            </w:r>
          </w:p>
        </w:tc>
      </w:tr>
      <w:tr>
        <w:tc>
          <w:tcPr>
            <w:tcW w:w="1475" w:type="dxa"/>
          </w:tcPr>
          <w:p>
            <w:pPr>
              <w:pStyle w:val="CeldaAPA"/>
            </w:pPr>
          </w:p>
        </w:tc>
        <w:tc>
          <w:tcPr>
            <w:tcW w:w="3218" w:type="dxa"/>
          </w:tcPr>
          <w:p>
            <w:pPr>
              <w:pStyle w:val="CeldaAPA"/>
              <w:jc w:val="left"/>
            </w:pPr>
            <w:r>
              <w:rPr/>
              <w:t xml:space="preserve">Evaluación de proveedores y auditoría interna</w:t>
            </w:r>
          </w:p>
        </w:tc>
        <w:tc>
          <w:tcPr>
            <w:tcW w:w="2894" w:type="dxa"/>
          </w:tcPr>
          <w:p>
            <w:pPr>
              <w:pStyle w:val="CeldaAPA"/>
              <w:jc w:val="left"/>
            </w:pPr>
            <w:r>
              <w:rPr/>
              <w:t xml:space="preserve">Horas</w:t>
            </w:r>
            <w:r>
              <w:rPr/>
              <w:t xml:space="preserve"> </w:t>
            </w:r>
            <m:oMath>
              <m:r>
                <m:rPr>
                  <m:sty m:val="p"/>
                </m:rPr>
                <m:t>×</m:t>
              </m:r>
            </m:oMath>
            <w:r>
              <w:rPr/>
              <w:t xml:space="preserve"> </w:t>
            </w:r>
            <w:r>
              <w:rPr/>
              <w:t xml:space="preserve">costo horario</w:t>
            </w:r>
          </w:p>
        </w:tc>
        <w:tc>
          <w:tcPr>
            <w:tcW w:w="1773" w:type="dxa"/>
          </w:tcPr>
          <w:p>
            <w:pPr>
              <w:pStyle w:val="CeldaAPA"/>
              <w:jc w:val="left"/>
            </w:pPr>
            <w:r>
              <w:rPr/>
              <w:t xml:space="preserve">Orden de compra; informe</w:t>
            </w:r>
          </w:p>
        </w:tc>
      </w:tr>
      <w:tr>
        <w:tc>
          <w:tcPr>
            <w:tcW w:w="1475" w:type="dxa"/>
          </w:tcPr>
          <w:p>
            <w:pPr>
              <w:pStyle w:val="CeldaAPA"/>
              <w:jc w:val="left"/>
            </w:pPr>
            <w:r>
              <w:rPr/>
              <w:t xml:space="preserve">Evaluación (</w:t>
            </w:r>
            <m:oMath>
              <m:sSub>
                <m:e>
                  <m:r>
                    <m:t>C</m:t>
                  </m:r>
                </m:e>
                <m:sub>
                  <m:r>
                    <m:t>E</m:t>
                  </m:r>
                </m:sub>
              </m:sSub>
            </m:oMath>
            <w:r>
              <w:rPr/>
              <w:t xml:space="preserve">)</w:t>
            </w:r>
          </w:p>
        </w:tc>
        <w:tc>
          <w:tcPr>
            <w:tcW w:w="3218" w:type="dxa"/>
          </w:tcPr>
          <w:p>
            <w:pPr>
              <w:pStyle w:val="CeldaAPA"/>
              <w:jc w:val="left"/>
            </w:pPr>
            <w:r>
              <w:rPr/>
              <w:t xml:space="preserve">Ensayos de compresión, asentamiento y temperatura</w:t>
            </w:r>
          </w:p>
        </w:tc>
        <w:tc>
          <w:tcPr>
            <w:tcW w:w="2894" w:type="dxa"/>
          </w:tcPr>
          <w:p>
            <w:pPr>
              <w:pStyle w:val="CeldaAPA"/>
              <w:jc w:val="left"/>
            </w:pPr>
            <w:r>
              <w:rPr/>
              <w:t xml:space="preserve">Número de ensayos</w:t>
            </w:r>
            <w:r>
              <w:rPr/>
              <w:t xml:space="preserve"> </w:t>
            </w:r>
            <m:oMath>
              <m:r>
                <m:rPr>
                  <m:sty m:val="p"/>
                </m:rPr>
                <m:t>×</m:t>
              </m:r>
            </m:oMath>
            <w:r>
              <w:rPr/>
              <w:t xml:space="preserve"> </w:t>
            </w:r>
            <w:r>
              <w:rPr/>
              <w:t xml:space="preserve">precio del laboratorio; horas del técnico</w:t>
            </w:r>
          </w:p>
        </w:tc>
        <w:tc>
          <w:tcPr>
            <w:tcW w:w="1773" w:type="dxa"/>
          </w:tcPr>
          <w:p>
            <w:pPr>
              <w:pStyle w:val="CeldaAPA"/>
              <w:jc w:val="left"/>
            </w:pPr>
            <w:r>
              <w:rPr/>
              <w:t xml:space="preserve">Facturas; planilla de muestreo</w:t>
            </w:r>
          </w:p>
        </w:tc>
      </w:tr>
      <w:tr>
        <w:tc>
          <w:tcPr>
            <w:tcW w:w="1475" w:type="dxa"/>
          </w:tcPr>
          <w:p>
            <w:pPr>
              <w:pStyle w:val="CeldaAPA"/>
            </w:pPr>
          </w:p>
        </w:tc>
        <w:tc>
          <w:tcPr>
            <w:tcW w:w="3218" w:type="dxa"/>
          </w:tcPr>
          <w:p>
            <w:pPr>
              <w:pStyle w:val="CeldaAPA"/>
              <w:jc w:val="left"/>
            </w:pPr>
            <w:r>
              <w:rPr/>
              <w:t xml:space="preserve">Inspecciones del PPI, recepción, pesajes, inventarios y conciliación</w:t>
            </w:r>
          </w:p>
        </w:tc>
        <w:tc>
          <w:tcPr>
            <w:tcW w:w="2894" w:type="dxa"/>
          </w:tcPr>
          <w:p>
            <w:pPr>
              <w:pStyle w:val="CeldaAPA"/>
              <w:jc w:val="left"/>
            </w:pPr>
            <w:r>
              <w:rPr/>
              <w:t xml:space="preserve">Horas del encargado de calidad, del Capataz y del Almacenero</w:t>
            </w:r>
            <w:r>
              <w:rPr/>
              <w:t xml:space="preserve"> </w:t>
            </w:r>
            <m:oMath>
              <m:r>
                <m:rPr>
                  <m:sty m:val="p"/>
                </m:rPr>
                <m:t>×</m:t>
              </m:r>
            </m:oMath>
            <w:r>
              <w:rPr/>
              <w:t xml:space="preserve"> </w:t>
            </w:r>
            <w:r>
              <w:rPr/>
              <w:t xml:space="preserve">costo horario</w:t>
            </w:r>
          </w:p>
        </w:tc>
        <w:tc>
          <w:tcPr>
            <w:tcW w:w="1773" w:type="dxa"/>
          </w:tcPr>
          <w:p>
            <w:pPr>
              <w:pStyle w:val="CeldaAPA"/>
              <w:jc w:val="left"/>
            </w:pPr>
            <w:r>
              <w:rPr/>
              <w:t xml:space="preserve">Fichas C.2 a C.4</w:t>
            </w:r>
          </w:p>
        </w:tc>
      </w:tr>
      <w:tr>
        <w:tc>
          <w:tcPr>
            <w:tcW w:w="1475" w:type="dxa"/>
          </w:tcPr>
          <w:p>
            <w:pPr>
              <w:pStyle w:val="CeldaAPA"/>
              <w:jc w:val="left"/>
            </w:pPr>
            <w:r>
              <w:rPr/>
              <w:t xml:space="preserve">Fallas internas (</w:t>
            </w:r>
            <m:oMath>
              <m:sSub>
                <m:e>
                  <m:r>
                    <m:t>C</m:t>
                  </m:r>
                </m:e>
                <m:sub>
                  <m:r>
                    <m:t>F</m:t>
                  </m:r>
                  <m:r>
                    <m:t>I</m:t>
                  </m:r>
                </m:sub>
              </m:sSub>
            </m:oMath>
            <w:r>
              <w:rPr/>
              <w:t xml:space="preserve">)</w:t>
            </w:r>
          </w:p>
        </w:tc>
        <w:tc>
          <w:tcPr>
            <w:tcW w:w="3218" w:type="dxa"/>
          </w:tcPr>
          <w:p>
            <w:pPr>
              <w:pStyle w:val="CeldaAPA"/>
              <w:jc w:val="left"/>
            </w:pPr>
            <w:r>
              <w:rPr/>
              <w:t xml:space="preserve">Desperdicio de materiales sobre lo teórico</w:t>
            </w:r>
          </w:p>
        </w:tc>
        <w:tc>
          <w:tcPr>
            <w:tcW w:w="2894" w:type="dxa"/>
          </w:tcPr>
          <w:p>
            <w:pPr>
              <w:pStyle w:val="CeldaAPA"/>
              <w:jc w:val="left"/>
            </w:pPr>
            <w:r>
              <w:rPr/>
              <w:t xml:space="preserve">Ecuación (15), a precios del contrato</w:t>
            </w:r>
          </w:p>
        </w:tc>
        <w:tc>
          <w:tcPr>
            <w:tcW w:w="1773" w:type="dxa"/>
          </w:tcPr>
          <w:p>
            <w:pPr>
              <w:pStyle w:val="CeldaAPA"/>
              <w:jc w:val="left"/>
            </w:pPr>
            <w:r>
              <w:rPr/>
              <w:t xml:space="preserve">Ficha C.4</w:t>
            </w:r>
          </w:p>
        </w:tc>
      </w:tr>
      <w:tr>
        <w:tc>
          <w:tcPr>
            <w:tcW w:w="1475" w:type="dxa"/>
          </w:tcPr>
          <w:p>
            <w:pPr>
              <w:pStyle w:val="CeldaAPA"/>
            </w:pPr>
          </w:p>
        </w:tc>
        <w:tc>
          <w:tcPr>
            <w:tcW w:w="3218" w:type="dxa"/>
          </w:tcPr>
          <w:p>
            <w:pPr>
              <w:pStyle w:val="CeldaAPA"/>
              <w:jc w:val="left"/>
            </w:pPr>
            <w:r>
              <w:rPr/>
              <w:t xml:space="preserve">Retrabajos, reparaciones y material no conforme repuesto (nidos de grava, armadura repuesta, viguetas rotas, EPS dañado)</w:t>
            </w:r>
          </w:p>
        </w:tc>
        <w:tc>
          <w:tcPr>
            <w:tcW w:w="2894" w:type="dxa"/>
          </w:tcPr>
          <w:p>
            <w:pPr>
              <w:pStyle w:val="CeldaAPA"/>
              <w:jc w:val="left"/>
            </w:pPr>
            <w:r>
              <w:rPr/>
              <w:t xml:space="preserve">Horas-hombre, materiales y equipo a precios del APU</w:t>
            </w:r>
          </w:p>
        </w:tc>
        <w:tc>
          <w:tcPr>
            <w:tcW w:w="1773" w:type="dxa"/>
          </w:tcPr>
          <w:p>
            <w:pPr>
              <w:pStyle w:val="CeldaAPA"/>
              <w:jc w:val="left"/>
            </w:pPr>
            <w:r>
              <w:rPr/>
              <w:t xml:space="preserve">Registro C.5</w:t>
            </w:r>
          </w:p>
        </w:tc>
      </w:tr>
      <w:tr>
        <w:tc>
          <w:tcPr>
            <w:tcW w:w="1475" w:type="dxa"/>
          </w:tcPr>
          <w:p>
            <w:pPr>
              <w:pStyle w:val="CeldaAPA"/>
            </w:pPr>
          </w:p>
        </w:tc>
        <w:tc>
          <w:tcPr>
            <w:tcW w:w="3218" w:type="dxa"/>
          </w:tcPr>
          <w:p>
            <w:pPr>
              <w:pStyle w:val="CeldaAPA"/>
              <w:jc w:val="left"/>
            </w:pPr>
            <w:r>
              <w:rPr/>
              <w:t xml:space="preserve">Esperas por material faltante o no conforme</w:t>
            </w:r>
          </w:p>
        </w:tc>
        <w:tc>
          <w:tcPr>
            <w:tcW w:w="2894" w:type="dxa"/>
          </w:tcPr>
          <w:p>
            <w:pPr>
              <w:pStyle w:val="CeldaAPA"/>
              <w:jc w:val="left"/>
            </w:pPr>
            <w:r>
              <w:rPr/>
              <w:t xml:space="preserve">Horas improductivas de la cuadrilla</w:t>
            </w:r>
            <w:r>
              <w:rPr/>
              <w:t xml:space="preserve"> </w:t>
            </w:r>
            <m:oMath>
              <m:r>
                <m:rPr>
                  <m:sty m:val="p"/>
                </m:rPr>
                <m:t>×</m:t>
              </m:r>
            </m:oMath>
            <w:r>
              <w:rPr/>
              <w:t xml:space="preserve"> </w:t>
            </w:r>
            <w:r>
              <w:rPr/>
              <w:t xml:space="preserve">costo horario</w:t>
            </w:r>
          </w:p>
        </w:tc>
        <w:tc>
          <w:tcPr>
            <w:tcW w:w="1773" w:type="dxa"/>
          </w:tcPr>
          <w:p>
            <w:pPr>
              <w:pStyle w:val="CeldaAPA"/>
              <w:jc w:val="left"/>
            </w:pPr>
            <w:r>
              <w:rPr/>
              <w:t xml:space="preserve">Parte diario</w:t>
            </w:r>
          </w:p>
        </w:tc>
      </w:tr>
      <w:tr>
        <w:tc>
          <w:tcPr>
            <w:tcW w:w="1475" w:type="dxa"/>
          </w:tcPr>
          <w:p>
            <w:pPr>
              <w:pStyle w:val="CeldaAPA"/>
            </w:pPr>
          </w:p>
        </w:tc>
        <w:tc>
          <w:tcPr>
            <w:tcW w:w="3218" w:type="dxa"/>
          </w:tcPr>
          <w:p>
            <w:pPr>
              <w:pStyle w:val="CeldaAPA"/>
              <w:jc w:val="left"/>
            </w:pPr>
            <w:r>
              <w:rPr/>
              <w:t xml:space="preserve">Investigación de resistencias bajas</w:t>
            </w:r>
          </w:p>
        </w:tc>
        <w:tc>
          <w:tcPr>
            <w:tcW w:w="2894" w:type="dxa"/>
          </w:tcPr>
          <w:p>
            <w:pPr>
              <w:pStyle w:val="CeldaAPA"/>
              <w:jc w:val="left"/>
            </w:pPr>
            <w:r>
              <w:rPr/>
              <w:t xml:space="preserve">Núcleos</w:t>
            </w:r>
            <w:r>
              <w:rPr/>
              <w:t xml:space="preserve"> </w:t>
            </w:r>
            <m:oMath>
              <m:r>
                <m:rPr>
                  <m:sty m:val="p"/>
                </m:rPr>
                <m:t>×</m:t>
              </m:r>
            </m:oMath>
            <w:r>
              <w:rPr/>
              <w:t xml:space="preserve"> </w:t>
            </w:r>
            <w:r>
              <w:rPr/>
              <w:t xml:space="preserve">precio del laboratorio</w:t>
            </w:r>
          </w:p>
        </w:tc>
        <w:tc>
          <w:tcPr>
            <w:tcW w:w="1773" w:type="dxa"/>
          </w:tcPr>
          <w:p>
            <w:pPr>
              <w:pStyle w:val="CeldaAPA"/>
              <w:jc w:val="left"/>
            </w:pPr>
            <w:r>
              <w:rPr/>
              <w:t xml:space="preserve">Informe del laboratorio</w:t>
            </w:r>
          </w:p>
        </w:tc>
      </w:tr>
      <w:tr>
        <w:tc>
          <w:tcPr>
            <w:tcW w:w="1475" w:type="dxa"/>
          </w:tcPr>
          <w:p>
            <w:pPr>
              <w:pStyle w:val="CeldaAPA"/>
              <w:jc w:val="left"/>
            </w:pPr>
            <w:r>
              <w:rPr/>
              <w:t xml:space="preserve">Fallas externas (</w:t>
            </w:r>
            <m:oMath>
              <m:sSub>
                <m:e>
                  <m:r>
                    <m:t>C</m:t>
                  </m:r>
                </m:e>
                <m:sub>
                  <m:r>
                    <m:t>F</m:t>
                  </m:r>
                  <m:r>
                    <m:t>E</m:t>
                  </m:r>
                </m:sub>
              </m:sSub>
            </m:oMath>
            <w:r>
              <w:rPr/>
              <w:t xml:space="preserve">)</w:t>
            </w:r>
          </w:p>
        </w:tc>
        <w:tc>
          <w:tcPr>
            <w:tcW w:w="3218" w:type="dxa"/>
          </w:tcPr>
          <w:p>
            <w:pPr>
              <w:pStyle w:val="CeldaAPA"/>
              <w:jc w:val="left"/>
            </w:pPr>
            <w:r>
              <w:rPr/>
              <w:t xml:space="preserve">Sobremediciones detectadas y corregidas después de pagadas</w:t>
            </w:r>
          </w:p>
        </w:tc>
        <w:tc>
          <w:tcPr>
            <w:tcW w:w="2894" w:type="dxa"/>
          </w:tcPr>
          <w:p>
            <w:pPr>
              <w:pStyle w:val="CeldaAPA"/>
              <w:jc w:val="left"/>
            </w:pPr>
            <w:r>
              <w:rPr/>
              <w:t xml:space="preserve">Monto descontado en la planilla</w:t>
            </w:r>
          </w:p>
        </w:tc>
        <w:tc>
          <w:tcPr>
            <w:tcW w:w="1773" w:type="dxa"/>
          </w:tcPr>
          <w:p>
            <w:pPr>
              <w:pStyle w:val="CeldaAPA"/>
              <w:jc w:val="left"/>
            </w:pPr>
            <w:r>
              <w:rPr/>
              <w:t xml:space="preserve">Planillas de avance</w:t>
            </w:r>
          </w:p>
        </w:tc>
      </w:tr>
      <w:tr>
        <w:tc>
          <w:tcPr>
            <w:tcW w:w="1475" w:type="dxa"/>
            <w:tcBorders>
              <w:bottom w:val="single" w:sz="8" w:space="0" w:color="000000"/>
            </w:tcBorders>
          </w:tcPr>
          <w:p>
            <w:pPr>
              <w:pStyle w:val="CeldaAPA"/>
            </w:pPr>
          </w:p>
        </w:tc>
        <w:tc>
          <w:tcPr>
            <w:tcW w:w="3218" w:type="dxa"/>
            <w:tcBorders>
              <w:bottom w:val="single" w:sz="8" w:space="0" w:color="000000"/>
            </w:tcBorders>
          </w:tcPr>
          <w:p>
            <w:pPr>
              <w:pStyle w:val="CeldaAPA"/>
              <w:jc w:val="left"/>
            </w:pPr>
            <w:r>
              <w:rPr/>
              <w:t xml:space="preserve">Reparaciones después de la recepción provisional; multas y plazo adicional atribuibles a fallas</w:t>
            </w:r>
          </w:p>
        </w:tc>
        <w:tc>
          <w:tcPr>
            <w:tcW w:w="2894" w:type="dxa"/>
            <w:tcBorders>
              <w:bottom w:val="single" w:sz="8" w:space="0" w:color="000000"/>
            </w:tcBorders>
          </w:tcPr>
          <w:p>
            <w:pPr>
              <w:pStyle w:val="CeldaAPA"/>
              <w:jc w:val="left"/>
            </w:pPr>
            <w:r>
              <w:rPr/>
              <w:t xml:space="preserve">Costos a precios del APU; montos de multas y gastos generales</w:t>
            </w:r>
          </w:p>
        </w:tc>
        <w:tc>
          <w:tcPr>
            <w:tcW w:w="1773" w:type="dxa"/>
            <w:tcBorders>
              <w:bottom w:val="single" w:sz="8" w:space="0" w:color="000000"/>
            </w:tcBorders>
          </w:tcPr>
          <w:p>
            <w:pPr>
              <w:pStyle w:val="CeldaAPA"/>
              <w:jc w:val="left"/>
            </w:pPr>
            <w:r>
              <w:rPr/>
              <w:t xml:space="preserve">Libro de Órdenes; C.5</w:t>
            </w:r>
          </w:p>
        </w:tc>
      </w:tr>
    </w:tbl>
    <w:p>
      <w:pPr>
        <w:pStyle w:val="NotaAPA"/>
      </w:pPr>
      <w:r>
        <w:rPr>
          <w:iCs/>
          <w:i/>
        </w:rPr>
        <w:t xml:space="preserve">Nota.</w:t>
      </w:r>
      <w:r>
        <w:t xml:space="preserve"> </w:t>
      </w:r>
      <w:r>
        <w:t xml:space="preserve">Elaboración propia con base en</w:t>
      </w:r>
      <w:r>
        <w:t xml:space="preserve"> </w:t>
      </w:r>
      <w:r>
        <w:t xml:space="preserve">Gracia Villar y Dzul López (2007, pp. 48–49)</w:t>
      </w:r>
      <w:r>
        <w:t xml:space="preserve"> </w:t>
      </w:r>
      <w:r>
        <w:t xml:space="preserve">y</w:t>
      </w:r>
      <w:r>
        <w:t xml:space="preserve"> </w:t>
      </w:r>
      <w:r>
        <w:t xml:space="preserve">Khadim et al. (2023, pp. 5409–5410)</w:t>
      </w:r>
      <w:r>
        <w:t xml:space="preserve">. Precios y costos horarios del análisis de precios unitarios (APU) del contrato, a precios constantes. En la línea base, el descuento de 1.915,16 kg de acero (Bs 32.090,11) en la planilla de cierre</w:t>
      </w:r>
      <w:r>
        <w:t xml:space="preserve"> </w:t>
      </w:r>
      <w:r>
        <w:t xml:space="preserve">(UATF, s. f.-c)</w:t>
      </w:r>
      <w:r>
        <w:t xml:space="preserve"> </w:t>
      </w:r>
      <w:r>
        <w:t xml:space="preserve">es un ejemplo de sobremedición corregida.</w:t>
      </w:r>
    </w:p>
    <w:p>
      <w:pPr>
        <w:pStyle w:val="BodyText"/>
      </w:pPr>
      <w:r>
        <w:rPr>
          <w:bCs/>
          <w:b/>
        </w:rPr>
        <w:t xml:space="preserve">Reglas de valoración.</w:t>
      </w:r>
      <w:r>
        <w:t xml:space="preserve"> </w:t>
      </w:r>
      <w:r>
        <w:t xml:space="preserve">(1) Todo costo se valora a precios constantes del contrato, como el costo unitario de la ecuación (9), para aislar el efecto de la inflación. (2) Las horas se valoran con el costo horario de la categoría en el APU. (3) Cada boliviano se registra una sola vez y en una sola categoría: el desperdicio de materiales se obtiene solo de la conciliación (PCM-04) y no se repite como retrabajo. (4) Los costos de prevención y de evaluación se registran por semana, las fallas internas por paño y las externas por planilla, y todos se consolidan por mes y por losa en la planilla C.6. (5) Los costos ocultos, que la contabilidad tradicional no capta</w:t>
      </w:r>
      <w:r>
        <w:t xml:space="preserve"> </w:t>
      </w:r>
      <w:r>
        <w:t xml:space="preserve">(Khadim et al., 2023, p. 5403)</w:t>
      </w:r>
      <w:r>
        <w:t xml:space="preserve">, como la pérdida de productividad o de reputación, se anotan de forma cualitativa.</w:t>
      </w:r>
    </w:p>
    <w:p>
      <w:pPr>
        <w:pStyle w:val="BodyText"/>
      </w:pPr>
      <w:r>
        <w:rPr>
          <w:bCs/>
          <w:b/>
        </w:rPr>
        <w:t xml:space="preserve">Relación con el costo unitario y el costo de no calidad.</w:t>
      </w:r>
      <w:r>
        <w:t xml:space="preserve"> </w:t>
      </w:r>
      <w:r>
        <w:t xml:space="preserve">El costo de las pérdidas de materiales es la diferencia entre el consumo real y el teórico multiplicada por el costo unitario</w:t>
      </w:r>
      <w:r>
        <w:t xml:space="preserve"> </w:t>
      </w:r>
      <w:r>
        <w:t xml:space="preserve">(Rossi et al., 2001, tabla 2)</w:t>
      </w:r>
      <w:r>
        <w:t xml:space="preserve">. Con las cantidades colocadas de la ecuación (12):</w:t>
      </w:r>
    </w:p>
    <w:tbl>
      <w:tblPr>
        <w:tblW w:w="9360" w:type="dxa"/>
        <w:tblLayout w:type="fixed"/>
        <w:tblCellMar>
          <w:left w:w="0" w:type="dxa"/>
          <w:right w:w="0" w:type="dxa"/>
        </w:tblCellMar>
        <w:tblLook w:val="0000" w:firstRow="0" w:lastRow="0" w:firstColumn="0" w:lastColumn="0" w:noHBand="1" w:noVBand="1"/>
        <w:tblCaption w:val="Ecuación"/>
      </w:tblPr>
      <w:tblGrid>
        <w:gridCol w:w="1134"/>
        <w:gridCol w:w="7092"/>
        <w:gridCol w:w="1134"/>
      </w:tblGrid>
      <w:tr>
        <w:trPr>
          <w:cantSplit/>
        </w:trPr>
        <w:tc>
          <w:tcPr>
            <w:tcW w:w="1134" w:type="dxa"/>
            <w:vAlign w:val="center"/>
          </w:tcPr>
          <w:p>
            <w:pPr>
              <w:pStyle w:val="EcuacionAPA"/>
            </w:pPr>
          </w:p>
        </w:tc>
        <w:tc>
          <w:tcPr>
            <w:tcW w:w="7092" w:type="dxa"/>
            <w:vAlign w:val="center"/>
          </w:tcPr>
          <w:p>
            <w:pPr>
              <w:pStyle w:val="EcuacionAPA"/>
            </w:pPr>
            <m:oMathPara>
              <m:oMathParaPr>
                <m:jc m:val="center"/>
              </m:oMathParaPr>
              <m:oMath>
                <m:sSubSup>
                  <m:e>
                    <m:r>
                      <m:t>C</m:t>
                    </m:r>
                  </m:e>
                  <m:sub>
                    <m:r>
                      <m:t>F</m:t>
                    </m:r>
                    <m:r>
                      <m:t>I</m:t>
                    </m:r>
                  </m:sub>
                  <m:sup>
                    <m:r>
                      <m:t> </m:t>
                    </m:r>
                    <m:r>
                      <m:t>m</m:t>
                    </m:r>
                    <m:r>
                      <m:t>a</m:t>
                    </m:r>
                    <m:r>
                      <m:t>t</m:t>
                    </m:r>
                  </m:sup>
                </m:sSubSup>
                <m:r>
                  <m:rPr>
                    <m:sty m:val="p"/>
                  </m:rPr>
                  <m:t>=</m:t>
                </m:r>
                <m:nary>
                  <m:naryPr>
                    <m:chr m:val="∑"/>
                    <m:limLoc m:val="undOvr"/>
                    <m:subHide m:val="off"/>
                    <m:supHide m:val="on"/>
                  </m:naryPr>
                  <m:sub>
                    <m:r>
                      <m:t>j</m:t>
                    </m:r>
                  </m:sub>
                  <m:sup>
                    <m:r>
                      <m:t>​</m:t>
                    </m:r>
                  </m:sup>
                  <m:e>
                    <m:d>
                      <m:dPr>
                        <m:begChr m:val="("/>
                        <m:endChr m:val=")"/>
                        <m:sepChr m:val=""/>
                        <m:grow/>
                      </m:dPr>
                      <m:e>
                        <m:sSub>
                          <m:e>
                            <m:r>
                              <m:t>Q</m:t>
                            </m:r>
                          </m:e>
                          <m:sub>
                            <m:r>
                              <m:t>C</m:t>
                            </m:r>
                            <m:r>
                              <m:rPr>
                                <m:sty m:val="p"/>
                              </m:rPr>
                              <m:t>,</m:t>
                            </m:r>
                            <m:r>
                              <m:t>j</m:t>
                            </m:r>
                          </m:sub>
                        </m:sSub>
                        <m:r>
                          <m:rPr>
                            <m:sty m:val="p"/>
                          </m:rPr>
                          <m:t>−</m:t>
                        </m:r>
                        <m:sSub>
                          <m:e>
                            <m:r>
                              <m:t>Q</m:t>
                            </m:r>
                          </m:e>
                          <m:sub>
                            <m:r>
                              <m:t>T</m:t>
                            </m:r>
                            <m:r>
                              <m:rPr>
                                <m:sty m:val="p"/>
                              </m:rPr>
                              <m:t>,</m:t>
                            </m:r>
                            <m:r>
                              <m:t>j</m:t>
                            </m:r>
                          </m:sub>
                        </m:sSub>
                      </m:e>
                    </m:d>
                  </m:e>
                </m:nary>
                <m:sSub>
                  <m:e>
                    <m:r>
                      <m:t>p</m:t>
                    </m:r>
                  </m:e>
                  <m:sub>
                    <m:r>
                      <m:t>j</m:t>
                    </m:r>
                  </m:sub>
                </m:sSub>
                <m:r>
                  <m:rPr>
                    <m:sty m:val="p"/>
                  </m:rPr>
                  <m:t>=</m:t>
                </m:r>
                <m:nary>
                  <m:naryPr>
                    <m:chr m:val="∑"/>
                    <m:limLoc m:val="undOvr"/>
                    <m:subHide m:val="off"/>
                    <m:supHide m:val="on"/>
                  </m:naryPr>
                  <m:sub>
                    <m:r>
                      <m:t>j</m:t>
                    </m:r>
                  </m:sub>
                  <m:sup>
                    <m:r>
                      <m:t>​</m:t>
                    </m:r>
                  </m:sup>
                  <m:e>
                    <m:f>
                      <m:fPr>
                        <m:type m:val="bar"/>
                      </m:fPr>
                      <m:num>
                        <m:r>
                          <m:t>I</m:t>
                        </m:r>
                        <m:r>
                          <m:t>D</m:t>
                        </m:r>
                        <m:sSub>
                          <m:e>
                            <m:r>
                              <m:t>M</m:t>
                            </m:r>
                          </m:e>
                          <m:sub>
                            <m:r>
                              <m:t>j</m:t>
                            </m:r>
                          </m:sub>
                        </m:sSub>
                      </m:num>
                      <m:den>
                        <m:r>
                          <m:t>100</m:t>
                        </m:r>
                      </m:den>
                    </m:f>
                  </m:e>
                </m:nary>
                <m:r>
                  <m:t> </m:t>
                </m:r>
                <m:sSub>
                  <m:e>
                    <m:r>
                      <m:t>Q</m:t>
                    </m:r>
                  </m:e>
                  <m:sub>
                    <m:r>
                      <m:t>T</m:t>
                    </m:r>
                    <m:r>
                      <m:rPr>
                        <m:sty m:val="p"/>
                      </m:rPr>
                      <m:t>,</m:t>
                    </m:r>
                    <m:r>
                      <m:t>j</m:t>
                    </m:r>
                  </m:sub>
                </m:sSub>
                <m:r>
                  <m:t> </m:t>
                </m:r>
                <m:sSub>
                  <m:e>
                    <m:r>
                      <m:t>p</m:t>
                    </m:r>
                  </m:e>
                  <m:sub>
                    <m:r>
                      <m:t>j</m:t>
                    </m:r>
                  </m:sub>
                </m:sSub>
              </m:oMath>
            </m:oMathPara>
          </w:p>
        </w:tc>
        <w:tc>
          <w:tcPr>
            <w:tcW w:w="1134" w:type="dxa"/>
            <w:vAlign w:val="center"/>
          </w:tcPr>
          <w:p>
            <w:pPr>
              <w:pStyle w:val="EcuacionAPA"/>
              <w:jc w:val="right"/>
            </w:pPr>
            <w:r>
              <w:t>(15)</w:t>
            </w:r>
          </w:p>
        </w:tc>
      </w:tr>
    </w:tbl>
    <w:p>
      <w:pPr>
        <w:pStyle w:val="FirstParagraph"/>
        <w:ind w:firstLine="0"/>
      </w:pPr>
      <w:r>
        <w:t xml:space="preserve"/>
      </w:r>
      <w:r>
        <w:t xml:space="preserve"/>
      </w:r>
      <w:r>
        <w:t xml:space="preserve">Como en la ecuación (9) la cantidad real de cada insumo es la teórica más su pérdida, el costo unitario puede descomponerse según el modelo PAF:</w:t>
      </w:r>
    </w:p>
    <w:tbl>
      <w:tblPr>
        <w:tblW w:w="9360" w:type="dxa"/>
        <w:tblLayout w:type="fixed"/>
        <w:tblCellMar>
          <w:left w:w="0" w:type="dxa"/>
          <w:right w:w="0" w:type="dxa"/>
        </w:tblCellMar>
        <w:tblLook w:val="0000" w:firstRow="0" w:lastRow="0" w:firstColumn="0" w:lastColumn="0" w:noHBand="1" w:noVBand="1"/>
        <w:tblCaption w:val="Ecuación"/>
      </w:tblPr>
      <w:tblGrid>
        <w:gridCol w:w="1134"/>
        <w:gridCol w:w="7092"/>
        <w:gridCol w:w="1134"/>
      </w:tblGrid>
      <w:tr>
        <w:trPr>
          <w:cantSplit/>
        </w:trPr>
        <w:tc>
          <w:tcPr>
            <w:tcW w:w="1134" w:type="dxa"/>
            <w:vAlign w:val="center"/>
          </w:tcPr>
          <w:p>
            <w:pPr>
              <w:pStyle w:val="EcuacionAPA"/>
            </w:pPr>
          </w:p>
        </w:tc>
        <w:tc>
          <w:tcPr>
            <w:tcW w:w="7092" w:type="dxa"/>
            <w:vAlign w:val="center"/>
          </w:tcPr>
          <w:p>
            <w:pPr>
              <w:pStyle w:val="EcuacionAPA"/>
            </w:pPr>
            <m:oMathPara>
              <m:oMathParaPr>
                <m:jc m:val="center"/>
              </m:oMathParaPr>
              <m:oMath>
                <m:r>
                  <m:t>C</m:t>
                </m:r>
                <m:r>
                  <m:t>U</m:t>
                </m:r>
                <m:r>
                  <m:rPr>
                    <m:sty m:val="p"/>
                  </m:rPr>
                  <m:t>=</m:t>
                </m:r>
                <m:limLow>
                  <m:e>
                    <m:limLow>
                      <m:e>
                        <m:f>
                          <m:fPr>
                            <m:type m:val="bar"/>
                          </m:fPr>
                          <m:num>
                            <m:nary>
                              <m:naryPr>
                                <m:chr m:val="∑"/>
                                <m:limLoc m:val="undOvr"/>
                                <m:subHide m:val="off"/>
                                <m:supHide m:val="on"/>
                              </m:naryPr>
                              <m:sub>
                                <m:r>
                                  <m:t>j</m:t>
                                </m:r>
                              </m:sub>
                              <m:sup>
                                <m:r>
                                  <m:t>​</m:t>
                                </m:r>
                              </m:sup>
                              <m:e>
                                <m:sSub>
                                  <m:e>
                                    <m:r>
                                      <m:t>Q</m:t>
                                    </m:r>
                                  </m:e>
                                  <m:sub>
                                    <m:r>
                                      <m:t>T</m:t>
                                    </m:r>
                                    <m:r>
                                      <m:rPr>
                                        <m:sty m:val="p"/>
                                      </m:rPr>
                                      <m:t>,</m:t>
                                    </m:r>
                                    <m:r>
                                      <m:t>j</m:t>
                                    </m:r>
                                  </m:sub>
                                </m:sSub>
                              </m:e>
                            </m:nary>
                            <m:r>
                              <m:t> </m:t>
                            </m:r>
                            <m:sSub>
                              <m:e>
                                <m:r>
                                  <m:t>p</m:t>
                                </m:r>
                              </m:e>
                              <m:sub>
                                <m:r>
                                  <m:t>j</m:t>
                                </m:r>
                              </m:sub>
                            </m:sSub>
                            <m:r>
                              <m:rPr>
                                <m:sty m:val="p"/>
                              </m:rPr>
                              <m:t>+</m:t>
                            </m:r>
                            <m:sSub>
                              <m:e>
                                <m:r>
                                  <m:t>C</m:t>
                                </m:r>
                              </m:e>
                              <m:sub>
                                <m:r>
                                  <m:t>M</m:t>
                                </m:r>
                                <m:r>
                                  <m:t>O</m:t>
                                </m:r>
                              </m:sub>
                            </m:sSub>
                            <m:r>
                              <m:rPr>
                                <m:sty m:val="p"/>
                              </m:rPr>
                              <m:t>+</m:t>
                            </m:r>
                            <m:sSub>
                              <m:e>
                                <m:r>
                                  <m:t>C</m:t>
                                </m:r>
                              </m:e>
                              <m:sub>
                                <m:r>
                                  <m:t>E</m:t>
                                </m:r>
                                <m:r>
                                  <m:t>Q</m:t>
                                </m:r>
                              </m:sub>
                            </m:sSub>
                          </m:num>
                          <m:den>
                            <m:r>
                              <m:t>A</m:t>
                            </m:r>
                          </m:den>
                        </m:f>
                      </m:e>
                      <m:lim>
                        <m:r>
                          <m:rPr>
                            <m:sty m:val="p"/>
                          </m:rPr>
                          <m:t>⏟</m:t>
                        </m:r>
                      </m:lim>
                    </m:limLow>
                  </m:e>
                  <m:lim>
                    <m:r>
                      <m:t>C</m:t>
                    </m:r>
                    <m:sSub>
                      <m:e>
                        <m:r>
                          <m:t>U</m:t>
                        </m:r>
                      </m:e>
                      <m:sub>
                        <m:r>
                          <m:t>T</m:t>
                        </m:r>
                      </m:sub>
                    </m:sSub>
                  </m:lim>
                </m:limLow>
                <m:r>
                  <m:rPr>
                    <m:sty m:val="p"/>
                  </m:rPr>
                  <m:t>+</m:t>
                </m:r>
                <m:f>
                  <m:fPr>
                    <m:type m:val="bar"/>
                  </m:fPr>
                  <m:num>
                    <m:sSub>
                      <m:e>
                        <m:r>
                          <m:t>C</m:t>
                        </m:r>
                      </m:e>
                      <m:sub>
                        <m:r>
                          <m:t>F</m:t>
                        </m:r>
                        <m:r>
                          <m:t>I</m:t>
                        </m:r>
                      </m:sub>
                    </m:sSub>
                  </m:num>
                  <m:den>
                    <m:r>
                      <m:t>A</m:t>
                    </m:r>
                  </m:den>
                </m:f>
                <m:r>
                  <m:rPr>
                    <m:sty m:val="p"/>
                  </m:rPr>
                  <m:t>+</m:t>
                </m:r>
                <m:f>
                  <m:fPr>
                    <m:type m:val="bar"/>
                  </m:fPr>
                  <m:num>
                    <m:sSub>
                      <m:e>
                        <m:r>
                          <m:t>C</m:t>
                        </m:r>
                      </m:e>
                      <m:sub>
                        <m:r>
                          <m:t>P</m:t>
                        </m:r>
                      </m:sub>
                    </m:sSub>
                    <m:r>
                      <m:rPr>
                        <m:sty m:val="p"/>
                      </m:rPr>
                      <m:t>+</m:t>
                    </m:r>
                    <m:sSub>
                      <m:e>
                        <m:r>
                          <m:t>C</m:t>
                        </m:r>
                      </m:e>
                      <m:sub>
                        <m:r>
                          <m:t>E</m:t>
                        </m:r>
                      </m:sub>
                    </m:sSub>
                  </m:num>
                  <m:den>
                    <m:r>
                      <m:t>A</m:t>
                    </m:r>
                  </m:den>
                </m:f>
              </m:oMath>
            </m:oMathPara>
          </w:p>
        </w:tc>
        <w:tc>
          <w:tcPr>
            <w:tcW w:w="1134" w:type="dxa"/>
            <w:vAlign w:val="center"/>
          </w:tcPr>
          <w:p>
            <w:pPr>
              <w:pStyle w:val="EcuacionAPA"/>
              <w:jc w:val="right"/>
            </w:pPr>
            <w:r>
              <w:t>(16)</w:t>
            </w:r>
          </w:p>
        </w:tc>
      </w:tr>
    </w:tbl>
    <w:p>
      <w:pPr>
        <w:pStyle w:val="FirstParagraph"/>
        <w:ind w:firstLine="0"/>
      </w:pPr>
      <w:r>
        <w:t xml:space="preserve"/>
      </w:r>
      <w:r>
        <w:t xml:space="preserve"/>
      </w:r>
      <w:r>
        <w:t xml:space="preserve">donde</w:t>
      </w:r>
      <w:r>
        <w:t xml:space="preserve"> </w:t>
      </w:r>
      <m:oMath>
        <m:r>
          <m:t>C</m:t>
        </m:r>
        <m:sSub>
          <m:e>
            <m:r>
              <m:t>U</m:t>
            </m:r>
          </m:e>
          <m:sub>
            <m:r>
              <m:t>T</m:t>
            </m:r>
          </m:sub>
        </m:sSub>
      </m:oMath>
      <w:r>
        <w:t xml:space="preserve"> </w:t>
      </w:r>
      <w:r>
        <w:t xml:space="preserve">es el costo unitario con cantidades teóricas y con la mano de obra y el equipo productivos,</w:t>
      </w:r>
      <w:r>
        <w:t xml:space="preserve"> </w:t>
      </w:r>
      <m:oMath>
        <m:sSub>
          <m:e>
            <m:r>
              <m:t>C</m:t>
            </m:r>
          </m:e>
          <m:sub>
            <m:r>
              <m:t>F</m:t>
            </m:r>
            <m:r>
              <m:t>I</m:t>
            </m:r>
          </m:sub>
        </m:sSub>
      </m:oMath>
      <w:r>
        <w:t xml:space="preserve"> </w:t>
      </w:r>
      <w:r>
        <w:t xml:space="preserve">incluye las pérdidas de materiales (ecuación 15) y los retrabajos, y</w:t>
      </w:r>
      <w:r>
        <w:t xml:space="preserve"> </w:t>
      </w:r>
      <m:oMath>
        <m:sSub>
          <m:e>
            <m:r>
              <m:t>C</m:t>
            </m:r>
          </m:e>
          <m:sub>
            <m:r>
              <m:t>P</m:t>
            </m:r>
          </m:sub>
        </m:sSub>
        <m:r>
          <m:rPr>
            <m:sty m:val="p"/>
          </m:rPr>
          <m:t>+</m:t>
        </m:r>
        <m:sSub>
          <m:e>
            <m:r>
              <m:t>C</m:t>
            </m:r>
          </m:e>
          <m:sub>
            <m:r>
              <m:t>E</m:t>
            </m:r>
          </m:sub>
        </m:sSub>
      </m:oMath>
      <w:r>
        <w:t xml:space="preserve"> </w:t>
      </w:r>
      <w:r>
        <w:t xml:space="preserve">es el costo de la calidad</w:t>
      </w:r>
      <w:r>
        <w:t xml:space="preserve"> </w:t>
      </w:r>
      <m:oMath>
        <m:r>
          <m:t>C</m:t>
        </m:r>
        <m:r>
          <m:t>C</m:t>
        </m:r>
      </m:oMath>
      <w:r>
        <w:t xml:space="preserve"> </w:t>
      </w:r>
      <w:r>
        <w:t xml:space="preserve">de la ecuación (10). El SGC reduce el costo unitario si la disminución de</w:t>
      </w:r>
      <w:r>
        <w:t xml:space="preserve"> </w:t>
      </w:r>
      <m:oMath>
        <m:sSub>
          <m:e>
            <m:r>
              <m:t>C</m:t>
            </m:r>
          </m:e>
          <m:sub>
            <m:r>
              <m:t>F</m:t>
            </m:r>
            <m:r>
              <m:t>I</m:t>
            </m:r>
          </m:sub>
        </m:sSub>
      </m:oMath>
      <w:r>
        <w:t xml:space="preserve"> </w:t>
      </w:r>
      <w:r>
        <w:t xml:space="preserve">supera el aumento de</w:t>
      </w:r>
      <w:r>
        <w:t xml:space="preserve"> </w:t>
      </w:r>
      <m:oMath>
        <m:sSub>
          <m:e>
            <m:r>
              <m:t>C</m:t>
            </m:r>
          </m:e>
          <m:sub>
            <m:r>
              <m:t>P</m:t>
            </m:r>
          </m:sub>
        </m:sSub>
        <m:r>
          <m:rPr>
            <m:sty m:val="p"/>
          </m:rPr>
          <m:t>+</m:t>
        </m:r>
        <m:sSub>
          <m:e>
            <m:r>
              <m:t>C</m:t>
            </m:r>
          </m:e>
          <m:sub>
            <m:r>
              <m:t>E</m:t>
            </m:r>
          </m:sub>
        </m:sSub>
      </m:oMath>
      <w:r>
        <w:t xml:space="preserve">; esa es la condición que evalúa la hipótesis mediante la reducción</w:t>
      </w:r>
      <w:r>
        <w:t xml:space="preserve"> </w:t>
      </w:r>
      <m:oMath>
        <m:r>
          <m:t>r</m:t>
        </m:r>
      </m:oMath>
      <w:r>
        <w:t xml:space="preserve"> </w:t>
      </w:r>
      <w:r>
        <w:t xml:space="preserve">de la ecuación (11), con el modelo de la Sección 2.7.2. Las fallas externas no forman parte del costo de ejecutar la losa, pero se suman al</w:t>
      </w:r>
      <w:r>
        <w:t xml:space="preserve"> </w:t>
      </w:r>
      <m:oMath>
        <m:r>
          <m:t>C</m:t>
        </m:r>
        <m:r>
          <m:t>N</m:t>
        </m:r>
        <m:r>
          <m:t>C</m:t>
        </m:r>
        <m:r>
          <m:rPr>
            <m:sty m:val="p"/>
          </m:rPr>
          <m:t>=</m:t>
        </m:r>
        <m:sSub>
          <m:e>
            <m:r>
              <m:t>C</m:t>
            </m:r>
          </m:e>
          <m:sub>
            <m:r>
              <m:t>F</m:t>
            </m:r>
            <m:r>
              <m:t>I</m:t>
            </m:r>
          </m:sub>
        </m:sSub>
        <m:r>
          <m:rPr>
            <m:sty m:val="p"/>
          </m:rPr>
          <m:t>+</m:t>
        </m:r>
        <m:sSub>
          <m:e>
            <m:r>
              <m:t>C</m:t>
            </m:r>
          </m:e>
          <m:sub>
            <m:r>
              <m:t>F</m:t>
            </m:r>
            <m:r>
              <m:t>E</m:t>
            </m:r>
          </m:sub>
        </m:sSub>
      </m:oMath>
      <w:r>
        <w:t xml:space="preserve"> </w:t>
      </w:r>
      <w:r>
        <w:t xml:space="preserve">y al</w:t>
      </w:r>
      <w:r>
        <w:t xml:space="preserve"> </w:t>
      </w:r>
      <m:oMath>
        <m:r>
          <m:rPr>
            <m:sty m:val="p"/>
          </m:rPr>
          <m:t>%</m:t>
        </m:r>
        <m:r>
          <m:t>C</m:t>
        </m:r>
        <m:r>
          <m:t>N</m:t>
        </m:r>
        <m:r>
          <m:t>C</m:t>
        </m:r>
      </m:oMath>
      <w:r>
        <w:t xml:space="preserve"> </w:t>
      </w:r>
      <w:r>
        <w:t xml:space="preserve">de la ecuación (10). Según el contrato, los ensayos corren por cuenta de la contratista y los precios unitarios incluyen las reparaciones por trabajos defectuosos</w:t>
      </w:r>
      <w:r>
        <w:t xml:space="preserve"> </w:t>
      </w:r>
      <w:r>
        <w:t xml:space="preserve">(UATF, 2025, pp. 92, 102)</w:t>
      </w:r>
      <w:r>
        <w:t xml:space="preserve">; por ello,</w:t>
      </w:r>
      <w:r>
        <w:t xml:space="preserve"> </w:t>
      </w:r>
      <m:oMath>
        <m:sSub>
          <m:e>
            <m:r>
              <m:t>C</m:t>
            </m:r>
          </m:e>
          <m:sub>
            <m:r>
              <m:t>E</m:t>
            </m:r>
          </m:sub>
        </m:sSub>
      </m:oMath>
      <w:r>
        <w:t xml:space="preserve"> </w:t>
      </w:r>
      <w:r>
        <w:t xml:space="preserve">y</w:t>
      </w:r>
      <w:r>
        <w:t xml:space="preserve"> </w:t>
      </w:r>
      <m:oMath>
        <m:sSub>
          <m:e>
            <m:r>
              <m:t>C</m:t>
            </m:r>
          </m:e>
          <m:sub>
            <m:r>
              <m:t>F</m:t>
            </m:r>
            <m:r>
              <m:t>I</m:t>
            </m:r>
          </m:sub>
        </m:sSub>
      </m:oMath>
      <w:r>
        <w:t xml:space="preserve"> </w:t>
      </w:r>
      <w:r>
        <w:t xml:space="preserve">recaen en la contratista, que es también la principal beneficiaria económica de reducir las fallas, mientras que la UATF se beneficia de la conformidad de la losa y del pago correcto de las cantidades.</w:t>
      </w:r>
    </w:p>
    <w:p>
      <w:pPr>
        <w:pStyle w:val="Heading3"/>
      </w:pPr>
      <w:bookmarkStart w:id="183" w:name="tit130"/>
      <w:r>
        <w:t xml:space="preserve">2.6.10. Matriz de trazabilidad entre brechas, requisitos, componentes e indicadores</w:t>
      </w:r>
      <w:bookmarkEnd w:id="183"/>
    </w:p>
    <w:p>
      <w:pPr>
        <w:pStyle w:val="FirstParagraph"/>
      </w:pPr>
      <w:r>
        <w:t xml:space="preserve">La Tabla 43 cierra el diseño: muestra que cada brecha de la línea base tiene un requisito de la norma que la respalda, al menos un componente del SGC que la atiende y un indicador que permite verificar si se cerró. Los números de cláusula corresponden a la estructura común de las ediciones 2015 y 2026 de la norma ISO 9001 (Sección 2.6.1).</w:t>
      </w:r>
    </w:p>
    <w:p>
      <w:pPr>
        <w:pStyle w:val="Caption"/>
      </w:pPr>
      <w:bookmarkStart w:id="1447" w:name="tab43"/>
      <w:r>
        <w:t xml:space="preserve"/>
      </w:r>
      <w:r>
        <w:rPr>
          <w:bCs/>
          <w:b/>
        </w:rPr>
        <w:t xml:space="preserve">Tabla 43</w:t>
      </w:r>
      <w:r>
        <w:br/>
      </w:r>
      <w:r>
        <w:rPr>
          <w:iCs/>
          <w:i/>
        </w:rPr>
        <w:t xml:space="preserve">Matriz de trazabilidad: brecha, requisito ISO 9001, componente del SGC e indicador</w:t>
      </w:r>
      <w:bookmarkEnd w:id="1447"/>
    </w:p>
    <w:tbl>
      <w:tblPr>
        <w:tblStyle w:val="Table"/>
        <w:tblW w:w="9533" w:type="dxa"/>
        <w:jc w:val="left"/>
        <w:tblLayout w:type="fixed"/>
        <w:tblCellMar>
          <w:top w:w="0" w:type="dxa"/>
          <w:left w:w="85" w:type="dxa"/>
          <w:bottom w:w="0" w:type="dxa"/>
          <w:right w:w="85" w:type="dxa"/>
        </w:tblCellMar>
        <w:tblLook w:firstRow="1" w:lastRow="0" w:firstColumn="0" w:lastColumn="0" w:noHBand="0" w:noVBand="0" w:val="0020"/>
      </w:tblPr>
      <w:tblGrid>
        <w:gridCol w:w="571"/>
        <w:gridCol w:w="1907"/>
        <w:gridCol w:w="1073"/>
        <w:gridCol w:w="1752"/>
        <w:gridCol w:w="2540"/>
        <w:gridCol w:w="1690"/>
      </w:tblGrid>
      <w:tr>
        <w:trPr>
          <w:cantSplit/>
          <w:tblHeader w:val="true"/>
        </w:trPr>
        <w:tc>
          <w:tcPr>
            <w:tcW w:w="571" w:type="dxa"/>
            <w:tcBorders>
              <w:top w:val="single" w:sz="8" w:space="0" w:color="000000"/>
              <w:bottom w:val="single" w:sz="4" w:space="0" w:color="000000"/>
            </w:tcBorders>
          </w:tcPr>
          <w:p>
            <w:pPr>
              <w:pStyle w:val="CeldaAPA"/>
              <w:jc w:val="center"/>
            </w:pPr>
            <w:r>
              <w:rPr>
                <w:bCs/>
                <w:b/>
              </w:rPr>
              <w:t xml:space="preserve">B</w:t>
            </w:r>
          </w:p>
        </w:tc>
        <w:tc>
          <w:tcPr>
            <w:tcW w:w="1907" w:type="dxa"/>
            <w:tcBorders>
              <w:top w:val="single" w:sz="8" w:space="0" w:color="000000"/>
              <w:bottom w:val="single" w:sz="4" w:space="0" w:color="000000"/>
            </w:tcBorders>
          </w:tcPr>
          <w:p>
            <w:pPr>
              <w:pStyle w:val="CeldaAPA"/>
              <w:jc w:val="center"/>
            </w:pPr>
            <w:r>
              <w:rPr>
                <w:bCs/>
                <w:b/>
              </w:rPr>
              <w:t xml:space="preserve">Brecha de la línea base</w:t>
            </w:r>
          </w:p>
        </w:tc>
        <w:tc>
          <w:tcPr>
            <w:tcW w:w="1073" w:type="dxa"/>
            <w:tcBorders>
              <w:top w:val="single" w:sz="8" w:space="0" w:color="000000"/>
              <w:bottom w:val="single" w:sz="4" w:space="0" w:color="000000"/>
            </w:tcBorders>
          </w:tcPr>
          <w:p>
            <w:pPr>
              <w:pStyle w:val="CeldaAPA"/>
              <w:jc w:val="center"/>
            </w:pPr>
            <w:r>
              <w:rPr>
                <w:bCs/>
                <w:b/>
              </w:rPr>
              <w:t xml:space="preserve">NC</w:t>
            </w:r>
          </w:p>
        </w:tc>
        <w:tc>
          <w:tcPr>
            <w:tcW w:w="1752" w:type="dxa"/>
            <w:tcBorders>
              <w:top w:val="single" w:sz="8" w:space="0" w:color="000000"/>
              <w:bottom w:val="single" w:sz="4" w:space="0" w:color="000000"/>
            </w:tcBorders>
          </w:tcPr>
          <w:p>
            <w:pPr>
              <w:pStyle w:val="CeldaAPA"/>
              <w:jc w:val="center"/>
            </w:pPr>
            <w:r>
              <w:rPr>
                <w:bCs/>
                <w:b/>
              </w:rPr>
              <w:t xml:space="preserve">Requisito ISO 9001 (cláusula)</w:t>
            </w:r>
          </w:p>
        </w:tc>
        <w:tc>
          <w:tcPr>
            <w:tcW w:w="2540" w:type="dxa"/>
            <w:tcBorders>
              <w:top w:val="single" w:sz="8" w:space="0" w:color="000000"/>
              <w:bottom w:val="single" w:sz="4" w:space="0" w:color="000000"/>
            </w:tcBorders>
          </w:tcPr>
          <w:p>
            <w:pPr>
              <w:pStyle w:val="CeldaAPA"/>
              <w:jc w:val="center"/>
            </w:pPr>
            <w:r>
              <w:rPr>
                <w:bCs/>
                <w:b/>
              </w:rPr>
              <w:t xml:space="preserve">Componente del SGC</w:t>
            </w:r>
          </w:p>
        </w:tc>
        <w:tc>
          <w:tcPr>
            <w:tcW w:w="1690" w:type="dxa"/>
            <w:tcBorders>
              <w:top w:val="single" w:sz="8" w:space="0" w:color="000000"/>
              <w:bottom w:val="single" w:sz="4" w:space="0" w:color="000000"/>
            </w:tcBorders>
          </w:tcPr>
          <w:p>
            <w:pPr>
              <w:pStyle w:val="CeldaAPA"/>
              <w:jc w:val="center"/>
            </w:pPr>
            <w:r>
              <w:rPr>
                <w:bCs/>
                <w:b/>
              </w:rPr>
              <w:t xml:space="preserve">Indicador</w:t>
            </w:r>
          </w:p>
        </w:tc>
      </w:tr>
      <w:tr>
        <w:tc>
          <w:tcPr>
            <w:tcW w:w="571" w:type="dxa"/>
          </w:tcPr>
          <w:p>
            <w:pPr>
              <w:pStyle w:val="CeldaAPA"/>
              <w:jc w:val="left"/>
            </w:pPr>
            <w:r>
              <w:rPr/>
              <w:t xml:space="preserve">B1</w:t>
            </w:r>
          </w:p>
        </w:tc>
        <w:tc>
          <w:tcPr>
            <w:tcW w:w="1907" w:type="dxa"/>
          </w:tcPr>
          <w:p>
            <w:pPr>
              <w:pStyle w:val="CeldaAPA"/>
              <w:jc w:val="left"/>
            </w:pPr>
            <w:r>
              <w:rPr/>
              <w:t xml:space="preserve">Hormigón de la losa sin probetas; ensayos tardíos y no independientes; losa pagada sin resultados</w:t>
            </w:r>
          </w:p>
        </w:tc>
        <w:tc>
          <w:tcPr>
            <w:tcW w:w="1073" w:type="dxa"/>
          </w:tcPr>
          <w:p>
            <w:pPr>
              <w:pStyle w:val="CeldaAPA"/>
              <w:jc w:val="left"/>
            </w:pPr>
            <w:r>
              <w:rPr/>
              <w:t xml:space="preserve">NC-01 a NC-03</w:t>
            </w:r>
          </w:p>
        </w:tc>
        <w:tc>
          <w:tcPr>
            <w:tcW w:w="1752" w:type="dxa"/>
          </w:tcPr>
          <w:p>
            <w:pPr>
              <w:pStyle w:val="CeldaAPA"/>
              <w:jc w:val="left"/>
            </w:pPr>
            <w:r>
              <w:rPr/>
              <w:t xml:space="preserve">Control de la producción (8.5.1); liberación (8.6); seguimiento y medición (9.1)</w:t>
            </w:r>
          </w:p>
        </w:tc>
        <w:tc>
          <w:tcPr>
            <w:tcW w:w="2540" w:type="dxa"/>
          </w:tcPr>
          <w:p>
            <w:pPr>
              <w:pStyle w:val="CeldaAPA"/>
              <w:jc w:val="left"/>
            </w:pPr>
            <w:r>
              <w:rPr/>
              <w:t xml:space="preserve">Control del hormigón según ACI 318-25; plan de muestreo (Tabla 40); PPI, puntos 8 a 12; aceptación para pago condicionada a los ensayos</w:t>
            </w:r>
          </w:p>
        </w:tc>
        <w:tc>
          <w:tcPr>
            <w:tcW w:w="1690" w:type="dxa"/>
          </w:tcPr>
          <w:p>
            <w:pPr>
              <w:pStyle w:val="CeldaAPA"/>
              <w:jc w:val="left"/>
            </w:pPr>
            <w:r>
              <w:rPr/>
              <w:t xml:space="preserve">OC7; OC8</w:t>
            </w:r>
          </w:p>
        </w:tc>
      </w:tr>
      <w:tr>
        <w:tc>
          <w:tcPr>
            <w:tcW w:w="571" w:type="dxa"/>
          </w:tcPr>
          <w:p>
            <w:pPr>
              <w:pStyle w:val="CeldaAPA"/>
              <w:jc w:val="left"/>
            </w:pPr>
            <w:r>
              <w:rPr/>
              <w:t xml:space="preserve">B2</w:t>
            </w:r>
          </w:p>
        </w:tc>
        <w:tc>
          <w:tcPr>
            <w:tcW w:w="1907" w:type="dxa"/>
          </w:tcPr>
          <w:p>
            <w:pPr>
              <w:pStyle w:val="CeldaAPA"/>
              <w:jc w:val="left"/>
            </w:pPr>
            <w:r>
              <w:rPr/>
              <w:t xml:space="preserve">Garantías, dosificaciones y ensayos pedidos por la Supervisión; certificados sin firma, sin lote y posteriores a la colocación; sin certificado del acero</w:t>
            </w:r>
            <w:r>
              <w:rPr/>
              <w:t xml:space="preserve"> </w:t>
            </w:r>
            <m:oMath>
              <m:r>
                <m:t>ϕ</m:t>
              </m:r>
            </m:oMath>
            <w:r>
              <w:rPr/>
              <w:t xml:space="preserve">6 y</w:t>
            </w:r>
            <w:r>
              <w:rPr/>
              <w:t xml:space="preserve"> </w:t>
            </w:r>
            <m:oMath>
              <m:r>
                <m:t>ϕ</m:t>
              </m:r>
            </m:oMath>
            <w:r>
              <w:rPr/>
              <w:t xml:space="preserve">10</w:t>
            </w:r>
          </w:p>
        </w:tc>
        <w:tc>
          <w:tcPr>
            <w:tcW w:w="1073" w:type="dxa"/>
          </w:tcPr>
          <w:p>
            <w:pPr>
              <w:pStyle w:val="CeldaAPA"/>
              <w:jc w:val="left"/>
            </w:pPr>
            <w:r>
              <w:rPr/>
              <w:t xml:space="preserve">NC-04, NC-05</w:t>
            </w:r>
          </w:p>
        </w:tc>
        <w:tc>
          <w:tcPr>
            <w:tcW w:w="1752" w:type="dxa"/>
          </w:tcPr>
          <w:p>
            <w:pPr>
              <w:pStyle w:val="CeldaAPA"/>
              <w:jc w:val="left"/>
            </w:pPr>
            <w:r>
              <w:rPr/>
              <w:t xml:space="preserve">Control de los productos suministrados externamente (8.4); información documentada (7.5)</w:t>
            </w:r>
          </w:p>
        </w:tc>
        <w:tc>
          <w:tcPr>
            <w:tcW w:w="2540" w:type="dxa"/>
          </w:tcPr>
          <w:p>
            <w:pPr>
              <w:pStyle w:val="CeldaAPA"/>
              <w:jc w:val="left"/>
            </w:pPr>
            <w:r>
              <w:rPr/>
              <w:t xml:space="preserve">PCM-01 con recepción antes de colocar (Tabla 37); ficha C.3; dosificación aprobada antes del primer vaciado</w:t>
            </w:r>
          </w:p>
        </w:tc>
        <w:tc>
          <w:tcPr>
            <w:tcW w:w="1690" w:type="dxa"/>
          </w:tcPr>
          <w:p>
            <w:pPr>
              <w:pStyle w:val="CeldaAPA"/>
              <w:jc w:val="left"/>
            </w:pPr>
            <w:r>
              <w:rPr/>
              <w:t xml:space="preserve">OC5</w:t>
            </w:r>
          </w:p>
        </w:tc>
      </w:tr>
      <w:tr>
        <w:tc>
          <w:tcPr>
            <w:tcW w:w="571" w:type="dxa"/>
          </w:tcPr>
          <w:p>
            <w:pPr>
              <w:pStyle w:val="CeldaAPA"/>
              <w:jc w:val="left"/>
            </w:pPr>
            <w:r>
              <w:rPr/>
              <w:t xml:space="preserve">B3</w:t>
            </w:r>
          </w:p>
        </w:tc>
        <w:tc>
          <w:tcPr>
            <w:tcW w:w="1907" w:type="dxa"/>
          </w:tcPr>
          <w:p>
            <w:pPr>
              <w:pStyle w:val="CeldaAPA"/>
              <w:jc w:val="left"/>
            </w:pPr>
            <w:r>
              <w:rPr/>
              <w:t xml:space="preserve">Tres geometrías del complemento EPS; ET con normas desactualizadas</w:t>
            </w:r>
          </w:p>
        </w:tc>
        <w:tc>
          <w:tcPr>
            <w:tcW w:w="1073" w:type="dxa"/>
          </w:tcPr>
          <w:p>
            <w:pPr>
              <w:pStyle w:val="CeldaAPA"/>
              <w:jc w:val="left"/>
            </w:pPr>
            <w:r>
              <w:rPr/>
              <w:t xml:space="preserve">NC-06, NC-07</w:t>
            </w:r>
          </w:p>
        </w:tc>
        <w:tc>
          <w:tcPr>
            <w:tcW w:w="1752" w:type="dxa"/>
          </w:tcPr>
          <w:p>
            <w:pPr>
              <w:pStyle w:val="CeldaAPA"/>
              <w:jc w:val="left"/>
            </w:pPr>
            <w:r>
              <w:rPr/>
              <w:t xml:space="preserve">Control de la información documentada (7.5); planificación y control de los cambios (6.3; 8.5.6)</w:t>
            </w:r>
          </w:p>
        </w:tc>
        <w:tc>
          <w:tcPr>
            <w:tcW w:w="2540" w:type="dxa"/>
          </w:tcPr>
          <w:p>
            <w:pPr>
              <w:pStyle w:val="CeldaAPA"/>
              <w:jc w:val="left"/>
            </w:pPr>
            <w:r>
              <w:rPr/>
              <w:t xml:space="preserve">Lista maestra (Tabla 34); consulta técnica del EPS antes de la compra; actualización de la ET; gestión de cambios</w:t>
            </w:r>
          </w:p>
        </w:tc>
        <w:tc>
          <w:tcPr>
            <w:tcW w:w="1690" w:type="dxa"/>
          </w:tcPr>
          <w:p>
            <w:pPr>
              <w:pStyle w:val="CeldaAPA"/>
              <w:jc w:val="left"/>
            </w:pPr>
            <w:r>
              <w:rPr/>
              <w:t xml:space="preserve">OC9 (NC documentales cerradas)</w:t>
            </w:r>
          </w:p>
        </w:tc>
      </w:tr>
      <w:tr>
        <w:tc>
          <w:tcPr>
            <w:tcW w:w="571" w:type="dxa"/>
          </w:tcPr>
          <w:p>
            <w:pPr>
              <w:pStyle w:val="CeldaAPA"/>
              <w:jc w:val="left"/>
            </w:pPr>
            <w:r>
              <w:rPr/>
              <w:t xml:space="preserve">B4</w:t>
            </w:r>
          </w:p>
        </w:tc>
        <w:tc>
          <w:tcPr>
            <w:tcW w:w="1907" w:type="dxa"/>
          </w:tcPr>
          <w:p>
            <w:pPr>
              <w:pStyle w:val="CeldaAPA"/>
              <w:jc w:val="left"/>
            </w:pPr>
            <w:r>
              <w:rPr/>
              <w:t xml:space="preserve">Descuento de 3,65 % del acero al cierre; factor 3 en la losa; posible doble cómputo; cantidades distintas entre documentos</w:t>
            </w:r>
          </w:p>
        </w:tc>
        <w:tc>
          <w:tcPr>
            <w:tcW w:w="1073" w:type="dxa"/>
          </w:tcPr>
          <w:p>
            <w:pPr>
              <w:pStyle w:val="CeldaAPA"/>
              <w:jc w:val="left"/>
            </w:pPr>
            <w:r>
              <w:rPr/>
              <w:t xml:space="preserve">NC-13 a NC-15</w:t>
            </w:r>
          </w:p>
        </w:tc>
        <w:tc>
          <w:tcPr>
            <w:tcW w:w="1752" w:type="dxa"/>
          </w:tcPr>
          <w:p>
            <w:pPr>
              <w:pStyle w:val="CeldaAPA"/>
              <w:jc w:val="left"/>
            </w:pPr>
            <w:r>
              <w:rPr/>
              <w:t xml:space="preserve">Seguimiento y medición en la producción (8.5.1); análisis y evaluación (9.1.3); trazabilidad (8.5.2)</w:t>
            </w:r>
          </w:p>
        </w:tc>
        <w:tc>
          <w:tcPr>
            <w:tcW w:w="2540" w:type="dxa"/>
          </w:tcPr>
          <w:p>
            <w:pPr>
              <w:pStyle w:val="CeldaAPA"/>
              <w:jc w:val="left"/>
            </w:pPr>
            <w:r>
              <w:rPr/>
              <w:t xml:space="preserve">PCM-04 con umbrales de alerta (Tablas 38 y 39); registro único de cantidades; conciliación mensual con la planilla</w:t>
            </w:r>
          </w:p>
        </w:tc>
        <w:tc>
          <w:tcPr>
            <w:tcW w:w="1690" w:type="dxa"/>
          </w:tcPr>
          <w:p>
            <w:pPr>
              <w:pStyle w:val="CeldaAPA"/>
              <w:jc w:val="left"/>
            </w:pPr>
            <w:r>
              <w:rPr/>
              <w:t xml:space="preserve">OC10; OC12</w:t>
            </w:r>
          </w:p>
        </w:tc>
      </w:tr>
      <w:tr>
        <w:tc>
          <w:tcPr>
            <w:tcW w:w="571" w:type="dxa"/>
          </w:tcPr>
          <w:p>
            <w:pPr>
              <w:pStyle w:val="CeldaAPA"/>
              <w:jc w:val="left"/>
            </w:pPr>
            <w:r>
              <w:rPr/>
              <w:t xml:space="preserve">B5</w:t>
            </w:r>
          </w:p>
        </w:tc>
        <w:tc>
          <w:tcPr>
            <w:tcW w:w="1907" w:type="dxa"/>
          </w:tcPr>
          <w:p>
            <w:pPr>
              <w:pStyle w:val="CeldaAPA"/>
              <w:jc w:val="left"/>
            </w:pPr>
            <w:r>
              <w:rPr/>
              <w:t xml:space="preserve">Sin kardex, vales ni remisiones; exceso preliminar de EPS</w:t>
            </w:r>
          </w:p>
        </w:tc>
        <w:tc>
          <w:tcPr>
            <w:tcW w:w="1073" w:type="dxa"/>
          </w:tcPr>
          <w:p>
            <w:pPr>
              <w:pStyle w:val="CeldaAPA"/>
              <w:jc w:val="left"/>
            </w:pPr>
            <w:r>
              <w:rPr/>
              <w:t xml:space="preserve">NC-16, NC-17</w:t>
            </w:r>
          </w:p>
        </w:tc>
        <w:tc>
          <w:tcPr>
            <w:tcW w:w="1752" w:type="dxa"/>
          </w:tcPr>
          <w:p>
            <w:pPr>
              <w:pStyle w:val="CeldaAPA"/>
              <w:jc w:val="left"/>
            </w:pPr>
            <w:r>
              <w:rPr/>
              <w:t xml:space="preserve">Identificación y trazabilidad (8.5.2); preservación (8.5.4)</w:t>
            </w:r>
          </w:p>
        </w:tc>
        <w:tc>
          <w:tcPr>
            <w:tcW w:w="2540" w:type="dxa"/>
          </w:tcPr>
          <w:p>
            <w:pPr>
              <w:pStyle w:val="CeldaAPA"/>
              <w:jc w:val="left"/>
            </w:pPr>
            <w:r>
              <w:rPr/>
              <w:t xml:space="preserve">PCM-02 y PCM-03: vales por paño, devoluciones, kardex e inventarios; ficha C.4</w:t>
            </w:r>
          </w:p>
        </w:tc>
        <w:tc>
          <w:tcPr>
            <w:tcW w:w="1690" w:type="dxa"/>
          </w:tcPr>
          <w:p>
            <w:pPr>
              <w:pStyle w:val="CeldaAPA"/>
              <w:jc w:val="left"/>
            </w:pPr>
            <w:r>
              <w:rPr/>
              <w:t xml:space="preserve">OC1 a OC4</w:t>
            </w:r>
          </w:p>
        </w:tc>
      </w:tr>
      <w:tr>
        <w:tc>
          <w:tcPr>
            <w:tcW w:w="571" w:type="dxa"/>
          </w:tcPr>
          <w:p>
            <w:pPr>
              <w:pStyle w:val="CeldaAPA"/>
              <w:jc w:val="left"/>
            </w:pPr>
            <w:r>
              <w:rPr/>
              <w:t xml:space="preserve">B6</w:t>
            </w:r>
          </w:p>
        </w:tc>
        <w:tc>
          <w:tcPr>
            <w:tcW w:w="1907" w:type="dxa"/>
          </w:tcPr>
          <w:p>
            <w:pPr>
              <w:pStyle w:val="CeldaAPA"/>
              <w:jc w:val="left"/>
            </w:pPr>
            <w:r>
              <w:rPr/>
              <w:t xml:space="preserve">Sin PPI ni registros de liberación; autorización genérica del vaciado; parrilla pisada y sin separadores visibles</w:t>
            </w:r>
          </w:p>
        </w:tc>
        <w:tc>
          <w:tcPr>
            <w:tcW w:w="1073" w:type="dxa"/>
          </w:tcPr>
          <w:p>
            <w:pPr>
              <w:pStyle w:val="CeldaAPA"/>
              <w:jc w:val="left"/>
            </w:pPr>
            <w:r>
              <w:rPr/>
              <w:t xml:space="preserve">NC-10, NC-18, NC-19</w:t>
            </w:r>
          </w:p>
        </w:tc>
        <w:tc>
          <w:tcPr>
            <w:tcW w:w="1752" w:type="dxa"/>
          </w:tcPr>
          <w:p>
            <w:pPr>
              <w:pStyle w:val="CeldaAPA"/>
              <w:jc w:val="left"/>
            </w:pPr>
            <w:r>
              <w:rPr/>
              <w:t xml:space="preserve">Planificación y control operacional (8.1); control de la producción (8.5.1); liberación (8.6)</w:t>
            </w:r>
          </w:p>
        </w:tc>
        <w:tc>
          <w:tcPr>
            <w:tcW w:w="2540" w:type="dxa"/>
          </w:tcPr>
          <w:p>
            <w:pPr>
              <w:pStyle w:val="CeldaAPA"/>
              <w:jc w:val="left"/>
            </w:pPr>
            <w:r>
              <w:rPr/>
              <w:t xml:space="preserve">PPI con puntos de espera (Tabla 36); ficha C.2; liberación en tres niveles; pasarelas y separadores</w:t>
            </w:r>
          </w:p>
        </w:tc>
        <w:tc>
          <w:tcPr>
            <w:tcW w:w="1690" w:type="dxa"/>
          </w:tcPr>
          <w:p>
            <w:pPr>
              <w:pStyle w:val="CeldaAPA"/>
              <w:jc w:val="left"/>
            </w:pPr>
            <w:r>
              <w:rPr/>
              <w:t xml:space="preserve">OC6</w:t>
            </w:r>
          </w:p>
        </w:tc>
      </w:tr>
      <w:tr>
        <w:tc>
          <w:tcPr>
            <w:tcW w:w="571" w:type="dxa"/>
          </w:tcPr>
          <w:p>
            <w:pPr>
              <w:pStyle w:val="CeldaAPA"/>
              <w:jc w:val="left"/>
            </w:pPr>
            <w:r>
              <w:rPr/>
              <w:t xml:space="preserve">B7</w:t>
            </w:r>
          </w:p>
        </w:tc>
        <w:tc>
          <w:tcPr>
            <w:tcW w:w="1907" w:type="dxa"/>
          </w:tcPr>
          <w:p>
            <w:pPr>
              <w:pStyle w:val="CeldaAPA"/>
              <w:jc w:val="left"/>
            </w:pPr>
            <w:r>
              <w:rPr/>
              <w:t xml:space="preserve">Ningún registro de no conformidades, retrabajos ni costos de la calidad</w:t>
            </w:r>
          </w:p>
        </w:tc>
        <w:tc>
          <w:tcPr>
            <w:tcW w:w="1073" w:type="dxa"/>
          </w:tcPr>
          <w:p>
            <w:pPr>
              <w:pStyle w:val="CeldaAPA"/>
              <w:jc w:val="left"/>
            </w:pPr>
            <w:r>
              <w:rPr/>
              <w:t xml:space="preserve">NC-09, NC-11, NC-12</w:t>
            </w:r>
          </w:p>
        </w:tc>
        <w:tc>
          <w:tcPr>
            <w:tcW w:w="1752" w:type="dxa"/>
          </w:tcPr>
          <w:p>
            <w:pPr>
              <w:pStyle w:val="CeldaAPA"/>
              <w:jc w:val="left"/>
            </w:pPr>
            <w:r>
              <w:rPr/>
              <w:t xml:space="preserve">Control de las salidas no conformes (8.7); no conformidad y acción correctiva (10.2); mejora (10.3)</w:t>
            </w:r>
          </w:p>
        </w:tc>
        <w:tc>
          <w:tcPr>
            <w:tcW w:w="2540" w:type="dxa"/>
          </w:tcPr>
          <w:p>
            <w:pPr>
              <w:pStyle w:val="CeldaAPA"/>
              <w:jc w:val="left"/>
            </w:pPr>
            <w:r>
              <w:rPr/>
              <w:t xml:space="preserve">Procedimiento de NC (Figura 12); PCM-05; registro C.5; planilla PAF C.6</w:t>
            </w:r>
          </w:p>
        </w:tc>
        <w:tc>
          <w:tcPr>
            <w:tcW w:w="1690" w:type="dxa"/>
          </w:tcPr>
          <w:p>
            <w:pPr>
              <w:pStyle w:val="CeldaAPA"/>
              <w:jc w:val="left"/>
            </w:pPr>
            <w:r>
              <w:rPr/>
              <w:t xml:space="preserve">OC9; OC11</w:t>
            </w:r>
          </w:p>
        </w:tc>
      </w:tr>
      <w:tr>
        <w:tc>
          <w:tcPr>
            <w:tcW w:w="571" w:type="dxa"/>
          </w:tcPr>
          <w:p>
            <w:pPr>
              <w:pStyle w:val="CeldaAPA"/>
              <w:jc w:val="left"/>
            </w:pPr>
            <w:r>
              <w:rPr/>
              <w:t xml:space="preserve">B8</w:t>
            </w:r>
          </w:p>
        </w:tc>
        <w:tc>
          <w:tcPr>
            <w:tcW w:w="1907" w:type="dxa"/>
          </w:tcPr>
          <w:p>
            <w:pPr>
              <w:pStyle w:val="CeldaAPA"/>
              <w:jc w:val="left"/>
            </w:pPr>
            <w:r>
              <w:rPr/>
              <w:t xml:space="preserve">Escasez de combustible y cemento; acero entregado parcialmente; falta de viguetas; alza de precios</w:t>
            </w:r>
          </w:p>
        </w:tc>
        <w:tc>
          <w:tcPr>
            <w:tcW w:w="1073" w:type="dxa"/>
          </w:tcPr>
          <w:p>
            <w:pPr>
              <w:pStyle w:val="CeldaAPA"/>
              <w:jc w:val="left"/>
            </w:pPr>
            <w:r>
              <w:rPr/>
              <w:t xml:space="preserve">NC-08, NC-20, NC-21</w:t>
            </w:r>
          </w:p>
        </w:tc>
        <w:tc>
          <w:tcPr>
            <w:tcW w:w="1752" w:type="dxa"/>
          </w:tcPr>
          <w:p>
            <w:pPr>
              <w:pStyle w:val="CeldaAPA"/>
              <w:jc w:val="left"/>
            </w:pPr>
            <w:r>
              <w:rPr/>
              <w:t xml:space="preserve">Contexto (4.1); riesgos y oportunidades (6.1); proveedores externos (8.4)</w:t>
            </w:r>
          </w:p>
        </w:tc>
        <w:tc>
          <w:tcPr>
            <w:tcW w:w="2540" w:type="dxa"/>
          </w:tcPr>
          <w:p>
            <w:pPr>
              <w:pStyle w:val="CeldaAPA"/>
              <w:jc w:val="left"/>
            </w:pPr>
            <w:r>
              <w:rPr/>
              <w:t xml:space="preserve">Matriz de riesgos (R9 y R14); plan de compras anticipado; existencia mínima como condición de liberación; proveedores alternos</w:t>
            </w:r>
          </w:p>
        </w:tc>
        <w:tc>
          <w:tcPr>
            <w:tcW w:w="1690" w:type="dxa"/>
          </w:tcPr>
          <w:p>
            <w:pPr>
              <w:pStyle w:val="CeldaAPA"/>
              <w:jc w:val="left"/>
            </w:pPr>
            <w:r>
              <w:rPr/>
              <w:t xml:space="preserve">OC5; OC6</w:t>
            </w:r>
          </w:p>
        </w:tc>
      </w:tr>
      <w:tr>
        <w:tc>
          <w:tcPr>
            <w:tcW w:w="571" w:type="dxa"/>
            <w:tcBorders>
              <w:bottom w:val="single" w:sz="8" w:space="0" w:color="000000"/>
            </w:tcBorders>
          </w:tcPr>
          <w:p>
            <w:pPr>
              <w:pStyle w:val="CeldaAPA"/>
              <w:jc w:val="left"/>
            </w:pPr>
            <w:r>
              <w:rPr/>
              <w:t xml:space="preserve">B9</w:t>
            </w:r>
          </w:p>
        </w:tc>
        <w:tc>
          <w:tcPr>
            <w:tcW w:w="1907" w:type="dxa"/>
            <w:tcBorders>
              <w:bottom w:val="single" w:sz="8" w:space="0" w:color="000000"/>
            </w:tcBorders>
          </w:tcPr>
          <w:p>
            <w:pPr>
              <w:pStyle w:val="CeldaAPA"/>
              <w:jc w:val="left"/>
            </w:pPr>
            <w:r>
              <w:rPr/>
              <w:t xml:space="preserve">Lluvias y heladas a 3.650 m s. n. m.</w:t>
            </w:r>
          </w:p>
        </w:tc>
        <w:tc>
          <w:tcPr>
            <w:tcW w:w="1073" w:type="dxa"/>
            <w:tcBorders>
              <w:bottom w:val="single" w:sz="8" w:space="0" w:color="000000"/>
            </w:tcBorders>
          </w:tcPr>
          <w:p>
            <w:pPr>
              <w:pStyle w:val="CeldaAPA"/>
              <w:jc w:val="left"/>
            </w:pPr>
            <w:r>
              <w:rPr/>
              <w:t xml:space="preserve">NC-22</w:t>
            </w:r>
          </w:p>
        </w:tc>
        <w:tc>
          <w:tcPr>
            <w:tcW w:w="1752" w:type="dxa"/>
            <w:tcBorders>
              <w:bottom w:val="single" w:sz="8" w:space="0" w:color="000000"/>
            </w:tcBorders>
          </w:tcPr>
          <w:p>
            <w:pPr>
              <w:pStyle w:val="CeldaAPA"/>
              <w:jc w:val="left"/>
            </w:pPr>
            <w:r>
              <w:rPr/>
              <w:t xml:space="preserve">Contexto (4.1); riesgos (6.1); control de la producción (8.5.1)</w:t>
            </w:r>
          </w:p>
        </w:tc>
        <w:tc>
          <w:tcPr>
            <w:tcW w:w="2540" w:type="dxa"/>
            <w:tcBorders>
              <w:bottom w:val="single" w:sz="8" w:space="0" w:color="000000"/>
            </w:tcBorders>
          </w:tcPr>
          <w:p>
            <w:pPr>
              <w:pStyle w:val="CeldaAPA"/>
              <w:jc w:val="left"/>
            </w:pPr>
            <w:r>
              <w:rPr/>
              <w:t xml:space="preserve">Plan de hormigonado en tiempo frío; pronóstico del SENAMHI; registro de temperaturas y de curado (PPI, puntos 8 y 11)</w:t>
            </w:r>
          </w:p>
        </w:tc>
        <w:tc>
          <w:tcPr>
            <w:tcW w:w="1690" w:type="dxa"/>
            <w:tcBorders>
              <w:bottom w:val="single" w:sz="8" w:space="0" w:color="000000"/>
            </w:tcBorders>
          </w:tcPr>
          <w:p>
            <w:pPr>
              <w:pStyle w:val="CeldaAPA"/>
              <w:jc w:val="left"/>
            </w:pPr>
            <w:r>
              <w:rPr/>
              <w:t xml:space="preserve">OC6; OC7</w:t>
            </w:r>
          </w:p>
        </w:tc>
      </w:tr>
    </w:tbl>
    <w:p>
      <w:pPr>
        <w:pStyle w:val="NotaAPA"/>
      </w:pPr>
      <w:r>
        <w:rPr>
          <w:iCs/>
          <w:i/>
        </w:rPr>
        <w:t xml:space="preserve">Nota.</w:t>
      </w:r>
      <w:r>
        <w:t xml:space="preserve"> </w:t>
      </w:r>
      <w:r>
        <w:t xml:space="preserve">Elaboración propia. B: brecha de la línea base (Sección 2.6); NC: no conformidad del diagnóstico (Tabla 26); OC: objetivo de la calidad (Tabla 33). Las cláusulas se citan por su número, sin reproducir el texto de la norma.</w:t>
      </w:r>
    </w:p>
    <w:p>
      <w:pPr>
        <w:pStyle w:val="BodyText"/>
      </w:pPr>
      <w:r>
        <w:t xml:space="preserve">En síntesis, el SGC propuesto convierte cada brecha de la primera losa en un control concreto, con responsable, criterio de aceptación, registro e indicador. Sus metas y sus costos de prevención y evaluación son los insumos del escenario «con SGC» de la evaluación</w:t>
      </w:r>
      <w:r>
        <w:t xml:space="preserve"> </w:t>
      </w:r>
      <w:r>
        <w:rPr>
          <w:iCs/>
          <w:i/>
        </w:rPr>
        <w:t xml:space="preserve">ex ante</w:t>
      </w:r>
      <w:r>
        <w:t xml:space="preserve"> </w:t>
      </w:r>
      <w:r>
        <w:t xml:space="preserve">(Sección 2.7.2), y su pertinencia, claridad, suficiencia y aplicabilidad se validarán por juicio de expertos con el formato C.8 del Anexo C.</w:t>
      </w:r>
    </w:p>
    <w:p>
      <w:pPr>
        <w:pStyle w:val="Heading2"/>
      </w:pPr>
      <w:bookmarkStart w:id="187" w:name="tit131"/>
      <w:r>
        <w:t xml:space="preserve">2.7. Procedimiento de implementación y toma de observaciones</w:t>
      </w:r>
      <w:bookmarkEnd w:id="187"/>
    </w:p>
    <w:p>
      <w:pPr>
        <w:pStyle w:val="Heading3"/>
      </w:pPr>
      <w:bookmarkStart w:id="185" w:name="tit132"/>
      <w:r>
        <w:t xml:space="preserve">2.7.1. Implementación prevista en la segunda y tercera losa</w:t>
      </w:r>
      <w:bookmarkEnd w:id="185"/>
    </w:p>
    <w:p>
      <w:pPr>
        <w:pStyle w:val="FirstParagraph"/>
      </w:pPr>
      <w:r>
        <w:t xml:space="preserve">El SGC se concibió para aplicarse en la ejecución de la segunda y tercera losa del edificio, cuyos paños son homólogos a los de la primera (Sección 2.4). La Tabla 44 resume la secuencia de implementación: cada actividad se apoya en un componente del sistema descrito en la Sección 2.6 y deja un registro verificable.</w:t>
      </w:r>
    </w:p>
    <w:p>
      <w:pPr>
        <w:pStyle w:val="Caption"/>
      </w:pPr>
      <w:bookmarkStart w:id="1448" w:name="tab44"/>
      <w:r>
        <w:t xml:space="preserve"/>
      </w:r>
      <w:r>
        <w:rPr>
          <w:bCs/>
          <w:b/>
        </w:rPr>
        <w:t xml:space="preserve">Tabla 44</w:t>
      </w:r>
      <w:r>
        <w:br/>
      </w:r>
      <w:r>
        <w:rPr>
          <w:iCs/>
          <w:i/>
        </w:rPr>
        <w:t xml:space="preserve">Secuencia de implementación del SGC en una losa</w:t>
      </w:r>
      <w:bookmarkEnd w:id="1448"/>
    </w:p>
    <w:tbl>
      <w:tblPr>
        <w:tblStyle w:val="Table"/>
        <w:tblW w:w="9361" w:type="dxa"/>
        <w:jc w:val="left"/>
        <w:tblLayout w:type="fixed"/>
        <w:tblCellMar>
          <w:top w:w="0" w:type="dxa"/>
          <w:left w:w="85" w:type="dxa"/>
          <w:bottom w:w="0" w:type="dxa"/>
          <w:right w:w="85" w:type="dxa"/>
        </w:tblCellMar>
        <w:tblLook w:firstRow="1" w:lastRow="0" w:firstColumn="0" w:lastColumn="0" w:noHBand="0" w:noVBand="0" w:val="0020"/>
      </w:tblPr>
      <w:tblGrid>
        <w:gridCol w:w="1895"/>
        <w:gridCol w:w="3612"/>
        <w:gridCol w:w="2170"/>
        <w:gridCol w:w="1684"/>
      </w:tblGrid>
      <w:tr>
        <w:trPr>
          <w:cantSplit/>
          <w:tblHeader w:val="true"/>
        </w:trPr>
        <w:tc>
          <w:tcPr>
            <w:tcW w:w="1895" w:type="dxa"/>
            <w:tcBorders>
              <w:top w:val="single" w:sz="8" w:space="0" w:color="000000"/>
              <w:bottom w:val="single" w:sz="4" w:space="0" w:color="000000"/>
            </w:tcBorders>
          </w:tcPr>
          <w:p>
            <w:pPr>
              <w:pStyle w:val="CeldaAPA"/>
              <w:jc w:val="center"/>
            </w:pPr>
            <w:r>
              <w:rPr>
                <w:bCs/>
                <w:b/>
              </w:rPr>
              <w:t xml:space="preserve">Etapa</w:t>
            </w:r>
          </w:p>
        </w:tc>
        <w:tc>
          <w:tcPr>
            <w:tcW w:w="3612" w:type="dxa"/>
            <w:tcBorders>
              <w:top w:val="single" w:sz="8" w:space="0" w:color="000000"/>
              <w:bottom w:val="single" w:sz="4" w:space="0" w:color="000000"/>
            </w:tcBorders>
          </w:tcPr>
          <w:p>
            <w:pPr>
              <w:pStyle w:val="CeldaAPA"/>
              <w:jc w:val="center"/>
            </w:pPr>
            <w:r>
              <w:rPr>
                <w:bCs/>
                <w:b/>
              </w:rPr>
              <w:t xml:space="preserve">Actividades</w:t>
            </w:r>
          </w:p>
        </w:tc>
        <w:tc>
          <w:tcPr>
            <w:tcW w:w="2170" w:type="dxa"/>
            <w:tcBorders>
              <w:top w:val="single" w:sz="8" w:space="0" w:color="000000"/>
              <w:bottom w:val="single" w:sz="4" w:space="0" w:color="000000"/>
            </w:tcBorders>
          </w:tcPr>
          <w:p>
            <w:pPr>
              <w:pStyle w:val="CeldaAPA"/>
              <w:jc w:val="center"/>
            </w:pPr>
            <w:r>
              <w:rPr>
                <w:bCs/>
                <w:b/>
              </w:rPr>
              <w:t xml:space="preserve">Registro</w:t>
            </w:r>
          </w:p>
        </w:tc>
        <w:tc>
          <w:tcPr>
            <w:tcW w:w="1684" w:type="dxa"/>
            <w:tcBorders>
              <w:top w:val="single" w:sz="8" w:space="0" w:color="000000"/>
              <w:bottom w:val="single" w:sz="4" w:space="0" w:color="000000"/>
            </w:tcBorders>
          </w:tcPr>
          <w:p>
            <w:pPr>
              <w:pStyle w:val="CeldaAPA"/>
              <w:jc w:val="center"/>
            </w:pPr>
            <w:r>
              <w:rPr>
                <w:bCs/>
                <w:b/>
              </w:rPr>
              <w:t xml:space="preserve">Responsable</w:t>
            </w:r>
          </w:p>
        </w:tc>
      </w:tr>
      <w:tr>
        <w:tc>
          <w:tcPr>
            <w:tcW w:w="1895" w:type="dxa"/>
          </w:tcPr>
          <w:p>
            <w:pPr>
              <w:pStyle w:val="CeldaAPA"/>
              <w:jc w:val="left"/>
            </w:pPr>
            <w:r>
              <w:rPr/>
              <w:t xml:space="preserve">0. Preparación</w:t>
            </w:r>
          </w:p>
        </w:tc>
        <w:tc>
          <w:tcPr>
            <w:tcW w:w="3612" w:type="dxa"/>
          </w:tcPr>
          <w:p>
            <w:pPr>
              <w:pStyle w:val="CeldaAPA"/>
              <w:jc w:val="left"/>
            </w:pPr>
            <w:r>
              <w:rPr/>
              <w:t xml:space="preserve">Aprobación del plan de la calidad por la Supervisión; lista maestra de documentos; resolución de discrepancias (complemento EPS, normas citadas en la ET); capacitación del personal</w:t>
            </w:r>
          </w:p>
        </w:tc>
        <w:tc>
          <w:tcPr>
            <w:tcW w:w="2170" w:type="dxa"/>
          </w:tcPr>
          <w:p>
            <w:pPr>
              <w:pStyle w:val="CeldaAPA"/>
              <w:jc w:val="left"/>
            </w:pPr>
            <w:r>
              <w:rPr/>
              <w:t xml:space="preserve">Acta de aprobación; lista de asistencia</w:t>
            </w:r>
          </w:p>
        </w:tc>
        <w:tc>
          <w:tcPr>
            <w:tcW w:w="1684" w:type="dxa"/>
          </w:tcPr>
          <w:p>
            <w:pPr>
              <w:pStyle w:val="CeldaAPA"/>
              <w:jc w:val="left"/>
            </w:pPr>
            <w:r>
              <w:rPr/>
              <w:t xml:space="preserve">Director de obra; Supervisor</w:t>
            </w:r>
          </w:p>
        </w:tc>
      </w:tr>
      <w:tr>
        <w:tc>
          <w:tcPr>
            <w:tcW w:w="1895" w:type="dxa"/>
          </w:tcPr>
          <w:p>
            <w:pPr>
              <w:pStyle w:val="CeldaAPA"/>
              <w:jc w:val="left"/>
            </w:pPr>
            <w:r>
              <w:rPr/>
              <w:t xml:space="preserve">1. Abastecimiento</w:t>
            </w:r>
          </w:p>
        </w:tc>
        <w:tc>
          <w:tcPr>
            <w:tcW w:w="3612" w:type="dxa"/>
          </w:tcPr>
          <w:p>
            <w:pPr>
              <w:pStyle w:val="CeldaAPA"/>
              <w:jc w:val="left"/>
            </w:pPr>
            <w:r>
              <w:rPr/>
              <w:t xml:space="preserve">Pedido por paño con base en las cantidades teóricas; recepción y aceptación de viguetas, complementos, acero, cemento y áridos</w:t>
            </w:r>
          </w:p>
        </w:tc>
        <w:tc>
          <w:tcPr>
            <w:tcW w:w="2170" w:type="dxa"/>
          </w:tcPr>
          <w:p>
            <w:pPr>
              <w:pStyle w:val="CeldaAPA"/>
              <w:jc w:val="left"/>
            </w:pPr>
            <w:r>
              <w:rPr/>
              <w:t xml:space="preserve">Ficha de recepción (C.3); kardex</w:t>
            </w:r>
          </w:p>
        </w:tc>
        <w:tc>
          <w:tcPr>
            <w:tcW w:w="1684" w:type="dxa"/>
          </w:tcPr>
          <w:p>
            <w:pPr>
              <w:pStyle w:val="CeldaAPA"/>
              <w:jc w:val="left"/>
            </w:pPr>
            <w:r>
              <w:rPr/>
              <w:t xml:space="preserve">Almacenero; encargado de calidad</w:t>
            </w:r>
          </w:p>
        </w:tc>
      </w:tr>
      <w:tr>
        <w:tc>
          <w:tcPr>
            <w:tcW w:w="1895" w:type="dxa"/>
          </w:tcPr>
          <w:p>
            <w:pPr>
              <w:pStyle w:val="CeldaAPA"/>
              <w:jc w:val="left"/>
            </w:pPr>
            <w:r>
              <w:rPr/>
              <w:t xml:space="preserve">2. Ejecución por paño</w:t>
            </w:r>
          </w:p>
        </w:tc>
        <w:tc>
          <w:tcPr>
            <w:tcW w:w="3612" w:type="dxa"/>
          </w:tcPr>
          <w:p>
            <w:pPr>
              <w:pStyle w:val="CeldaAPA"/>
              <w:jc w:val="left"/>
            </w:pPr>
            <w:r>
              <w:rPr/>
              <w:t xml:space="preserve">Apuntalamiento, colocación de viguetas y complementos, armado, instalaciones; liberación en los puntos de espera del PPI</w:t>
            </w:r>
          </w:p>
        </w:tc>
        <w:tc>
          <w:tcPr>
            <w:tcW w:w="2170" w:type="dxa"/>
          </w:tcPr>
          <w:p>
            <w:pPr>
              <w:pStyle w:val="CeldaAPA"/>
              <w:jc w:val="left"/>
            </w:pPr>
            <w:r>
              <w:rPr/>
              <w:t xml:space="preserve">Fichas PPI (C.2)</w:t>
            </w:r>
          </w:p>
        </w:tc>
        <w:tc>
          <w:tcPr>
            <w:tcW w:w="1684" w:type="dxa"/>
          </w:tcPr>
          <w:p>
            <w:pPr>
              <w:pStyle w:val="CeldaAPA"/>
              <w:jc w:val="left"/>
            </w:pPr>
            <w:r>
              <w:rPr/>
              <w:t xml:space="preserve">Residente; Supervisor</w:t>
            </w:r>
          </w:p>
        </w:tc>
      </w:tr>
      <w:tr>
        <w:tc>
          <w:tcPr>
            <w:tcW w:w="1895" w:type="dxa"/>
          </w:tcPr>
          <w:p>
            <w:pPr>
              <w:pStyle w:val="CeldaAPA"/>
              <w:jc w:val="left"/>
            </w:pPr>
            <w:r>
              <w:rPr/>
              <w:t xml:space="preserve">3. Hormigonado</w:t>
            </w:r>
          </w:p>
        </w:tc>
        <w:tc>
          <w:tcPr>
            <w:tcW w:w="3612" w:type="dxa"/>
          </w:tcPr>
          <w:p>
            <w:pPr>
              <w:pStyle w:val="CeldaAPA"/>
              <w:jc w:val="left"/>
            </w:pPr>
            <w:r>
              <w:rPr/>
              <w:t xml:space="preserve">Verificación de dosificación, asentamiento, vaciado por franjas, muestreo de probetas, curado y protección en tiempo frío</w:t>
            </w:r>
          </w:p>
        </w:tc>
        <w:tc>
          <w:tcPr>
            <w:tcW w:w="2170" w:type="dxa"/>
          </w:tcPr>
          <w:p>
            <w:pPr>
              <w:pStyle w:val="CeldaAPA"/>
              <w:jc w:val="left"/>
            </w:pPr>
            <w:r>
              <w:rPr/>
              <w:t xml:space="preserve">Planilla de hormigonado; planilla de muestreo</w:t>
            </w:r>
          </w:p>
        </w:tc>
        <w:tc>
          <w:tcPr>
            <w:tcW w:w="1684" w:type="dxa"/>
          </w:tcPr>
          <w:p>
            <w:pPr>
              <w:pStyle w:val="CeldaAPA"/>
              <w:jc w:val="left"/>
            </w:pPr>
            <w:r>
              <w:rPr/>
              <w:t xml:space="preserve">Residente; laboratorio</w:t>
            </w:r>
          </w:p>
        </w:tc>
      </w:tr>
      <w:tr>
        <w:tc>
          <w:tcPr>
            <w:tcW w:w="1895" w:type="dxa"/>
          </w:tcPr>
          <w:p>
            <w:pPr>
              <w:pStyle w:val="CeldaAPA"/>
              <w:jc w:val="left"/>
            </w:pPr>
            <w:r>
              <w:rPr/>
              <w:t xml:space="preserve">4. Control de consumos</w:t>
            </w:r>
          </w:p>
        </w:tc>
        <w:tc>
          <w:tcPr>
            <w:tcW w:w="3612" w:type="dxa"/>
          </w:tcPr>
          <w:p>
            <w:pPr>
              <w:pStyle w:val="CeldaAPA"/>
              <w:jc w:val="left"/>
            </w:pPr>
            <w:r>
              <w:rPr/>
              <w:t xml:space="preserve">Registro de entregas, colocación y sobrantes; conciliación de cantidades teóricas, entregadas, colocadas, medidas y pagadas</w:t>
            </w:r>
          </w:p>
        </w:tc>
        <w:tc>
          <w:tcPr>
            <w:tcW w:w="2170" w:type="dxa"/>
          </w:tcPr>
          <w:p>
            <w:pPr>
              <w:pStyle w:val="CeldaAPA"/>
              <w:jc w:val="left"/>
            </w:pPr>
            <w:r>
              <w:rPr/>
              <w:t xml:space="preserve">Ficha de control de materiales (C.4)</w:t>
            </w:r>
          </w:p>
        </w:tc>
        <w:tc>
          <w:tcPr>
            <w:tcW w:w="1684" w:type="dxa"/>
          </w:tcPr>
          <w:p>
            <w:pPr>
              <w:pStyle w:val="CeldaAPA"/>
              <w:jc w:val="left"/>
            </w:pPr>
            <w:r>
              <w:rPr/>
              <w:t xml:space="preserve">Almacenero; encargado de calidad</w:t>
            </w:r>
          </w:p>
        </w:tc>
      </w:tr>
      <w:tr>
        <w:tc>
          <w:tcPr>
            <w:tcW w:w="1895" w:type="dxa"/>
          </w:tcPr>
          <w:p>
            <w:pPr>
              <w:pStyle w:val="CeldaAPA"/>
              <w:jc w:val="left"/>
            </w:pPr>
            <w:r>
              <w:rPr/>
              <w:t xml:space="preserve">5. Verificación</w:t>
            </w:r>
          </w:p>
        </w:tc>
        <w:tc>
          <w:tcPr>
            <w:tcW w:w="3612" w:type="dxa"/>
          </w:tcPr>
          <w:p>
            <w:pPr>
              <w:pStyle w:val="CeldaAPA"/>
              <w:jc w:val="left"/>
            </w:pPr>
            <w:r>
              <w:rPr/>
              <w:t xml:space="preserve">Ensayos a 28 días y aceptación del hormigón; no conformidades y acciones correctivas</w:t>
            </w:r>
          </w:p>
        </w:tc>
        <w:tc>
          <w:tcPr>
            <w:tcW w:w="2170" w:type="dxa"/>
          </w:tcPr>
          <w:p>
            <w:pPr>
              <w:pStyle w:val="CeldaAPA"/>
              <w:jc w:val="left"/>
            </w:pPr>
            <w:r>
              <w:rPr/>
              <w:t xml:space="preserve">Certificados de laboratorio; registro de NC (C.5)</w:t>
            </w:r>
          </w:p>
        </w:tc>
        <w:tc>
          <w:tcPr>
            <w:tcW w:w="1684" w:type="dxa"/>
          </w:tcPr>
          <w:p>
            <w:pPr>
              <w:pStyle w:val="CeldaAPA"/>
              <w:jc w:val="left"/>
            </w:pPr>
            <w:r>
              <w:rPr/>
              <w:t xml:space="preserve">Encargado de calidad; Supervisor</w:t>
            </w:r>
          </w:p>
        </w:tc>
      </w:tr>
      <w:tr>
        <w:tc>
          <w:tcPr>
            <w:tcW w:w="1895" w:type="dxa"/>
            <w:tcBorders>
              <w:bottom w:val="single" w:sz="8" w:space="0" w:color="000000"/>
            </w:tcBorders>
          </w:tcPr>
          <w:p>
            <w:pPr>
              <w:pStyle w:val="CeldaAPA"/>
              <w:jc w:val="left"/>
            </w:pPr>
            <w:r>
              <w:rPr/>
              <w:t xml:space="preserve">6. Revisión</w:t>
            </w:r>
          </w:p>
        </w:tc>
        <w:tc>
          <w:tcPr>
            <w:tcW w:w="3612" w:type="dxa"/>
            <w:tcBorders>
              <w:bottom w:val="single" w:sz="8" w:space="0" w:color="000000"/>
            </w:tcBorders>
          </w:tcPr>
          <w:p>
            <w:pPr>
              <w:pStyle w:val="CeldaAPA"/>
              <w:jc w:val="left"/>
            </w:pPr>
            <w:r>
              <w:rPr/>
              <w:t xml:space="preserve">Reunión semanal de indicadores; registro de costos de la calidad; ajustes del plan</w:t>
            </w:r>
          </w:p>
        </w:tc>
        <w:tc>
          <w:tcPr>
            <w:tcW w:w="2170" w:type="dxa"/>
            <w:tcBorders>
              <w:bottom w:val="single" w:sz="8" w:space="0" w:color="000000"/>
            </w:tcBorders>
          </w:tcPr>
          <w:p>
            <w:pPr>
              <w:pStyle w:val="CeldaAPA"/>
              <w:jc w:val="left"/>
            </w:pPr>
            <w:r>
              <w:rPr/>
              <w:t xml:space="preserve">Planilla de costos de la calidad (C.6); acta</w:t>
            </w:r>
          </w:p>
        </w:tc>
        <w:tc>
          <w:tcPr>
            <w:tcW w:w="1684" w:type="dxa"/>
            <w:tcBorders>
              <w:bottom w:val="single" w:sz="8" w:space="0" w:color="000000"/>
            </w:tcBorders>
          </w:tcPr>
          <w:p>
            <w:pPr>
              <w:pStyle w:val="CeldaAPA"/>
              <w:jc w:val="left"/>
            </w:pPr>
            <w:r>
              <w:rPr/>
              <w:t xml:space="preserve">Director de obra</w:t>
            </w:r>
          </w:p>
        </w:tc>
      </w:tr>
    </w:tbl>
    <w:p>
      <w:pPr>
        <w:pStyle w:val="NotaAPA"/>
      </w:pPr>
      <w:r>
        <w:rPr>
          <w:iCs/>
          <w:i/>
        </w:rPr>
        <w:t xml:space="preserve">Nota.</w:t>
      </w:r>
      <w:r>
        <w:t xml:space="preserve"> </w:t>
      </w:r>
      <w:r>
        <w:t xml:space="preserve">Elaboración propia con base en la estructura del plan de la calidad (Sección 2.6).</w:t>
      </w:r>
    </w:p>
    <w:p>
      <w:pPr>
        <w:pStyle w:val="BodyText"/>
      </w:pPr>
      <w:r>
        <w:t xml:space="preserve">Esta secuencia no pudo aplicarse en obra durante la investigación. El 5 de enero de 2026 la empresa contratista solicitó la paralización de la obra y la resolución concertada del contrato, y la UATF respondió favorablemente el 10 de febrero de 2026</w:t>
      </w:r>
      <w:r>
        <w:t xml:space="preserve"> </w:t>
      </w:r>
      <w:r>
        <w:t xml:space="preserve">(UATF, s. f.-b)</w:t>
      </w:r>
      <w:r>
        <w:t xml:space="preserve">. Hasta la conclusión de este trabajo no se había contratado la ejecución del saldo de la obra, por lo que no existió una segunda losa sobre la cual medir la posprueba (</w:t>
      </w:r>
      <m:oMath>
        <m:sSub>
          <m:e>
            <m:r>
              <m:t>O</m:t>
            </m:r>
          </m:e>
          <m:sub>
            <m:r>
              <m:t>2</m:t>
            </m:r>
          </m:sub>
        </m:sSub>
      </m:oMath>
      <w:r>
        <w:t xml:space="preserve">). Por ello, conforme a la alternativa prevista en el diseño de la investigación, el efecto del SGC se evaluó</w:t>
      </w:r>
      <w:r>
        <w:t xml:space="preserve"> </w:t>
      </w:r>
      <w:r>
        <w:rPr>
          <w:iCs/>
          <w:i/>
        </w:rPr>
        <w:t xml:space="preserve">ex ante</w:t>
      </w:r>
      <w:r>
        <w:t xml:space="preserve"> </w:t>
      </w:r>
      <w:r>
        <w:t xml:space="preserve">mediante un modelo de costos y una simulación, y el procedimiento de la Tabla 44 se conserva como protocolo de implementación y de verificación futura (Sección 2.9.1).</w:t>
      </w:r>
    </w:p>
    <w:p>
      <w:pPr>
        <w:pStyle w:val="Heading3"/>
      </w:pPr>
      <w:bookmarkStart w:id="186" w:name="tit133"/>
      <w:r>
        <w:t xml:space="preserve">2.7.2. Evaluación ex ante mediante modelación y simulación</w:t>
      </w:r>
      <w:bookmarkEnd w:id="186"/>
    </w:p>
    <w:p>
      <w:pPr>
        <w:pStyle w:val="FirstParagraph"/>
      </w:pPr>
      <w:r>
        <w:t xml:space="preserve">La guía del Seminario de Grado reconoce la</w:t>
      </w:r>
      <w:r>
        <w:t xml:space="preserve"> </w:t>
      </w:r>
      <w:r>
        <w:rPr>
          <w:iCs/>
          <w:i/>
        </w:rPr>
        <w:t xml:space="preserve">modelación de simulación teórica</w:t>
      </w:r>
      <w:r>
        <w:t xml:space="preserve"> </w:t>
      </w:r>
      <w:r>
        <w:t xml:space="preserve">como un tipo de modelo de investigación. Según esa guía, el modelo debe incluir un tratamiento de control (sin tratamiento) que sirva de comparación y debe permitir calcular el grado de incertidumbre de los resultados</w:t>
      </w:r>
      <w:r>
        <w:t xml:space="preserve"> </w:t>
      </w:r>
      <w:r>
        <w:t xml:space="preserve">(Barrios C., 2021b)</w:t>
      </w:r>
      <w:r>
        <w:t xml:space="preserve">. El modelo de esta tesis cumple ambas condiciones: compara el costo de ejecutar los 2.234,60 m</w:t>
      </w:r>
      <w:r>
        <w:rPr>
          <w:vertAlign w:val="superscript"/>
        </w:rPr>
        <w:t xml:space="preserve">2</w:t>
      </w:r>
      <w:r>
        <w:t xml:space="preserve"> </w:t>
      </w:r>
      <w:r>
        <w:t xml:space="preserve">restantes</w:t>
      </w:r>
      <w:r>
        <w:t xml:space="preserve"> </w:t>
      </w:r>
      <w:r>
        <w:rPr>
          <w:bCs/>
          <w:b/>
        </w:rPr>
        <w:t xml:space="preserve">sin SGC</w:t>
      </w:r>
      <w:r>
        <w:t xml:space="preserve"> </w:t>
      </w:r>
      <w:r>
        <w:t xml:space="preserve">(control, con el desempeño de la línea base) y</w:t>
      </w:r>
      <w:r>
        <w:t xml:space="preserve"> </w:t>
      </w:r>
      <w:r>
        <w:rPr>
          <w:bCs/>
          <w:b/>
        </w:rPr>
        <w:t xml:space="preserve">con SGC</w:t>
      </w:r>
      <w:r>
        <w:t xml:space="preserve"> </w:t>
      </w:r>
      <w:r>
        <w:t xml:space="preserve">(tratamiento), y expresa el resultado como una distribución de probabilidad.</w:t>
      </w:r>
    </w:p>
    <w:p>
      <w:pPr>
        <w:pStyle w:val="BodyText"/>
      </w:pPr>
      <w:r>
        <w:rPr>
          <w:bCs/>
          <w:b/>
        </w:rPr>
        <w:t xml:space="preserve">Estructura del modelo.</w:t>
      </w:r>
      <w:r>
        <w:t xml:space="preserve"> </w:t>
      </w:r>
      <w:r>
        <w:t xml:space="preserve">Para cada escenario</w:t>
      </w:r>
      <w:r>
        <w:t xml:space="preserve"> </w:t>
      </w:r>
      <m:oMath>
        <m:r>
          <m:t>s</m:t>
        </m:r>
        <m:r>
          <m:rPr>
            <m:sty m:val="p"/>
          </m:rPr>
          <m:t>∈</m:t>
        </m:r>
        <m:r>
          <m:rPr>
            <m:sty m:val="p"/>
          </m:rPr>
          <m:t>{</m:t>
        </m:r>
        <m:r>
          <m:rPr>
            <m:nor/>
            <m:sty m:val="p"/>
          </m:rPr>
          <m:t>sin</m:t>
        </m:r>
        <m:r>
          <m:rPr>
            <m:sty m:val="p"/>
          </m:rPr>
          <m:t>,</m:t>
        </m:r>
        <m:r>
          <m:rPr>
            <m:nor/>
            <m:sty m:val="p"/>
          </m:rPr>
          <m:t>con</m:t>
        </m:r>
        <m:r>
          <m:rPr>
            <m:sty m:val="p"/>
          </m:rPr>
          <m:t>}</m:t>
        </m:r>
      </m:oMath>
      <w:r>
        <w:t xml:space="preserve">, el costo unitario de ejecución a precios constantes del contrato se descompone en el costo directo teórico, el costo de no calidad y el costo de la calidad:</w:t>
      </w:r>
    </w:p>
    <w:tbl>
      <w:tblPr>
        <w:tblW w:w="9360" w:type="dxa"/>
        <w:tblLayout w:type="fixed"/>
        <w:tblCellMar>
          <w:left w:w="0" w:type="dxa"/>
          <w:right w:w="0" w:type="dxa"/>
        </w:tblCellMar>
        <w:tblLook w:val="0000" w:firstRow="0" w:lastRow="0" w:firstColumn="0" w:lastColumn="0" w:noHBand="1" w:noVBand="1"/>
        <w:tblCaption w:val="Ecuación"/>
      </w:tblPr>
      <w:tblGrid>
        <w:gridCol w:w="1134"/>
        <w:gridCol w:w="7092"/>
        <w:gridCol w:w="1134"/>
      </w:tblGrid>
      <w:tr>
        <w:trPr>
          <w:cantSplit/>
        </w:trPr>
        <w:tc>
          <w:tcPr>
            <w:tcW w:w="1134" w:type="dxa"/>
            <w:vAlign w:val="center"/>
          </w:tcPr>
          <w:p>
            <w:pPr>
              <w:pStyle w:val="EcuacionAPA"/>
            </w:pPr>
          </w:p>
        </w:tc>
        <w:tc>
          <w:tcPr>
            <w:tcW w:w="7092" w:type="dxa"/>
            <w:vAlign w:val="center"/>
          </w:tcPr>
          <w:p>
            <w:pPr>
              <w:pStyle w:val="EcuacionAPA"/>
            </w:pPr>
            <m:oMathPara>
              <m:oMathParaPr>
                <m:jc m:val="center"/>
              </m:oMathParaPr>
              <m:oMath>
                <m:r>
                  <m:t>C</m:t>
                </m:r>
                <m:sSub>
                  <m:e>
                    <m:r>
                      <m:t>U</m:t>
                    </m:r>
                  </m:e>
                  <m:sub>
                    <m:r>
                      <m:t>s</m:t>
                    </m:r>
                  </m:sub>
                </m:sSub>
                <m:r>
                  <m:rPr>
                    <m:sty m:val="p"/>
                  </m:rPr>
                  <m:t>=</m:t>
                </m:r>
                <m:r>
                  <m:t>C</m:t>
                </m:r>
                <m:sSub>
                  <m:e>
                    <m:r>
                      <m:t>D</m:t>
                    </m:r>
                  </m:e>
                  <m:sub>
                    <m:r>
                      <m:t>t</m:t>
                    </m:r>
                    <m:r>
                      <m:t>e</m:t>
                    </m:r>
                    <m:r>
                      <m:t>o</m:t>
                    </m:r>
                  </m:sub>
                </m:sSub>
                <m:r>
                  <m:rPr>
                    <m:sty m:val="p"/>
                  </m:rPr>
                  <m:t>+</m:t>
                </m:r>
                <m:r>
                  <m:t>C</m:t>
                </m:r>
                <m:r>
                  <m:t>N</m:t>
                </m:r>
                <m:sSub>
                  <m:e>
                    <m:r>
                      <m:t>C</m:t>
                    </m:r>
                  </m:e>
                  <m:sub>
                    <m:r>
                      <m:t>s</m:t>
                    </m:r>
                  </m:sub>
                </m:sSub>
                <m:r>
                  <m:rPr>
                    <m:sty m:val="p"/>
                  </m:rPr>
                  <m:t>+</m:t>
                </m:r>
                <m:r>
                  <m:t>C</m:t>
                </m:r>
                <m:sSub>
                  <m:e>
                    <m:r>
                      <m:t>C</m:t>
                    </m:r>
                  </m:e>
                  <m:sub>
                    <m:r>
                      <m:t>s</m:t>
                    </m:r>
                  </m:sub>
                </m:sSub>
              </m:oMath>
            </m:oMathPara>
          </w:p>
        </w:tc>
        <w:tc>
          <w:tcPr>
            <w:tcW w:w="1134" w:type="dxa"/>
            <w:vAlign w:val="center"/>
          </w:tcPr>
          <w:p>
            <w:pPr>
              <w:pStyle w:val="EcuacionAPA"/>
              <w:jc w:val="right"/>
            </w:pPr>
            <w:r>
              <w:t>(17)</w:t>
            </w:r>
          </w:p>
        </w:tc>
      </w:tr>
      <w:tr>
        <w:trPr>
          <w:cantSplit/>
        </w:trPr>
        <w:tc>
          <w:tcPr>
            <w:tcW w:w="1134" w:type="dxa"/>
            <w:vAlign w:val="center"/>
          </w:tcPr>
          <w:p>
            <w:pPr>
              <w:pStyle w:val="EcuacionAPA"/>
            </w:pPr>
          </w:p>
        </w:tc>
        <w:tc>
          <w:tcPr>
            <w:tcW w:w="7092" w:type="dxa"/>
            <w:vAlign w:val="center"/>
          </w:tcPr>
          <w:p>
            <w:pPr>
              <w:pStyle w:val="EcuacionAPA"/>
            </w:pPr>
            <m:oMathPara>
              <m:oMathParaPr>
                <m:jc m:val="center"/>
              </m:oMathParaPr>
              <m:oMath>
                <m:r>
                  <m:t>C</m:t>
                </m:r>
                <m:r>
                  <m:t>N</m:t>
                </m:r>
                <m:sSub>
                  <m:e>
                    <m:r>
                      <m:t>C</m:t>
                    </m:r>
                  </m:e>
                  <m:sub>
                    <m:r>
                      <m:t>s</m:t>
                    </m:r>
                  </m:sub>
                </m:sSub>
                <m:r>
                  <m:rPr>
                    <m:sty m:val="p"/>
                  </m:rPr>
                  <m:t>=</m:t>
                </m:r>
                <m:nary>
                  <m:naryPr>
                    <m:chr m:val="∑"/>
                    <m:limLoc m:val="undOvr"/>
                    <m:subHide m:val="off"/>
                    <m:supHide m:val="on"/>
                  </m:naryPr>
                  <m:sub>
                    <m:r>
                      <m:t>i</m:t>
                    </m:r>
                  </m:sub>
                  <m:sup>
                    <m:r>
                      <m:t>​</m:t>
                    </m:r>
                  </m:sup>
                  <m:e>
                    <m:sSub>
                      <m:e>
                        <m:r>
                          <m:t>q</m:t>
                        </m:r>
                      </m:e>
                      <m:sub>
                        <m:r>
                          <m:t>t</m:t>
                        </m:r>
                        <m:r>
                          <m:t>e</m:t>
                        </m:r>
                        <m:r>
                          <m:t>o</m:t>
                        </m:r>
                        <m:r>
                          <m:rPr>
                            <m:sty m:val="p"/>
                          </m:rPr>
                          <m:t>,</m:t>
                        </m:r>
                        <m:r>
                          <m:t>i</m:t>
                        </m:r>
                      </m:sub>
                    </m:sSub>
                  </m:e>
                </m:nary>
                <m:r>
                  <m:t> </m:t>
                </m:r>
                <m:sSub>
                  <m:e>
                    <m:r>
                      <m:t>p</m:t>
                    </m:r>
                  </m:e>
                  <m:sub>
                    <m:r>
                      <m:t>i</m:t>
                    </m:r>
                  </m:sub>
                </m:sSub>
                <m:r>
                  <m:t> </m:t>
                </m:r>
                <m:r>
                  <m:t>I</m:t>
                </m:r>
                <m:r>
                  <m:t>D</m:t>
                </m:r>
                <m:sSub>
                  <m:e>
                    <m:r>
                      <m:t>M</m:t>
                    </m:r>
                  </m:e>
                  <m:sub>
                    <m:r>
                      <m:t>i</m:t>
                    </m:r>
                    <m:r>
                      <m:rPr>
                        <m:sty m:val="p"/>
                      </m:rPr>
                      <m:t>,</m:t>
                    </m:r>
                    <m:r>
                      <m:t>s</m:t>
                    </m:r>
                  </m:sub>
                </m:sSub>
                <m:r>
                  <m:t> </m:t>
                </m:r>
                <m:r>
                  <m:rPr>
                    <m:sty m:val="p"/>
                  </m:rPr>
                  <m:t>+</m:t>
                </m:r>
                <m:r>
                  <m:t> </m:t>
                </m:r>
                <m:sSub>
                  <m:e>
                    <m:r>
                      <m:t>ρ</m:t>
                    </m:r>
                  </m:e>
                  <m:sub>
                    <m:r>
                      <m:t>s</m:t>
                    </m:r>
                  </m:sub>
                </m:sSub>
                <m:r>
                  <m:t> </m:t>
                </m:r>
                <m:r>
                  <m:t>C</m:t>
                </m:r>
                <m:sSub>
                  <m:e>
                    <m:r>
                      <m:t>D</m:t>
                    </m:r>
                  </m:e>
                  <m:sub>
                    <m:r>
                      <m:t>t</m:t>
                    </m:r>
                    <m:r>
                      <m:t>e</m:t>
                    </m:r>
                    <m:r>
                      <m:t>o</m:t>
                    </m:r>
                  </m:sub>
                </m:sSub>
              </m:oMath>
            </m:oMathPara>
          </w:p>
        </w:tc>
        <w:tc>
          <w:tcPr>
            <w:tcW w:w="1134" w:type="dxa"/>
            <w:vAlign w:val="center"/>
          </w:tcPr>
          <w:p>
            <w:pPr>
              <w:pStyle w:val="EcuacionAPA"/>
              <w:jc w:val="right"/>
            </w:pPr>
            <w:r>
              <w:t>(18)</w:t>
            </w:r>
          </w:p>
        </w:tc>
      </w:tr>
    </w:tbl>
    <w:p>
      <w:pPr>
        <w:pStyle w:val="FirstParagraph"/>
        <w:ind w:firstLine="0"/>
      </w:pPr>
      <w:r>
        <w:t xml:space="preserve"/>
      </w:r>
      <w:r>
        <w:t xml:space="preserve"/>
      </w:r>
      <w:r>
        <w:t xml:space="preserve">donde</w:t>
      </w:r>
      <w:r>
        <w:t xml:space="preserve"> </w:t>
      </w:r>
      <m:oMath>
        <m:r>
          <m:t>C</m:t>
        </m:r>
        <m:sSub>
          <m:e>
            <m:r>
              <m:t>D</m:t>
            </m:r>
          </m:e>
          <m:sub>
            <m:r>
              <m:t>t</m:t>
            </m:r>
            <m:r>
              <m:t>e</m:t>
            </m:r>
            <m:r>
              <m:t>o</m:t>
            </m:r>
          </m:sub>
        </m:sSub>
      </m:oMath>
      <w:r>
        <w:t xml:space="preserve"> </w:t>
      </w:r>
      <w:r>
        <w:t xml:space="preserve">es el costo directo de la losa con las cantidades teóricas (sin pérdidas),</w:t>
      </w:r>
      <w:r>
        <w:t xml:space="preserve"> </w:t>
      </w:r>
      <m:oMath>
        <m:sSub>
          <m:e>
            <m:r>
              <m:t>q</m:t>
            </m:r>
          </m:e>
          <m:sub>
            <m:r>
              <m:t>t</m:t>
            </m:r>
            <m:r>
              <m:t>e</m:t>
            </m:r>
            <m:r>
              <m:t>o</m:t>
            </m:r>
            <m:r>
              <m:rPr>
                <m:sty m:val="p"/>
              </m:rPr>
              <m:t>,</m:t>
            </m:r>
            <m:r>
              <m:t>i</m:t>
            </m:r>
          </m:sub>
        </m:sSub>
      </m:oMath>
      <w:r>
        <w:t xml:space="preserve"> </w:t>
      </w:r>
      <w:r>
        <w:t xml:space="preserve">la cantidad teórica del material</w:t>
      </w:r>
      <w:r>
        <w:t xml:space="preserve"> </w:t>
      </w:r>
      <m:oMath>
        <m:r>
          <m:t>i</m:t>
        </m:r>
      </m:oMath>
      <w:r>
        <w:t xml:space="preserve"> </w:t>
      </w:r>
      <w:r>
        <w:t xml:space="preserve">por m</w:t>
      </w:r>
      <w:r>
        <w:rPr>
          <w:vertAlign w:val="superscript"/>
        </w:rPr>
        <w:t xml:space="preserve">2</w:t>
      </w:r>
      <w:r>
        <w:t xml:space="preserve"> </w:t>
      </w:r>
      <w:r>
        <w:t xml:space="preserve">(viguetas, complementos de EPS, hormigón y acero),</w:t>
      </w:r>
      <w:r>
        <w:t xml:space="preserve"> </w:t>
      </w:r>
      <m:oMath>
        <m:sSub>
          <m:e>
            <m:r>
              <m:t>p</m:t>
            </m:r>
          </m:e>
          <m:sub>
            <m:r>
              <m:t>i</m:t>
            </m:r>
          </m:sub>
        </m:sSub>
      </m:oMath>
      <w:r>
        <w:t xml:space="preserve"> </w:t>
      </w:r>
      <w:r>
        <w:t xml:space="preserve">su precio de valoración a precios del contrato,</w:t>
      </w:r>
      <w:r>
        <w:t xml:space="preserve"> </w:t>
      </w:r>
      <m:oMath>
        <m:r>
          <m:t>I</m:t>
        </m:r>
        <m:r>
          <m:t>D</m:t>
        </m:r>
        <m:sSub>
          <m:e>
            <m:r>
              <m:t>M</m:t>
            </m:r>
          </m:e>
          <m:sub>
            <m:r>
              <m:t>i</m:t>
            </m:r>
            <m:r>
              <m:rPr>
                <m:sty m:val="p"/>
              </m:rPr>
              <m:t>,</m:t>
            </m:r>
            <m:r>
              <m:t>s</m:t>
            </m:r>
          </m:sub>
        </m:sSub>
      </m:oMath>
      <w:r>
        <w:t xml:space="preserve"> </w:t>
      </w:r>
      <w:r>
        <w:t xml:space="preserve">su índice de desperdicio (ecuación 8),</w:t>
      </w:r>
      <w:r>
        <w:t xml:space="preserve"> </w:t>
      </w:r>
      <m:oMath>
        <m:sSub>
          <m:e>
            <m:r>
              <m:t>ρ</m:t>
            </m:r>
          </m:e>
          <m:sub>
            <m:r>
              <m:t>s</m:t>
            </m:r>
          </m:sub>
        </m:sSub>
      </m:oMath>
      <w:r>
        <w:t xml:space="preserve"> </w:t>
      </w:r>
      <w:r>
        <w:t xml:space="preserve">la fracción del costo directo que se pierde en retrabajos y reparaciones, y</w:t>
      </w:r>
      <w:r>
        <w:t xml:space="preserve"> </w:t>
      </w:r>
      <m:oMath>
        <m:r>
          <m:t>C</m:t>
        </m:r>
        <m:sSub>
          <m:e>
            <m:r>
              <m:t>C</m:t>
            </m:r>
          </m:e>
          <m:sub>
            <m:r>
              <m:t>s</m:t>
            </m:r>
          </m:sub>
        </m:sSub>
      </m:oMath>
      <w:r>
        <w:t xml:space="preserve"> </w:t>
      </w:r>
      <w:r>
        <w:t xml:space="preserve">el costo de prevención y evaluación por m</w:t>
      </w:r>
      <w:r>
        <w:rPr>
          <w:vertAlign w:val="superscript"/>
        </w:rPr>
        <w:t xml:space="preserve">2</w:t>
      </w:r>
      <w:r>
        <w:t xml:space="preserve"> </w:t>
      </w:r>
      <w:r>
        <w:t xml:space="preserve">(modelo PAF, ecuación 10). El primer término de la ecuación (18) corresponde al costo de las pérdidas de materiales definido por</w:t>
      </w:r>
      <w:r>
        <w:t xml:space="preserve"> </w:t>
      </w:r>
      <w:r>
        <w:t xml:space="preserve">Rossi et al. (2001)</w:t>
      </w:r>
      <w:r>
        <w:t xml:space="preserve">: diferencia entre el consumo real y el teórico multiplicada por el costo unitario.</w:t>
      </w:r>
    </w:p>
    <w:p>
      <w:pPr>
        <w:pStyle w:val="BodyText"/>
      </w:pPr>
      <w:r>
        <w:rPr>
          <w:bCs/>
          <w:b/>
        </w:rPr>
        <w:t xml:space="preserve">Efecto del SGC.</w:t>
      </w:r>
      <w:r>
        <w:t xml:space="preserve"> </w:t>
      </w:r>
      <w:r>
        <w:t xml:space="preserve">El tratamiento actúa reduciendo las pérdidas y los retrabajos en una proporción</w:t>
      </w:r>
      <w:r>
        <w:t xml:space="preserve"> </w:t>
      </w:r>
      <m:oMath>
        <m:r>
          <m:t>e</m:t>
        </m:r>
      </m:oMath>
      <w:r>
        <w:t xml:space="preserve"> </w:t>
      </w:r>
      <w:r>
        <w:t xml:space="preserve">(eficacia), y añade su propio costo de la calidad:</w:t>
      </w:r>
    </w:p>
    <w:tbl>
      <w:tblPr>
        <w:tblW w:w="9360" w:type="dxa"/>
        <w:tblLayout w:type="fixed"/>
        <w:tblCellMar>
          <w:left w:w="0" w:type="dxa"/>
          <w:right w:w="0" w:type="dxa"/>
        </w:tblCellMar>
        <w:tblLook w:val="0000" w:firstRow="0" w:lastRow="0" w:firstColumn="0" w:lastColumn="0" w:noHBand="1" w:noVBand="1"/>
        <w:tblCaption w:val="Ecuación"/>
      </w:tblPr>
      <w:tblGrid>
        <w:gridCol w:w="1134"/>
        <w:gridCol w:w="7092"/>
        <w:gridCol w:w="1134"/>
      </w:tblGrid>
      <w:tr>
        <w:trPr>
          <w:cantSplit/>
        </w:trPr>
        <w:tc>
          <w:tcPr>
            <w:tcW w:w="1134" w:type="dxa"/>
            <w:vAlign w:val="center"/>
          </w:tcPr>
          <w:p>
            <w:pPr>
              <w:pStyle w:val="EcuacionAPA"/>
            </w:pPr>
          </w:p>
        </w:tc>
        <w:tc>
          <w:tcPr>
            <w:tcW w:w="7092" w:type="dxa"/>
            <w:vAlign w:val="center"/>
          </w:tcPr>
          <w:p>
            <w:pPr>
              <w:pStyle w:val="EcuacionAPA"/>
            </w:pPr>
            <m:oMathPara>
              <m:oMathParaPr>
                <m:jc m:val="center"/>
              </m:oMathParaPr>
              <m:oMath>
                <m:r>
                  <m:t>I</m:t>
                </m:r>
                <m:r>
                  <m:t>D</m:t>
                </m:r>
                <m:sSub>
                  <m:e>
                    <m:r>
                      <m:t>M</m:t>
                    </m:r>
                  </m:e>
                  <m:sub>
                    <m:r>
                      <m:t>i</m:t>
                    </m:r>
                    <m:r>
                      <m:rPr>
                        <m:sty m:val="p"/>
                      </m:rPr>
                      <m:t>,</m:t>
                    </m:r>
                    <m:r>
                      <m:rPr>
                        <m:nor/>
                        <m:sty m:val="p"/>
                      </m:rPr>
                      <m:t>con</m:t>
                    </m:r>
                  </m:sub>
                </m:sSub>
                <m:r>
                  <m:rPr>
                    <m:sty m:val="p"/>
                  </m:rPr>
                  <m:t>=</m:t>
                </m:r>
                <m:r>
                  <m:t>I</m:t>
                </m:r>
                <m:r>
                  <m:t>D</m:t>
                </m:r>
                <m:sSub>
                  <m:e>
                    <m:r>
                      <m:t>M</m:t>
                    </m:r>
                  </m:e>
                  <m:sub>
                    <m:r>
                      <m:t>i</m:t>
                    </m:r>
                    <m:r>
                      <m:rPr>
                        <m:sty m:val="p"/>
                      </m:rPr>
                      <m:t>,</m:t>
                    </m:r>
                    <m:r>
                      <m:rPr>
                        <m:nor/>
                        <m:sty m:val="p"/>
                      </m:rPr>
                      <m:t>sin</m:t>
                    </m:r>
                  </m:sub>
                </m:sSub>
                <m:r>
                  <m:t> </m:t>
                </m:r>
                <m:d>
                  <m:dPr>
                    <m:begChr m:val="("/>
                    <m:endChr m:val=")"/>
                    <m:sepChr m:val=""/>
                    <m:grow/>
                  </m:dPr>
                  <m:e>
                    <m:r>
                      <m:t>1</m:t>
                    </m:r>
                    <m:r>
                      <m:rPr>
                        <m:sty m:val="p"/>
                      </m:rPr>
                      <m:t>−</m:t>
                    </m:r>
                    <m:sSub>
                      <m:e>
                        <m:r>
                          <m:t>e</m:t>
                        </m:r>
                      </m:e>
                      <m:sub>
                        <m:r>
                          <m:t>i</m:t>
                        </m:r>
                      </m:sub>
                    </m:sSub>
                  </m:e>
                </m:d>
                <m:r>
                  <m:rPr>
                    <m:sty m:val="p"/>
                  </m:rPr>
                  <m:t>,</m:t>
                </m:r>
                <m:r>
                  <m:t>  </m:t>
                </m:r>
                <m:sSub>
                  <m:e>
                    <m:r>
                      <m:t>ρ</m:t>
                    </m:r>
                  </m:e>
                  <m:sub>
                    <m:r>
                      <m:rPr>
                        <m:nor/>
                        <m:sty m:val="p"/>
                      </m:rPr>
                      <m:t>con</m:t>
                    </m:r>
                  </m:sub>
                </m:sSub>
                <m:r>
                  <m:rPr>
                    <m:sty m:val="p"/>
                  </m:rPr>
                  <m:t>=</m:t>
                </m:r>
                <m:sSub>
                  <m:e>
                    <m:r>
                      <m:t>ρ</m:t>
                    </m:r>
                  </m:e>
                  <m:sub>
                    <m:r>
                      <m:rPr>
                        <m:nor/>
                        <m:sty m:val="p"/>
                      </m:rPr>
                      <m:t>sin</m:t>
                    </m:r>
                  </m:sub>
                </m:sSub>
                <m:r>
                  <m:t> </m:t>
                </m:r>
                <m:d>
                  <m:dPr>
                    <m:begChr m:val="("/>
                    <m:endChr m:val=")"/>
                    <m:sepChr m:val=""/>
                    <m:grow/>
                  </m:dPr>
                  <m:e>
                    <m:r>
                      <m:t>1</m:t>
                    </m:r>
                    <m:r>
                      <m:rPr>
                        <m:sty m:val="p"/>
                      </m:rPr>
                      <m:t>−</m:t>
                    </m:r>
                    <m:sSub>
                      <m:e>
                        <m:r>
                          <m:t>e</m:t>
                        </m:r>
                      </m:e>
                      <m:sub>
                        <m:r>
                          <m:t>R</m:t>
                        </m:r>
                      </m:sub>
                    </m:sSub>
                  </m:e>
                </m:d>
                <m:r>
                  <m:rPr>
                    <m:sty m:val="p"/>
                  </m:rPr>
                  <m:t>,</m:t>
                </m:r>
                <m:r>
                  <m:t>  </m:t>
                </m:r>
                <m:r>
                  <m:t>C</m:t>
                </m:r>
                <m:sSub>
                  <m:e>
                    <m:r>
                      <m:t>C</m:t>
                    </m:r>
                  </m:e>
                  <m:sub>
                    <m:r>
                      <m:rPr>
                        <m:nor/>
                        <m:sty m:val="p"/>
                      </m:rPr>
                      <m:t>con</m:t>
                    </m:r>
                  </m:sub>
                </m:sSub>
                <m:r>
                  <m:rPr>
                    <m:sty m:val="p"/>
                  </m:rPr>
                  <m:t>=</m:t>
                </m:r>
                <m:f>
                  <m:fPr>
                    <m:type m:val="bar"/>
                  </m:fPr>
                  <m:num>
                    <m:sSub>
                      <m:e>
                        <m:r>
                          <m:t>C</m:t>
                        </m:r>
                      </m:e>
                      <m:sub>
                        <m:r>
                          <m:t>P</m:t>
                        </m:r>
                      </m:sub>
                    </m:sSub>
                    <m:r>
                      <m:rPr>
                        <m:sty m:val="p"/>
                      </m:rPr>
                      <m:t>+</m:t>
                    </m:r>
                    <m:sSub>
                      <m:e>
                        <m:r>
                          <m:t>C</m:t>
                        </m:r>
                      </m:e>
                      <m:sub>
                        <m:r>
                          <m:t>E</m:t>
                        </m:r>
                      </m:sub>
                    </m:sSub>
                  </m:num>
                  <m:den>
                    <m:sSub>
                      <m:e>
                        <m:r>
                          <m:t>A</m:t>
                        </m:r>
                      </m:e>
                      <m:sub>
                        <m:r>
                          <m:t>s</m:t>
                        </m:r>
                        <m:r>
                          <m:t>a</m:t>
                        </m:r>
                        <m:r>
                          <m:t>l</m:t>
                        </m:r>
                        <m:r>
                          <m:t>d</m:t>
                        </m:r>
                        <m:r>
                          <m:t>o</m:t>
                        </m:r>
                      </m:sub>
                    </m:sSub>
                  </m:den>
                </m:f>
              </m:oMath>
            </m:oMathPara>
          </w:p>
        </w:tc>
        <w:tc>
          <w:tcPr>
            <w:tcW w:w="1134" w:type="dxa"/>
            <w:vAlign w:val="center"/>
          </w:tcPr>
          <w:p>
            <w:pPr>
              <w:pStyle w:val="EcuacionAPA"/>
              <w:jc w:val="right"/>
            </w:pPr>
            <w:r>
              <w:t>(19)</w:t>
            </w:r>
          </w:p>
        </w:tc>
      </w:tr>
    </w:tbl>
    <w:p>
      <w:pPr>
        <w:pStyle w:val="FirstParagraph"/>
        <w:ind w:firstLine="0"/>
      </w:pPr>
      <w:r>
        <w:t xml:space="preserve"/>
      </w:r>
      <w:r>
        <w:t xml:space="preserve"/>
      </w:r>
      <w:r>
        <w:t xml:space="preserve">donde</w:t>
      </w:r>
      <w:r>
        <w:t xml:space="preserve"> </w:t>
      </w:r>
      <m:oMath>
        <m:sSub>
          <m:e>
            <m:r>
              <m:t>e</m:t>
            </m:r>
          </m:e>
          <m:sub>
            <m:r>
              <m:t>i</m:t>
            </m:r>
          </m:sub>
        </m:sSub>
      </m:oMath>
      <w:r>
        <w:t xml:space="preserve"> </w:t>
      </w:r>
      <w:r>
        <w:t xml:space="preserve">y</w:t>
      </w:r>
      <w:r>
        <w:t xml:space="preserve"> </w:t>
      </w:r>
      <m:oMath>
        <m:sSub>
          <m:e>
            <m:r>
              <m:t>e</m:t>
            </m:r>
          </m:e>
          <m:sub>
            <m:r>
              <m:t>R</m:t>
            </m:r>
          </m:sub>
        </m:sSub>
      </m:oMath>
      <w:r>
        <w:t xml:space="preserve"> </w:t>
      </w:r>
      <w:r>
        <w:t xml:space="preserve">son las eficacias del SGC sobre el desperdicio del material</w:t>
      </w:r>
      <w:r>
        <w:t xml:space="preserve"> </w:t>
      </w:r>
      <m:oMath>
        <m:r>
          <m:t>i</m:t>
        </m:r>
      </m:oMath>
      <w:r>
        <w:t xml:space="preserve"> </w:t>
      </w:r>
      <w:r>
        <w:t xml:space="preserve">y sobre los retrabajos,</w:t>
      </w:r>
      <w:r>
        <w:t xml:space="preserve"> </w:t>
      </w:r>
      <m:oMath>
        <m:sSub>
          <m:e>
            <m:r>
              <m:t>C</m:t>
            </m:r>
          </m:e>
          <m:sub>
            <m:r>
              <m:t>P</m:t>
            </m:r>
          </m:sub>
        </m:sSub>
      </m:oMath>
      <w:r>
        <w:t xml:space="preserve"> </w:t>
      </w:r>
      <w:r>
        <w:t xml:space="preserve">y</w:t>
      </w:r>
      <w:r>
        <w:t xml:space="preserve"> </w:t>
      </w:r>
      <m:oMath>
        <m:sSub>
          <m:e>
            <m:r>
              <m:t>C</m:t>
            </m:r>
          </m:e>
          <m:sub>
            <m:r>
              <m:t>E</m:t>
            </m:r>
          </m:sub>
        </m:sSub>
      </m:oMath>
      <w:r>
        <w:t xml:space="preserve"> </w:t>
      </w:r>
      <w:r>
        <w:t xml:space="preserve">los costos totales de prevención y de evaluación del sistema y</w:t>
      </w:r>
      <w:r>
        <w:t xml:space="preserve"> </w:t>
      </w:r>
      <m:oMath>
        <m:sSub>
          <m:e>
            <m:r>
              <m:t>A</m:t>
            </m:r>
          </m:e>
          <m:sub>
            <m:r>
              <m:t>s</m:t>
            </m:r>
            <m:r>
              <m:t>a</m:t>
            </m:r>
            <m:r>
              <m:t>l</m:t>
            </m:r>
            <m:r>
              <m:t>d</m:t>
            </m:r>
            <m:r>
              <m:t>o</m:t>
            </m:r>
          </m:sub>
        </m:sSub>
        <m:r>
          <m:rPr>
            <m:sty m:val="p"/>
          </m:rPr>
          <m:t>=</m:t>
        </m:r>
        <m:r>
          <m:t>2.234</m:t>
        </m:r>
        <m:r>
          <m:rPr>
            <m:sty m:val="p"/>
          </m:rPr>
          <m:t>,</m:t>
        </m:r>
        <m:r>
          <m:t>60</m:t>
        </m:r>
      </m:oMath>
      <w:r>
        <w:t xml:space="preserve"> m</w:t>
      </w:r>
      <w:r>
        <w:rPr>
          <w:vertAlign w:val="superscript"/>
        </w:rPr>
        <w:t xml:space="preserve">2</w:t>
      </w:r>
      <w:r>
        <w:t xml:space="preserve">. La reducción relativa del costo unitario es:</w:t>
      </w:r>
    </w:p>
    <w:tbl>
      <w:tblPr>
        <w:tblW w:w="9360" w:type="dxa"/>
        <w:tblLayout w:type="fixed"/>
        <w:tblCellMar>
          <w:left w:w="0" w:type="dxa"/>
          <w:right w:w="0" w:type="dxa"/>
        </w:tblCellMar>
        <w:tblLook w:val="0000" w:firstRow="0" w:lastRow="0" w:firstColumn="0" w:lastColumn="0" w:noHBand="1" w:noVBand="1"/>
        <w:tblCaption w:val="Ecuación"/>
      </w:tblPr>
      <w:tblGrid>
        <w:gridCol w:w="1134"/>
        <w:gridCol w:w="7092"/>
        <w:gridCol w:w="1134"/>
      </w:tblGrid>
      <w:tr>
        <w:trPr>
          <w:cantSplit/>
        </w:trPr>
        <w:tc>
          <w:tcPr>
            <w:tcW w:w="1134" w:type="dxa"/>
            <w:vAlign w:val="center"/>
          </w:tcPr>
          <w:p>
            <w:pPr>
              <w:pStyle w:val="EcuacionAPA"/>
            </w:pPr>
          </w:p>
        </w:tc>
        <w:tc>
          <w:tcPr>
            <w:tcW w:w="7092" w:type="dxa"/>
            <w:vAlign w:val="center"/>
          </w:tcPr>
          <w:p>
            <w:pPr>
              <w:pStyle w:val="EcuacionAPA"/>
            </w:pPr>
            <m:oMathPara>
              <m:oMathParaPr>
                <m:jc m:val="center"/>
              </m:oMathParaPr>
              <m:oMath>
                <m:r>
                  <m:t>r</m:t>
                </m:r>
                <m:r>
                  <m:rPr>
                    <m:sty m:val="p"/>
                  </m:rPr>
                  <m:t>=</m:t>
                </m:r>
                <m:f>
                  <m:fPr>
                    <m:type m:val="bar"/>
                  </m:fPr>
                  <m:num>
                    <m:r>
                      <m:t>C</m:t>
                    </m:r>
                    <m:sSub>
                      <m:e>
                        <m:r>
                          <m:t>U</m:t>
                        </m:r>
                      </m:e>
                      <m:sub>
                        <m:r>
                          <m:rPr>
                            <m:nor/>
                            <m:sty m:val="p"/>
                          </m:rPr>
                          <m:t>sin</m:t>
                        </m:r>
                      </m:sub>
                    </m:sSub>
                    <m:r>
                      <m:rPr>
                        <m:sty m:val="p"/>
                      </m:rPr>
                      <m:t>−</m:t>
                    </m:r>
                    <m:r>
                      <m:t>C</m:t>
                    </m:r>
                    <m:sSub>
                      <m:e>
                        <m:r>
                          <m:t>U</m:t>
                        </m:r>
                      </m:e>
                      <m:sub>
                        <m:r>
                          <m:rPr>
                            <m:nor/>
                            <m:sty m:val="p"/>
                          </m:rPr>
                          <m:t>con</m:t>
                        </m:r>
                      </m:sub>
                    </m:sSub>
                  </m:num>
                  <m:den>
                    <m:r>
                      <m:t>C</m:t>
                    </m:r>
                    <m:sSub>
                      <m:e>
                        <m:r>
                          <m:t>U</m:t>
                        </m:r>
                      </m:e>
                      <m:sub>
                        <m:r>
                          <m:rPr>
                            <m:nor/>
                            <m:sty m:val="p"/>
                          </m:rPr>
                          <m:t>sin</m:t>
                        </m:r>
                      </m:sub>
                    </m:sSub>
                  </m:den>
                </m:f>
              </m:oMath>
            </m:oMathPara>
          </w:p>
        </w:tc>
        <w:tc>
          <w:tcPr>
            <w:tcW w:w="1134" w:type="dxa"/>
            <w:vAlign w:val="center"/>
          </w:tcPr>
          <w:p>
            <w:pPr>
              <w:pStyle w:val="EcuacionAPA"/>
              <w:jc w:val="right"/>
            </w:pPr>
            <w:r>
              <w:t>(20)</w:t>
            </w:r>
          </w:p>
        </w:tc>
      </w:tr>
    </w:tbl>
    <w:p>
      <w:pPr>
        <w:pStyle w:val="FirstParagraph"/>
      </w:pPr>
      <w:r>
        <w:rPr>
          <w:bCs/>
          <w:b/>
        </w:rPr>
        <w:t xml:space="preserve">Calibración.</w:t>
      </w:r>
      <w:r>
        <w:t xml:space="preserve"> </w:t>
      </w:r>
      <w:r>
        <w:t xml:space="preserve">El costo directo teórico se calibró para que el costo esperado de la línea base coincida con el precio contractual de la losa, que incluye el ítem 13 (Bs 215,68/m</w:t>
      </w:r>
      <w:r>
        <w:rPr>
          <w:vertAlign w:val="superscript"/>
        </w:rPr>
        <w:t xml:space="preserve">2</w:t>
      </w:r>
      <w:r>
        <w:t xml:space="preserve">) y el acero de la losa medido en el ítem 8 (Bs 62,98/m</w:t>
      </w:r>
      <w:r>
        <w:rPr>
          <w:vertAlign w:val="superscript"/>
        </w:rPr>
        <w:t xml:space="preserve">2</w:t>
      </w:r>
      <w:r>
        <w:t xml:space="preserve">), es decir, Bs 278,65/m</w:t>
      </w:r>
      <w:r>
        <w:rPr>
          <w:vertAlign w:val="superscript"/>
        </w:rPr>
        <w:t xml:space="preserve">2</w:t>
      </w:r>
      <w:r>
        <w:t xml:space="preserve">. Así, el modelo parte del supuesto de que el precio adjudicado refleja el costo de ejecutar la losa con la práctica habitual, incluidos sus desperdicios; con ese supuesto,</w:t>
      </w:r>
      <w:r>
        <w:t xml:space="preserve"> </w:t>
      </w:r>
      <m:oMath>
        <m:r>
          <m:t>C</m:t>
        </m:r>
        <m:sSub>
          <m:e>
            <m:r>
              <m:t>D</m:t>
            </m:r>
          </m:e>
          <m:sub>
            <m:r>
              <m:t>t</m:t>
            </m:r>
            <m:r>
              <m:t>e</m:t>
            </m:r>
            <m:r>
              <m:t>o</m:t>
            </m:r>
          </m:sub>
        </m:sSub>
        <m:r>
          <m:rPr>
            <m:sty m:val="p"/>
          </m:rPr>
          <m:t>=</m:t>
        </m:r>
      </m:oMath>
      <w:r>
        <w:t xml:space="preserve"> Bs 255,78/m</w:t>
      </w:r>
      <w:r>
        <w:rPr>
          <w:vertAlign w:val="superscript"/>
        </w:rPr>
        <w:t xml:space="preserve">2</w:t>
      </w:r>
      <w:r>
        <w:t xml:space="preserve">. Los precios de valoración</w:t>
      </w:r>
      <w:r>
        <w:t xml:space="preserve"> </w:t>
      </w:r>
      <m:oMath>
        <m:sSub>
          <m:e>
            <m:r>
              <m:t>p</m:t>
            </m:r>
          </m:e>
          <m:sub>
            <m:r>
              <m:t>i</m:t>
            </m:r>
          </m:sub>
        </m:sSub>
      </m:oMath>
      <w:r>
        <w:t xml:space="preserve"> </w:t>
      </w:r>
      <w:r>
        <w:t xml:space="preserve">provienen del análisis de precios unitarios de referencia reconstruido en el Anexo I.</w:t>
      </w:r>
    </w:p>
    <w:p>
      <w:pPr>
        <w:pStyle w:val="BodyText"/>
      </w:pPr>
      <w:r>
        <w:rPr>
          <w:bCs/>
          <w:b/>
        </w:rPr>
        <w:t xml:space="preserve">Parámetros inciertos.</w:t>
      </w:r>
      <w:r>
        <w:t xml:space="preserve"> </w:t>
      </w:r>
      <w:r>
        <w:t xml:space="preserve">Los índices de desperdicio de la línea base, las eficacias del SGC, la fracción de retrabajo y los costos del sistema se representaron con distribuciones triangulares (mínimo, moda y máximo). Esta distribución es adecuada cuando solo se conocen el rango plausible y el valor más probable de una variable, como ocurre con los datos documentales de una sola obra y con los rangos que reporta la literatura. Cada parámetro, su distribución y su fuente se detallan en la Sección 2.5.4 y en el Anexo L.</w:t>
      </w:r>
    </w:p>
    <w:p>
      <w:pPr>
        <w:pStyle w:val="BodyText"/>
      </w:pPr>
      <w:r>
        <w:rPr>
          <w:bCs/>
          <w:b/>
        </w:rPr>
        <w:t xml:space="preserve">Simulación.</w:t>
      </w:r>
      <w:r>
        <w:t xml:space="preserve"> </w:t>
      </w:r>
      <w:r>
        <w:t xml:space="preserve">Se generaron 20.000 escenarios independientes con una semilla fija (2026) para que los resultados sean reproducibles. En cada escenario se muestrearon todos los parámetros inciertos y se calcularon</w:t>
      </w:r>
      <w:r>
        <w:t xml:space="preserve"> </w:t>
      </w:r>
      <m:oMath>
        <m:r>
          <m:t>C</m:t>
        </m:r>
        <m:sSub>
          <m:e>
            <m:r>
              <m:t>U</m:t>
            </m:r>
          </m:e>
          <m:sub>
            <m:r>
              <m:rPr>
                <m:nor/>
                <m:sty m:val="p"/>
              </m:rPr>
              <m:t>sin</m:t>
            </m:r>
          </m:sub>
        </m:sSub>
      </m:oMath>
      <w:r>
        <w:t xml:space="preserve">,</w:t>
      </w:r>
      <w:r>
        <w:t xml:space="preserve"> </w:t>
      </w:r>
      <m:oMath>
        <m:r>
          <m:t>C</m:t>
        </m:r>
        <m:sSub>
          <m:e>
            <m:r>
              <m:t>U</m:t>
            </m:r>
          </m:e>
          <m:sub>
            <m:r>
              <m:rPr>
                <m:nor/>
                <m:sty m:val="p"/>
              </m:rPr>
              <m:t>con</m:t>
            </m:r>
          </m:sub>
        </m:sSub>
      </m:oMath>
      <w:r>
        <w:t xml:space="preserve">,</w:t>
      </w:r>
      <w:r>
        <w:t xml:space="preserve"> </w:t>
      </w:r>
      <m:oMath>
        <m:r>
          <m:t>C</m:t>
        </m:r>
        <m:r>
          <m:t>N</m:t>
        </m:r>
        <m:r>
          <m:t>C</m:t>
        </m:r>
      </m:oMath>
      <w:r>
        <w:t xml:space="preserve">,</w:t>
      </w:r>
      <w:r>
        <w:t xml:space="preserve"> </w:t>
      </w:r>
      <m:oMath>
        <m:r>
          <m:t>I</m:t>
        </m:r>
        <m:r>
          <m:t>D</m:t>
        </m:r>
        <m:r>
          <m:t>M</m:t>
        </m:r>
      </m:oMath>
      <w:r>
        <w:t xml:space="preserve"> </w:t>
      </w:r>
      <w:r>
        <w:t xml:space="preserve">y</w:t>
      </w:r>
      <w:r>
        <w:t xml:space="preserve"> </w:t>
      </w:r>
      <m:oMath>
        <m:r>
          <m:t>r</m:t>
        </m:r>
      </m:oMath>
      <w:r>
        <w:t xml:space="preserve"> </w:t>
      </w:r>
      <w:r>
        <w:t xml:space="preserve">con las ecuaciones (17) a (20). El cálculo se programó en Python con las bibliotecas NumPy y SciPy; el código y los parámetros se presentan en el Anexo L y en la carpeta</w:t>
      </w:r>
      <w:r>
        <w:t xml:space="preserve"> </w:t>
      </w:r>
      <w:r>
        <w:rPr>
          <w:rStyle w:val="VerbatimChar"/>
        </w:rPr>
        <w:t xml:space="preserve">06_Modelo_de_Costos_y_Simulacion</w:t>
      </w:r>
      <w:r>
        <w:t xml:space="preserve"> </w:t>
      </w:r>
      <w:r>
        <w:t xml:space="preserve">del repositorio de la tesis.</w:t>
      </w:r>
    </w:p>
    <w:p>
      <w:pPr>
        <w:pStyle w:val="BodyText"/>
      </w:pPr>
      <w:r>
        <w:rPr>
          <w:bCs/>
          <w:b/>
        </w:rPr>
        <w:t xml:space="preserve">Escenario de SGC no aplicado.</w:t>
      </w:r>
      <w:r>
        <w:t xml:space="preserve"> </w:t>
      </w:r>
      <w:r>
        <w:t xml:space="preserve">Romero y Serpell (2007)</w:t>
      </w:r>
      <w:r>
        <w:t xml:space="preserve"> </w:t>
      </w:r>
      <w:r>
        <w:t xml:space="preserve">advierten que la certificación no garantiza que los principios de la gestión de la calidad se cumplan en la obra. Para representar ese riesgo, se simuló un escenario adicional en el que, con una probabilidad del 15 %, el SGC se paga pero no se aplica en obra (eficacia nula).</w:t>
      </w:r>
    </w:p>
    <w:p>
      <w:pPr>
        <w:pStyle w:val="Heading2"/>
      </w:pPr>
      <w:bookmarkStart w:id="188" w:name="tit134"/>
      <w:r>
        <w:t xml:space="preserve">2.8. Validación de las observaciones, del modelo y de los instrumentos</w:t>
      </w:r>
      <w:bookmarkEnd w:id="188"/>
    </w:p>
    <w:p>
      <w:pPr>
        <w:pStyle w:val="FirstParagraph"/>
      </w:pPr>
      <w:r>
        <w:rPr>
          <w:bCs/>
          <w:b/>
        </w:rPr>
        <w:t xml:space="preserve">Validación de los datos documentales.</w:t>
      </w:r>
      <w:r>
        <w:t xml:space="preserve"> </w:t>
      </w:r>
      <w:r>
        <w:t xml:space="preserve">Los datos de la línea base se validaron por triangulación: cada cantidad se contrastó en al menos dos fuentes independientes (plano, cómputo métrico, planilla de avance, certificado del proveedor o Libro de Órdenes). Las coincidencias confirmaron el dato y las diferencias se registraron como hallazgos del diagnóstico (Sección 2.5.2).</w:t>
      </w:r>
    </w:p>
    <w:p>
      <w:pPr>
        <w:pStyle w:val="BodyText"/>
      </w:pPr>
      <w:r>
        <w:rPr>
          <w:bCs/>
          <w:b/>
        </w:rPr>
        <w:t xml:space="preserve">Verificación del modelo.</w:t>
      </w:r>
      <w:r>
        <w:t xml:space="preserve"> </w:t>
      </w:r>
      <w:r>
        <w:t xml:space="preserve">Se comprobó que el modelo reproduce, con los valores más probables de los parámetros, el cálculo manual del caso determinista (Tabla </w:t>
      </w:r>
      <w:r>
        <w:rPr>
          <w:rStyle w:val="Pendiente"/>
          <w:bCs/>
          <w:b/>
        </w:rPr>
        <w:t xml:space="preserve">??</w:t>
      </w:r>
      <w:r>
        <w:t xml:space="preserve">), que todas las magnitudes tienen unidades coherentes (Bs/m</w:t>
      </w:r>
      <w:r>
        <w:rPr>
          <w:vertAlign w:val="superscript"/>
        </w:rPr>
        <w:t xml:space="preserve">2</w:t>
      </w:r>
      <w:r>
        <w:t xml:space="preserve">) y que el costo esperado de la línea base coincide con el precio contractual usado en la calibración.</w:t>
      </w:r>
    </w:p>
    <w:p>
      <w:pPr>
        <w:pStyle w:val="BodyText"/>
      </w:pPr>
      <w:r>
        <w:rPr>
          <w:bCs/>
          <w:b/>
        </w:rPr>
        <w:t xml:space="preserve">Convergencia.</w:t>
      </w:r>
      <w:r>
        <w:t xml:space="preserve"> </w:t>
      </w:r>
      <w:r>
        <w:t xml:space="preserve">La estabilidad de la simulación se verificó con la media acumulada de</w:t>
      </w:r>
      <w:r>
        <w:t xml:space="preserve"> </w:t>
      </w:r>
      <m:oMath>
        <m:r>
          <m:t>r</m:t>
        </m:r>
      </m:oMath>
      <w:r>
        <w:t xml:space="preserve"> </w:t>
      </w:r>
      <w:r>
        <w:t xml:space="preserve">y con su error estándar, que al final de las 20.000 iteraciones fue de 0,0070 %, valor despreciable frente al umbral de la hipótesis.</w:t>
      </w:r>
    </w:p>
    <w:p>
      <w:pPr>
        <w:pStyle w:val="BodyText"/>
      </w:pPr>
      <w:r>
        <w:rPr>
          <w:bCs/>
          <w:b/>
        </w:rPr>
        <w:t xml:space="preserve">Sensibilidad.</w:t>
      </w:r>
      <w:r>
        <w:t xml:space="preserve"> </w:t>
      </w:r>
      <w:r>
        <w:t xml:space="preserve">Se identificaron los parámetros que más influyen en el resultado con dos técnicas: la variación de un factor a la vez entre su mínimo y su máximo (diagrama de tornado) y la correlación de rangos de Spearman entre cada parámetro muestreado y</w:t>
      </w:r>
      <w:r>
        <w:t xml:space="preserve"> </w:t>
      </w:r>
      <m:oMath>
        <m:r>
          <m:t>r</m:t>
        </m:r>
      </m:oMath>
      <w:r>
        <w:t xml:space="preserve">.</w:t>
      </w:r>
    </w:p>
    <w:p>
      <w:pPr>
        <w:pStyle w:val="BodyText"/>
      </w:pPr>
      <w:r>
        <w:rPr>
          <w:bCs/>
          <w:b/>
        </w:rPr>
        <w:t xml:space="preserve">Validación de los instrumentos y del SGC por juicio de expertos.</w:t>
      </w:r>
      <w:r>
        <w:t xml:space="preserve"> </w:t>
      </w:r>
      <w:r>
        <w:t xml:space="preserve">La validez de contenido de los instrumentos (Anexo C) y del SGC se evaluará con el juicio de al menos tres expertos, ingenieros civiles con experiencia en supervisión, control de calidad del hormigón o gestión de la calidad. Cada experto calificará los criterios de pertinencia, claridad, suficiencia y aplicabilidad con una escala de 1 a 4 en el formato C.8, y se calculará para cada ítem el coeficiente V de Aiken:</w:t>
      </w:r>
    </w:p>
    <w:tbl>
      <w:tblPr>
        <w:tblW w:w="9360" w:type="dxa"/>
        <w:tblLayout w:type="fixed"/>
        <w:tblCellMar>
          <w:left w:w="0" w:type="dxa"/>
          <w:right w:w="0" w:type="dxa"/>
        </w:tblCellMar>
        <w:tblLook w:val="0000" w:firstRow="0" w:lastRow="0" w:firstColumn="0" w:lastColumn="0" w:noHBand="1" w:noVBand="1"/>
        <w:tblCaption w:val="Ecuación"/>
      </w:tblPr>
      <w:tblGrid>
        <w:gridCol w:w="1134"/>
        <w:gridCol w:w="7092"/>
        <w:gridCol w:w="1134"/>
      </w:tblGrid>
      <w:tr>
        <w:trPr>
          <w:cantSplit/>
        </w:trPr>
        <w:tc>
          <w:tcPr>
            <w:tcW w:w="1134" w:type="dxa"/>
            <w:vAlign w:val="center"/>
          </w:tcPr>
          <w:p>
            <w:pPr>
              <w:pStyle w:val="EcuacionAPA"/>
            </w:pPr>
          </w:p>
        </w:tc>
        <w:tc>
          <w:tcPr>
            <w:tcW w:w="7092" w:type="dxa"/>
            <w:vAlign w:val="center"/>
          </w:tcPr>
          <w:p>
            <w:pPr>
              <w:pStyle w:val="EcuacionAPA"/>
            </w:pPr>
            <m:oMathPara>
              <m:oMathParaPr>
                <m:jc m:val="center"/>
              </m:oMathParaPr>
              <m:oMath>
                <m:r>
                  <m:t>V</m:t>
                </m:r>
                <m:r>
                  <m:rPr>
                    <m:sty m:val="p"/>
                  </m:rPr>
                  <m:t>=</m:t>
                </m:r>
                <m:f>
                  <m:fPr>
                    <m:type m:val="bar"/>
                  </m:fPr>
                  <m:num>
                    <m:r>
                      <m:t>S</m:t>
                    </m:r>
                  </m:num>
                  <m:den>
                    <m:r>
                      <m:t>n</m:t>
                    </m:r>
                    <m:r>
                      <m:t> </m:t>
                    </m:r>
                    <m:d>
                      <m:dPr>
                        <m:begChr m:val="("/>
                        <m:endChr m:val=")"/>
                        <m:sepChr m:val=""/>
                        <m:grow/>
                      </m:dPr>
                      <m:e>
                        <m:r>
                          <m:t>c</m:t>
                        </m:r>
                        <m:r>
                          <m:rPr>
                            <m:sty m:val="p"/>
                          </m:rPr>
                          <m:t>−</m:t>
                        </m:r>
                        <m:r>
                          <m:t>1</m:t>
                        </m:r>
                      </m:e>
                    </m:d>
                  </m:den>
                </m:f>
              </m:oMath>
            </m:oMathPara>
          </w:p>
        </w:tc>
        <w:tc>
          <w:tcPr>
            <w:tcW w:w="1134" w:type="dxa"/>
            <w:vAlign w:val="center"/>
          </w:tcPr>
          <w:p>
            <w:pPr>
              <w:pStyle w:val="EcuacionAPA"/>
              <w:jc w:val="right"/>
            </w:pPr>
            <w:r>
              <w:t>(21)</w:t>
            </w:r>
          </w:p>
        </w:tc>
      </w:tr>
    </w:tbl>
    <w:p>
      <w:pPr>
        <w:pStyle w:val="FirstParagraph"/>
        <w:ind w:firstLine="0"/>
      </w:pPr>
      <w:r>
        <w:t xml:space="preserve"/>
      </w:r>
      <w:r>
        <w:t xml:space="preserve"/>
      </w:r>
      <w:r>
        <w:t xml:space="preserve">donde</w:t>
      </w:r>
      <w:r>
        <w:t xml:space="preserve"> </w:t>
      </w:r>
      <m:oMath>
        <m:r>
          <m:t>S</m:t>
        </m:r>
      </m:oMath>
      <w:r>
        <w:t xml:space="preserve"> </w:t>
      </w:r>
      <w:r>
        <w:t xml:space="preserve">es la suma de las puntuaciones de los jueces menos el valor mínimo de la escala,</w:t>
      </w:r>
      <w:r>
        <w:t xml:space="preserve"> </w:t>
      </w:r>
      <m:oMath>
        <m:r>
          <m:t>n</m:t>
        </m:r>
      </m:oMath>
      <w:r>
        <w:t xml:space="preserve"> </w:t>
      </w:r>
      <w:r>
        <w:t xml:space="preserve">el número de jueces y</w:t>
      </w:r>
      <w:r>
        <w:t xml:space="preserve"> </w:t>
      </w:r>
      <m:oMath>
        <m:r>
          <m:t>c</m:t>
        </m:r>
      </m:oMath>
      <w:r>
        <w:t xml:space="preserve"> </w:t>
      </w:r>
      <w:r>
        <w:t xml:space="preserve">el número de categorías. Se aceptarán los ítems con</w:t>
      </w:r>
      <w:r>
        <w:t xml:space="preserve"> </w:t>
      </w:r>
      <m:oMath>
        <m:r>
          <m:t>V</m:t>
        </m:r>
        <m:r>
          <m:rPr>
            <m:sty m:val="p"/>
          </m:rPr>
          <m:t>≥</m:t>
        </m:r>
        <m:r>
          <m:t>0</m:t>
        </m:r>
        <m:r>
          <m:rPr>
            <m:sty m:val="p"/>
          </m:rPr>
          <m:t>,</m:t>
        </m:r>
        <m:r>
          <m:t>70</m:t>
        </m:r>
      </m:oMath>
      <w:r>
        <w:t xml:space="preserve">; los que no alcancen ese valor se corregirán con las observaciones de los expertos.</w:t>
      </w:r>
      <w:r>
        <w:t xml:space="preserve"> </w:t>
      </w:r>
      <w:r>
        <w:rPr>
          <w:rStyle w:val="Pendiente"/>
          <w:bCs/>
          <w:b/>
        </w:rPr>
        <w:t xml:space="preserve">[Pendiente:</w:t>
      </w:r>
      <w:r>
        <w:rPr>
          <w:rStyle w:val="Pendiente"/>
        </w:rPr>
        <w:t xml:space="preserve"> </w:t>
      </w:r>
      <w:r>
        <w:rPr>
          <w:rStyle w:val="Pendiente"/>
        </w:rPr>
        <w:t xml:space="preserve">aplicar el formato C.8 a los expertos, calcular V y registrar los resultados en el Anexo D y en la Sección </w:t>
      </w:r>
      <w:r>
        <w:rPr>
          <w:rStyle w:val="Pendiente"/>
          <w:bCs/>
          <w:b/>
        </w:rPr>
        <w:t xml:space="preserve">??</w:t>
      </w:r>
      <w:r>
        <w:rPr>
          <w:rStyle w:val="Pendiente"/>
        </w:rPr>
        <w:t xml:space="preserve">.</w:t>
      </w:r>
      <w:r>
        <w:rPr>
          <w:rStyle w:val="Pendiente"/>
          <w:bCs/>
          <w:b/>
        </w:rPr>
        <w:t xml:space="preserve">]</w:t>
      </w:r>
    </w:p>
    <w:p>
      <w:pPr>
        <w:pStyle w:val="Heading2"/>
      </w:pPr>
      <w:bookmarkStart w:id="190" w:name="tit135"/>
      <w:r>
        <w:t xml:space="preserve">2.9. Plan de análisis y contraste de hipótesis</w:t>
      </w:r>
      <w:bookmarkEnd w:id="190"/>
    </w:p>
    <w:p>
      <w:pPr>
        <w:pStyle w:val="FirstParagraph"/>
      </w:pPr>
      <w:r>
        <w:t xml:space="preserve">Como la posprueba es simulada, el contraste de hipótesis se planteó en términos de probabilidad, de manera coherente con el nivel de significancia</w:t>
      </w:r>
      <w:r>
        <w:t xml:space="preserve"> </w:t>
      </w:r>
      <m:oMath>
        <m:r>
          <m:t>α</m:t>
        </m:r>
        <m:r>
          <m:rPr>
            <m:sty m:val="p"/>
          </m:rPr>
          <m:t>=</m:t>
        </m:r>
        <m:r>
          <m:t>0</m:t>
        </m:r>
        <m:r>
          <m:rPr>
            <m:sty m:val="p"/>
          </m:rPr>
          <m:t>,</m:t>
        </m:r>
        <m:r>
          <m:t>05</m:t>
        </m:r>
      </m:oMath>
      <w:r>
        <w:t xml:space="preserve"> </w:t>
      </w:r>
      <w:r>
        <w:t xml:space="preserve">fijado en el diseño de la investigación. Para cada hipótesis se calculó, sobre los 20.000 escenarios, la proporción en que se cumple la condición de la hipótesis alterna, y se aplicaron las reglas de decisión de la Tabla 45.</w:t>
      </w:r>
    </w:p>
    <w:p>
      <w:pPr>
        <w:pStyle w:val="Caption"/>
      </w:pPr>
      <w:bookmarkStart w:id="1449" w:name="tab45"/>
      <w:r>
        <w:t xml:space="preserve"/>
      </w:r>
      <w:r>
        <w:rPr>
          <w:bCs/>
          <w:b/>
        </w:rPr>
        <w:t xml:space="preserve">Tabla 45</w:t>
      </w:r>
      <w:r>
        <w:br/>
      </w:r>
      <w:r>
        <w:rPr>
          <w:iCs/>
          <w:i/>
        </w:rPr>
        <w:t xml:space="preserve">Reglas de decisión para el contraste de hipótesis</w:t>
      </w:r>
      <w:bookmarkEnd w:id="1449"/>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1576"/>
        <w:gridCol w:w="3892"/>
        <w:gridCol w:w="3892"/>
      </w:tblGrid>
      <w:tr>
        <w:trPr>
          <w:cantSplit/>
          <w:tblHeader w:val="true"/>
        </w:trPr>
        <w:tc>
          <w:tcPr>
            <w:tcW w:w="1576" w:type="dxa"/>
            <w:tcBorders>
              <w:top w:val="single" w:sz="8" w:space="0" w:color="000000"/>
              <w:bottom w:val="single" w:sz="4" w:space="0" w:color="000000"/>
            </w:tcBorders>
          </w:tcPr>
          <w:p>
            <w:pPr>
              <w:pStyle w:val="CeldaAPA"/>
              <w:jc w:val="center"/>
            </w:pPr>
            <w:r>
              <w:rPr>
                <w:bCs/>
                <w:b/>
              </w:rPr>
              <w:t xml:space="preserve">Hipótesis</w:t>
            </w:r>
          </w:p>
        </w:tc>
        <w:tc>
          <w:tcPr>
            <w:tcW w:w="3892" w:type="dxa"/>
            <w:tcBorders>
              <w:top w:val="single" w:sz="8" w:space="0" w:color="000000"/>
              <w:bottom w:val="single" w:sz="4" w:space="0" w:color="000000"/>
            </w:tcBorders>
          </w:tcPr>
          <w:p>
            <w:pPr>
              <w:pStyle w:val="CeldaAPA"/>
              <w:jc w:val="center"/>
            </w:pPr>
            <w:r>
              <w:rPr>
                <w:bCs/>
                <w:b/>
              </w:rPr>
              <w:t xml:space="preserve">Hipótesis nula (</w:t>
            </w:r>
            <m:oMath>
              <m:sSub>
                <m:e>
                  <m:r>
                    <m:t>H</m:t>
                  </m:r>
                </m:e>
                <m:sub>
                  <m:r>
                    <m:t>0</m:t>
                  </m:r>
                </m:sub>
              </m:sSub>
            </m:oMath>
            <w:r>
              <w:rPr>
                <w:bCs/>
                <w:b/>
              </w:rPr>
              <w:t xml:space="preserve">) y alterna (</w:t>
            </w:r>
            <m:oMath>
              <m:sSub>
                <m:e>
                  <m:r>
                    <m:t>H</m:t>
                  </m:r>
                </m:e>
                <m:sub>
                  <m:r>
                    <m:t>1</m:t>
                  </m:r>
                </m:sub>
              </m:sSub>
            </m:oMath>
            <w:r>
              <w:rPr>
                <w:bCs/>
                <w:b/>
              </w:rPr>
              <w:t xml:space="preserve">)</w:t>
            </w:r>
          </w:p>
        </w:tc>
        <w:tc>
          <w:tcPr>
            <w:tcW w:w="3892" w:type="dxa"/>
            <w:tcBorders>
              <w:top w:val="single" w:sz="8" w:space="0" w:color="000000"/>
              <w:bottom w:val="single" w:sz="4" w:space="0" w:color="000000"/>
            </w:tcBorders>
          </w:tcPr>
          <w:p>
            <w:pPr>
              <w:pStyle w:val="CeldaAPA"/>
              <w:jc w:val="center"/>
            </w:pPr>
            <w:r>
              <w:rPr>
                <w:bCs/>
                <w:b/>
              </w:rPr>
              <w:t xml:space="preserve">Regla de decisión</w:t>
            </w:r>
          </w:p>
        </w:tc>
      </w:tr>
      <w:tr>
        <w:tc>
          <w:tcPr>
            <w:tcW w:w="1576" w:type="dxa"/>
          </w:tcPr>
          <w:p>
            <w:pPr>
              <w:pStyle w:val="CeldaAPA"/>
              <w:jc w:val="left"/>
            </w:pPr>
            <w:r>
              <w:rPr/>
              <w:t xml:space="preserve">General (HG)</w:t>
            </w:r>
          </w:p>
        </w:tc>
        <w:tc>
          <w:tcPr>
            <w:tcW w:w="3892" w:type="dxa"/>
          </w:tcPr>
          <w:p>
            <w:pPr>
              <w:pStyle w:val="CeldaAPA"/>
              <w:jc w:val="left"/>
            </w:pPr>
            <m:oMath>
              <m:sSub>
                <m:e>
                  <m:r>
                    <m:t>H</m:t>
                  </m:r>
                </m:e>
                <m:sub>
                  <m:r>
                    <m:t>0</m:t>
                  </m:r>
                </m:sub>
              </m:sSub>
            </m:oMath>
            <w:r>
              <w:rPr/>
              <w:t xml:space="preserve">: el SGC no reduce el costo unitario o lo reduce en menos del 5 %.</w:t>
            </w:r>
            <w:r>
              <w:rPr/>
              <w:t xml:space="preserve"> </w:t>
            </w:r>
            <m:oMath>
              <m:sSub>
                <m:e>
                  <m:r>
                    <m:t>H</m:t>
                  </m:r>
                </m:e>
                <m:sub>
                  <m:r>
                    <m:t>1</m:t>
                  </m:r>
                </m:sub>
              </m:sSub>
            </m:oMath>
            <w:r>
              <w:rPr/>
              <w:t xml:space="preserve">:</w:t>
            </w:r>
            <w:r>
              <w:rPr/>
              <w:t xml:space="preserve"> </w:t>
            </w:r>
            <m:oMath>
              <m:r>
                <m:t>r</m:t>
              </m:r>
              <m:r>
                <m:rPr>
                  <m:sty m:val="p"/>
                </m:rPr>
                <m:t>≥</m:t>
              </m:r>
              <m:r>
                <m:t>0</m:t>
              </m:r>
              <m:r>
                <m:rPr>
                  <m:sty m:val="p"/>
                </m:rPr>
                <m:t>,</m:t>
              </m:r>
              <m:r>
                <m:t>05</m:t>
              </m:r>
            </m:oMath>
            <w:r>
              <w:rPr/>
              <w:t xml:space="preserve">.</w:t>
            </w:r>
          </w:p>
        </w:tc>
        <w:tc>
          <w:tcPr>
            <w:tcW w:w="3892" w:type="dxa"/>
          </w:tcPr>
          <w:p>
            <w:pPr>
              <w:pStyle w:val="CeldaAPA"/>
              <w:jc w:val="left"/>
            </w:pPr>
            <w:r>
              <w:rPr/>
              <w:t xml:space="preserve">Se acepta</w:t>
            </w:r>
            <w:r>
              <w:rPr/>
              <w:t xml:space="preserve"> </w:t>
            </w:r>
            <m:oMath>
              <m:sSub>
                <m:e>
                  <m:r>
                    <m:t>H</m:t>
                  </m:r>
                </m:e>
                <m:sub>
                  <m:r>
                    <m:t>1</m:t>
                  </m:r>
                </m:sub>
              </m:sSub>
            </m:oMath>
            <w:r>
              <w:rPr/>
              <w:t xml:space="preserve"> </w:t>
            </w:r>
            <w:r>
              <w:rPr/>
              <w:t xml:space="preserve">si</w:t>
            </w:r>
            <w:r>
              <w:rPr/>
              <w:t xml:space="preserve"> </w:t>
            </w:r>
            <m:oMath>
              <m:r>
                <m:t>P</m:t>
              </m:r>
              <m:d>
                <m:dPr>
                  <m:begChr m:val="("/>
                  <m:endChr m:val=")"/>
                  <m:sepChr m:val=""/>
                  <m:grow/>
                </m:dPr>
                <m:e>
                  <m:r>
                    <m:t>r</m:t>
                  </m:r>
                  <m:r>
                    <m:rPr>
                      <m:sty m:val="p"/>
                    </m:rPr>
                    <m:t>≥</m:t>
                  </m:r>
                  <m:r>
                    <m:t>0</m:t>
                  </m:r>
                  <m:r>
                    <m:rPr>
                      <m:sty m:val="p"/>
                    </m:rPr>
                    <m:t>,</m:t>
                  </m:r>
                  <m:r>
                    <m:t>05</m:t>
                  </m:r>
                </m:e>
              </m:d>
              <m:r>
                <m:rPr>
                  <m:sty m:val="p"/>
                </m:rPr>
                <m:t>≥</m:t>
              </m:r>
              <m:r>
                <m:t>0</m:t>
              </m:r>
              <m:r>
                <m:rPr>
                  <m:sty m:val="p"/>
                </m:rPr>
                <m:t>,</m:t>
              </m:r>
              <m:r>
                <m:t>95</m:t>
              </m:r>
            </m:oMath>
          </w:p>
        </w:tc>
      </w:tr>
      <w:tr>
        <w:tc>
          <w:tcPr>
            <w:tcW w:w="1576" w:type="dxa"/>
          </w:tcPr>
          <w:p>
            <w:pPr>
              <w:pStyle w:val="CeldaAPA"/>
              <w:jc w:val="left"/>
            </w:pPr>
            <w:r>
              <w:rPr/>
              <w:t xml:space="preserve">Específica 1 (HE1)</w:t>
            </w:r>
          </w:p>
        </w:tc>
        <w:tc>
          <w:tcPr>
            <w:tcW w:w="3892" w:type="dxa"/>
          </w:tcPr>
          <w:p>
            <w:pPr>
              <w:pStyle w:val="CeldaAPA"/>
              <w:jc w:val="left"/>
            </w:pPr>
            <m:oMath>
              <m:sSub>
                <m:e>
                  <m:r>
                    <m:t>H</m:t>
                  </m:r>
                </m:e>
                <m:sub>
                  <m:r>
                    <m:t>0</m:t>
                  </m:r>
                </m:sub>
              </m:sSub>
            </m:oMath>
            <w:r>
              <w:rPr/>
              <w:t xml:space="preserve">: el SGC no reduce el índice de desperdicio ponderado.</w:t>
            </w:r>
            <w:r>
              <w:rPr/>
              <w:t xml:space="preserve"> </w:t>
            </w:r>
            <m:oMath>
              <m:sSub>
                <m:e>
                  <m:r>
                    <m:t>H</m:t>
                  </m:r>
                </m:e>
                <m:sub>
                  <m:r>
                    <m:t>1</m:t>
                  </m:r>
                </m:sub>
              </m:sSub>
            </m:oMath>
            <w:r>
              <w:rPr/>
              <w:t xml:space="preserve">:</w:t>
            </w:r>
            <w:r>
              <w:rPr/>
              <w:t xml:space="preserve"> </w:t>
            </w:r>
            <m:oMath>
              <m:r>
                <m:t>I</m:t>
              </m:r>
              <m:r>
                <m:t>D</m:t>
              </m:r>
              <m:sSub>
                <m:e>
                  <m:r>
                    <m:t>M</m:t>
                  </m:r>
                </m:e>
                <m:sub>
                  <m:r>
                    <m:rPr>
                      <m:nor/>
                      <m:sty m:val="p"/>
                    </m:rPr>
                    <m:t>con</m:t>
                  </m:r>
                </m:sub>
              </m:sSub>
              <m:r>
                <m:rPr>
                  <m:sty m:val="p"/>
                </m:rPr>
                <m:t>&lt;</m:t>
              </m:r>
              <m:r>
                <m:t>I</m:t>
              </m:r>
              <m:r>
                <m:t>D</m:t>
              </m:r>
              <m:sSub>
                <m:e>
                  <m:r>
                    <m:t>M</m:t>
                  </m:r>
                </m:e>
                <m:sub>
                  <m:r>
                    <m:rPr>
                      <m:nor/>
                      <m:sty m:val="p"/>
                    </m:rPr>
                    <m:t>sin</m:t>
                  </m:r>
                </m:sub>
              </m:sSub>
            </m:oMath>
            <w:r>
              <w:rPr/>
              <w:t xml:space="preserve">.</w:t>
            </w:r>
          </w:p>
        </w:tc>
        <w:tc>
          <w:tcPr>
            <w:tcW w:w="3892" w:type="dxa"/>
          </w:tcPr>
          <w:p>
            <w:pPr>
              <w:pStyle w:val="CeldaAPA"/>
              <w:jc w:val="left"/>
            </w:pPr>
            <w:r>
              <w:rPr/>
              <w:t xml:space="preserve">Se acepta</w:t>
            </w:r>
            <w:r>
              <w:rPr/>
              <w:t xml:space="preserve"> </w:t>
            </w:r>
            <m:oMath>
              <m:sSub>
                <m:e>
                  <m:r>
                    <m:t>H</m:t>
                  </m:r>
                </m:e>
                <m:sub>
                  <m:r>
                    <m:t>1</m:t>
                  </m:r>
                </m:sub>
              </m:sSub>
            </m:oMath>
            <w:r>
              <w:rPr/>
              <w:t xml:space="preserve"> </w:t>
            </w:r>
            <w:r>
              <w:rPr/>
              <w:t xml:space="preserve">si</w:t>
            </w:r>
            <w:r>
              <w:rPr/>
              <w:t xml:space="preserve"> </w:t>
            </w:r>
            <m:oMath>
              <m:r>
                <m:t>P</m:t>
              </m:r>
              <m:d>
                <m:dPr>
                  <m:begChr m:val="("/>
                  <m:endChr m:val=")"/>
                  <m:sepChr m:val=""/>
                  <m:grow/>
                </m:dPr>
                <m:e>
                  <m:r>
                    <m:t>I</m:t>
                  </m:r>
                  <m:r>
                    <m:t>D</m:t>
                  </m:r>
                  <m:sSub>
                    <m:e>
                      <m:r>
                        <m:t>M</m:t>
                      </m:r>
                    </m:e>
                    <m:sub>
                      <m:r>
                        <m:rPr>
                          <m:nor/>
                          <m:sty m:val="p"/>
                        </m:rPr>
                        <m:t>con</m:t>
                      </m:r>
                    </m:sub>
                  </m:sSub>
                  <m:r>
                    <m:rPr>
                      <m:sty m:val="p"/>
                    </m:rPr>
                    <m:t>&lt;</m:t>
                  </m:r>
                  <m:r>
                    <m:t>I</m:t>
                  </m:r>
                  <m:r>
                    <m:t>D</m:t>
                  </m:r>
                  <m:sSub>
                    <m:e>
                      <m:r>
                        <m:t>M</m:t>
                      </m:r>
                    </m:e>
                    <m:sub>
                      <m:r>
                        <m:rPr>
                          <m:nor/>
                          <m:sty m:val="p"/>
                        </m:rPr>
                        <m:t>sin</m:t>
                      </m:r>
                    </m:sub>
                  </m:sSub>
                </m:e>
              </m:d>
              <m:r>
                <m:rPr>
                  <m:sty m:val="p"/>
                </m:rPr>
                <m:t>≥</m:t>
              </m:r>
              <m:r>
                <m:t>0</m:t>
              </m:r>
              <m:r>
                <m:rPr>
                  <m:sty m:val="p"/>
                </m:rPr>
                <m:t>,</m:t>
              </m:r>
              <m:r>
                <m:t>95</m:t>
              </m:r>
            </m:oMath>
          </w:p>
        </w:tc>
      </w:tr>
      <w:tr>
        <w:tc>
          <w:tcPr>
            <w:tcW w:w="1576" w:type="dxa"/>
            <w:tcBorders>
              <w:bottom w:val="single" w:sz="8" w:space="0" w:color="000000"/>
            </w:tcBorders>
          </w:tcPr>
          <w:p>
            <w:pPr>
              <w:pStyle w:val="CeldaAPA"/>
              <w:jc w:val="left"/>
            </w:pPr>
            <w:r>
              <w:rPr/>
              <w:t xml:space="preserve">Específica 2 (HE2)</w:t>
            </w:r>
          </w:p>
        </w:tc>
        <w:tc>
          <w:tcPr>
            <w:tcW w:w="3892" w:type="dxa"/>
            <w:tcBorders>
              <w:bottom w:val="single" w:sz="8" w:space="0" w:color="000000"/>
            </w:tcBorders>
          </w:tcPr>
          <w:p>
            <w:pPr>
              <w:pStyle w:val="CeldaAPA"/>
              <w:jc w:val="left"/>
            </w:pPr>
            <m:oMath>
              <m:sSub>
                <m:e>
                  <m:r>
                    <m:t>H</m:t>
                  </m:r>
                </m:e>
                <m:sub>
                  <m:r>
                    <m:t>0</m:t>
                  </m:r>
                </m:sub>
              </m:sSub>
            </m:oMath>
            <w:r>
              <w:rPr/>
              <w:t xml:space="preserve">: el SGC no reduce el costo de no calidad.</w:t>
            </w:r>
            <w:r>
              <w:rPr/>
              <w:t xml:space="preserve"> </w:t>
            </w:r>
            <m:oMath>
              <m:sSub>
                <m:e>
                  <m:r>
                    <m:t>H</m:t>
                  </m:r>
                </m:e>
                <m:sub>
                  <m:r>
                    <m:t>1</m:t>
                  </m:r>
                </m:sub>
              </m:sSub>
            </m:oMath>
            <w:r>
              <w:rPr/>
              <w:t xml:space="preserve">:</w:t>
            </w:r>
            <w:r>
              <w:rPr/>
              <w:t xml:space="preserve"> </w:t>
            </w:r>
            <m:oMath>
              <m:r>
                <m:t>C</m:t>
              </m:r>
              <m:r>
                <m:t>N</m:t>
              </m:r>
              <m:sSub>
                <m:e>
                  <m:r>
                    <m:t>C</m:t>
                  </m:r>
                </m:e>
                <m:sub>
                  <m:r>
                    <m:rPr>
                      <m:nor/>
                      <m:sty m:val="p"/>
                    </m:rPr>
                    <m:t>con</m:t>
                  </m:r>
                </m:sub>
              </m:sSub>
              <m:r>
                <m:rPr>
                  <m:sty m:val="p"/>
                </m:rPr>
                <m:t>&lt;</m:t>
              </m:r>
              <m:r>
                <m:t>C</m:t>
              </m:r>
              <m:r>
                <m:t>N</m:t>
              </m:r>
              <m:sSub>
                <m:e>
                  <m:r>
                    <m:t>C</m:t>
                  </m:r>
                </m:e>
                <m:sub>
                  <m:r>
                    <m:rPr>
                      <m:nor/>
                      <m:sty m:val="p"/>
                    </m:rPr>
                    <m:t>sin</m:t>
                  </m:r>
                </m:sub>
              </m:sSub>
            </m:oMath>
            <w:r>
              <w:rPr/>
              <w:t xml:space="preserve">.</w:t>
            </w:r>
          </w:p>
        </w:tc>
        <w:tc>
          <w:tcPr>
            <w:tcW w:w="3892" w:type="dxa"/>
            <w:tcBorders>
              <w:bottom w:val="single" w:sz="8" w:space="0" w:color="000000"/>
            </w:tcBorders>
          </w:tcPr>
          <w:p>
            <w:pPr>
              <w:pStyle w:val="CeldaAPA"/>
              <w:jc w:val="left"/>
            </w:pPr>
            <w:r>
              <w:rPr/>
              <w:t xml:space="preserve">Se acepta</w:t>
            </w:r>
            <w:r>
              <w:rPr/>
              <w:t xml:space="preserve"> </w:t>
            </w:r>
            <m:oMath>
              <m:sSub>
                <m:e>
                  <m:r>
                    <m:t>H</m:t>
                  </m:r>
                </m:e>
                <m:sub>
                  <m:r>
                    <m:t>1</m:t>
                  </m:r>
                </m:sub>
              </m:sSub>
            </m:oMath>
            <w:r>
              <w:rPr/>
              <w:t xml:space="preserve"> </w:t>
            </w:r>
            <w:r>
              <w:rPr/>
              <w:t xml:space="preserve">si</w:t>
            </w:r>
            <w:r>
              <w:rPr/>
              <w:t xml:space="preserve"> </w:t>
            </w:r>
            <m:oMath>
              <m:r>
                <m:t>P</m:t>
              </m:r>
              <m:d>
                <m:dPr>
                  <m:begChr m:val="("/>
                  <m:endChr m:val=")"/>
                  <m:sepChr m:val=""/>
                  <m:grow/>
                </m:dPr>
                <m:e>
                  <m:r>
                    <m:t>C</m:t>
                  </m:r>
                  <m:r>
                    <m:t>N</m:t>
                  </m:r>
                  <m:sSub>
                    <m:e>
                      <m:r>
                        <m:t>C</m:t>
                      </m:r>
                    </m:e>
                    <m:sub>
                      <m:r>
                        <m:rPr>
                          <m:nor/>
                          <m:sty m:val="p"/>
                        </m:rPr>
                        <m:t>con</m:t>
                      </m:r>
                    </m:sub>
                  </m:sSub>
                  <m:r>
                    <m:rPr>
                      <m:sty m:val="p"/>
                    </m:rPr>
                    <m:t>&lt;</m:t>
                  </m:r>
                  <m:r>
                    <m:t>C</m:t>
                  </m:r>
                  <m:r>
                    <m:t>N</m:t>
                  </m:r>
                  <m:sSub>
                    <m:e>
                      <m:r>
                        <m:t>C</m:t>
                      </m:r>
                    </m:e>
                    <m:sub>
                      <m:r>
                        <m:rPr>
                          <m:nor/>
                          <m:sty m:val="p"/>
                        </m:rPr>
                        <m:t>sin</m:t>
                      </m:r>
                    </m:sub>
                  </m:sSub>
                </m:e>
              </m:d>
              <m:r>
                <m:rPr>
                  <m:sty m:val="p"/>
                </m:rPr>
                <m:t>≥</m:t>
              </m:r>
              <m:r>
                <m:t>0</m:t>
              </m:r>
              <m:r>
                <m:rPr>
                  <m:sty m:val="p"/>
                </m:rPr>
                <m:t>,</m:t>
              </m:r>
              <m:r>
                <m:t>95</m:t>
              </m:r>
            </m:oMath>
          </w:p>
        </w:tc>
      </w:tr>
    </w:tbl>
    <w:p>
      <w:pPr>
        <w:pStyle w:val="NotaAPA"/>
      </w:pPr>
      <w:r>
        <w:rPr>
          <w:iCs/>
          <w:i/>
        </w:rPr>
        <w:t xml:space="preserve">Nota.</w:t>
      </w:r>
      <w:r>
        <w:t xml:space="preserve"> </w:t>
      </w:r>
      <w:r>
        <w:t xml:space="preserve">La probabilidad mínima de 0,95 equivale a un nivel de significancia de 0,05 en un contraste unilateral. El índice de desperdicio ponderado pondera el IDM de cada material por su costo teórico por m</w:t>
      </w:r>
      <w:r>
        <w:rPr>
          <w:vertAlign w:val="superscript"/>
        </w:rPr>
        <w:t xml:space="preserve">2</w:t>
      </w:r>
      <w:r>
        <w:t xml:space="preserve">.</w:t>
      </w:r>
    </w:p>
    <w:p>
      <w:pPr>
        <w:pStyle w:val="BodyText"/>
      </w:pPr>
      <w:r>
        <w:t xml:space="preserve">Además de las decisiones, se informan como indicadores complementarios: la probabilidad de que el SGC reduzca el costo en cualquier magnitud,</w:t>
      </w:r>
      <w:r>
        <w:t xml:space="preserve"> </w:t>
      </w:r>
      <m:oMath>
        <m:r>
          <m:t>P</m:t>
        </m:r>
        <m:d>
          <m:dPr>
            <m:begChr m:val="("/>
            <m:endChr m:val=")"/>
            <m:sepChr m:val=""/>
            <m:grow/>
          </m:dPr>
          <m:e>
            <m:r>
              <m:t>r</m:t>
            </m:r>
            <m:r>
              <m:rPr>
                <m:sty m:val="p"/>
              </m:rPr>
              <m:t>&gt;</m:t>
            </m:r>
            <m:r>
              <m:t>0</m:t>
            </m:r>
          </m:e>
        </m:d>
      </m:oMath>
      <w:r>
        <w:t xml:space="preserve">; la reducción que se alcanza con un 95 % de probabilidad (percentil 5 de</w:t>
      </w:r>
      <w:r>
        <w:t xml:space="preserve"> </w:t>
      </w:r>
      <m:oMath>
        <m:r>
          <m:t>r</m:t>
        </m:r>
      </m:oMath>
      <w:r>
        <w:t xml:space="preserve">); el ahorro esperado en el saldo de la obra; y la eficacia mínima del SGC que se requiere para que</w:t>
      </w:r>
      <w:r>
        <w:t xml:space="preserve"> </w:t>
      </w:r>
      <m:oMath>
        <m:r>
          <m:t>r</m:t>
        </m:r>
        <m:r>
          <m:rPr>
            <m:sty m:val="p"/>
          </m:rPr>
          <m:t>=</m:t>
        </m:r>
        <m:r>
          <m:t>0</m:t>
        </m:r>
      </m:oMath>
      <w:r>
        <w:t xml:space="preserve"> </w:t>
      </w:r>
      <w:r>
        <w:t xml:space="preserve">(punto de equilibrio) y para que</w:t>
      </w:r>
      <w:r>
        <w:t xml:space="preserve"> </w:t>
      </w:r>
      <m:oMath>
        <m:r>
          <m:t>r</m:t>
        </m:r>
        <m:r>
          <m:rPr>
            <m:sty m:val="p"/>
          </m:rPr>
          <m:t>=</m:t>
        </m:r>
        <m:r>
          <m:t>5</m:t>
        </m:r>
        <m:r>
          <m:t> </m:t>
        </m:r>
        <m:r>
          <m:rPr>
            <m:sty m:val="p"/>
          </m:rPr>
          <m:t>%</m:t>
        </m:r>
      </m:oMath>
      <w:r>
        <w:t xml:space="preserve">.</w:t>
      </w:r>
    </w:p>
    <w:p>
      <w:pPr>
        <w:pStyle w:val="Heading3"/>
      </w:pPr>
      <w:bookmarkStart w:id="189" w:name="tit136"/>
      <w:r>
        <w:t xml:space="preserve">2.9.1. Verificación futura con datos de obra</w:t>
      </w:r>
      <w:bookmarkEnd w:id="189"/>
    </w:p>
    <w:p>
      <w:pPr>
        <w:pStyle w:val="FirstParagraph"/>
      </w:pPr>
      <w:r>
        <w:t xml:space="preserve">Cuando se ejecute la segunda losa con el SGC, la hipótesis podrá verificarse con datos medidos en obra. Para ello se registrarán, con las fichas C.2 a C.6, el consumo real de cada material y el costo de la calidad por paño. Se calcularán el</w:t>
      </w:r>
      <w:r>
        <w:t xml:space="preserve"> </w:t>
      </w:r>
      <m:oMath>
        <m:r>
          <m:t>I</m:t>
        </m:r>
        <m:r>
          <m:t>D</m:t>
        </m:r>
        <m:r>
          <m:t>M</m:t>
        </m:r>
      </m:oMath>
      <w:r>
        <w:t xml:space="preserve">, el</w:t>
      </w:r>
      <w:r>
        <w:t xml:space="preserve"> </w:t>
      </w:r>
      <m:oMath>
        <m:r>
          <m:t>C</m:t>
        </m:r>
        <m:r>
          <m:t>N</m:t>
        </m:r>
        <m:r>
          <m:t>C</m:t>
        </m:r>
      </m:oMath>
      <w:r>
        <w:t xml:space="preserve"> </w:t>
      </w:r>
      <w:r>
        <w:t xml:space="preserve">y el costo unitario de cada paño homólogo, y se compararán con los de la línea base mediante la prueba</w:t>
      </w:r>
      <w:r>
        <w:t xml:space="preserve"> </w:t>
      </w:r>
      <w:r>
        <w:rPr>
          <w:iCs/>
          <w:i/>
        </w:rPr>
        <w:t xml:space="preserve">t</w:t>
      </w:r>
      <w:r>
        <w:t xml:space="preserve"> </w:t>
      </w:r>
      <w:r>
        <w:t xml:space="preserve">de Student para muestras relacionadas, o la prueba de rangos con signo de Wilcoxon si la prueba de Shapiro-Wilk rechaza la normalidad de las diferencias, con</w:t>
      </w:r>
      <w:r>
        <w:t xml:space="preserve"> </w:t>
      </w:r>
      <m:oMath>
        <m:r>
          <m:t>α</m:t>
        </m:r>
        <m:r>
          <m:rPr>
            <m:sty m:val="p"/>
          </m:rPr>
          <m:t>=</m:t>
        </m:r>
        <m:r>
          <m:t>0</m:t>
        </m:r>
        <m:r>
          <m:rPr>
            <m:sty m:val="p"/>
          </m:rPr>
          <m:t>,</m:t>
        </m:r>
        <m:r>
          <m:t>05</m:t>
        </m:r>
      </m:oMath>
      <w:r>
        <w:t xml:space="preserve"> </w:t>
      </w:r>
      <w:r>
        <w:t xml:space="preserve">(Hernández-Sampieri y Mendoza Torres, 2018)</w:t>
      </w:r>
      <w:r>
        <w:t xml:space="preserve">. Esa verificación permitirá contrastar los resultados de la simulación con el desempeño real del sistema.</w:t>
      </w:r>
    </w:p>
    <w:p>
      <w:pPr>
        <w:pStyle w:val="Heading1"/>
      </w:pPr>
      <w:bookmarkStart w:id="199" w:name="tit137"/>
      <w:r>
        <w:t xml:space="preserve">CAPÍTULO 3</w:t>
      </w:r>
      <w:r>
        <w:br/>
      </w:r>
      <w:r>
        <w:t xml:space="preserve">PRESENTACIÓN DE RESULTADOS Y ANÁLISIS DE LOS MISMOS</w:t>
      </w:r>
      <w:bookmarkEnd w:id="199"/>
    </w:p>
    <w:p>
      <w:pPr>
        <w:pStyle w:val="Heading2"/>
      </w:pPr>
      <w:bookmarkStart w:id="192" w:name="tit138"/>
      <w:r>
        <w:t xml:space="preserve">3.1. Resultados del diagnóstico y de la línea base</w:t>
      </w:r>
      <w:bookmarkEnd w:id="192"/>
    </w:p>
    <w:p>
      <w:pPr>
        <w:pStyle w:val="Heading2"/>
      </w:pPr>
      <w:bookmarkStart w:id="193" w:name="tit139"/>
      <w:r>
        <w:t xml:space="preserve">3.2. Resultados de la aplicación del SGC en el control de materiales</w:t>
      </w:r>
      <w:bookmarkEnd w:id="193"/>
    </w:p>
    <w:p>
      <w:pPr>
        <w:pStyle w:val="Heading2"/>
      </w:pPr>
      <w:bookmarkStart w:id="194" w:name="tit140"/>
      <w:r>
        <w:t xml:space="preserve">3.3. Resultados del control de calidad de materiales y del hormigón</w:t>
      </w:r>
      <w:bookmarkEnd w:id="194"/>
    </w:p>
    <w:p>
      <w:pPr>
        <w:pStyle w:val="Heading2"/>
      </w:pPr>
      <w:bookmarkStart w:id="195" w:name="tit141"/>
      <w:r>
        <w:t xml:space="preserve">3.4. Resultados de costos</w:t>
      </w:r>
      <w:bookmarkEnd w:id="195"/>
    </w:p>
    <w:p>
      <w:pPr>
        <w:pStyle w:val="Heading2"/>
      </w:pPr>
      <w:bookmarkStart w:id="196" w:name="tit142"/>
      <w:r>
        <w:t xml:space="preserve">3.5. Contraste de hipótesis</w:t>
      </w:r>
      <w:bookmarkEnd w:id="196"/>
    </w:p>
    <w:p>
      <w:pPr>
        <w:pStyle w:val="Heading2"/>
      </w:pPr>
      <w:bookmarkStart w:id="197" w:name="tit143"/>
      <w:r>
        <w:t xml:space="preserve">3.6. Validación del SGC por juicio de expertos</w:t>
      </w:r>
      <w:bookmarkEnd w:id="197"/>
    </w:p>
    <w:p>
      <w:pPr>
        <w:pStyle w:val="Heading2"/>
      </w:pPr>
      <w:bookmarkStart w:id="198" w:name="tit144"/>
      <w:r>
        <w:t xml:space="preserve">3.7. Discusión de resultados</w:t>
      </w:r>
      <w:bookmarkEnd w:id="198"/>
    </w:p>
    <w:p>
      <w:pPr>
        <w:pStyle w:val="Heading1"/>
      </w:pPr>
      <w:bookmarkStart w:id="203" w:name="tit145"/>
      <w:r>
        <w:t xml:space="preserve">Conclusiones y recomendaciones</w:t>
      </w:r>
      <w:bookmarkEnd w:id="203"/>
    </w:p>
    <w:p>
      <w:pPr>
        <w:pStyle w:val="Heading2"/>
      </w:pPr>
      <w:bookmarkStart w:id="200" w:name="tit146"/>
      <w:r>
        <w:t xml:space="preserve">1. Conclusión general</w:t>
      </w:r>
      <w:bookmarkEnd w:id="200"/>
    </w:p>
    <w:p>
      <w:pPr>
        <w:pStyle w:val="FirstParagraph"/>
      </w:pPr>
      <w:r>
        <w:rPr>
          <w:rStyle w:val="Pendiente"/>
          <w:bCs/>
          <w:b/>
        </w:rPr>
        <w:t xml:space="preserve">[Pendiente:</w:t>
      </w:r>
      <w:r>
        <w:rPr>
          <w:rStyle w:val="Pendiente"/>
        </w:rPr>
        <w:t xml:space="preserve"> </w:t>
      </w:r>
      <w:r>
        <w:rPr>
          <w:rStyle w:val="Pendiente"/>
        </w:rPr>
        <w:t xml:space="preserve">responder el problema general e indicar si se acepta o se rechaza la hipótesis, con la reducción de costo obtenida.</w:t>
      </w:r>
      <w:r>
        <w:rPr>
          <w:rStyle w:val="Pendiente"/>
          <w:bCs/>
          <w:b/>
        </w:rPr>
        <w:t xml:space="preserve">]</w:t>
      </w:r>
    </w:p>
    <w:p>
      <w:pPr>
        <w:pStyle w:val="Heading2"/>
      </w:pPr>
      <w:bookmarkStart w:id="201" w:name="tit147"/>
      <w:r>
        <w:t xml:space="preserve">2. Conclusiones específicas</w:t>
      </w:r>
      <w:bookmarkEnd w:id="201"/>
    </w:p>
    <w:p>
      <w:pPr>
        <w:pStyle w:val="Listaetiquetada"/>
      </w:pPr>
      <w:r>
        <w:rPr>
          <w:bCs/>
          <w:b/>
        </w:rPr>
        <w:t xml:space="preserve">1.</w:t>
      </w:r>
      <w:r>
        <w:t xml:space="preserve"/>
        <w:tab/>
        <w:t xml:space="preserve"/>
      </w:r>
      <w:r>
        <w:rPr>
          <w:bCs/>
          <w:b/>
        </w:rPr>
        <w:t xml:space="preserve">(OE1)</w:t>
      </w:r>
      <w:r>
        <w:t xml:space="preserve"> </w:t>
      </w:r>
      <w:r>
        <w:rPr>
          <w:rStyle w:val="Pendiente"/>
          <w:bCs/>
          <w:b/>
        </w:rPr>
        <w:t xml:space="preserve">[Pendiente:</w:t>
      </w:r>
      <w:r>
        <w:rPr>
          <w:rStyle w:val="Pendiente"/>
        </w:rPr>
        <w:t xml:space="preserve"> </w:t>
      </w:r>
      <w:r>
        <w:rPr>
          <w:rStyle w:val="Pendiente"/>
        </w:rPr>
        <w:t xml:space="preserve">estado de la gestión de la calidad y no conformidades principales.</w:t>
      </w:r>
      <w:r>
        <w:rPr>
          <w:rStyle w:val="Pendiente"/>
          <w:bCs/>
          <w:b/>
        </w:rPr>
        <w:t xml:space="preserve">]</w:t>
      </w:r>
    </w:p>
    <w:p>
      <w:pPr>
        <w:pStyle w:val="Listaetiquetada"/>
      </w:pPr>
      <w:r>
        <w:rPr>
          <w:bCs/>
          <w:b/>
        </w:rPr>
        <w:t xml:space="preserve">2.</w:t>
      </w:r>
      <w:r>
        <w:t xml:space="preserve"/>
        <w:tab/>
        <w:t xml:space="preserve"/>
      </w:r>
      <w:r>
        <w:rPr>
          <w:bCs/>
          <w:b/>
        </w:rPr>
        <w:t xml:space="preserve">(OE2)</w:t>
      </w:r>
      <w:r>
        <w:t xml:space="preserve"> </w:t>
      </w:r>
      <w:r>
        <w:rPr>
          <w:rStyle w:val="Pendiente"/>
          <w:bCs/>
          <w:b/>
        </w:rPr>
        <w:t xml:space="preserve">[Pendiente:</w:t>
      </w:r>
      <w:r>
        <w:rPr>
          <w:rStyle w:val="Pendiente"/>
        </w:rPr>
        <w:t xml:space="preserve"> </w:t>
      </w:r>
      <w:r>
        <w:rPr>
          <w:rStyle w:val="Pendiente"/>
        </w:rPr>
        <w:t xml:space="preserve">línea base: índices de desperdicio y costo de no calidad de la primera losa.</w:t>
      </w:r>
      <w:r>
        <w:rPr>
          <w:rStyle w:val="Pendiente"/>
          <w:bCs/>
          <w:b/>
        </w:rPr>
        <w:t xml:space="preserve">]</w:t>
      </w:r>
    </w:p>
    <w:p>
      <w:pPr>
        <w:pStyle w:val="Listaetiquetada"/>
      </w:pPr>
      <w:r>
        <w:rPr>
          <w:bCs/>
          <w:b/>
        </w:rPr>
        <w:t xml:space="preserve">3.</w:t>
      </w:r>
      <w:r>
        <w:t xml:space="preserve"/>
        <w:tab/>
        <w:t xml:space="preserve"/>
      </w:r>
      <w:r>
        <w:rPr>
          <w:bCs/>
          <w:b/>
        </w:rPr>
        <w:t xml:space="preserve">(OE3)</w:t>
      </w:r>
      <w:r>
        <w:t xml:space="preserve"> </w:t>
      </w:r>
      <w:r>
        <w:rPr>
          <w:rStyle w:val="Pendiente"/>
          <w:bCs/>
          <w:b/>
        </w:rPr>
        <w:t xml:space="preserve">[Pendiente:</w:t>
      </w:r>
      <w:r>
        <w:rPr>
          <w:rStyle w:val="Pendiente"/>
        </w:rPr>
        <w:t xml:space="preserve"> </w:t>
      </w:r>
      <w:r>
        <w:rPr>
          <w:rStyle w:val="Pendiente"/>
        </w:rPr>
        <w:t xml:space="preserve">componentes del SGC diseñado.</w:t>
      </w:r>
      <w:r>
        <w:rPr>
          <w:rStyle w:val="Pendiente"/>
          <w:bCs/>
          <w:b/>
        </w:rPr>
        <w:t xml:space="preserve">]</w:t>
      </w:r>
    </w:p>
    <w:p>
      <w:pPr>
        <w:pStyle w:val="Listaetiquetada"/>
      </w:pPr>
      <w:r>
        <w:rPr>
          <w:bCs/>
          <w:b/>
        </w:rPr>
        <w:t xml:space="preserve">4.</w:t>
      </w:r>
      <w:r>
        <w:t xml:space="preserve"/>
        <w:tab/>
        <w:t xml:space="preserve"/>
      </w:r>
      <w:r>
        <w:rPr>
          <w:bCs/>
          <w:b/>
        </w:rPr>
        <w:t xml:space="preserve">(OE4)</w:t>
      </w:r>
      <w:r>
        <w:t xml:space="preserve"> </w:t>
      </w:r>
      <w:r>
        <w:rPr>
          <w:rStyle w:val="Pendiente"/>
          <w:bCs/>
          <w:b/>
        </w:rPr>
        <w:t xml:space="preserve">[Pendiente:</w:t>
      </w:r>
      <w:r>
        <w:rPr>
          <w:rStyle w:val="Pendiente"/>
        </w:rPr>
        <w:t xml:space="preserve"> </w:t>
      </w:r>
      <w:r>
        <w:rPr>
          <w:rStyle w:val="Pendiente"/>
        </w:rPr>
        <w:t xml:space="preserve">efecto del SGC en el costo unitario y en el desperdicio.</w:t>
      </w:r>
      <w:r>
        <w:rPr>
          <w:rStyle w:val="Pendiente"/>
          <w:bCs/>
          <w:b/>
        </w:rPr>
        <w:t xml:space="preserve">]</w:t>
      </w:r>
    </w:p>
    <w:p>
      <w:pPr>
        <w:pStyle w:val="Listaetiquetada"/>
      </w:pPr>
      <w:r>
        <w:rPr>
          <w:bCs/>
          <w:b/>
        </w:rPr>
        <w:t xml:space="preserve">5.</w:t>
      </w:r>
      <w:r>
        <w:t xml:space="preserve"/>
        <w:tab/>
        <w:t xml:space="preserve"/>
      </w:r>
      <w:r>
        <w:rPr>
          <w:bCs/>
          <w:b/>
        </w:rPr>
        <w:t xml:space="preserve">(OE5)</w:t>
      </w:r>
      <w:r>
        <w:t xml:space="preserve"> </w:t>
      </w:r>
      <w:r>
        <w:rPr>
          <w:rStyle w:val="Pendiente"/>
          <w:bCs/>
          <w:b/>
        </w:rPr>
        <w:t xml:space="preserve">[Pendiente:</w:t>
      </w:r>
      <w:r>
        <w:rPr>
          <w:rStyle w:val="Pendiente"/>
        </w:rPr>
        <w:t xml:space="preserve"> </w:t>
      </w:r>
      <w:r>
        <w:rPr>
          <w:rStyle w:val="Pendiente"/>
        </w:rPr>
        <w:t xml:space="preserve">resultado de las pruebas estadísticas y de la validación por expertos.</w:t>
      </w:r>
      <w:r>
        <w:rPr>
          <w:rStyle w:val="Pendiente"/>
          <w:bCs/>
          <w:b/>
        </w:rPr>
        <w:t xml:space="preserve">]</w:t>
      </w:r>
    </w:p>
    <w:p>
      <w:pPr>
        <w:pStyle w:val="Heading2"/>
      </w:pPr>
      <w:bookmarkStart w:id="202" w:name="tit148"/>
      <w:r>
        <w:t xml:space="preserve">3. Recomendaciones</w:t>
      </w:r>
      <w:bookmarkEnd w:id="202"/>
    </w:p>
    <w:p>
      <w:pPr>
        <w:pStyle w:val="Heading1"/>
      </w:pPr>
      <w:bookmarkStart w:id="325" w:name="tit149"/>
      <w:r>
        <w:t xml:space="preserve">Bibliografía</w:t>
      </w:r>
      <w:bookmarkEnd w:id="325"/>
    </w:p>
    <w:p>
      <w:pPr>
        <w:pStyle w:val="Bibliography"/>
      </w:pPr>
      <w:bookmarkStart w:id="205" w:name="ref-abbott2008"/>
      <w:bookmarkStart w:id="324" w:name="refs"/>
      <w:r>
        <w:t xml:space="preserve">Abbott, M. y Rodríguez, T. (2008). Análisis comparativo entre el método de asignación directa y el de optimización para la cuantificación del refuerzo levantado en los apoyos en placas sólidas y su efecto en la generación de desperdicios.</w:t>
      </w:r>
      <w:r>
        <w:t xml:space="preserve"> </w:t>
      </w:r>
      <w:r>
        <w:rPr>
          <w:iCs/>
          <w:i/>
        </w:rPr>
        <w:t xml:space="preserve">Ciencia y Sociedad</w:t>
      </w:r>
      <w:r>
        <w:t xml:space="preserve">,</w:t>
      </w:r>
      <w:r>
        <w:t xml:space="preserve"> </w:t>
      </w:r>
      <w:r>
        <w:rPr>
          <w:iCs/>
          <w:i/>
        </w:rPr>
        <w:t xml:space="preserve">33</w:t>
      </w:r>
      <w:r>
        <w:t xml:space="preserve">(4), 572–594.</w:t>
      </w:r>
      <w:r>
        <w:t xml:space="preserve"> </w:t>
      </w:r>
      <w:hyperlink r:id="rId204">
        <w:r>
          <w:rPr>
            <w:rStyle w:val="Hyperlink"/>
          </w:rPr>
          <w:t xml:space="preserve">https://www.redalyc.org/articulo.oa?id=87012672004</w:t>
        </w:r>
      </w:hyperlink>
      <w:bookmarkEnd w:id="324"/>
      <w:bookmarkEnd w:id="205"/>
    </w:p>
    <w:p>
      <w:pPr>
        <w:pStyle w:val="Bibliography"/>
      </w:pPr>
      <w:bookmarkStart w:id="206" w:name="ref-aci318_2025"/>
      <w:r>
        <w:t xml:space="preserve">ACI Committee 318. (2025).</w:t>
      </w:r>
      <w:r>
        <w:t xml:space="preserve"> </w:t>
      </w:r>
      <w:r>
        <w:rPr>
          <w:iCs/>
          <w:i/>
        </w:rPr>
        <w:t xml:space="preserve">Building code for structural concrete: Code requirements and commentary (</w:t>
      </w:r>
      <w:r>
        <w:rPr>
          <w:iCs/>
          <w:i/>
        </w:rPr>
        <w:t xml:space="preserve">ACI CODE-318-25</w:t>
      </w:r>
      <w:r>
        <w:rPr>
          <w:iCs/>
          <w:i/>
        </w:rPr>
        <w:t xml:space="preserve">)</w:t>
      </w:r>
      <w:r>
        <w:t xml:space="preserve">. American Concrete Institute.</w:t>
      </w:r>
      <w:bookmarkEnd w:id="206"/>
    </w:p>
    <w:p>
      <w:pPr>
        <w:pStyle w:val="Bibliography"/>
      </w:pPr>
      <w:bookmarkStart w:id="208" w:name="ref-aguilar2016"/>
      <w:r>
        <w:t xml:space="preserve">Aguilar Caseux, K. O. y Torres Benites, V. Y. (2016).</w:t>
      </w:r>
      <w:r>
        <w:t xml:space="preserve"> </w:t>
      </w:r>
      <w:r>
        <w:rPr>
          <w:iCs/>
          <w:i/>
        </w:rPr>
        <w:t xml:space="preserve">Costos de calidad y costos de no calidad en las estructuras de las obras de</w:t>
      </w:r>
      <w:r>
        <w:rPr>
          <w:iCs/>
          <w:i/>
        </w:rPr>
        <w:t xml:space="preserve"> </w:t>
      </w:r>
      <w:r>
        <w:rPr>
          <w:iCs/>
          <w:i/>
        </w:rPr>
        <w:t xml:space="preserve">COAM</w:t>
      </w:r>
      <w:r>
        <w:rPr>
          <w:iCs/>
          <w:i/>
        </w:rPr>
        <w:t xml:space="preserve"> </w:t>
      </w:r>
      <w:r>
        <w:rPr>
          <w:iCs/>
          <w:i/>
        </w:rPr>
        <w:t xml:space="preserve">Contratistas</w:t>
      </w:r>
      <w:r>
        <w:rPr>
          <w:iCs/>
          <w:i/>
        </w:rPr>
        <w:t xml:space="preserve"> </w:t>
      </w:r>
      <w:r>
        <w:rPr>
          <w:iCs/>
          <w:i/>
        </w:rPr>
        <w:t xml:space="preserve">SAC</w:t>
      </w:r>
      <w:r>
        <w:rPr>
          <w:iCs/>
          <w:i/>
        </w:rPr>
        <w:t xml:space="preserve">, 2015</w:t>
      </w:r>
      <w:r>
        <w:t xml:space="preserve"> </w:t>
      </w:r>
      <w:r>
        <w:t xml:space="preserve">[Tesis de licenciatura, Universidad Privada Antenor Orrego].</w:t>
      </w:r>
      <w:r>
        <w:t xml:space="preserve"> </w:t>
      </w:r>
      <w:hyperlink r:id="rId207">
        <w:r>
          <w:rPr>
            <w:rStyle w:val="Hyperlink"/>
          </w:rPr>
          <w:t xml:space="preserve">https://hdl.handle.net/20.500.12759/2055</w:t>
        </w:r>
      </w:hyperlink>
      <w:bookmarkEnd w:id="208"/>
    </w:p>
    <w:p>
      <w:pPr>
        <w:pStyle w:val="Bibliography"/>
      </w:pPr>
      <w:bookmarkStart w:id="210" w:name="ref-alcon2009"/>
      <w:r>
        <w:t xml:space="preserve">Alcón Aranda, M. W. (2009).</w:t>
      </w:r>
      <w:r>
        <w:t xml:space="preserve"> </w:t>
      </w:r>
      <w:r>
        <w:rPr>
          <w:iCs/>
          <w:i/>
        </w:rPr>
        <w:t xml:space="preserve">Evaluación del proceso de fabricación y aplicación de viguetas pretensadas en estructuras</w:t>
      </w:r>
      <w:r>
        <w:t xml:space="preserve"> </w:t>
      </w:r>
      <w:r>
        <w:t xml:space="preserve">[Tesis de licenciatura, Universidad Mayor de San Andrés].</w:t>
      </w:r>
      <w:r>
        <w:t xml:space="preserve"> </w:t>
      </w:r>
      <w:hyperlink r:id="rId209">
        <w:r>
          <w:rPr>
            <w:rStyle w:val="Hyperlink"/>
          </w:rPr>
          <w:t xml:space="preserve">https://repositorio.umsa.bo/handle/123456789/7465</w:t>
        </w:r>
      </w:hyperlink>
      <w:bookmarkEnd w:id="210"/>
    </w:p>
    <w:p>
      <w:pPr>
        <w:pStyle w:val="Bibliography"/>
      </w:pPr>
      <w:bookmarkStart w:id="212" w:name="ref-alfaro2011"/>
      <w:r>
        <w:t xml:space="preserve">Alfaro Félix, O. C. (2011).</w:t>
      </w:r>
      <w:r>
        <w:t xml:space="preserve"> </w:t>
      </w:r>
      <w:r>
        <w:rPr>
          <w:iCs/>
          <w:i/>
        </w:rPr>
        <w:t xml:space="preserve">Sistemas de aseguramiento de la calidad en la construcción</w:t>
      </w:r>
      <w:r>
        <w:t xml:space="preserve"> </w:t>
      </w:r>
      <w:r>
        <w:t xml:space="preserve">[Tesis de licenciatura, Pontificia Universidad Católica del Perú].</w:t>
      </w:r>
      <w:r>
        <w:t xml:space="preserve"> </w:t>
      </w:r>
      <w:hyperlink r:id="rId211">
        <w:r>
          <w:rPr>
            <w:rStyle w:val="Hyperlink"/>
          </w:rPr>
          <w:t xml:space="preserve">http://hdl.handle.net/20.500.12404/185</w:t>
        </w:r>
      </w:hyperlink>
      <w:bookmarkEnd w:id="212"/>
    </w:p>
    <w:p>
      <w:pPr>
        <w:pStyle w:val="Bibliography"/>
      </w:pPr>
      <w:bookmarkStart w:id="213" w:name="ref-alvarez2014"/>
      <w:r>
        <w:t xml:space="preserve">Álvarez Quintero, L. R. (2014).</w:t>
      </w:r>
      <w:r>
        <w:t xml:space="preserve"> </w:t>
      </w:r>
      <w:r>
        <w:rPr>
          <w:iCs/>
          <w:i/>
        </w:rPr>
        <w:t xml:space="preserve">Gestión de la calidad en la reducción de los reprocesos en los proyectos de construcción civil</w:t>
      </w:r>
      <w:r>
        <w:t xml:space="preserve"> </w:t>
      </w:r>
      <w:r>
        <w:t xml:space="preserve">[Monografía de especialización]. Universidad de Cartagena.</w:t>
      </w:r>
      <w:bookmarkEnd w:id="213"/>
    </w:p>
    <w:p>
      <w:pPr>
        <w:pStyle w:val="Bibliography"/>
      </w:pPr>
      <w:bookmarkStart w:id="214" w:name="ref-barrios2021documento"/>
      <w:r>
        <w:t xml:space="preserve">Barrios C., J. C. (2021a).</w:t>
      </w:r>
      <w:r>
        <w:t xml:space="preserve"> </w:t>
      </w:r>
      <w:r>
        <w:rPr>
          <w:iCs/>
          <w:i/>
        </w:rPr>
        <w:t xml:space="preserve">Documento de graduación</w:t>
      </w:r>
      <w:r>
        <w:t xml:space="preserve"> </w:t>
      </w:r>
      <w:r>
        <w:t xml:space="preserve">[Diapositivas de clase, Taller 1].</w:t>
      </w:r>
      <w:bookmarkEnd w:id="214"/>
    </w:p>
    <w:p>
      <w:pPr>
        <w:pStyle w:val="Bibliography"/>
      </w:pPr>
      <w:bookmarkStart w:id="215" w:name="ref-barrios2021modelo"/>
      <w:r>
        <w:t xml:space="preserve">Barrios C., J. C. (2021b).</w:t>
      </w:r>
      <w:r>
        <w:t xml:space="preserve"> </w:t>
      </w:r>
      <w:r>
        <w:rPr>
          <w:iCs/>
          <w:i/>
        </w:rPr>
        <w:t xml:space="preserve">Modelo de investigación</w:t>
      </w:r>
      <w:r>
        <w:t xml:space="preserve"> </w:t>
      </w:r>
      <w:r>
        <w:t xml:space="preserve">[Diapositivas de clase, Taller 4].</w:t>
      </w:r>
      <w:bookmarkEnd w:id="215"/>
    </w:p>
    <w:p>
      <w:pPr>
        <w:pStyle w:val="Bibliography"/>
      </w:pPr>
      <w:bookmarkStart w:id="216" w:name="ref-barrios2021citas"/>
      <w:r>
        <w:t xml:space="preserve">Barrios C., J. C. (2021c).</w:t>
      </w:r>
      <w:r>
        <w:t xml:space="preserve"> </w:t>
      </w:r>
      <w:r>
        <w:rPr>
          <w:iCs/>
          <w:i/>
        </w:rPr>
        <w:t xml:space="preserve">Normas de citas y referencias</w:t>
      </w:r>
      <w:r>
        <w:t xml:space="preserve"> </w:t>
      </w:r>
      <w:r>
        <w:t xml:space="preserve">[Diapositivas de clase, Taller 2].</w:t>
      </w:r>
      <w:bookmarkEnd w:id="216"/>
    </w:p>
    <w:p>
      <w:pPr>
        <w:pStyle w:val="Bibliography"/>
      </w:pPr>
      <w:bookmarkStart w:id="218" w:name="ref-cajias2023"/>
      <w:r>
        <w:t xml:space="preserve">Cajías Luna, E. C. (2023).</w:t>
      </w:r>
      <w:r>
        <w:t xml:space="preserve"> </w:t>
      </w:r>
      <w:r>
        <w:rPr>
          <w:iCs/>
          <w:i/>
        </w:rPr>
        <w:t xml:space="preserve">Control de calidad en la supervisión de obras municipales</w:t>
      </w:r>
      <w:r>
        <w:t xml:space="preserve"> </w:t>
      </w:r>
      <w:r>
        <w:t xml:space="preserve">[Memoria laboral de licenciatura, Universidad Mayor de San Andrés].</w:t>
      </w:r>
      <w:r>
        <w:t xml:space="preserve"> </w:t>
      </w:r>
      <w:hyperlink r:id="rId217">
        <w:r>
          <w:rPr>
            <w:rStyle w:val="Hyperlink"/>
          </w:rPr>
          <w:t xml:space="preserve">https://repositorio.umsa.bo/handle/123456789/34372</w:t>
        </w:r>
      </w:hyperlink>
      <w:bookmarkEnd w:id="218"/>
    </w:p>
    <w:p>
      <w:pPr>
        <w:pStyle w:val="Bibliography"/>
      </w:pPr>
      <w:bookmarkStart w:id="219" w:name="ref-cadeco2025"/>
      <w:r>
        <w:t xml:space="preserve">Cámara de la Construcción de Tarija. (2025).</w:t>
      </w:r>
      <w:r>
        <w:t xml:space="preserve"> </w:t>
      </w:r>
      <w:r>
        <w:rPr>
          <w:iCs/>
          <w:i/>
        </w:rPr>
        <w:t xml:space="preserve">Pronunciamiento sobre el incremento del precio del cemento</w:t>
      </w:r>
      <w:r>
        <w:t xml:space="preserve"> </w:t>
      </w:r>
      <w:r>
        <w:t xml:space="preserve">[Comunicado].</w:t>
      </w:r>
      <w:bookmarkEnd w:id="219"/>
    </w:p>
    <w:p>
      <w:pPr>
        <w:pStyle w:val="Bibliography"/>
      </w:pPr>
      <w:bookmarkStart w:id="221" w:name="ref-capcha2016"/>
      <w:r>
        <w:t xml:space="preserve">Capcha Canaza, J. (2016).</w:t>
      </w:r>
      <w:r>
        <w:t xml:space="preserve"> </w:t>
      </w:r>
      <w:r>
        <w:rPr>
          <w:iCs/>
          <w:i/>
        </w:rPr>
        <w:t xml:space="preserve">Diseño e implementación para la certificación del producto viguetas prefabricadas con sello</w:t>
      </w:r>
      <w:r>
        <w:rPr>
          <w:iCs/>
          <w:i/>
        </w:rPr>
        <w:t xml:space="preserve"> </w:t>
      </w:r>
      <w:r>
        <w:rPr>
          <w:iCs/>
          <w:i/>
        </w:rPr>
        <w:t xml:space="preserve">IBNORCA</w:t>
      </w:r>
      <w:r>
        <w:rPr>
          <w:iCs/>
          <w:i/>
        </w:rPr>
        <w:t xml:space="preserve"> </w:t>
      </w:r>
      <w:r>
        <w:rPr>
          <w:iCs/>
          <w:i/>
        </w:rPr>
        <w:t xml:space="preserve">de conformidad con la</w:t>
      </w:r>
      <w:r>
        <w:rPr>
          <w:iCs/>
          <w:i/>
        </w:rPr>
        <w:t xml:space="preserve"> </w:t>
      </w:r>
      <w:r>
        <w:rPr>
          <w:iCs/>
          <w:i/>
        </w:rPr>
        <w:t xml:space="preserve">NB</w:t>
      </w:r>
      <w:r>
        <w:rPr>
          <w:iCs/>
          <w:i/>
        </w:rPr>
        <w:t xml:space="preserve"> 997 y un sistema de gestión de la calidad «</w:t>
      </w:r>
      <w:r>
        <w:rPr>
          <w:iCs/>
          <w:i/>
        </w:rPr>
        <w:t xml:space="preserve">Empresa</w:t>
      </w:r>
      <w:r>
        <w:rPr>
          <w:iCs/>
          <w:i/>
        </w:rPr>
        <w:t xml:space="preserve"> </w:t>
      </w:r>
      <w:r>
        <w:rPr>
          <w:iCs/>
          <w:i/>
        </w:rPr>
        <w:t xml:space="preserve">PREVITEC</w:t>
      </w:r>
      <w:r>
        <w:rPr>
          <w:iCs/>
          <w:i/>
        </w:rPr>
        <w:t xml:space="preserve"> </w:t>
      </w:r>
      <w:r>
        <w:rPr>
          <w:iCs/>
          <w:i/>
        </w:rPr>
        <w:t xml:space="preserve">S.R.L.</w:t>
      </w:r>
      <w:r>
        <w:rPr>
          <w:iCs/>
          <w:i/>
        </w:rPr>
        <w:t xml:space="preserve">»</w:t>
      </w:r>
      <w:r>
        <w:t xml:space="preserve"> </w:t>
      </w:r>
      <w:r>
        <w:t xml:space="preserve">[Proyecto de grado de licenciatura, Universidad Mayor de San Andrés].</w:t>
      </w:r>
      <w:r>
        <w:t xml:space="preserve"> </w:t>
      </w:r>
      <w:hyperlink r:id="rId220">
        <w:r>
          <w:rPr>
            <w:rStyle w:val="Hyperlink"/>
          </w:rPr>
          <w:t xml:space="preserve">https://repositorio.umsa.bo/handle/123456789/21835</w:t>
        </w:r>
      </w:hyperlink>
      <w:bookmarkEnd w:id="221"/>
    </w:p>
    <w:p>
      <w:pPr>
        <w:pStyle w:val="Bibliography"/>
      </w:pPr>
      <w:bookmarkStart w:id="223" w:name="ref-castaneda2017"/>
      <w:r>
        <w:t xml:space="preserve">Castañeda Briceño, C. A. (2017).</w:t>
      </w:r>
      <w:r>
        <w:t xml:space="preserve"> </w:t>
      </w:r>
      <w:r>
        <w:rPr>
          <w:iCs/>
          <w:i/>
        </w:rPr>
        <w:t xml:space="preserve">Uso de viguetas pretensadas para el incremento de la productividad en la obra</w:t>
      </w:r>
      <w:r>
        <w:rPr>
          <w:iCs/>
          <w:i/>
        </w:rPr>
        <w:t xml:space="preserve"> </w:t>
      </w:r>
      <w:r>
        <w:rPr>
          <w:iCs/>
          <w:i/>
        </w:rPr>
        <w:t xml:space="preserve">Escuela</w:t>
      </w:r>
      <w:r>
        <w:rPr>
          <w:iCs/>
          <w:i/>
        </w:rPr>
        <w:t xml:space="preserve"> </w:t>
      </w:r>
      <w:r>
        <w:rPr>
          <w:iCs/>
          <w:i/>
        </w:rPr>
        <w:t xml:space="preserve">PNP</w:t>
      </w:r>
      <w:r>
        <w:rPr>
          <w:iCs/>
          <w:i/>
        </w:rPr>
        <w:t xml:space="preserve">-</w:t>
      </w:r>
      <w:r>
        <w:rPr>
          <w:iCs/>
          <w:i/>
        </w:rPr>
        <w:t xml:space="preserve">Puente</w:t>
      </w:r>
      <w:r>
        <w:rPr>
          <w:iCs/>
          <w:i/>
        </w:rPr>
        <w:t xml:space="preserve"> </w:t>
      </w:r>
      <w:r>
        <w:rPr>
          <w:iCs/>
          <w:i/>
        </w:rPr>
        <w:t xml:space="preserve">Piedra</w:t>
      </w:r>
      <w:r>
        <w:rPr>
          <w:iCs/>
          <w:i/>
        </w:rPr>
        <w:t xml:space="preserve">-</w:t>
      </w:r>
      <w:r>
        <w:rPr>
          <w:iCs/>
          <w:i/>
        </w:rPr>
        <w:t xml:space="preserve">Lima</w:t>
      </w:r>
      <w:r>
        <w:rPr>
          <w:iCs/>
          <w:i/>
        </w:rPr>
        <w:t xml:space="preserve">-2017</w:t>
      </w:r>
      <w:r>
        <w:t xml:space="preserve"> </w:t>
      </w:r>
      <w:r>
        <w:t xml:space="preserve">[Tesis de licenciatura, Universidad César Vallejo].</w:t>
      </w:r>
      <w:r>
        <w:t xml:space="preserve"> </w:t>
      </w:r>
      <w:hyperlink r:id="rId222">
        <w:r>
          <w:rPr>
            <w:rStyle w:val="Hyperlink"/>
          </w:rPr>
          <w:t xml:space="preserve">https://hdl.handle.net/20.500.12692/23107</w:t>
        </w:r>
      </w:hyperlink>
      <w:bookmarkEnd w:id="223"/>
    </w:p>
    <w:p>
      <w:pPr>
        <w:pStyle w:val="Bibliography"/>
      </w:pPr>
      <w:bookmarkStart w:id="225" w:name="ref-ccoyllo2016"/>
      <w:r>
        <w:t xml:space="preserve">Ccoyllo Sifuentes, M. A. (2016).</w:t>
      </w:r>
      <w:r>
        <w:t xml:space="preserve"> </w:t>
      </w:r>
      <w:r>
        <w:rPr>
          <w:iCs/>
          <w:i/>
        </w:rPr>
        <w:t xml:space="preserve">Mejoramiento de la productividad para una reducción de los desperdicios de materiales de un proyecto de edificaciones en</w:t>
      </w:r>
      <w:r>
        <w:rPr>
          <w:iCs/>
          <w:i/>
        </w:rPr>
        <w:t xml:space="preserve"> </w:t>
      </w:r>
      <w:r>
        <w:rPr>
          <w:iCs/>
          <w:i/>
        </w:rPr>
        <w:t xml:space="preserve">San</w:t>
      </w:r>
      <w:r>
        <w:rPr>
          <w:iCs/>
          <w:i/>
        </w:rPr>
        <w:t xml:space="preserve"> </w:t>
      </w:r>
      <w:r>
        <w:rPr>
          <w:iCs/>
          <w:i/>
        </w:rPr>
        <w:t xml:space="preserve">Borja</w:t>
      </w:r>
      <w:r>
        <w:rPr>
          <w:iCs/>
          <w:i/>
        </w:rPr>
        <w:t xml:space="preserve"> </w:t>
      </w:r>
      <w:r>
        <w:rPr>
          <w:iCs/>
          <w:i/>
        </w:rPr>
        <w:t xml:space="preserve">en el 2016</w:t>
      </w:r>
      <w:r>
        <w:t xml:space="preserve"> </w:t>
      </w:r>
      <w:r>
        <w:t xml:space="preserve">[Tesis de licenciatura, Universidad César Vallejo].</w:t>
      </w:r>
      <w:r>
        <w:t xml:space="preserve"> </w:t>
      </w:r>
      <w:hyperlink r:id="rId224">
        <w:r>
          <w:rPr>
            <w:rStyle w:val="Hyperlink"/>
          </w:rPr>
          <w:t xml:space="preserve">https://hdl.handle.net/20.500.12692/21410</w:t>
        </w:r>
      </w:hyperlink>
      <w:bookmarkEnd w:id="225"/>
    </w:p>
    <w:p>
      <w:pPr>
        <w:pStyle w:val="Bibliography"/>
      </w:pPr>
      <w:bookmarkStart w:id="226" w:name="ref-cepeda2017"/>
      <w:r>
        <w:t xml:space="preserve">Cepeda Godoy, H. M. (2017).</w:t>
      </w:r>
      <w:r>
        <w:t xml:space="preserve"> </w:t>
      </w:r>
      <w:r>
        <w:rPr>
          <w:iCs/>
          <w:i/>
        </w:rPr>
        <w:t xml:space="preserve">Análisis de gestión de calidad en los procesos de planificación y construcción de departamentos en edificios de la ciudad de</w:t>
      </w:r>
      <w:r>
        <w:rPr>
          <w:iCs/>
          <w:i/>
        </w:rPr>
        <w:t xml:space="preserve"> </w:t>
      </w:r>
      <w:r>
        <w:rPr>
          <w:iCs/>
          <w:i/>
        </w:rPr>
        <w:t xml:space="preserve">Riobamba</w:t>
      </w:r>
      <w:r>
        <w:rPr>
          <w:iCs/>
          <w:i/>
        </w:rPr>
        <w:t xml:space="preserve">, creación de un plan de control de calidad</w:t>
      </w:r>
      <w:r>
        <w:t xml:space="preserve"> </w:t>
      </w:r>
      <w:r>
        <w:t xml:space="preserve">[Tesis de maestría]. Universidad de Cuenca.</w:t>
      </w:r>
      <w:bookmarkEnd w:id="226"/>
    </w:p>
    <w:p>
      <w:pPr>
        <w:pStyle w:val="Bibliography"/>
      </w:pPr>
      <w:bookmarkStart w:id="228" w:name="ref-chino2024"/>
      <w:r>
        <w:t xml:space="preserve">Chino Quispe, A. y Zarate Chilqquetuma, K. B. (2024).</w:t>
      </w:r>
      <w:r>
        <w:t xml:space="preserve"> </w:t>
      </w:r>
      <w:r>
        <w:rPr>
          <w:iCs/>
          <w:i/>
        </w:rPr>
        <w:t xml:space="preserve">Análisis comparativo del método de despiece de acero pre ejecución frente al acero dimensionado y uso convencional del acero corrugado en la construcción de edificaciones en la ciudad del</w:t>
      </w:r>
      <w:r>
        <w:rPr>
          <w:iCs/>
          <w:i/>
        </w:rPr>
        <w:t xml:space="preserve"> </w:t>
      </w:r>
      <w:r>
        <w:rPr>
          <w:iCs/>
          <w:i/>
        </w:rPr>
        <w:t xml:space="preserve">Cusco</w:t>
      </w:r>
      <w:r>
        <w:rPr>
          <w:iCs/>
          <w:i/>
        </w:rPr>
        <w:t xml:space="preserve"> </w:t>
      </w:r>
      <w:r>
        <w:rPr>
          <w:iCs/>
          <w:i/>
        </w:rPr>
        <w:t xml:space="preserve">2023</w:t>
      </w:r>
      <w:r>
        <w:t xml:space="preserve"> </w:t>
      </w:r>
      <w:r>
        <w:t xml:space="preserve">[Tesis de licenciatura, Universidad Nacional de San Antonio Abad del Cusco].</w:t>
      </w:r>
      <w:r>
        <w:t xml:space="preserve"> </w:t>
      </w:r>
      <w:hyperlink r:id="rId227">
        <w:r>
          <w:rPr>
            <w:rStyle w:val="Hyperlink"/>
          </w:rPr>
          <w:t xml:space="preserve">https://hdl.handle.net/20.500.12918/9553</w:t>
        </w:r>
      </w:hyperlink>
      <w:bookmarkEnd w:id="228"/>
    </w:p>
    <w:p>
      <w:pPr>
        <w:pStyle w:val="Bibliography"/>
      </w:pPr>
      <w:bookmarkStart w:id="230" w:name="ref-cocarico2022"/>
      <w:r>
        <w:t xml:space="preserve">Cocarico Mamani, F. C. (2022).</w:t>
      </w:r>
      <w:r>
        <w:t xml:space="preserve"> </w:t>
      </w:r>
      <w:r>
        <w:rPr>
          <w:iCs/>
          <w:i/>
        </w:rPr>
        <w:t xml:space="preserve">Análisis comparativo técnico-económico de entrepisos de losa nervada postensada con tendones no adheridos y losa nervada de hormigón armado aplicado al</w:t>
      </w:r>
      <w:r>
        <w:rPr>
          <w:iCs/>
          <w:i/>
        </w:rPr>
        <w:t xml:space="preserve"> </w:t>
      </w:r>
      <w:r>
        <w:rPr>
          <w:iCs/>
          <w:i/>
        </w:rPr>
        <w:t xml:space="preserve">Edificio</w:t>
      </w:r>
      <w:r>
        <w:rPr>
          <w:iCs/>
          <w:i/>
        </w:rPr>
        <w:t xml:space="preserve"> </w:t>
      </w:r>
      <w:r>
        <w:rPr>
          <w:iCs/>
          <w:i/>
        </w:rPr>
        <w:t xml:space="preserve">Ares</w:t>
      </w:r>
      <w:r>
        <w:t xml:space="preserve"> </w:t>
      </w:r>
      <w:r>
        <w:t xml:space="preserve">[Proyecto de grado de licenciatura, Universidad Mayor de San Andrés].</w:t>
      </w:r>
      <w:r>
        <w:t xml:space="preserve"> </w:t>
      </w:r>
      <w:hyperlink r:id="rId229">
        <w:r>
          <w:rPr>
            <w:rStyle w:val="Hyperlink"/>
          </w:rPr>
          <w:t xml:space="preserve">https://repositorio.umsa.bo/handle/123456789/41974</w:t>
        </w:r>
      </w:hyperlink>
      <w:bookmarkEnd w:id="230"/>
    </w:p>
    <w:p>
      <w:pPr>
        <w:pStyle w:val="Bibliography"/>
      </w:pPr>
      <w:bookmarkStart w:id="232" w:name="ref-concretec2016plastoformo"/>
      <w:r>
        <w:t xml:space="preserve">Concretec. (2016).</w:t>
      </w:r>
      <w:r>
        <w:t xml:space="preserve"> </w:t>
      </w:r>
      <w:r>
        <w:rPr>
          <w:iCs/>
          <w:i/>
        </w:rPr>
        <w:t xml:space="preserve">Plastoform</w:t>
      </w:r>
      <w:r>
        <w:t xml:space="preserve"> </w:t>
      </w:r>
      <w:r>
        <w:t xml:space="preserve">[Ficha técnica ES-CC-1021, rev.~5.0].</w:t>
      </w:r>
      <w:r>
        <w:t xml:space="preserve"> </w:t>
      </w:r>
      <w:hyperlink r:id="rId231">
        <w:r>
          <w:rPr>
            <w:rStyle w:val="Hyperlink"/>
          </w:rPr>
          <w:t xml:space="preserve">https://www.concretec.com.bo</w:t>
        </w:r>
      </w:hyperlink>
      <w:bookmarkEnd w:id="232"/>
    </w:p>
    <w:p>
      <w:pPr>
        <w:pStyle w:val="Bibliography"/>
      </w:pPr>
      <w:bookmarkStart w:id="233" w:name="ref-concretec2018viguetas"/>
      <w:r>
        <w:t xml:space="preserve">Concretec. (2018).</w:t>
      </w:r>
      <w:r>
        <w:t xml:space="preserve"> </w:t>
      </w:r>
      <w:r>
        <w:rPr>
          <w:iCs/>
          <w:i/>
        </w:rPr>
        <w:t xml:space="preserve">Viguetas pretensadas</w:t>
      </w:r>
      <w:r>
        <w:t xml:space="preserve"> </w:t>
      </w:r>
      <w:r>
        <w:t xml:space="preserve">[Ficha técnica ES-CC-1022, rev.~7.0].</w:t>
      </w:r>
      <w:r>
        <w:t xml:space="preserve"> </w:t>
      </w:r>
      <w:hyperlink r:id="rId231">
        <w:r>
          <w:rPr>
            <w:rStyle w:val="Hyperlink"/>
          </w:rPr>
          <w:t xml:space="preserve">https://www.concretec.com.bo</w:t>
        </w:r>
      </w:hyperlink>
      <w:bookmarkEnd w:id="233"/>
    </w:p>
    <w:p>
      <w:pPr>
        <w:pStyle w:val="Bibliography"/>
      </w:pPr>
      <w:bookmarkStart w:id="235" w:name="ref-delavega2023"/>
      <w:r>
        <w:t xml:space="preserve">De la Vega Sernades, D. (2023).</w:t>
      </w:r>
      <w:r>
        <w:t xml:space="preserve"> </w:t>
      </w:r>
      <w:r>
        <w:rPr>
          <w:iCs/>
          <w:i/>
        </w:rPr>
        <w:t xml:space="preserve">Optimización del empalme y despiece para la reducción del desperdicio de acero mediante Tekla Structures en una edificación aporticada, 2022</w:t>
      </w:r>
      <w:r>
        <w:t xml:space="preserve"> </w:t>
      </w:r>
      <w:r>
        <w:t xml:space="preserve">[Tesis de licenciatura, Universidad César Vallejo].</w:t>
      </w:r>
      <w:r>
        <w:t xml:space="preserve"> </w:t>
      </w:r>
      <w:hyperlink r:id="rId234">
        <w:r>
          <w:rPr>
            <w:rStyle w:val="Hyperlink"/>
          </w:rPr>
          <w:t xml:space="preserve">https://hdl.handle.net/20.500.12692/110765</w:t>
        </w:r>
      </w:hyperlink>
      <w:bookmarkEnd w:id="235"/>
    </w:p>
    <w:p>
      <w:pPr>
        <w:pStyle w:val="Bibliography"/>
      </w:pPr>
      <w:bookmarkStart w:id="237" w:name="ref-dzul2009"/>
      <w:r>
        <w:t xml:space="preserve">Dzul, L. A. y Gracia, S. (2009). Contexto actual de los sistemas de costes de la calidad desarrollados y aplicados a proyectos de construcción: la necesidad de medición de la calidad en el diseño.</w:t>
      </w:r>
      <w:r>
        <w:t xml:space="preserve"> </w:t>
      </w:r>
      <w:r>
        <w:rPr>
          <w:iCs/>
          <w:i/>
        </w:rPr>
        <w:t xml:space="preserve">Informes de la Construcción</w:t>
      </w:r>
      <w:r>
        <w:t xml:space="preserve">,</w:t>
      </w:r>
      <w:r>
        <w:t xml:space="preserve"> </w:t>
      </w:r>
      <w:r>
        <w:rPr>
          <w:iCs/>
          <w:i/>
        </w:rPr>
        <w:t xml:space="preserve">61</w:t>
      </w:r>
      <w:r>
        <w:t xml:space="preserve">(514), 41–50.</w:t>
      </w:r>
      <w:r>
        <w:t xml:space="preserve"> </w:t>
      </w:r>
      <w:hyperlink r:id="rId236">
        <w:r>
          <w:rPr>
            <w:rStyle w:val="Hyperlink"/>
          </w:rPr>
          <w:t xml:space="preserve">https://doi.org/10.3989/ic.07.004</w:t>
        </w:r>
      </w:hyperlink>
      <w:bookmarkEnd w:id="237"/>
    </w:p>
    <w:p>
      <w:pPr>
        <w:pStyle w:val="Bibliography"/>
      </w:pPr>
      <w:bookmarkStart w:id="238" w:name="ref-ds5406_2025"/>
      <w:r>
        <w:t xml:space="preserve">Estado Plurinacional de Bolivia. (2025a).</w:t>
      </w:r>
      <w:r>
        <w:t xml:space="preserve"> </w:t>
      </w:r>
      <w:r>
        <w:rPr>
          <w:iCs/>
          <w:i/>
        </w:rPr>
        <w:t xml:space="preserve">Decreto Supremo N.</w:t>
      </w:r>
      <w:r>
        <w:rPr>
          <w:vertAlign w:val="superscript"/>
          <w:iCs/>
          <w:i/>
        </w:rPr>
        <w:t xml:space="preserve">o</w:t>
      </w:r>
      <w:r>
        <w:rPr>
          <w:iCs/>
          <w:i/>
        </w:rPr>
        <w:t xml:space="preserve"> 5406: modificaciones al Decreto Supremo N.</w:t>
      </w:r>
      <w:r>
        <w:rPr>
          <w:vertAlign w:val="superscript"/>
          <w:iCs/>
          <w:i/>
        </w:rPr>
        <w:t xml:space="preserve">o</w:t>
      </w:r>
      <w:r>
        <w:rPr>
          <w:iCs/>
          <w:i/>
        </w:rPr>
        <w:t xml:space="preserve"> 5321, de 23 de enero de 2025</w:t>
      </w:r>
      <w:r>
        <w:t xml:space="preserve">. Gaceta Oficial del Estado Plurinacional de Bolivia.</w:t>
      </w:r>
      <w:bookmarkEnd w:id="238"/>
    </w:p>
    <w:p>
      <w:pPr>
        <w:pStyle w:val="Bibliography"/>
      </w:pPr>
      <w:bookmarkStart w:id="239" w:name="ref-ds5452_2025"/>
      <w:r>
        <w:t xml:space="preserve">Estado Plurinacional de Bolivia. (2025b).</w:t>
      </w:r>
      <w:r>
        <w:t xml:space="preserve"> </w:t>
      </w:r>
      <w:r>
        <w:rPr>
          <w:iCs/>
          <w:i/>
        </w:rPr>
        <w:t xml:space="preserve">Decreto Supremo N.</w:t>
      </w:r>
      <w:r>
        <w:rPr>
          <w:vertAlign w:val="superscript"/>
          <w:iCs/>
          <w:i/>
        </w:rPr>
        <w:t xml:space="preserve">o</w:t>
      </w:r>
      <w:r>
        <w:rPr>
          <w:iCs/>
          <w:i/>
        </w:rPr>
        <w:t xml:space="preserve"> 5452: modificaciones e incorporaciones en el Decreto Supremo N.</w:t>
      </w:r>
      <w:r>
        <w:rPr>
          <w:vertAlign w:val="superscript"/>
          <w:iCs/>
          <w:i/>
        </w:rPr>
        <w:t xml:space="preserve">o</w:t>
      </w:r>
      <w:r>
        <w:rPr>
          <w:iCs/>
          <w:i/>
        </w:rPr>
        <w:t xml:space="preserve"> 5321, de 23 de enero de 2025</w:t>
      </w:r>
      <w:r>
        <w:t xml:space="preserve">. Gaceta Oficial del Estado Plurinacional de Bolivia.</w:t>
      </w:r>
      <w:bookmarkEnd w:id="239"/>
    </w:p>
    <w:p>
      <w:pPr>
        <w:pStyle w:val="Bibliography"/>
      </w:pPr>
      <w:bookmarkStart w:id="241" w:name="ref-ds5321_2025"/>
      <w:r>
        <w:t xml:space="preserve">Estado Plurinacional de Bolivia. (2025c).</w:t>
      </w:r>
      <w:r>
        <w:t xml:space="preserve"> </w:t>
      </w:r>
      <w:r>
        <w:rPr>
          <w:iCs/>
          <w:i/>
        </w:rPr>
        <w:t xml:space="preserve">Decreto Supremo N.</w:t>
      </w:r>
      <w:r>
        <w:rPr>
          <w:vertAlign w:val="superscript"/>
          <w:iCs/>
          <w:i/>
        </w:rPr>
        <w:t xml:space="preserve">o</w:t>
      </w:r>
      <w:r>
        <w:rPr>
          <w:iCs/>
          <w:i/>
        </w:rPr>
        <w:t xml:space="preserve"> </w:t>
      </w:r>
      <w:r>
        <w:rPr>
          <w:iCs/>
          <w:i/>
        </w:rPr>
        <w:t xml:space="preserve">5321: ajuste excepcional de precios de materiales importados en contratos de obra</w:t>
      </w:r>
      <w:r>
        <w:t xml:space="preserve"> </w:t>
      </w:r>
      <w:r>
        <w:t xml:space="preserve">[Gaceta Oficial de Bolivia].</w:t>
      </w:r>
      <w:r>
        <w:t xml:space="preserve"> </w:t>
      </w:r>
      <w:hyperlink r:id="rId240">
        <w:r>
          <w:rPr>
            <w:rStyle w:val="Hyperlink"/>
          </w:rPr>
          <w:t xml:space="preserve">http://www.gacetaoficialdebolivia.gob.bo/normas/verGratis_gob/280603</w:t>
        </w:r>
      </w:hyperlink>
      <w:bookmarkEnd w:id="241"/>
    </w:p>
    <w:p>
      <w:pPr>
        <w:pStyle w:val="Bibliography"/>
      </w:pPr>
      <w:bookmarkStart w:id="243" w:name="ref-ds5597_2026"/>
      <w:r>
        <w:t xml:space="preserve">Estado Plurinacional de Bolivia. (2026).</w:t>
      </w:r>
      <w:r>
        <w:t xml:space="preserve"> </w:t>
      </w:r>
      <w:r>
        <w:rPr>
          <w:iCs/>
          <w:i/>
        </w:rPr>
        <w:t xml:space="preserve">Decreto Supremo N.</w:t>
      </w:r>
      <w:r>
        <w:rPr>
          <w:vertAlign w:val="superscript"/>
          <w:iCs/>
          <w:i/>
        </w:rPr>
        <w:t xml:space="preserve">o</w:t>
      </w:r>
      <w:r>
        <w:rPr>
          <w:iCs/>
          <w:i/>
        </w:rPr>
        <w:t xml:space="preserve"> </w:t>
      </w:r>
      <w:r>
        <w:rPr>
          <w:iCs/>
          <w:i/>
        </w:rPr>
        <w:t xml:space="preserve">5597: ajuste excepcional de precios de materiales de construcción, maquinaria y equipo en contratos de obra</w:t>
      </w:r>
      <w:r>
        <w:t xml:space="preserve"> </w:t>
      </w:r>
      <w:r>
        <w:t xml:space="preserve">[Gaceta Oficial de Bolivia].</w:t>
      </w:r>
      <w:r>
        <w:t xml:space="preserve"> </w:t>
      </w:r>
      <w:hyperlink r:id="rId242">
        <w:r>
          <w:rPr>
            <w:rStyle w:val="Hyperlink"/>
          </w:rPr>
          <w:t xml:space="preserve">http://www.gacetaoficialdebolivia.gob.bo/normas/verGratis_gob/281136</w:t>
        </w:r>
      </w:hyperlink>
      <w:bookmarkEnd w:id="243"/>
    </w:p>
    <w:p>
      <w:pPr>
        <w:pStyle w:val="Bibliography"/>
      </w:pPr>
      <w:bookmarkStart w:id="244" w:name="ref-fancesa2025"/>
      <w:r>
        <w:t xml:space="preserve">Fábrica Nacional de Cemento S. A. (2025).</w:t>
      </w:r>
      <w:r>
        <w:t xml:space="preserve"> </w:t>
      </w:r>
      <w:r>
        <w:rPr>
          <w:iCs/>
          <w:i/>
        </w:rPr>
        <w:t xml:space="preserve">Comunicado a la opinión pública</w:t>
      </w:r>
      <w:r>
        <w:t xml:space="preserve"> </w:t>
      </w:r>
      <w:r>
        <w:t xml:space="preserve">[Comunicado].</w:t>
      </w:r>
      <w:bookmarkEnd w:id="244"/>
    </w:p>
    <w:p>
      <w:pPr>
        <w:pStyle w:val="Bibliography"/>
      </w:pPr>
      <w:bookmarkStart w:id="245" w:name="ref-ucb2025et"/>
      <w:r>
        <w:t xml:space="preserve">Fernando Aragón Ingeniería Estructural. (2025).</w:t>
      </w:r>
      <w:r>
        <w:t xml:space="preserve"> </w:t>
      </w:r>
      <w:r>
        <w:rPr>
          <w:iCs/>
          <w:i/>
        </w:rPr>
        <w:t xml:space="preserve">Pliego de especificaciones técnicas generales: hormigón armado. Proyecto: ampliación del bloque de simulación de medicina y laboratorios de ingeniería y arquitectura</w:t>
      </w:r>
      <w:r>
        <w:t xml:space="preserve"> </w:t>
      </w:r>
      <w:r>
        <w:t xml:space="preserve">[Especificaciones técnicas].</w:t>
      </w:r>
      <w:bookmarkEnd w:id="245"/>
    </w:p>
    <w:p>
      <w:pPr>
        <w:pStyle w:val="Bibliography"/>
      </w:pPr>
      <w:bookmarkStart w:id="247" w:name="ref-ferrer2018"/>
      <w:r>
        <w:t xml:space="preserve">Ferrer Lavado, W. W. (2018).</w:t>
      </w:r>
      <w:r>
        <w:t xml:space="preserve"> </w:t>
      </w:r>
      <w:r>
        <w:rPr>
          <w:iCs/>
          <w:i/>
        </w:rPr>
        <w:t xml:space="preserve">Planeamiento y control de los costos de la calidad en la construcción de una edificación multifamiliar, en el distrito de La Molina - Lima</w:t>
      </w:r>
      <w:r>
        <w:t xml:space="preserve"> </w:t>
      </w:r>
      <w:r>
        <w:t xml:space="preserve">[Tesis de licenciatura, Universidad César Vallejo].</w:t>
      </w:r>
      <w:r>
        <w:t xml:space="preserve"> </w:t>
      </w:r>
      <w:hyperlink r:id="rId246">
        <w:r>
          <w:rPr>
            <w:rStyle w:val="Hyperlink"/>
          </w:rPr>
          <w:t xml:space="preserve">https://hdl.handle.net/20.500.12692/25852</w:t>
        </w:r>
      </w:hyperlink>
      <w:bookmarkEnd w:id="247"/>
    </w:p>
    <w:p>
      <w:pPr>
        <w:pStyle w:val="Bibliography"/>
      </w:pPr>
      <w:bookmarkStart w:id="249" w:name="ref-forcada2017"/>
      <w:r>
        <w:t xml:space="preserve">Forcada, N., Gangolells, M., Casals, M. y Macarulla, M. (2017). Factors affecting rework costs in construction.</w:t>
      </w:r>
      <w:r>
        <w:t xml:space="preserve"> </w:t>
      </w:r>
      <w:r>
        <w:rPr>
          <w:iCs/>
          <w:i/>
        </w:rPr>
        <w:t xml:space="preserve">Journal of Construction Engineering and Management</w:t>
      </w:r>
      <w:r>
        <w:t xml:space="preserve">,</w:t>
      </w:r>
      <w:r>
        <w:t xml:space="preserve"> </w:t>
      </w:r>
      <w:r>
        <w:rPr>
          <w:iCs/>
          <w:i/>
        </w:rPr>
        <w:t xml:space="preserve">143</w:t>
      </w:r>
      <w:r>
        <w:t xml:space="preserve">(8).</w:t>
      </w:r>
      <w:r>
        <w:t xml:space="preserve"> </w:t>
      </w:r>
      <w:hyperlink r:id="rId248">
        <w:r>
          <w:rPr>
            <w:rStyle w:val="Hyperlink"/>
          </w:rPr>
          <w:t xml:space="preserve">https://doi.org/10.1061/(ASCE)CO.1943-7862.0001324</w:t>
        </w:r>
      </w:hyperlink>
      <w:bookmarkEnd w:id="249"/>
    </w:p>
    <w:p>
      <w:pPr>
        <w:pStyle w:val="Bibliography"/>
      </w:pPr>
      <w:bookmarkStart w:id="251" w:name="ref-formoso1999"/>
      <w:r>
        <w:t xml:space="preserve">Formoso, C. T., Isatto, E. L. y Hirota, E. H. (1999). Method for waste control in the building industry. En</w:t>
      </w:r>
      <w:r>
        <w:t xml:space="preserve"> </w:t>
      </w:r>
      <w:r>
        <w:rPr>
          <w:iCs/>
          <w:i/>
        </w:rPr>
        <w:t xml:space="preserve">Proceedings of the 7th Annual Conference of the International Group for Lean Construction (</w:t>
      </w:r>
      <w:r>
        <w:rPr>
          <w:iCs/>
          <w:i/>
        </w:rPr>
        <w:t xml:space="preserve">IGLC</w:t>
      </w:r>
      <w:r>
        <w:rPr>
          <w:iCs/>
          <w:i/>
        </w:rPr>
        <w:t xml:space="preserve">-7)</w:t>
      </w:r>
      <w:r>
        <w:t xml:space="preserve"> </w:t>
      </w:r>
      <w:r>
        <w:t xml:space="preserve">(pp. 325–334). University of California, Berkeley.</w:t>
      </w:r>
      <w:r>
        <w:t xml:space="preserve"> </w:t>
      </w:r>
      <w:hyperlink r:id="rId250">
        <w:r>
          <w:rPr>
            <w:rStyle w:val="Hyperlink"/>
          </w:rPr>
          <w:t xml:space="preserve">https://iglc.net/Papers/Details/69</w:t>
        </w:r>
      </w:hyperlink>
      <w:bookmarkEnd w:id="251"/>
    </w:p>
    <w:p>
      <w:pPr>
        <w:pStyle w:val="Bibliography"/>
      </w:pPr>
      <w:bookmarkStart w:id="253" w:name="ref-galarza2011"/>
      <w:r>
        <w:t xml:space="preserve">Galarza Meza, M. P. (2011).</w:t>
      </w:r>
      <w:r>
        <w:t xml:space="preserve"> </w:t>
      </w:r>
      <w:r>
        <w:rPr>
          <w:iCs/>
          <w:i/>
        </w:rPr>
        <w:t xml:space="preserve">Desperdicio de materiales en obras de construcción civil: métodos de medición y control</w:t>
      </w:r>
      <w:r>
        <w:t xml:space="preserve"> </w:t>
      </w:r>
      <w:r>
        <w:t xml:space="preserve">[Tesis de licenciatura, Pontificia Universidad Católica del Perú].</w:t>
      </w:r>
      <w:r>
        <w:t xml:space="preserve"> </w:t>
      </w:r>
      <w:hyperlink r:id="rId252">
        <w:r>
          <w:rPr>
            <w:rStyle w:val="Hyperlink"/>
          </w:rPr>
          <w:t xml:space="preserve">http://hdl.handle.net/20.500.12404/888</w:t>
        </w:r>
      </w:hyperlink>
      <w:bookmarkEnd w:id="253"/>
    </w:p>
    <w:p>
      <w:pPr>
        <w:pStyle w:val="Bibliography"/>
      </w:pPr>
      <w:bookmarkStart w:id="255" w:name="ref-graciavillar2007"/>
      <w:r>
        <w:t xml:space="preserve">Gracia Villar, S. y Dzul López, L. A. (2007). Modelo PEF de costes de la calidad como herramienta de gestión en empresas constructoras: una visión actual.</w:t>
      </w:r>
      <w:r>
        <w:t xml:space="preserve"> </w:t>
      </w:r>
      <w:r>
        <w:rPr>
          <w:iCs/>
          <w:i/>
        </w:rPr>
        <w:t xml:space="preserve">Revista Ingeniería de Construcción</w:t>
      </w:r>
      <w:r>
        <w:t xml:space="preserve">,</w:t>
      </w:r>
      <w:r>
        <w:t xml:space="preserve"> </w:t>
      </w:r>
      <w:r>
        <w:rPr>
          <w:iCs/>
          <w:i/>
        </w:rPr>
        <w:t xml:space="preserve">22</w:t>
      </w:r>
      <w:r>
        <w:t xml:space="preserve">(1), 43–56.</w:t>
      </w:r>
      <w:r>
        <w:t xml:space="preserve"> </w:t>
      </w:r>
      <w:hyperlink r:id="rId254">
        <w:r>
          <w:rPr>
            <w:rStyle w:val="Hyperlink"/>
          </w:rPr>
          <w:t xml:space="preserve">https://ojs-az.lib.uc.cl/index.php/ric/article/view/16739</w:t>
        </w:r>
      </w:hyperlink>
      <w:bookmarkEnd w:id="255"/>
    </w:p>
    <w:p>
      <w:pPr>
        <w:pStyle w:val="Bibliography"/>
      </w:pPr>
      <w:bookmarkStart w:id="257" w:name="ref-gudiel2020"/>
      <w:r>
        <w:t xml:space="preserve">Gudiel Cairampoma, R. A. y Solis Puente, N. P. (2020).</w:t>
      </w:r>
      <w:r>
        <w:t xml:space="preserve"> </w:t>
      </w:r>
      <w:r>
        <w:rPr>
          <w:iCs/>
          <w:i/>
        </w:rPr>
        <w:t xml:space="preserve">Propuesta para reducir los costos de la no calidad en las partidas de concreto armado utilizando los lineamientos del PMBOK en proyectos de edificación en pequeñas y medianas empresas en la ciudad de Lima</w:t>
      </w:r>
      <w:r>
        <w:t xml:space="preserve"> </w:t>
      </w:r>
      <w:r>
        <w:t xml:space="preserve">[Tesis de licenciatura, Universidad Peruana de Ciencias Aplicadas].</w:t>
      </w:r>
      <w:r>
        <w:t xml:space="preserve"> </w:t>
      </w:r>
      <w:hyperlink r:id="rId256">
        <w:r>
          <w:rPr>
            <w:rStyle w:val="Hyperlink"/>
          </w:rPr>
          <w:t xml:space="preserve">https://doi.org/10.19083/tesis/652829</w:t>
        </w:r>
      </w:hyperlink>
      <w:bookmarkEnd w:id="257"/>
    </w:p>
    <w:p>
      <w:pPr>
        <w:pStyle w:val="Bibliography"/>
      </w:pPr>
      <w:bookmarkStart w:id="258" w:name="ref-hernandez2018"/>
      <w:r>
        <w:t xml:space="preserve">Hernández-Sampieri, R. y Mendoza Torres, C. P. (2018).</w:t>
      </w:r>
      <w:r>
        <w:t xml:space="preserve"> </w:t>
      </w:r>
      <w:r>
        <w:rPr>
          <w:iCs/>
          <w:i/>
        </w:rPr>
        <w:t xml:space="preserve">Metodología de la investigación: las rutas cuantitativa, cualitativa y mixta</w:t>
      </w:r>
      <w:r>
        <w:t xml:space="preserve">. McGraw-Hill Interamericana Editores.</w:t>
      </w:r>
      <w:bookmarkEnd w:id="258"/>
    </w:p>
    <w:p>
      <w:pPr>
        <w:pStyle w:val="Bibliography"/>
      </w:pPr>
      <w:bookmarkStart w:id="259" w:name="ref-laslomas2025"/>
      <w:r>
        <w:t xml:space="preserve">Import Export Las Lomas Ltda. (2025).</w:t>
      </w:r>
      <w:r>
        <w:t xml:space="preserve"> </w:t>
      </w:r>
      <w:r>
        <w:rPr>
          <w:iCs/>
          <w:i/>
        </w:rPr>
        <w:t xml:space="preserve">Carta a la Empresa Constructora Kodesh sobre el retraso en la entrega de fierro corrugado</w:t>
      </w:r>
      <w:r>
        <w:t xml:space="preserve"> </w:t>
      </w:r>
      <w:r>
        <w:t xml:space="preserve">[Carta].</w:t>
      </w:r>
      <w:bookmarkEnd w:id="259"/>
    </w:p>
    <w:p>
      <w:pPr>
        <w:pStyle w:val="Bibliography"/>
      </w:pPr>
      <w:bookmarkStart w:id="261" w:name="ref-nb997_2016"/>
      <w:r>
        <w:t xml:space="preserve">Instituto Boliviano de Normalización y Calidad. (2016).</w:t>
      </w:r>
      <w:r>
        <w:t xml:space="preserve"> </w:t>
      </w:r>
      <w:r>
        <w:rPr>
          <w:iCs/>
          <w:i/>
        </w:rPr>
        <w:t xml:space="preserve">Elementos prefabricados de hormigón: viguetas prefabricadas de hormigón pretensado. Requisitos y métodos de ensayo</w:t>
      </w:r>
      <w:r>
        <w:t xml:space="preserve"> </w:t>
      </w:r>
      <w:r>
        <w:t xml:space="preserve">(Norma Boliviana NB 997:2016).</w:t>
      </w:r>
      <w:r>
        <w:t xml:space="preserve"> </w:t>
      </w:r>
      <w:hyperlink r:id="rId260">
        <w:r>
          <w:rPr>
            <w:rStyle w:val="Hyperlink"/>
          </w:rPr>
          <w:t xml:space="preserve">https://www.ibnorca.org/tienda/catalogo/detalle-norma/nb-997:2016-nid=2436-12</w:t>
        </w:r>
      </w:hyperlink>
      <w:bookmarkEnd w:id="261"/>
    </w:p>
    <w:p>
      <w:pPr>
        <w:pStyle w:val="Bibliography"/>
      </w:pPr>
      <w:bookmarkStart w:id="263" w:name="ref-nb1225001_2017"/>
      <w:r>
        <w:t xml:space="preserve">Instituto Boliviano de Normalización y Calidad. (2017).</w:t>
      </w:r>
      <w:r>
        <w:t xml:space="preserve"> </w:t>
      </w:r>
      <w:r>
        <w:rPr>
          <w:iCs/>
          <w:i/>
        </w:rPr>
        <w:t xml:space="preserve">Hormigón estructural. Parte 1: especificaciones</w:t>
      </w:r>
      <w:r>
        <w:t xml:space="preserve"> </w:t>
      </w:r>
      <w:r>
        <w:t xml:space="preserve">(Norma Boliviana NB 1225001-1:2017).</w:t>
      </w:r>
      <w:r>
        <w:t xml:space="preserve"> </w:t>
      </w:r>
      <w:hyperlink r:id="rId262">
        <w:r>
          <w:rPr>
            <w:rStyle w:val="Hyperlink"/>
          </w:rPr>
          <w:t xml:space="preserve">https://www.ibnorca.org/tienda/catalogo/detalle-norma/nb-1225001-1:2017-nid=3347-12</w:t>
        </w:r>
      </w:hyperlink>
      <w:bookmarkEnd w:id="263"/>
    </w:p>
    <w:p>
      <w:pPr>
        <w:pStyle w:val="Bibliography"/>
      </w:pPr>
      <w:bookmarkStart w:id="265" w:name="ref-ibnorca9001_2026"/>
      <w:r>
        <w:t xml:space="preserve">Instituto Boliviano de Normalización y Calidad. (2026).</w:t>
      </w:r>
      <w:r>
        <w:t xml:space="preserve"> </w:t>
      </w:r>
      <w:r>
        <w:rPr>
          <w:iCs/>
          <w:i/>
        </w:rPr>
        <w:t xml:space="preserve">Sistemas de gestión de la calidad: requisitos</w:t>
      </w:r>
      <w:r>
        <w:t xml:space="preserve"> </w:t>
      </w:r>
      <w:r>
        <w:t xml:space="preserve">(Norma Boliviana NB/ISO 9001:2026).</w:t>
      </w:r>
      <w:r>
        <w:t xml:space="preserve"> </w:t>
      </w:r>
      <w:hyperlink r:id="rId264">
        <w:r>
          <w:rPr>
            <w:rStyle w:val="Hyperlink"/>
          </w:rPr>
          <w:t xml:space="preserve">https://www.ibnorca.org/tienda/catalogo/detalle-norma/nb/iso-9001:2026-nid=4204-1</w:t>
        </w:r>
      </w:hyperlink>
      <w:bookmarkEnd w:id="265"/>
    </w:p>
    <w:p>
      <w:pPr>
        <w:pStyle w:val="Bibliography"/>
      </w:pPr>
      <w:bookmarkStart w:id="267" w:name="ref-ine2026precios"/>
      <w:r>
        <w:t xml:space="preserve">Instituto Nacional de Estadística. (2026).</w:t>
      </w:r>
      <w:r>
        <w:t xml:space="preserve"> </w:t>
      </w:r>
      <w:r>
        <w:rPr>
          <w:iCs/>
          <w:i/>
        </w:rPr>
        <w:t xml:space="preserve">Potosí: precios promedio de materiales y herramientas menores de construcción, 2021–2026</w:t>
      </w:r>
      <w:r>
        <w:t xml:space="preserve"> </w:t>
      </w:r>
      <w:r>
        <w:t xml:space="preserve">[Dataset].</w:t>
      </w:r>
      <w:r>
        <w:t xml:space="preserve"> </w:t>
      </w:r>
      <w:hyperlink r:id="rId266">
        <w:r>
          <w:rPr>
            <w:rStyle w:val="Hyperlink"/>
          </w:rPr>
          <w:t xml:space="preserve">https://www.ine.gob.bo/index.php/estadisticas-economicas/construccion/costos-de-contruccion/</w:t>
        </w:r>
      </w:hyperlink>
      <w:bookmarkEnd w:id="267"/>
    </w:p>
    <w:p>
      <w:pPr>
        <w:pStyle w:val="Bibliography"/>
      </w:pPr>
      <w:bookmarkStart w:id="269" w:name="ref-khadim2023"/>
      <w:r>
        <w:t xml:space="preserve">Khadim, N., Thaheem, M. J., Ullah, F. y Mahmood, M. N. (2023). Quantifying the cost of quality in construction projects: An insight into the base of the iceberg.</w:t>
      </w:r>
      <w:r>
        <w:t xml:space="preserve"> </w:t>
      </w:r>
      <w:r>
        <w:rPr>
          <w:iCs/>
          <w:i/>
        </w:rPr>
        <w:t xml:space="preserve">Quality &amp; Quantity</w:t>
      </w:r>
      <w:r>
        <w:t xml:space="preserve">,</w:t>
      </w:r>
      <w:r>
        <w:t xml:space="preserve"> </w:t>
      </w:r>
      <w:r>
        <w:rPr>
          <w:iCs/>
          <w:i/>
        </w:rPr>
        <w:t xml:space="preserve">57</w:t>
      </w:r>
      <w:r>
        <w:t xml:space="preserve">(6), 5403–5429.</w:t>
      </w:r>
      <w:r>
        <w:t xml:space="preserve"> </w:t>
      </w:r>
      <w:hyperlink r:id="rId268">
        <w:r>
          <w:rPr>
            <w:rStyle w:val="Hyperlink"/>
          </w:rPr>
          <w:t xml:space="preserve">https://doi.org/10.1007/s11135-022-01574-8</w:t>
        </w:r>
      </w:hyperlink>
      <w:bookmarkEnd w:id="269"/>
    </w:p>
    <w:p>
      <w:pPr>
        <w:pStyle w:val="Bibliography"/>
      </w:pPr>
      <w:bookmarkStart w:id="271" w:name="ref-koskela1992"/>
      <w:r>
        <w:t xml:space="preserve">Koskela, L. (1992).</w:t>
      </w:r>
      <w:r>
        <w:t xml:space="preserve"> </w:t>
      </w:r>
      <w:r>
        <w:rPr>
          <w:iCs/>
          <w:i/>
        </w:rPr>
        <w:t xml:space="preserve">Application of the new production philosophy to construction</w:t>
      </w:r>
      <w:r>
        <w:t xml:space="preserve"> </w:t>
      </w:r>
      <w:r>
        <w:t xml:space="preserve">(Technical Report 72). Center for Integrated Facility Engineering, Stanford University.</w:t>
      </w:r>
      <w:r>
        <w:t xml:space="preserve"> </w:t>
      </w:r>
      <w:hyperlink r:id="rId270">
        <w:r>
          <w:rPr>
            <w:rStyle w:val="Hyperlink"/>
          </w:rPr>
          <w:t xml:space="preserve">https://purl.stanford.edu/kh328xt3298</w:t>
        </w:r>
      </w:hyperlink>
      <w:bookmarkEnd w:id="271"/>
    </w:p>
    <w:p>
      <w:pPr>
        <w:pStyle w:val="Bibliography"/>
      </w:pPr>
      <w:bookmarkStart w:id="272" w:name="ref-labuatf2025"/>
      <w:r>
        <w:t xml:space="preserve">Laboratorio de Resistencia de Materiales y Tecnología del Hormigón. (2025).</w:t>
      </w:r>
      <w:r>
        <w:t xml:space="preserve"> </w:t>
      </w:r>
      <w:r>
        <w:rPr>
          <w:iCs/>
          <w:i/>
        </w:rPr>
        <w:t xml:space="preserve">Certificado de laboratorio N.</w:t>
      </w:r>
      <w:r>
        <w:rPr>
          <w:vertAlign w:val="superscript"/>
          <w:iCs/>
          <w:i/>
        </w:rPr>
        <w:t xml:space="preserve">o</w:t>
      </w:r>
      <w:r>
        <w:rPr>
          <w:iCs/>
          <w:i/>
        </w:rPr>
        <w:t xml:space="preserve"> </w:t>
      </w:r>
      <w:r>
        <w:rPr>
          <w:iCs/>
          <w:i/>
        </w:rPr>
        <w:t xml:space="preserve">000293: ensayos de compresión de probetas de hormigón, proyecto Construcción Edificio Postgrado</w:t>
      </w:r>
      <w:r>
        <w:t xml:space="preserve"> </w:t>
      </w:r>
      <w:r>
        <w:t xml:space="preserve">[Certificado]. Carrera de Ingeniería Civil, Universidad Autónoma Tomás Frías.</w:t>
      </w:r>
      <w:bookmarkEnd w:id="272"/>
    </w:p>
    <w:p>
      <w:pPr>
        <w:pStyle w:val="Bibliography"/>
      </w:pPr>
      <w:bookmarkStart w:id="274" w:name="ref-luangcharoenrat2019"/>
      <w:r>
        <w:t xml:space="preserve">Luangcharoenrat, C., Intrachooto, S., Peansupap, V. y Sutthinarakorn, W. (2019). Factors influencing construction waste generation in building construction:</w:t>
      </w:r>
      <w:r>
        <w:t xml:space="preserve"> </w:t>
      </w:r>
      <w:r>
        <w:t xml:space="preserve">Thailand</w:t>
      </w:r>
      <w:r>
        <w:t xml:space="preserve">’s perspective.</w:t>
      </w:r>
      <w:r>
        <w:t xml:space="preserve"> </w:t>
      </w:r>
      <w:r>
        <w:rPr>
          <w:iCs/>
          <w:i/>
        </w:rPr>
        <w:t xml:space="preserve">Sustainability</w:t>
      </w:r>
      <w:r>
        <w:t xml:space="preserve">,</w:t>
      </w:r>
      <w:r>
        <w:t xml:space="preserve"> </w:t>
      </w:r>
      <w:r>
        <w:rPr>
          <w:iCs/>
          <w:i/>
        </w:rPr>
        <w:t xml:space="preserve">11</w:t>
      </w:r>
      <w:r>
        <w:t xml:space="preserve">(13).</w:t>
      </w:r>
      <w:r>
        <w:t xml:space="preserve"> </w:t>
      </w:r>
      <w:hyperlink r:id="rId273">
        <w:r>
          <w:rPr>
            <w:rStyle w:val="Hyperlink"/>
          </w:rPr>
          <w:t xml:space="preserve">https://doi.org/10.3390/su11133638</w:t>
        </w:r>
      </w:hyperlink>
      <w:bookmarkEnd w:id="274"/>
    </w:p>
    <w:p>
      <w:pPr>
        <w:pStyle w:val="Bibliography"/>
      </w:pPr>
      <w:bookmarkStart w:id="276" w:name="ref-maciel2016"/>
      <w:r>
        <w:t xml:space="preserve">Maciel, T., Stumpf, M. y Kern, A. (2016). Propuesta de un sistema de planificación y control de residuos en la construcción.</w:t>
      </w:r>
      <w:r>
        <w:t xml:space="preserve"> </w:t>
      </w:r>
      <w:r>
        <w:rPr>
          <w:iCs/>
          <w:i/>
        </w:rPr>
        <w:t xml:space="preserve">Revista Ingeniería de Construcción</w:t>
      </w:r>
      <w:r>
        <w:t xml:space="preserve">,</w:t>
      </w:r>
      <w:r>
        <w:t xml:space="preserve"> </w:t>
      </w:r>
      <w:r>
        <w:rPr>
          <w:iCs/>
          <w:i/>
        </w:rPr>
        <w:t xml:space="preserve">31</w:t>
      </w:r>
      <w:r>
        <w:t xml:space="preserve">(2), 105–116.</w:t>
      </w:r>
      <w:r>
        <w:t xml:space="preserve"> </w:t>
      </w:r>
      <w:hyperlink r:id="rId275">
        <w:r>
          <w:rPr>
            <w:rStyle w:val="Hyperlink"/>
          </w:rPr>
          <w:t xml:space="preserve">https://doi.org/10.4067/S0718-50732016000200004</w:t>
        </w:r>
      </w:hyperlink>
      <w:bookmarkEnd w:id="276"/>
    </w:p>
    <w:p>
      <w:pPr>
        <w:pStyle w:val="Bibliography"/>
      </w:pPr>
      <w:bookmarkStart w:id="278" w:name="ref-mamanicalsina2025"/>
      <w:r>
        <w:t xml:space="preserve">Mamani Calsina, D. (2025).</w:t>
      </w:r>
      <w:r>
        <w:t xml:space="preserve"> </w:t>
      </w:r>
      <w:r>
        <w:rPr>
          <w:iCs/>
          <w:i/>
        </w:rPr>
        <w:t xml:space="preserve">Diseño de un sistema de gestión de calidad en la empresa «PRENSOCRET» basado en la NB ISO 9001:2015</w:t>
      </w:r>
      <w:r>
        <w:t xml:space="preserve"> </w:t>
      </w:r>
      <w:r>
        <w:t xml:space="preserve">[Proyecto de grado de licenciatura, Universidad Mayor de San Andrés].</w:t>
      </w:r>
      <w:r>
        <w:t xml:space="preserve"> </w:t>
      </w:r>
      <w:hyperlink r:id="rId277">
        <w:r>
          <w:rPr>
            <w:rStyle w:val="Hyperlink"/>
          </w:rPr>
          <w:t xml:space="preserve">https://repositorio.umsa.bo/handle/123456789/42372</w:t>
        </w:r>
      </w:hyperlink>
      <w:bookmarkEnd w:id="278"/>
    </w:p>
    <w:p>
      <w:pPr>
        <w:pStyle w:val="Bibliography"/>
      </w:pPr>
      <w:bookmarkStart w:id="280" w:name="ref-mamanigutierrez2018"/>
      <w:r>
        <w:t xml:space="preserve">Mamani Gutiérrez, C. K. (2017).</w:t>
      </w:r>
      <w:r>
        <w:t xml:space="preserve"> </w:t>
      </w:r>
      <w:r>
        <w:rPr>
          <w:iCs/>
          <w:i/>
        </w:rPr>
        <w:t xml:space="preserve">Diseño e implementación de un modelo de gestión integrado en calidad, medio ambiente y salud ocupacional basado en la normativa ISO 9001:2008, ISO 14001:2005 y OHSAS 18001:2007. Línea de producción de viguetas pretensadas TECNOPOR S.A. Regional La Paz</w:t>
      </w:r>
      <w:r>
        <w:t xml:space="preserve"> </w:t>
      </w:r>
      <w:r>
        <w:t xml:space="preserve">[Tesis de maestría, Universidad Mayor de San Andrés].</w:t>
      </w:r>
      <w:r>
        <w:t xml:space="preserve"> </w:t>
      </w:r>
      <w:hyperlink r:id="rId279">
        <w:r>
          <w:rPr>
            <w:rStyle w:val="Hyperlink"/>
          </w:rPr>
          <w:t xml:space="preserve">https://repositorio.umsa.bo/handle/123456789/20744</w:t>
        </w:r>
      </w:hyperlink>
      <w:bookmarkEnd w:id="280"/>
    </w:p>
    <w:p>
      <w:pPr>
        <w:pStyle w:val="Bibliography"/>
      </w:pPr>
      <w:bookmarkStart w:id="281" w:name="ref-dbc2022"/>
      <w:r>
        <w:t xml:space="preserve">Ministerio de Economía y Finanzas Públicas. (2022).</w:t>
      </w:r>
      <w:r>
        <w:t xml:space="preserve"> </w:t>
      </w:r>
      <w:r>
        <w:rPr>
          <w:iCs/>
          <w:i/>
        </w:rPr>
        <w:t xml:space="preserve">Modelo de documento base de contratación de obras: Licitación Pública</w:t>
      </w:r>
      <w:r>
        <w:t xml:space="preserve"> </w:t>
      </w:r>
      <w:r>
        <w:t xml:space="preserve">[Aprobado por Resolución Ministerial N.\textsuperscript{o}~021 de 2 de febrero de 2022; sustituido por la R.M. N.\textsuperscript{o}~048/2024]. Ministerio de Economía y Finanzas Públicas.</w:t>
      </w:r>
      <w:bookmarkEnd w:id="281"/>
    </w:p>
    <w:p>
      <w:pPr>
        <w:pStyle w:val="Bibliography"/>
      </w:pPr>
      <w:bookmarkStart w:id="282" w:name="ref-rm048_2024"/>
      <w:r>
        <w:t xml:space="preserve">Ministerio de Economía y Finanzas Públicas. (2024).</w:t>
      </w:r>
      <w:r>
        <w:t xml:space="preserve"> </w:t>
      </w:r>
      <w:r>
        <w:rPr>
          <w:iCs/>
          <w:i/>
        </w:rPr>
        <w:t xml:space="preserve">Resolución Ministerial N.</w:t>
      </w:r>
      <w:r>
        <w:rPr>
          <w:vertAlign w:val="superscript"/>
          <w:iCs/>
          <w:i/>
        </w:rPr>
        <w:t xml:space="preserve">o</w:t>
      </w:r>
      <w:r>
        <w:rPr>
          <w:iCs/>
          <w:i/>
        </w:rPr>
        <w:t xml:space="preserve"> 048: aprueba el Reglamento de Contrataciones con Apoyo de Medios Electrónicos y los modelos de documento base de contratación de obras (</w:t>
      </w:r>
      <w:r>
        <w:rPr>
          <w:iCs/>
          <w:i/>
        </w:rPr>
        <w:t xml:space="preserve">ANPE</w:t>
      </w:r>
      <w:r>
        <w:rPr>
          <w:iCs/>
          <w:i/>
        </w:rPr>
        <w:t xml:space="preserve"> </w:t>
      </w:r>
      <w:r>
        <w:rPr>
          <w:iCs/>
          <w:i/>
        </w:rPr>
        <w:t xml:space="preserve">y Licitación Pública)</w:t>
      </w:r>
      <w:r>
        <w:t xml:space="preserve">.</w:t>
      </w:r>
      <w:bookmarkEnd w:id="282"/>
    </w:p>
    <w:p>
      <w:pPr>
        <w:pStyle w:val="Bibliography"/>
      </w:pPr>
      <w:bookmarkStart w:id="283" w:name="ref-ds0181_2025compilado"/>
      <w:r>
        <w:t xml:space="preserve">Ministerio de Economía y Finanzas Públicas. (2025).</w:t>
      </w:r>
      <w:r>
        <w:t xml:space="preserve"> </w:t>
      </w:r>
      <w:r>
        <w:rPr>
          <w:iCs/>
          <w:i/>
        </w:rPr>
        <w:t xml:space="preserve">NB-SABS: Decreto Supremo N.</w:t>
      </w:r>
      <w:r>
        <w:rPr>
          <w:vertAlign w:val="superscript"/>
          <w:iCs/>
          <w:i/>
        </w:rPr>
        <w:t xml:space="preserve">o</w:t>
      </w:r>
      <w:r>
        <w:rPr>
          <w:iCs/>
          <w:i/>
        </w:rPr>
        <w:t xml:space="preserve"> 0181, Decreto Supremo N.</w:t>
      </w:r>
      <w:r>
        <w:rPr>
          <w:vertAlign w:val="superscript"/>
          <w:iCs/>
          <w:i/>
        </w:rPr>
        <w:t xml:space="preserve">o</w:t>
      </w:r>
      <w:r>
        <w:rPr>
          <w:iCs/>
          <w:i/>
        </w:rPr>
        <w:t xml:space="preserve"> 1497, Decreto Supremo N.</w:t>
      </w:r>
      <w:r>
        <w:rPr>
          <w:vertAlign w:val="superscript"/>
          <w:iCs/>
          <w:i/>
        </w:rPr>
        <w:t xml:space="preserve">o</w:t>
      </w:r>
      <w:r>
        <w:rPr>
          <w:iCs/>
          <w:i/>
        </w:rPr>
        <w:t xml:space="preserve"> 4453, Reglamento del RUPE, Reglamento de Contrataciones con Apoyo de Medios Electrónicos y Manual de Operaciones del SICOES</w:t>
      </w:r>
      <w:r>
        <w:t xml:space="preserve"> </w:t>
      </w:r>
      <w:r>
        <w:t xml:space="preserve">[Texto compilado, actualizado 2025].</w:t>
      </w:r>
      <w:bookmarkEnd w:id="283"/>
    </w:p>
    <w:p>
      <w:pPr>
        <w:pStyle w:val="Bibliography"/>
      </w:pPr>
      <w:bookmarkStart w:id="284" w:name="ref-mopsv2023nbds"/>
      <w:r>
        <w:t xml:space="preserve">Ministerio de Obras Públicas, Servicios y Vivienda. (2023).</w:t>
      </w:r>
      <w:r>
        <w:t xml:space="preserve"> </w:t>
      </w:r>
      <w:r>
        <w:rPr>
          <w:iCs/>
          <w:i/>
        </w:rPr>
        <w:t xml:space="preserve">Norma Boliviana de Diseño Sísmico (NBDS 2023)</w:t>
      </w:r>
      <w:r>
        <w:t xml:space="preserve">.</w:t>
      </w:r>
      <w:bookmarkEnd w:id="284"/>
    </w:p>
    <w:p>
      <w:pPr>
        <w:pStyle w:val="Bibliography"/>
      </w:pPr>
      <w:bookmarkStart w:id="286" w:name="ref-muro2020"/>
      <w:r>
        <w:t xml:space="preserve">Muro Núñez, E. A. (2020).</w:t>
      </w:r>
      <w:r>
        <w:t xml:space="preserve"> </w:t>
      </w:r>
      <w:r>
        <w:rPr>
          <w:iCs/>
          <w:i/>
        </w:rPr>
        <w:t xml:space="preserve">Evaluación del control de calidad en la construcción del sistema de estructuras del Open Plaza Pucallpa</w:t>
      </w:r>
      <w:r>
        <w:t xml:space="preserve"> </w:t>
      </w:r>
      <w:r>
        <w:t xml:space="preserve">[Tesis de licenciatura, Universidad César Vallejo].</w:t>
      </w:r>
      <w:r>
        <w:t xml:space="preserve"> </w:t>
      </w:r>
      <w:hyperlink r:id="rId285">
        <w:r>
          <w:rPr>
            <w:rStyle w:val="Hyperlink"/>
          </w:rPr>
          <w:t xml:space="preserve">https://hdl.handle.net/20.500.12692/92836</w:t>
        </w:r>
      </w:hyperlink>
      <w:bookmarkEnd w:id="286"/>
    </w:p>
    <w:p>
      <w:pPr>
        <w:pStyle w:val="Bibliography"/>
      </w:pPr>
      <w:bookmarkStart w:id="287" w:name="ref-iso10006_2017"/>
      <w:r>
        <w:t xml:space="preserve">Organización Internacional de Normalización. (2017).</w:t>
      </w:r>
      <w:r>
        <w:t xml:space="preserve"> </w:t>
      </w:r>
      <w:r>
        <w:rPr>
          <w:iCs/>
          <w:i/>
        </w:rPr>
        <w:t xml:space="preserve">Gestión de la calidad: directrices para la gestión de la calidad en los proyectos</w:t>
      </w:r>
      <w:r>
        <w:t xml:space="preserve"> </w:t>
      </w:r>
      <w:r>
        <w:t xml:space="preserve">(Norma ISO 10006:2017).</w:t>
      </w:r>
      <w:bookmarkEnd w:id="287"/>
    </w:p>
    <w:p>
      <w:pPr>
        <w:pStyle w:val="Bibliography"/>
      </w:pPr>
      <w:bookmarkStart w:id="288" w:name="ref-iso10005_2018"/>
      <w:r>
        <w:t xml:space="preserve">Organización Internacional de Normalización. (2018).</w:t>
      </w:r>
      <w:r>
        <w:t xml:space="preserve"> </w:t>
      </w:r>
      <w:r>
        <w:rPr>
          <w:iCs/>
          <w:i/>
        </w:rPr>
        <w:t xml:space="preserve">Gestión de la calidad: directrices para los planes de la calidad</w:t>
      </w:r>
      <w:r>
        <w:t xml:space="preserve"> </w:t>
      </w:r>
      <w:r>
        <w:t xml:space="preserve">(Norma ISO 10005:2018).</w:t>
      </w:r>
      <w:bookmarkEnd w:id="288"/>
    </w:p>
    <w:p>
      <w:pPr>
        <w:pStyle w:val="Bibliography"/>
      </w:pPr>
      <w:bookmarkStart w:id="290" w:name="ref-iso9000_2026"/>
      <w:r>
        <w:t xml:space="preserve">Organización Internacional de Normalización. (2026a).</w:t>
      </w:r>
      <w:r>
        <w:t xml:space="preserve"> </w:t>
      </w:r>
      <w:r>
        <w:rPr>
          <w:iCs/>
          <w:i/>
        </w:rPr>
        <w:t xml:space="preserve">Gestión de la calidad: fundamentos y vocabulario</w:t>
      </w:r>
      <w:r>
        <w:t xml:space="preserve"> </w:t>
      </w:r>
      <w:r>
        <w:t xml:space="preserve">(Norma ISO 9000:2026).</w:t>
      </w:r>
      <w:r>
        <w:t xml:space="preserve"> </w:t>
      </w:r>
      <w:hyperlink r:id="rId289">
        <w:r>
          <w:rPr>
            <w:rStyle w:val="Hyperlink"/>
          </w:rPr>
          <w:t xml:space="preserve">https://www.iso.org/standard/88465.html</w:t>
        </w:r>
      </w:hyperlink>
      <w:bookmarkEnd w:id="290"/>
    </w:p>
    <w:p>
      <w:pPr>
        <w:pStyle w:val="Bibliography"/>
      </w:pPr>
      <w:bookmarkStart w:id="292" w:name="ref-iso9001_2026"/>
      <w:r>
        <w:t xml:space="preserve">Organización Internacional de Normalización. (2026b).</w:t>
      </w:r>
      <w:r>
        <w:t xml:space="preserve"> </w:t>
      </w:r>
      <w:r>
        <w:rPr>
          <w:iCs/>
          <w:i/>
        </w:rPr>
        <w:t xml:space="preserve">Sistemas de gestión de la calidad: requisitos</w:t>
      </w:r>
      <w:r>
        <w:t xml:space="preserve"> </w:t>
      </w:r>
      <w:r>
        <w:t xml:space="preserve">(Norma ISO 9001:2026).</w:t>
      </w:r>
      <w:r>
        <w:t xml:space="preserve"> </w:t>
      </w:r>
      <w:hyperlink r:id="rId291">
        <w:r>
          <w:rPr>
            <w:rStyle w:val="Hyperlink"/>
          </w:rPr>
          <w:t xml:space="preserve">https://www.iso.org/standard/88464.html</w:t>
        </w:r>
      </w:hyperlink>
      <w:bookmarkEnd w:id="292"/>
    </w:p>
    <w:p>
      <w:pPr>
        <w:pStyle w:val="Bibliography"/>
      </w:pPr>
      <w:bookmarkStart w:id="294" w:name="ref-pajarito2015"/>
      <w:r>
        <w:t xml:space="preserve">Pajarito Mamani, R. (2015).</w:t>
      </w:r>
      <w:r>
        <w:t xml:space="preserve"> </w:t>
      </w:r>
      <w:r>
        <w:rPr>
          <w:iCs/>
          <w:i/>
        </w:rPr>
        <w:t xml:space="preserve">Diseño e implementación de un sistema de gestión de calidad bajo la norma NB ISO 9001:2008 en la empresa «TENSOCRET SRL»</w:t>
      </w:r>
      <w:r>
        <w:t xml:space="preserve"> </w:t>
      </w:r>
      <w:r>
        <w:t xml:space="preserve">[Proyecto de grado de licenciatura, Universidad Mayor de San Andrés].</w:t>
      </w:r>
      <w:r>
        <w:t xml:space="preserve"> </w:t>
      </w:r>
      <w:hyperlink r:id="rId293">
        <w:r>
          <w:rPr>
            <w:rStyle w:val="Hyperlink"/>
          </w:rPr>
          <w:t xml:space="preserve">https://repositorio.umsa.bo/handle/123456789/22080</w:t>
        </w:r>
      </w:hyperlink>
      <w:bookmarkEnd w:id="294"/>
    </w:p>
    <w:p>
      <w:pPr>
        <w:pStyle w:val="Bibliography"/>
      </w:pPr>
      <w:bookmarkStart w:id="296" w:name="ref-palanisamy2025"/>
      <w:r>
        <w:t xml:space="preserve">Palanisamy, I. y Palanichamy, S. (2025). Analysis and evaluation of cost of quality (</w:t>
      </w:r>
      <w:r>
        <w:t xml:space="preserve">COQ</w:t>
      </w:r>
      <w:r>
        <w:t xml:space="preserve">) elements on total quality costs in construction projects: Design of experiments.</w:t>
      </w:r>
      <w:r>
        <w:t xml:space="preserve"> </w:t>
      </w:r>
      <w:r>
        <w:rPr>
          <w:iCs/>
          <w:i/>
        </w:rPr>
        <w:t xml:space="preserve">Matéria (Rio de Janeiro)</w:t>
      </w:r>
      <w:r>
        <w:t xml:space="preserve">,</w:t>
      </w:r>
      <w:r>
        <w:t xml:space="preserve"> </w:t>
      </w:r>
      <w:r>
        <w:rPr>
          <w:iCs/>
          <w:i/>
        </w:rPr>
        <w:t xml:space="preserve">30</w:t>
      </w:r>
      <w:r>
        <w:t xml:space="preserve">.</w:t>
      </w:r>
      <w:r>
        <w:t xml:space="preserve"> </w:t>
      </w:r>
      <w:hyperlink r:id="rId295">
        <w:r>
          <w:rPr>
            <w:rStyle w:val="Hyperlink"/>
          </w:rPr>
          <w:t xml:space="preserve">https://doi.org/10.1590/1517-7076-RMAT-2024-0738</w:t>
        </w:r>
      </w:hyperlink>
      <w:bookmarkEnd w:id="296"/>
    </w:p>
    <w:p>
      <w:pPr>
        <w:pStyle w:val="Bibliography"/>
      </w:pPr>
      <w:bookmarkStart w:id="298" w:name="ref-pena2024"/>
      <w:r>
        <w:t xml:space="preserve">Peña Callisaya, J. A. (2024).</w:t>
      </w:r>
      <w:r>
        <w:t xml:space="preserve"> </w:t>
      </w:r>
      <w:r>
        <w:rPr>
          <w:iCs/>
          <w:i/>
        </w:rPr>
        <w:t xml:space="preserve">Diseño de un sistema de gestión de la calidad según la NB/ISO 9001:2015 en el área de producción de la empresa «ISOCRET»</w:t>
      </w:r>
      <w:r>
        <w:t xml:space="preserve"> </w:t>
      </w:r>
      <w:r>
        <w:t xml:space="preserve">[Proyecto de grado de licenciatura, Universidad Mayor de San Andrés].</w:t>
      </w:r>
      <w:r>
        <w:t xml:space="preserve"> </w:t>
      </w:r>
      <w:hyperlink r:id="rId297">
        <w:r>
          <w:rPr>
            <w:rStyle w:val="Hyperlink"/>
          </w:rPr>
          <w:t xml:space="preserve">https://repositorio.umsa.bo/handle/123456789/41024</w:t>
        </w:r>
      </w:hyperlink>
      <w:bookmarkEnd w:id="298"/>
    </w:p>
    <w:p>
      <w:pPr>
        <w:pStyle w:val="Bibliography"/>
      </w:pPr>
      <w:bookmarkStart w:id="299" w:name="ref-pons2014"/>
      <w:r>
        <w:t xml:space="preserve">Pons Achell, J. F. (2014).</w:t>
      </w:r>
      <w:r>
        <w:t xml:space="preserve"> </w:t>
      </w:r>
      <w:r>
        <w:rPr>
          <w:iCs/>
          <w:i/>
        </w:rPr>
        <w:t xml:space="preserve">Introducción a</w:t>
      </w:r>
      <w:r>
        <w:rPr>
          <w:iCs/>
          <w:i/>
        </w:rPr>
        <w:t xml:space="preserve"> </w:t>
      </w:r>
      <w:r>
        <w:rPr>
          <w:iCs/>
          <w:i/>
        </w:rPr>
        <w:t xml:space="preserve">Lean Construction</w:t>
      </w:r>
      <w:r>
        <w:t xml:space="preserve">. Fundación Laboral de la Construcción.</w:t>
      </w:r>
      <w:bookmarkEnd w:id="299"/>
    </w:p>
    <w:p>
      <w:pPr>
        <w:pStyle w:val="Bibliography"/>
      </w:pPr>
      <w:bookmarkStart w:id="301" w:name="ref-porrasdiaz2014"/>
      <w:r>
        <w:t xml:space="preserve">Porras Díaz, H., Sánchez Rivera, O. G. y Galvis Guerra, J. A. (2014). Filosofía</w:t>
      </w:r>
      <w:r>
        <w:t xml:space="preserve"> </w:t>
      </w:r>
      <w:r>
        <w:t xml:space="preserve">Lean Construction</w:t>
      </w:r>
      <w:r>
        <w:t xml:space="preserve"> </w:t>
      </w:r>
      <w:r>
        <w:t xml:space="preserve">para la gestión de proyectos de construcción: una revisión actual.</w:t>
      </w:r>
      <w:r>
        <w:t xml:space="preserve"> </w:t>
      </w:r>
      <w:r>
        <w:rPr>
          <w:iCs/>
          <w:i/>
        </w:rPr>
        <w:t xml:space="preserve">Avances: Investigación en Ingeniería</w:t>
      </w:r>
      <w:r>
        <w:t xml:space="preserve">,</w:t>
      </w:r>
      <w:r>
        <w:t xml:space="preserve"> </w:t>
      </w:r>
      <w:r>
        <w:rPr>
          <w:iCs/>
          <w:i/>
        </w:rPr>
        <w:t xml:space="preserve">11</w:t>
      </w:r>
      <w:r>
        <w:t xml:space="preserve">(1), 32–53.</w:t>
      </w:r>
      <w:r>
        <w:t xml:space="preserve"> </w:t>
      </w:r>
      <w:hyperlink r:id="rId300">
        <w:r>
          <w:rPr>
            <w:rStyle w:val="Hyperlink"/>
          </w:rPr>
          <w:t xml:space="preserve">https://doi.org/10.18041/1794-4953/avances.1.298</w:t>
        </w:r>
      </w:hyperlink>
      <w:bookmarkEnd w:id="301"/>
    </w:p>
    <w:p>
      <w:pPr>
        <w:pStyle w:val="Bibliography"/>
      </w:pPr>
      <w:bookmarkStart w:id="303" w:name="ref-pradoroman2018"/>
      <w:r>
        <w:t xml:space="preserve">Prado-Román, C., del Castillo-Peces, C., Mercado-Idoeta, C. y del Castillo-Peces, J. (2018). The effects of implementing</w:t>
      </w:r>
      <w:r>
        <w:t xml:space="preserve"> </w:t>
      </w:r>
      <w:r>
        <w:t xml:space="preserve">ISO</w:t>
      </w:r>
      <w:r>
        <w:t xml:space="preserve"> </w:t>
      </w:r>
      <w:r>
        <w:t xml:space="preserve">9001 in the</w:t>
      </w:r>
      <w:r>
        <w:t xml:space="preserve"> </w:t>
      </w:r>
      <w:r>
        <w:t xml:space="preserve">Spanish</w:t>
      </w:r>
      <w:r>
        <w:t xml:space="preserve"> </w:t>
      </w:r>
      <w:r>
        <w:t xml:space="preserve">construction industry.</w:t>
      </w:r>
      <w:r>
        <w:t xml:space="preserve"> </w:t>
      </w:r>
      <w:r>
        <w:rPr>
          <w:iCs/>
          <w:i/>
        </w:rPr>
        <w:t xml:space="preserve">Cuadernos de Gestión</w:t>
      </w:r>
      <w:r>
        <w:t xml:space="preserve">,</w:t>
      </w:r>
      <w:r>
        <w:t xml:space="preserve"> </w:t>
      </w:r>
      <w:r>
        <w:rPr>
          <w:iCs/>
          <w:i/>
        </w:rPr>
        <w:t xml:space="preserve">18</w:t>
      </w:r>
      <w:r>
        <w:t xml:space="preserve">(1), 149–172.</w:t>
      </w:r>
      <w:r>
        <w:t xml:space="preserve"> </w:t>
      </w:r>
      <w:hyperlink r:id="rId302">
        <w:r>
          <w:rPr>
            <w:rStyle w:val="Hyperlink"/>
          </w:rPr>
          <w:t xml:space="preserve">https://doi.org/10.5295/cdg.140507cd</w:t>
        </w:r>
      </w:hyperlink>
      <w:bookmarkEnd w:id="303"/>
    </w:p>
    <w:p>
      <w:pPr>
        <w:pStyle w:val="Bibliography"/>
      </w:pPr>
      <w:bookmarkStart w:id="304" w:name="ref-pretensa2025"/>
      <w:r>
        <w:t xml:space="preserve">PRETENSA. (2025).</w:t>
      </w:r>
      <w:r>
        <w:t xml:space="preserve"> </w:t>
      </w:r>
      <w:r>
        <w:rPr>
          <w:iCs/>
          <w:i/>
        </w:rPr>
        <w:t xml:space="preserve">Certificado de calidad: viguetas pretensadas VP, proyecto Construcción Edificio de Postgrado</w:t>
      </w:r>
      <w:r>
        <w:t xml:space="preserve"> </w:t>
      </w:r>
      <w:r>
        <w:t xml:space="preserve">[Certificado].</w:t>
      </w:r>
      <w:bookmarkEnd w:id="304"/>
    </w:p>
    <w:p>
      <w:pPr>
        <w:pStyle w:val="Bibliography"/>
      </w:pPr>
      <w:bookmarkStart w:id="305" w:name="ref-ley1178_1990"/>
      <w:r>
        <w:t xml:space="preserve">República de Bolivia. (1990).</w:t>
      </w:r>
      <w:r>
        <w:t xml:space="preserve"> </w:t>
      </w:r>
      <w:r>
        <w:rPr>
          <w:iCs/>
          <w:i/>
        </w:rPr>
        <w:t xml:space="preserve">Ley N.</w:t>
      </w:r>
      <w:r>
        <w:rPr>
          <w:vertAlign w:val="superscript"/>
          <w:iCs/>
          <w:i/>
        </w:rPr>
        <w:t xml:space="preserve">o</w:t>
      </w:r>
      <w:r>
        <w:rPr>
          <w:iCs/>
          <w:i/>
        </w:rPr>
        <w:t xml:space="preserve"> 1178 de Administración y Control Gubernamentales</w:t>
      </w:r>
      <w:r>
        <w:t xml:space="preserve">. WIPO Lex, Organización Mundial de la Propiedad Intelectual.</w:t>
      </w:r>
      <w:bookmarkEnd w:id="305"/>
    </w:p>
    <w:p>
      <w:pPr>
        <w:pStyle w:val="Bibliography"/>
      </w:pPr>
      <w:bookmarkStart w:id="307" w:name="ref-romero2007"/>
      <w:r>
        <w:t xml:space="preserve">Romero, T. y Serpell, A. (2007). Evaluando el logro de los principios de la gestión de la calidad en empresas constructoras certificadas según ISO 9001:2000.</w:t>
      </w:r>
      <w:r>
        <w:t xml:space="preserve"> </w:t>
      </w:r>
      <w:r>
        <w:rPr>
          <w:iCs/>
          <w:i/>
        </w:rPr>
        <w:t xml:space="preserve">Revista Ingeniería de Construcción</w:t>
      </w:r>
      <w:r>
        <w:t xml:space="preserve">,</w:t>
      </w:r>
      <w:r>
        <w:t xml:space="preserve"> </w:t>
      </w:r>
      <w:r>
        <w:rPr>
          <w:iCs/>
          <w:i/>
        </w:rPr>
        <w:t xml:space="preserve">22</w:t>
      </w:r>
      <w:r>
        <w:t xml:space="preserve">(3), 197–213.</w:t>
      </w:r>
      <w:r>
        <w:t xml:space="preserve"> </w:t>
      </w:r>
      <w:hyperlink r:id="rId306">
        <w:r>
          <w:rPr>
            <w:rStyle w:val="Hyperlink"/>
          </w:rPr>
          <w:t xml:space="preserve">https://doi.org/10.4067/S0718-50732007000300006</w:t>
        </w:r>
      </w:hyperlink>
      <w:bookmarkEnd w:id="307"/>
    </w:p>
    <w:p>
      <w:pPr>
        <w:pStyle w:val="Bibliography"/>
      </w:pPr>
      <w:bookmarkStart w:id="309" w:name="ref-rossi2001"/>
      <w:r>
        <w:t xml:space="preserve">Rossi, I., Torres, C. y Almeida, M. (2001). Método para medir los costos de las pérdidas en la industria de la construcción.</w:t>
      </w:r>
      <w:r>
        <w:t xml:space="preserve"> </w:t>
      </w:r>
      <w:r>
        <w:rPr>
          <w:iCs/>
          <w:i/>
        </w:rPr>
        <w:t xml:space="preserve">Revista Ingeniería de Construcción</w:t>
      </w:r>
      <w:r>
        <w:t xml:space="preserve">,</w:t>
      </w:r>
      <w:r>
        <w:t xml:space="preserve"> </w:t>
      </w:r>
      <w:r>
        <w:rPr>
          <w:iCs/>
          <w:i/>
        </w:rPr>
        <w:t xml:space="preserve">16</w:t>
      </w:r>
      <w:r>
        <w:t xml:space="preserve">(2), 127–133.</w:t>
      </w:r>
      <w:r>
        <w:t xml:space="preserve"> </w:t>
      </w:r>
      <w:hyperlink r:id="rId308">
        <w:r>
          <w:rPr>
            <w:rStyle w:val="Hyperlink"/>
          </w:rPr>
          <w:t xml:space="preserve">https://ojs-az.lib.uc.cl/index.php/ric/article/view/17303</w:t>
        </w:r>
      </w:hyperlink>
      <w:bookmarkEnd w:id="309"/>
    </w:p>
    <w:p>
      <w:pPr>
        <w:pStyle w:val="Bibliography"/>
      </w:pPr>
      <w:bookmarkStart w:id="311" w:name="ref-rojas2018"/>
      <w:r>
        <w:t xml:space="preserve">Ruiz Muñoz, N. A. y Rojas Bonilla, C. E. (2018).</w:t>
      </w:r>
      <w:r>
        <w:t xml:space="preserve"> </w:t>
      </w:r>
      <w:r>
        <w:rPr>
          <w:iCs/>
          <w:i/>
        </w:rPr>
        <w:t xml:space="preserve">Análisis de los desperdicios del concreto y su incidencia en el presupuesto final</w:t>
      </w:r>
      <w:r>
        <w:t xml:space="preserve"> </w:t>
      </w:r>
      <w:r>
        <w:t xml:space="preserve">[Trabajo de grado de tecnólogo en construcciones arquitectónicas, Universidad La Gran Colombia].</w:t>
      </w:r>
      <w:r>
        <w:t xml:space="preserve"> </w:t>
      </w:r>
      <w:hyperlink r:id="rId310">
        <w:r>
          <w:rPr>
            <w:rStyle w:val="Hyperlink"/>
          </w:rPr>
          <w:t xml:space="preserve">http://hdl.handle.net/11396/3329</w:t>
        </w:r>
      </w:hyperlink>
      <w:bookmarkEnd w:id="311"/>
    </w:p>
    <w:p>
      <w:pPr>
        <w:pStyle w:val="Bibliography"/>
      </w:pPr>
      <w:bookmarkStart w:id="313" w:name="ref-salazar2018"/>
      <w:r>
        <w:t xml:space="preserve">Salazar Retuerto, J. F. (2018).</w:t>
      </w:r>
      <w:r>
        <w:t xml:space="preserve"> </w:t>
      </w:r>
      <w:r>
        <w:rPr>
          <w:iCs/>
          <w:i/>
        </w:rPr>
        <w:t xml:space="preserve">Aplicación de la guía PMBOK para reducir los costos de los proyectos de una empresa de construcción, Talara 2018</w:t>
      </w:r>
      <w:r>
        <w:t xml:space="preserve"> </w:t>
      </w:r>
      <w:r>
        <w:t xml:space="preserve">[Tesis de licenciatura, Universidad César Vallejo].</w:t>
      </w:r>
      <w:r>
        <w:t xml:space="preserve"> </w:t>
      </w:r>
      <w:hyperlink r:id="rId312">
        <w:r>
          <w:rPr>
            <w:rStyle w:val="Hyperlink"/>
          </w:rPr>
          <w:t xml:space="preserve">https://hdl.handle.net/20.500.12692/102458</w:t>
        </w:r>
      </w:hyperlink>
      <w:bookmarkEnd w:id="313"/>
    </w:p>
    <w:p>
      <w:pPr>
        <w:pStyle w:val="Bibliography"/>
      </w:pPr>
      <w:bookmarkStart w:id="315" w:name="ref-shaikh2020"/>
      <w:r>
        <w:t xml:space="preserve">Shaikh, F. A. y Sohu, S. (2020). Implementation, advantages and management of</w:t>
      </w:r>
      <w:r>
        <w:t xml:space="preserve"> </w:t>
      </w:r>
      <w:r>
        <w:t xml:space="preserve">ISO</w:t>
      </w:r>
      <w:r>
        <w:t xml:space="preserve"> </w:t>
      </w:r>
      <w:r>
        <w:t xml:space="preserve">9001 in the construction industry.</w:t>
      </w:r>
      <w:r>
        <w:t xml:space="preserve"> </w:t>
      </w:r>
      <w:r>
        <w:rPr>
          <w:iCs/>
          <w:i/>
        </w:rPr>
        <w:t xml:space="preserve">Civil Engineering Journal</w:t>
      </w:r>
      <w:r>
        <w:t xml:space="preserve">,</w:t>
      </w:r>
      <w:r>
        <w:t xml:space="preserve"> </w:t>
      </w:r>
      <w:r>
        <w:rPr>
          <w:iCs/>
          <w:i/>
        </w:rPr>
        <w:t xml:space="preserve">6</w:t>
      </w:r>
      <w:r>
        <w:t xml:space="preserve">(6), 1136–1142.</w:t>
      </w:r>
      <w:r>
        <w:t xml:space="preserve"> </w:t>
      </w:r>
      <w:hyperlink r:id="rId314">
        <w:r>
          <w:rPr>
            <w:rStyle w:val="Hyperlink"/>
          </w:rPr>
          <w:t xml:space="preserve">https://doi.org/10.28991/cej-2020-03091535</w:t>
        </w:r>
      </w:hyperlink>
      <w:bookmarkEnd w:id="315"/>
    </w:p>
    <w:p>
      <w:pPr>
        <w:pStyle w:val="Bibliography"/>
      </w:pPr>
      <w:bookmarkStart w:id="316" w:name="ref-unicon2025"/>
      <w:r>
        <w:t xml:space="preserve">UNICON. (2025).</w:t>
      </w:r>
      <w:r>
        <w:t xml:space="preserve"> </w:t>
      </w:r>
      <w:r>
        <w:rPr>
          <w:iCs/>
          <w:i/>
        </w:rPr>
        <w:t xml:space="preserve">Certificado de calidad: poliestireno expandido EPS, proyecto Construcción Edificio de Postgrado</w:t>
      </w:r>
      <w:r>
        <w:t xml:space="preserve"> </w:t>
      </w:r>
      <w:r>
        <w:t xml:space="preserve">[Certificado].</w:t>
      </w:r>
      <w:bookmarkEnd w:id="316"/>
    </w:p>
    <w:p>
      <w:pPr>
        <w:pStyle w:val="Bibliography"/>
      </w:pPr>
      <w:bookmarkStart w:id="317" w:name="ref-uatf_et"/>
      <w:r>
        <w:t xml:space="preserve">Universidad Autónoma Tomás Frías. (s. f.-a).</w:t>
      </w:r>
      <w:r>
        <w:t xml:space="preserve"> </w:t>
      </w:r>
      <w:r>
        <w:rPr>
          <w:iCs/>
          <w:i/>
        </w:rPr>
        <w:t xml:space="preserve">Especificaciones técnicas: hormigones y losa alivianada con viguetas pretensadas y plastoformo h = 25 cm</w:t>
      </w:r>
      <w:r>
        <w:t xml:space="preserve"> </w:t>
      </w:r>
      <w:r>
        <w:t xml:space="preserve">[Documento inédito]. Departamento de Infraestructura.</w:t>
      </w:r>
      <w:bookmarkEnd w:id="317"/>
    </w:p>
    <w:p>
      <w:pPr>
        <w:pStyle w:val="Bibliography"/>
      </w:pPr>
      <w:bookmarkStart w:id="318" w:name="ref-uatf_item13"/>
      <w:r>
        <w:t xml:space="preserve">Universidad Autónoma Tomás Frías. (s. f.-b).</w:t>
      </w:r>
      <w:r>
        <w:t xml:space="preserve"> </w:t>
      </w:r>
      <w:r>
        <w:rPr>
          <w:iCs/>
          <w:i/>
        </w:rPr>
        <w:t xml:space="preserve">Expediente del ítem 13: H</w:t>
      </w:r>
      <w:r>
        <w:rPr>
          <w:vertAlign w:val="superscript"/>
          <w:iCs/>
          <w:i/>
        </w:rPr>
        <w:t xml:space="preserve">o</w:t>
      </w:r>
      <w:r>
        <w:rPr>
          <w:iCs/>
          <w:i/>
        </w:rPr>
        <w:t xml:space="preserve">S</w:t>
      </w:r>
      <w:r>
        <w:rPr>
          <w:vertAlign w:val="superscript"/>
          <w:iCs/>
          <w:i/>
        </w:rPr>
        <w:t xml:space="preserve">o</w:t>
      </w:r>
      <w:r>
        <w:rPr>
          <w:iCs/>
          <w:i/>
        </w:rPr>
        <w:t xml:space="preserve"> </w:t>
      </w:r>
      <w:r>
        <w:rPr>
          <w:iCs/>
          <w:i/>
        </w:rPr>
        <w:t xml:space="preserve">losa alivianada con vigueta simple pretensada y plastoformo h = 25 cm</w:t>
      </w:r>
      <w:r>
        <w:t xml:space="preserve"> </w:t>
      </w:r>
      <w:r>
        <w:t xml:space="preserve">[Documento inédito]. Departamento de Infraestructura.</w:t>
      </w:r>
      <w:bookmarkEnd w:id="318"/>
    </w:p>
    <w:p>
      <w:pPr>
        <w:pStyle w:val="Bibliography"/>
      </w:pPr>
      <w:bookmarkStart w:id="319" w:name="ref-uatf_pao3"/>
      <w:r>
        <w:t xml:space="preserve">Universidad Autónoma Tomás Frías. (s. f.-c).</w:t>
      </w:r>
      <w:r>
        <w:t xml:space="preserve"> </w:t>
      </w:r>
      <w:r>
        <w:rPr>
          <w:iCs/>
          <w:i/>
        </w:rPr>
        <w:t xml:space="preserve">Planilla y cómputos métricos para la resolución de contrato (PAO N.</w:t>
      </w:r>
      <w:r>
        <w:rPr>
          <w:vertAlign w:val="superscript"/>
          <w:iCs/>
          <w:i/>
        </w:rPr>
        <w:t xml:space="preserve">o</w:t>
      </w:r>
      <w:r>
        <w:rPr>
          <w:iCs/>
          <w:i/>
        </w:rPr>
        <w:t xml:space="preserve"> </w:t>
      </w:r>
      <w:r>
        <w:rPr>
          <w:iCs/>
          <w:i/>
        </w:rPr>
        <w:t xml:space="preserve">3), proyecto «Construcción Edificio de Posgrado»</w:t>
      </w:r>
      <w:r>
        <w:t xml:space="preserve"> </w:t>
      </w:r>
      <w:r>
        <w:t xml:space="preserve">[Documento inédito]. Departamento de Infraestructura.</w:t>
      </w:r>
      <w:bookmarkEnd w:id="319"/>
    </w:p>
    <w:p>
      <w:pPr>
        <w:pStyle w:val="Bibliography"/>
      </w:pPr>
      <w:bookmarkStart w:id="320" w:name="ref-uatf_planos"/>
      <w:r>
        <w:t xml:space="preserve">Universidad Autónoma Tomás Frías. (s. f.-d).</w:t>
      </w:r>
      <w:r>
        <w:t xml:space="preserve"> </w:t>
      </w:r>
      <w:r>
        <w:rPr>
          <w:iCs/>
          <w:i/>
        </w:rPr>
        <w:t xml:space="preserve">Planos de la primera losa del proyecto «Construcción Edificio de Posgrado»: geometría y sistema de ejes (Plano 01), sección y detalles de la losa con viguetas pretensadas (Plano 02) y cantidad de viguetas (Plano 03)</w:t>
      </w:r>
      <w:r>
        <w:t xml:space="preserve"> </w:t>
      </w:r>
      <w:r>
        <w:t xml:space="preserve">[Planos inéditos]. Departamento de Infraestructura.</w:t>
      </w:r>
      <w:bookmarkEnd w:id="320"/>
    </w:p>
    <w:p>
      <w:pPr>
        <w:pStyle w:val="Bibliography"/>
      </w:pPr>
      <w:bookmarkStart w:id="321" w:name="ref-uatf2025pao2"/>
      <w:r>
        <w:t xml:space="preserve">Universidad Autónoma Tomás Frías. (2025).</w:t>
      </w:r>
      <w:r>
        <w:t xml:space="preserve"> </w:t>
      </w:r>
      <w:r>
        <w:rPr>
          <w:iCs/>
          <w:i/>
        </w:rPr>
        <w:t xml:space="preserve">Planilla de avance de obra N.</w:t>
      </w:r>
      <w:r>
        <w:rPr>
          <w:vertAlign w:val="superscript"/>
          <w:iCs/>
          <w:i/>
        </w:rPr>
        <w:t xml:space="preserve">o</w:t>
      </w:r>
      <w:r>
        <w:rPr>
          <w:iCs/>
          <w:i/>
        </w:rPr>
        <w:t xml:space="preserve"> </w:t>
      </w:r>
      <w:r>
        <w:rPr>
          <w:iCs/>
          <w:i/>
        </w:rPr>
        <w:t xml:space="preserve">2 del proyecto «Construcción Edificio de Posgrado»</w:t>
      </w:r>
      <w:r>
        <w:t xml:space="preserve"> </w:t>
      </w:r>
      <w:r>
        <w:t xml:space="preserve">[Documento inédito]. Departamento de Infraestructura.</w:t>
      </w:r>
      <w:bookmarkEnd w:id="321"/>
    </w:p>
    <w:p>
      <w:pPr>
        <w:pStyle w:val="Bibliography"/>
      </w:pPr>
      <w:bookmarkStart w:id="323" w:name="ref-zurita2024"/>
      <w:r>
        <w:t xml:space="preserve">Zurita Ferrel, C. Y. (2024).</w:t>
      </w:r>
      <w:r>
        <w:t xml:space="preserve"> </w:t>
      </w:r>
      <w:r>
        <w:rPr>
          <w:iCs/>
          <w:i/>
        </w:rPr>
        <w:t xml:space="preserve">Propuesta de un sistema de gestión de la calidad basado en la norma ISO 9001:2015 para la empresa SKABULL Ingeniería y Construcción</w:t>
      </w:r>
      <w:r>
        <w:t xml:space="preserve"> </w:t>
      </w:r>
      <w:r>
        <w:t xml:space="preserve">[Proyecto de grado de maestría, Universidad Mayor de San Simón].</w:t>
      </w:r>
      <w:r>
        <w:t xml:space="preserve"> </w:t>
      </w:r>
      <w:hyperlink r:id="rId322">
        <w:r>
          <w:rPr>
            <w:rStyle w:val="Hyperlink"/>
          </w:rPr>
          <w:t xml:space="preserve">http://ddigital.umss.edu.bo/handle/123456789/49369</w:t>
        </w:r>
      </w:hyperlink>
      <w:bookmarkEnd w:id="323"/>
    </w:p>
    <w:p>
      <w:pPr>
        <w:pStyle w:val="Heading1"/>
      </w:pPr>
      <w:bookmarkStart w:id="326" w:name="tit150"/>
      <w:r>
        <w:t xml:space="preserve">Anexos</w:t>
      </w:r>
      <w:bookmarkEnd w:id="326"/>
    </w:p>
    <w:p>
      <w:pPr>
        <w:pStyle w:val="Heading1"/>
      </w:pPr>
      <w:bookmarkStart w:id="327" w:name="tit151"/>
      <w:r>
        <w:t xml:space="preserve">ANEXO A</w:t>
      </w:r>
      <w:r>
        <w:br/>
      </w:r>
      <w:r>
        <w:t xml:space="preserve">MATRIZ DE CONSISTENCIA</w:t>
      </w:r>
      <w:bookmarkEnd w:id="327"/>
    </w:p>
    <w:tbl>
      <w:tblPr>
        <w:tblStyle w:val="Table"/>
        <w:tblW w:w="9832" w:type="dxa"/>
        <w:jc w:val="left"/>
        <w:tblLayout w:type="fixed"/>
        <w:tblCellMar>
          <w:top w:w="0" w:type="dxa"/>
          <w:left w:w="85" w:type="dxa"/>
          <w:bottom w:w="0" w:type="dxa"/>
          <w:right w:w="85" w:type="dxa"/>
        </w:tblCellMar>
        <w:tblLook w:firstRow="1" w:lastRow="0" w:firstColumn="0" w:lastColumn="0" w:noHBand="0" w:noVBand="0" w:val="0020"/>
      </w:tblPr>
      <w:tblGrid>
        <w:gridCol w:w="1782"/>
        <w:gridCol w:w="1971"/>
        <w:gridCol w:w="1733"/>
        <w:gridCol w:w="1987"/>
        <w:gridCol w:w="2359"/>
      </w:tblGrid>
      <w:tr>
        <w:trPr>
          <w:cantSplit/>
          <w:tblHeader w:val="true"/>
        </w:trPr>
        <w:tc>
          <w:tcPr>
            <w:tcW w:w="1782" w:type="dxa"/>
            <w:tcBorders>
              <w:top w:val="single" w:sz="8" w:space="0" w:color="000000"/>
              <w:bottom w:val="single" w:sz="4" w:space="0" w:color="000000"/>
            </w:tcBorders>
          </w:tcPr>
          <w:p>
            <w:pPr>
              <w:pStyle w:val="CeldaAPA"/>
              <w:jc w:val="center"/>
            </w:pPr>
            <w:r>
              <w:rPr>
                <w:bCs/>
                <w:b/>
              </w:rPr>
              <w:t xml:space="preserve">Problema</w:t>
            </w:r>
          </w:p>
        </w:tc>
        <w:tc>
          <w:tcPr>
            <w:tcW w:w="1971" w:type="dxa"/>
            <w:tcBorders>
              <w:top w:val="single" w:sz="8" w:space="0" w:color="000000"/>
              <w:bottom w:val="single" w:sz="4" w:space="0" w:color="000000"/>
            </w:tcBorders>
          </w:tcPr>
          <w:p>
            <w:pPr>
              <w:pStyle w:val="CeldaAPA"/>
              <w:jc w:val="center"/>
            </w:pPr>
            <w:r>
              <w:rPr>
                <w:bCs/>
                <w:b/>
              </w:rPr>
              <w:t xml:space="preserve">Objetivos</w:t>
            </w:r>
          </w:p>
        </w:tc>
        <w:tc>
          <w:tcPr>
            <w:tcW w:w="1733" w:type="dxa"/>
            <w:tcBorders>
              <w:top w:val="single" w:sz="8" w:space="0" w:color="000000"/>
              <w:bottom w:val="single" w:sz="4" w:space="0" w:color="000000"/>
            </w:tcBorders>
          </w:tcPr>
          <w:p>
            <w:pPr>
              <w:pStyle w:val="CeldaAPA"/>
              <w:jc w:val="center"/>
            </w:pPr>
            <w:r>
              <w:rPr>
                <w:bCs/>
                <w:b/>
              </w:rPr>
              <w:t xml:space="preserve">Hipótesis</w:t>
            </w:r>
          </w:p>
        </w:tc>
        <w:tc>
          <w:tcPr>
            <w:tcW w:w="1987" w:type="dxa"/>
            <w:tcBorders>
              <w:top w:val="single" w:sz="8" w:space="0" w:color="000000"/>
              <w:bottom w:val="single" w:sz="4" w:space="0" w:color="000000"/>
            </w:tcBorders>
          </w:tcPr>
          <w:p>
            <w:pPr>
              <w:pStyle w:val="CeldaAPA"/>
              <w:jc w:val="center"/>
            </w:pPr>
            <w:r>
              <w:rPr>
                <w:bCs/>
                <w:b/>
              </w:rPr>
              <w:t xml:space="preserve">Variables e indicadores</w:t>
            </w:r>
          </w:p>
        </w:tc>
        <w:tc>
          <w:tcPr>
            <w:tcW w:w="2359" w:type="dxa"/>
            <w:tcBorders>
              <w:top w:val="single" w:sz="8" w:space="0" w:color="000000"/>
              <w:bottom w:val="single" w:sz="4" w:space="0" w:color="000000"/>
            </w:tcBorders>
          </w:tcPr>
          <w:p>
            <w:pPr>
              <w:pStyle w:val="CeldaAPA"/>
              <w:jc w:val="center"/>
            </w:pPr>
            <w:r>
              <w:rPr>
                <w:bCs/>
                <w:b/>
              </w:rPr>
              <w:t xml:space="preserve">Metodología</w:t>
            </w:r>
          </w:p>
        </w:tc>
      </w:tr>
      <w:tr>
        <w:tc>
          <w:tcPr>
            <w:tcW w:w="1782" w:type="dxa"/>
          </w:tcPr>
          <w:p>
            <w:pPr>
              <w:pStyle w:val="CeldaAPA"/>
              <w:jc w:val="left"/>
            </w:pPr>
            <w:r>
              <w:rPr>
                <w:bCs/>
                <w:b/>
              </w:rPr>
              <w:t xml:space="preserve">General:</w:t>
            </w:r>
            <w:r>
              <w:rPr/>
              <w:t xml:space="preserve"> </w:t>
            </w:r>
            <w:r>
              <w:rPr/>
              <w:t xml:space="preserve">¿De qué manera un SGC basado en la norma ISO 9001, centrado en el control de materiales, permite reducir los costos de ejecución de las losas alivianadas con viguetas pretensadas del Edificio de Posgrado de la UATF?</w:t>
            </w:r>
          </w:p>
        </w:tc>
        <w:tc>
          <w:tcPr>
            <w:tcW w:w="1971" w:type="dxa"/>
          </w:tcPr>
          <w:p>
            <w:pPr>
              <w:pStyle w:val="CeldaAPA"/>
              <w:jc w:val="left"/>
            </w:pPr>
            <w:r>
              <w:rPr>
                <w:bCs/>
                <w:b/>
              </w:rPr>
              <w:t xml:space="preserve">General:</w:t>
            </w:r>
            <w:r>
              <w:rPr/>
              <w:t xml:space="preserve"> </w:t>
            </w:r>
            <w:r>
              <w:rPr/>
              <w:t xml:space="preserve">Diseñar un SGC basado en la norma ISO 9001, centrado en el control de materiales, para reducir los costos de ejecución de dichas losas.</w:t>
            </w:r>
          </w:p>
        </w:tc>
        <w:tc>
          <w:tcPr>
            <w:tcW w:w="1733" w:type="dxa"/>
          </w:tcPr>
          <w:p>
            <w:pPr>
              <w:pStyle w:val="CeldaAPA"/>
              <w:jc w:val="left"/>
            </w:pPr>
            <w:r>
              <w:rPr>
                <w:bCs/>
                <w:b/>
              </w:rPr>
              <w:t xml:space="preserve">General:</w:t>
            </w:r>
            <w:r>
              <w:rPr/>
              <w:t xml:space="preserve"> </w:t>
            </w:r>
            <w:r>
              <w:rPr/>
              <w:t xml:space="preserve">El SGC reduce en al menos 5 % el costo unitario (Bs/m</w:t>
            </w:r>
            <w:r>
              <w:rPr>
                <w:vertAlign w:val="superscript"/>
              </w:rPr>
              <w:t xml:space="preserve">2</w:t>
            </w:r>
            <w:r>
              <w:rPr/>
              <w:t xml:space="preserve">, a precios constantes) respecto de la línea base.</w:t>
            </w:r>
          </w:p>
        </w:tc>
        <w:tc>
          <w:tcPr>
            <w:tcW w:w="1987" w:type="dxa"/>
          </w:tcPr>
          <w:p>
            <w:pPr>
              <w:pStyle w:val="CeldaAPA"/>
              <w:jc w:val="left"/>
            </w:pPr>
            <w:r>
              <w:rPr>
                <w:bCs/>
                <w:b/>
              </w:rPr>
              <w:t xml:space="preserve">X:</w:t>
            </w:r>
            <w:r>
              <w:rPr/>
              <w:t xml:space="preserve"> </w:t>
            </w:r>
            <w:r>
              <w:rPr/>
              <w:t xml:space="preserve">SGC (planificación, control de materiales, control del proceso, mejora).</w:t>
            </w:r>
            <w:r>
              <w:rPr/>
              <w:t xml:space="preserve"> </w:t>
            </w:r>
            <w:r>
              <w:rPr>
                <w:bCs/>
                <w:b/>
              </w:rPr>
              <w:t xml:space="preserve">Y:</w:t>
            </w:r>
            <w:r>
              <w:rPr/>
              <w:t xml:space="preserve"> </w:t>
            </w:r>
            <w:r>
              <w:rPr/>
              <w:t xml:space="preserve">costo de ejecución (costo directo, desperdicio, CNC, costo de la calidad, conformidad del hormigón).</w:t>
            </w:r>
          </w:p>
        </w:tc>
        <w:tc>
          <w:tcPr>
            <w:tcW w:w="2359" w:type="dxa"/>
          </w:tcPr>
          <w:p>
            <w:pPr>
              <w:pStyle w:val="CeldaAPA"/>
              <w:jc w:val="left"/>
            </w:pPr>
            <w:r>
              <w:rPr/>
              <w:t xml:space="preserve">Aplicada; cuantitativa; explicativa. Cuasi-experimental</w:t>
            </w:r>
            <w:r>
              <w:rPr/>
              <w:t xml:space="preserve"> </w:t>
            </w:r>
            <m:oMath>
              <m:sSub>
                <m:e>
                  <m:r>
                    <m:t>O</m:t>
                  </m:r>
                </m:e>
                <m:sub>
                  <m:r>
                    <m:t>1</m:t>
                  </m:r>
                </m:sub>
              </m:sSub>
            </m:oMath>
            <w:r>
              <w:rPr/>
              <w:t xml:space="preserve">–</w:t>
            </w:r>
            <m:oMath>
              <m:r>
                <m:t>X</m:t>
              </m:r>
            </m:oMath>
            <w:r>
              <w:rPr/>
              <w:t xml:space="preserve">–</w:t>
            </w:r>
            <m:oMath>
              <m:sSub>
                <m:e>
                  <m:r>
                    <m:t>O</m:t>
                  </m:r>
                </m:e>
                <m:sub>
                  <m:r>
                    <m:t>2</m:t>
                  </m:r>
                </m:sub>
              </m:sSub>
            </m:oMath>
            <w:r>
              <w:rPr/>
              <w:t xml:space="preserve">.</w:t>
            </w:r>
          </w:p>
        </w:tc>
      </w:tr>
      <w:tr>
        <w:tc>
          <w:tcPr>
            <w:tcW w:w="1782" w:type="dxa"/>
            <w:tcBorders>
              <w:top w:val="single" w:sz="4" w:space="0" w:color="000000"/>
            </w:tcBorders>
          </w:tcPr>
          <w:p>
            <w:pPr>
              <w:pStyle w:val="CeldaAPA"/>
              <w:jc w:val="left"/>
            </w:pPr>
            <w:r>
              <w:rPr>
                <w:bCs/>
                <w:b/>
              </w:rPr>
              <w:t xml:space="preserve">PE1:</w:t>
            </w:r>
            <w:r>
              <w:rPr/>
              <w:t xml:space="preserve"> </w:t>
            </w:r>
            <w:r>
              <w:rPr/>
              <w:t xml:space="preserve">¿Cómo se gestionaron la calidad y el control de materiales en la primera losa?</w:t>
            </w:r>
          </w:p>
        </w:tc>
        <w:tc>
          <w:tcPr>
            <w:tcW w:w="1971" w:type="dxa"/>
            <w:tcBorders>
              <w:top w:val="single" w:sz="4" w:space="0" w:color="000000"/>
            </w:tcBorders>
          </w:tcPr>
          <w:p>
            <w:pPr>
              <w:pStyle w:val="CeldaAPA"/>
              <w:jc w:val="left"/>
            </w:pPr>
            <w:r>
              <w:rPr>
                <w:bCs/>
                <w:b/>
              </w:rPr>
              <w:t xml:space="preserve">OE1:</w:t>
            </w:r>
            <w:r>
              <w:rPr/>
              <w:t xml:space="preserve"> </w:t>
            </w:r>
            <w:r>
              <w:rPr/>
              <w:t xml:space="preserve">Caracterizar la gestión actual e identificar las no conformidades y sus causas.</w:t>
            </w:r>
          </w:p>
        </w:tc>
        <w:tc>
          <w:tcPr>
            <w:tcW w:w="1733" w:type="dxa"/>
            <w:tcBorders>
              <w:top w:val="single" w:sz="4" w:space="0" w:color="000000"/>
            </w:tcBorders>
          </w:tcPr>
          <w:p>
            <w:pPr>
              <w:pStyle w:val="CeldaAPA"/>
              <w:jc w:val="left"/>
            </w:pPr>
            <w:r>
              <w:rPr/>
              <w:t xml:space="preserve">(Descriptivo)</w:t>
            </w:r>
          </w:p>
        </w:tc>
        <w:tc>
          <w:tcPr>
            <w:tcW w:w="1987" w:type="dxa"/>
            <w:tcBorders>
              <w:top w:val="single" w:sz="4" w:space="0" w:color="000000"/>
            </w:tcBorders>
          </w:tcPr>
          <w:p>
            <w:pPr>
              <w:pStyle w:val="CeldaAPA"/>
              <w:jc w:val="left"/>
            </w:pPr>
            <w:r>
              <w:rPr/>
              <w:t xml:space="preserve">Porcentaje de cumplimiento ISO 9001; número de no conformidades.</w:t>
            </w:r>
          </w:p>
        </w:tc>
        <w:tc>
          <w:tcPr>
            <w:tcW w:w="2359" w:type="dxa"/>
            <w:tcBorders>
              <w:top w:val="single" w:sz="4" w:space="0" w:color="000000"/>
            </w:tcBorders>
          </w:tcPr>
          <w:p>
            <w:pPr>
              <w:pStyle w:val="CeldaAPA"/>
              <w:jc w:val="left"/>
            </w:pPr>
            <w:r>
              <w:rPr/>
              <w:t xml:space="preserve">Lista de verificación, análisis documental, Pareto e Ishikawa.</w:t>
            </w:r>
          </w:p>
        </w:tc>
      </w:tr>
      <w:tr>
        <w:tc>
          <w:tcPr>
            <w:tcW w:w="1782" w:type="dxa"/>
            <w:tcBorders>
              <w:top w:val="single" w:sz="4" w:space="0" w:color="000000"/>
            </w:tcBorders>
          </w:tcPr>
          <w:p>
            <w:pPr>
              <w:pStyle w:val="CeldaAPA"/>
              <w:jc w:val="left"/>
            </w:pPr>
            <w:r>
              <w:rPr>
                <w:bCs/>
                <w:b/>
              </w:rPr>
              <w:t xml:space="preserve">PE2:</w:t>
            </w:r>
            <w:r>
              <w:rPr/>
              <w:t xml:space="preserve"> </w:t>
            </w:r>
            <w:r>
              <w:rPr/>
              <w:t xml:space="preserve">¿Cuál es el desperdicio de materiales y el costo de no calidad de la primera losa?</w:t>
            </w:r>
          </w:p>
        </w:tc>
        <w:tc>
          <w:tcPr>
            <w:tcW w:w="1971" w:type="dxa"/>
            <w:tcBorders>
              <w:top w:val="single" w:sz="4" w:space="0" w:color="000000"/>
            </w:tcBorders>
          </w:tcPr>
          <w:p>
            <w:pPr>
              <w:pStyle w:val="CeldaAPA"/>
              <w:jc w:val="left"/>
            </w:pPr>
            <w:r>
              <w:rPr>
                <w:bCs/>
                <w:b/>
              </w:rPr>
              <w:t xml:space="preserve">OE2:</w:t>
            </w:r>
            <w:r>
              <w:rPr/>
              <w:t xml:space="preserve"> </w:t>
            </w:r>
            <w:r>
              <w:rPr/>
              <w:t xml:space="preserve">Cuantificar la línea base del índice de desperdicio y del costo de no calidad.</w:t>
            </w:r>
          </w:p>
        </w:tc>
        <w:tc>
          <w:tcPr>
            <w:tcW w:w="1733" w:type="dxa"/>
            <w:tcBorders>
              <w:top w:val="single" w:sz="4" w:space="0" w:color="000000"/>
            </w:tcBorders>
          </w:tcPr>
          <w:p>
            <w:pPr>
              <w:pStyle w:val="CeldaAPA"/>
              <w:jc w:val="left"/>
            </w:pPr>
            <w:r>
              <w:rPr/>
              <w:t xml:space="preserve">(Descriptivo: valor de referencia)</w:t>
            </w:r>
          </w:p>
        </w:tc>
        <w:tc>
          <w:tcPr>
            <w:tcW w:w="1987" w:type="dxa"/>
            <w:tcBorders>
              <w:top w:val="single" w:sz="4" w:space="0" w:color="000000"/>
            </w:tcBorders>
          </w:tcPr>
          <w:p>
            <w:pPr>
              <w:pStyle w:val="CeldaAPA"/>
              <w:jc w:val="left"/>
            </w:pPr>
            <m:oMath>
              <m:r>
                <m:t>I</m:t>
              </m:r>
              <m:r>
                <m:t>D</m:t>
              </m:r>
              <m:sSub>
                <m:e>
                  <m:r>
                    <m:t>M</m:t>
                  </m:r>
                </m:e>
                <m:sub>
                  <m:r>
                    <m:t>i</m:t>
                  </m:r>
                </m:sub>
              </m:sSub>
            </m:oMath>
            <w:r>
              <w:rPr/>
              <w:t xml:space="preserve">; Bs/m</w:t>
            </w:r>
            <w:r>
              <w:rPr>
                <w:vertAlign w:val="superscript"/>
              </w:rPr>
              <w:t xml:space="preserve">2</w:t>
            </w:r>
            <w:r>
              <w:rPr/>
              <w:t xml:space="preserve">; %CNC.</w:t>
            </w:r>
          </w:p>
        </w:tc>
        <w:tc>
          <w:tcPr>
            <w:tcW w:w="2359" w:type="dxa"/>
            <w:tcBorders>
              <w:top w:val="single" w:sz="4" w:space="0" w:color="000000"/>
            </w:tcBorders>
          </w:tcPr>
          <w:p>
            <w:pPr>
              <w:pStyle w:val="CeldaAPA"/>
              <w:jc w:val="left"/>
            </w:pPr>
            <w:r>
              <w:rPr/>
              <w:t xml:space="preserve">Fichas de materiales, cómputos y planillas.</w:t>
            </w:r>
          </w:p>
        </w:tc>
      </w:tr>
      <w:tr>
        <w:tc>
          <w:tcPr>
            <w:tcW w:w="1782" w:type="dxa"/>
            <w:tcBorders>
              <w:top w:val="single" w:sz="4" w:space="0" w:color="000000"/>
            </w:tcBorders>
          </w:tcPr>
          <w:p>
            <w:pPr>
              <w:pStyle w:val="CeldaAPA"/>
              <w:jc w:val="left"/>
            </w:pPr>
            <w:r>
              <w:rPr>
                <w:bCs/>
                <w:b/>
              </w:rPr>
              <w:t xml:space="preserve">PE3:</w:t>
            </w:r>
            <w:r>
              <w:rPr/>
              <w:t xml:space="preserve"> </w:t>
            </w:r>
            <w:r>
              <w:rPr/>
              <w:t xml:space="preserve">¿Qué componentes debe tener el SGC para este proceso constructivo?</w:t>
            </w:r>
          </w:p>
        </w:tc>
        <w:tc>
          <w:tcPr>
            <w:tcW w:w="1971" w:type="dxa"/>
            <w:tcBorders>
              <w:top w:val="single" w:sz="4" w:space="0" w:color="000000"/>
            </w:tcBorders>
          </w:tcPr>
          <w:p>
            <w:pPr>
              <w:pStyle w:val="CeldaAPA"/>
              <w:jc w:val="left"/>
            </w:pPr>
            <w:r>
              <w:rPr>
                <w:bCs/>
                <w:b/>
              </w:rPr>
              <w:t xml:space="preserve">OE3:</w:t>
            </w:r>
            <w:r>
              <w:rPr/>
              <w:t xml:space="preserve"> </w:t>
            </w:r>
            <w:r>
              <w:rPr/>
              <w:t xml:space="preserve">Establecer el plan de la calidad, el PPI, los procedimientos y los registros.</w:t>
            </w:r>
          </w:p>
        </w:tc>
        <w:tc>
          <w:tcPr>
            <w:tcW w:w="1733" w:type="dxa"/>
            <w:tcBorders>
              <w:top w:val="single" w:sz="4" w:space="0" w:color="000000"/>
            </w:tcBorders>
          </w:tcPr>
          <w:p>
            <w:pPr>
              <w:pStyle w:val="CeldaAPA"/>
              <w:jc w:val="left"/>
            </w:pPr>
            <w:r>
              <w:rPr/>
              <w:t xml:space="preserve">—</w:t>
            </w:r>
          </w:p>
        </w:tc>
        <w:tc>
          <w:tcPr>
            <w:tcW w:w="1987" w:type="dxa"/>
            <w:tcBorders>
              <w:top w:val="single" w:sz="4" w:space="0" w:color="000000"/>
            </w:tcBorders>
          </w:tcPr>
          <w:p>
            <w:pPr>
              <w:pStyle w:val="CeldaAPA"/>
              <w:jc w:val="left"/>
            </w:pPr>
            <w:r>
              <w:rPr/>
              <w:t xml:space="preserve">Componentes del SGC.</w:t>
            </w:r>
          </w:p>
        </w:tc>
        <w:tc>
          <w:tcPr>
            <w:tcW w:w="2359" w:type="dxa"/>
            <w:tcBorders>
              <w:top w:val="single" w:sz="4" w:space="0" w:color="000000"/>
            </w:tcBorders>
          </w:tcPr>
          <w:p>
            <w:pPr>
              <w:pStyle w:val="CeldaAPA"/>
              <w:jc w:val="left"/>
            </w:pPr>
            <w:r>
              <w:rPr/>
              <w:t xml:space="preserve">ISO 9001, ISO 10005, ACI 318-25 y ASTM.</w:t>
            </w:r>
          </w:p>
        </w:tc>
      </w:tr>
      <w:tr>
        <w:tc>
          <w:tcPr>
            <w:tcW w:w="1782" w:type="dxa"/>
            <w:tcBorders>
              <w:top w:val="single" w:sz="4" w:space="0" w:color="000000"/>
              <w:bottom w:val="single" w:sz="8" w:space="0" w:color="000000"/>
            </w:tcBorders>
          </w:tcPr>
          <w:p>
            <w:pPr>
              <w:pStyle w:val="CeldaAPA"/>
              <w:jc w:val="left"/>
            </w:pPr>
            <w:r>
              <w:rPr>
                <w:bCs/>
                <w:b/>
              </w:rPr>
              <w:t xml:space="preserve">PE4:</w:t>
            </w:r>
            <w:r>
              <w:rPr/>
              <w:t xml:space="preserve"> </w:t>
            </w:r>
            <w:r>
              <w:rPr/>
              <w:t xml:space="preserve">¿En qué medida el SGC reduce el costo y el desperdicio?</w:t>
            </w:r>
          </w:p>
        </w:tc>
        <w:tc>
          <w:tcPr>
            <w:tcW w:w="1971" w:type="dxa"/>
            <w:tcBorders>
              <w:top w:val="single" w:sz="4" w:space="0" w:color="000000"/>
              <w:bottom w:val="single" w:sz="8" w:space="0" w:color="000000"/>
            </w:tcBorders>
          </w:tcPr>
          <w:p>
            <w:pPr>
              <w:pStyle w:val="CeldaAPA"/>
              <w:jc w:val="left"/>
            </w:pPr>
            <w:r>
              <w:rPr>
                <w:bCs/>
                <w:b/>
              </w:rPr>
              <w:t xml:space="preserve">OE4 y OE5:</w:t>
            </w:r>
            <w:r>
              <w:rPr/>
              <w:t xml:space="preserve"> </w:t>
            </w:r>
            <w:r>
              <w:rPr/>
              <w:t xml:space="preserve">Evaluar el efecto, comprobar la hipótesis y validar el SGC con expertos.</w:t>
            </w:r>
          </w:p>
        </w:tc>
        <w:tc>
          <w:tcPr>
            <w:tcW w:w="1733" w:type="dxa"/>
            <w:tcBorders>
              <w:top w:val="single" w:sz="4" w:space="0" w:color="000000"/>
              <w:bottom w:val="single" w:sz="8" w:space="0" w:color="000000"/>
            </w:tcBorders>
          </w:tcPr>
          <w:p>
            <w:pPr>
              <w:pStyle w:val="CeldaAPA"/>
              <w:jc w:val="left"/>
            </w:pPr>
            <w:r>
              <w:rPr>
                <w:bCs/>
                <w:b/>
              </w:rPr>
              <w:t xml:space="preserve">HE1:</w:t>
            </w:r>
            <w:r>
              <w:rPr/>
              <w:t xml:space="preserve"> </w:t>
            </w:r>
            <w:r>
              <w:rPr/>
              <w:t xml:space="preserve">reduce el</w:t>
            </w:r>
            <w:r>
              <w:rPr/>
              <w:t xml:space="preserve"> </w:t>
            </w:r>
            <m:oMath>
              <m:r>
                <m:t>I</m:t>
              </m:r>
              <m:r>
                <m:t>D</m:t>
              </m:r>
              <m:r>
                <m:t>M</m:t>
              </m:r>
            </m:oMath>
            <w:r>
              <w:rPr/>
              <w:t xml:space="preserve">.</w:t>
            </w:r>
            <w:r>
              <w:rPr/>
              <w:t xml:space="preserve"> </w:t>
            </w:r>
            <w:r>
              <w:rPr>
                <w:bCs/>
                <w:b/>
              </w:rPr>
              <w:t xml:space="preserve">HE2:</w:t>
            </w:r>
            <w:r>
              <w:rPr/>
              <w:t xml:space="preserve"> </w:t>
            </w:r>
            <w:r>
              <w:rPr/>
              <w:t xml:space="preserve">reduce el CNC.</w:t>
            </w:r>
          </w:p>
        </w:tc>
        <w:tc>
          <w:tcPr>
            <w:tcW w:w="1987" w:type="dxa"/>
            <w:tcBorders>
              <w:top w:val="single" w:sz="4" w:space="0" w:color="000000"/>
              <w:bottom w:val="single" w:sz="8" w:space="0" w:color="000000"/>
            </w:tcBorders>
          </w:tcPr>
          <w:p>
            <w:pPr>
              <w:pStyle w:val="CeldaAPA"/>
              <w:jc w:val="left"/>
            </w:pPr>
            <m:oMath>
              <m:r>
                <m:t>I</m:t>
              </m:r>
              <m:r>
                <m:t>D</m:t>
              </m:r>
              <m:sSub>
                <m:e>
                  <m:r>
                    <m:t>M</m:t>
                  </m:r>
                </m:e>
                <m:sub>
                  <m:r>
                    <m:t>i</m:t>
                  </m:r>
                </m:sub>
              </m:sSub>
            </m:oMath>
            <w:r>
              <w:rPr/>
              <w:t xml:space="preserve">, CNC y Bs/m</w:t>
            </w:r>
            <w:r>
              <w:rPr>
                <w:vertAlign w:val="superscript"/>
              </w:rPr>
              <w:t xml:space="preserve">2</w:t>
            </w:r>
            <w:r>
              <w:rPr/>
              <w:t xml:space="preserve">.</w:t>
            </w:r>
          </w:p>
        </w:tc>
        <w:tc>
          <w:tcPr>
            <w:tcW w:w="2359" w:type="dxa"/>
            <w:tcBorders>
              <w:top w:val="single" w:sz="4" w:space="0" w:color="000000"/>
              <w:bottom w:val="single" w:sz="8" w:space="0" w:color="000000"/>
            </w:tcBorders>
          </w:tcPr>
          <w:p>
            <w:pPr>
              <w:pStyle w:val="CeldaAPA"/>
              <w:jc w:val="left"/>
            </w:pPr>
            <w:r>
              <w:rPr/>
              <w:t xml:space="preserve">Prueba</w:t>
            </w:r>
            <w:r>
              <w:rPr/>
              <w:t xml:space="preserve"> </w:t>
            </w:r>
            <w:r>
              <w:rPr>
                <w:iCs/>
                <w:i/>
              </w:rPr>
              <w:t xml:space="preserve">t</w:t>
            </w:r>
            <w:r>
              <w:rPr/>
              <w:t xml:space="preserve"> </w:t>
            </w:r>
            <w:r>
              <w:rPr/>
              <w:t xml:space="preserve">o Wilcoxon (</w:t>
            </w:r>
            <m:oMath>
              <m:r>
                <m:t>α</m:t>
              </m:r>
              <m:r>
                <m:rPr>
                  <m:sty m:val="p"/>
                </m:rPr>
                <m:t>=</m:t>
              </m:r>
              <m:r>
                <m:t>0</m:t>
              </m:r>
              <m:r>
                <m:rPr>
                  <m:sty m:val="p"/>
                </m:rPr>
                <m:t>,</m:t>
              </m:r>
              <m:r>
                <m:t>05</m:t>
              </m:r>
            </m:oMath>
            <w:r>
              <w:rPr/>
              <w:t xml:space="preserve">); V de Aiken.</w:t>
            </w:r>
          </w:p>
        </w:tc>
      </w:tr>
    </w:tbl>
    <w:p>
      <w:pPr>
        <w:pStyle w:val="Heading1"/>
      </w:pPr>
      <w:bookmarkStart w:id="328" w:name="tit152"/>
      <w:r>
        <w:t xml:space="preserve">ANEXO B</w:t>
      </w:r>
      <w:r>
        <w:br/>
      </w:r>
      <w:r>
        <w:t xml:space="preserve">OPERACIONALIZACIÓN DE VARIABLES</w:t>
      </w:r>
      <w:bookmarkEnd w:id="328"/>
    </w:p>
    <w:tbl>
      <w:tblPr>
        <w:tblStyle w:val="Table"/>
        <w:tblW w:w="9360" w:type="dxa"/>
        <w:jc w:val="left"/>
        <w:tblLayout w:type="fixed"/>
        <w:tblCellMar>
          <w:top w:w="0" w:type="dxa"/>
          <w:left w:w="85" w:type="dxa"/>
          <w:bottom w:w="0" w:type="dxa"/>
          <w:right w:w="85" w:type="dxa"/>
        </w:tblCellMar>
        <w:tblLook w:firstRow="1" w:lastRow="0" w:firstColumn="0" w:lastColumn="0" w:noHBand="0" w:noVBand="0" w:val="0020"/>
      </w:tblPr>
      <w:tblGrid>
        <w:gridCol w:w="1383"/>
        <w:gridCol w:w="1708"/>
        <w:gridCol w:w="2532"/>
        <w:gridCol w:w="2129"/>
        <w:gridCol w:w="1608"/>
      </w:tblGrid>
      <w:tr>
        <w:trPr>
          <w:cantSplit/>
          <w:tblHeader w:val="true"/>
        </w:trPr>
        <w:tc>
          <w:tcPr>
            <w:tcW w:w="1383" w:type="dxa"/>
            <w:tcBorders>
              <w:top w:val="single" w:sz="8" w:space="0" w:color="000000"/>
              <w:bottom w:val="single" w:sz="4" w:space="0" w:color="000000"/>
            </w:tcBorders>
          </w:tcPr>
          <w:p>
            <w:pPr>
              <w:pStyle w:val="CeldaAPA"/>
              <w:jc w:val="center"/>
            </w:pPr>
            <w:r>
              <w:rPr>
                <w:bCs/>
                <w:b/>
              </w:rPr>
              <w:t xml:space="preserve">Variable</w:t>
            </w:r>
          </w:p>
        </w:tc>
        <w:tc>
          <w:tcPr>
            <w:tcW w:w="1708" w:type="dxa"/>
            <w:tcBorders>
              <w:top w:val="single" w:sz="8" w:space="0" w:color="000000"/>
              <w:bottom w:val="single" w:sz="4" w:space="0" w:color="000000"/>
            </w:tcBorders>
          </w:tcPr>
          <w:p>
            <w:pPr>
              <w:pStyle w:val="CeldaAPA"/>
              <w:jc w:val="center"/>
            </w:pPr>
            <w:r>
              <w:rPr>
                <w:bCs/>
                <w:b/>
              </w:rPr>
              <w:t xml:space="preserve">Dimensión</w:t>
            </w:r>
          </w:p>
        </w:tc>
        <w:tc>
          <w:tcPr>
            <w:tcW w:w="2532" w:type="dxa"/>
            <w:tcBorders>
              <w:top w:val="single" w:sz="8" w:space="0" w:color="000000"/>
              <w:bottom w:val="single" w:sz="4" w:space="0" w:color="000000"/>
            </w:tcBorders>
          </w:tcPr>
          <w:p>
            <w:pPr>
              <w:pStyle w:val="CeldaAPA"/>
              <w:jc w:val="center"/>
            </w:pPr>
            <w:r>
              <w:rPr>
                <w:bCs/>
                <w:b/>
              </w:rPr>
              <w:t xml:space="preserve">Indicador</w:t>
            </w:r>
          </w:p>
        </w:tc>
        <w:tc>
          <w:tcPr>
            <w:tcW w:w="2129" w:type="dxa"/>
            <w:tcBorders>
              <w:top w:val="single" w:sz="8" w:space="0" w:color="000000"/>
              <w:bottom w:val="single" w:sz="4" w:space="0" w:color="000000"/>
            </w:tcBorders>
          </w:tcPr>
          <w:p>
            <w:pPr>
              <w:pStyle w:val="CeldaAPA"/>
              <w:jc w:val="center"/>
            </w:pPr>
            <w:r>
              <w:rPr>
                <w:bCs/>
                <w:b/>
              </w:rPr>
              <w:t xml:space="preserve">Fórmula o unidad</w:t>
            </w:r>
          </w:p>
        </w:tc>
        <w:tc>
          <w:tcPr>
            <w:tcW w:w="1608" w:type="dxa"/>
            <w:tcBorders>
              <w:top w:val="single" w:sz="8" w:space="0" w:color="000000"/>
              <w:bottom w:val="single" w:sz="4" w:space="0" w:color="000000"/>
            </w:tcBorders>
          </w:tcPr>
          <w:p>
            <w:pPr>
              <w:pStyle w:val="CeldaAPA"/>
              <w:jc w:val="center"/>
            </w:pPr>
            <w:r>
              <w:rPr>
                <w:bCs/>
                <w:b/>
              </w:rPr>
              <w:t xml:space="preserve">Instrumento</w:t>
            </w:r>
          </w:p>
        </w:tc>
      </w:tr>
      <w:tr>
        <w:tc>
          <w:tcPr>
            <w:tcW w:w="1383" w:type="dxa"/>
          </w:tcPr>
          <w:p>
            <w:pPr>
              <w:pStyle w:val="CeldaAPA"/>
              <w:jc w:val="left"/>
            </w:pPr>
            <w:r>
              <w:rPr>
                <w:bCs/>
                <w:b/>
              </w:rPr>
              <w:t xml:space="preserve">X:</w:t>
            </w:r>
            <w:r>
              <w:rPr/>
              <w:t xml:space="preserve"> </w:t>
            </w:r>
            <w:r>
              <w:rPr/>
              <w:t xml:space="preserve">Sistema de Gestión de la Calidad</w:t>
            </w:r>
          </w:p>
        </w:tc>
        <w:tc>
          <w:tcPr>
            <w:tcW w:w="1708" w:type="dxa"/>
          </w:tcPr>
          <w:p>
            <w:pPr>
              <w:pStyle w:val="CeldaAPA"/>
              <w:jc w:val="left"/>
            </w:pPr>
            <w:r>
              <w:rPr/>
              <w:t xml:space="preserve">Planificación de la calidad</w:t>
            </w:r>
          </w:p>
        </w:tc>
        <w:tc>
          <w:tcPr>
            <w:tcW w:w="2532" w:type="dxa"/>
          </w:tcPr>
          <w:p>
            <w:pPr>
              <w:pStyle w:val="CeldaAPA"/>
              <w:jc w:val="left"/>
            </w:pPr>
            <w:r>
              <w:rPr/>
              <w:t xml:space="preserve">Cumplimiento de requisitos ISO 9001:2026 (cláusulas 4 a 10)</w:t>
            </w:r>
          </w:p>
        </w:tc>
        <w:tc>
          <w:tcPr>
            <w:tcW w:w="2129" w:type="dxa"/>
          </w:tcPr>
          <w:p>
            <w:pPr>
              <w:pStyle w:val="CeldaAPA"/>
              <w:jc w:val="left"/>
            </w:pPr>
            <w:r>
              <w:rPr/>
              <w:t xml:space="preserve">% de requisitos cumplidos</w:t>
            </w:r>
          </w:p>
        </w:tc>
        <w:tc>
          <w:tcPr>
            <w:tcW w:w="1608" w:type="dxa"/>
          </w:tcPr>
          <w:p>
            <w:pPr>
              <w:pStyle w:val="CeldaAPA"/>
              <w:jc w:val="left"/>
            </w:pPr>
            <w:r>
              <w:rPr/>
              <w:t xml:space="preserve">Lista de verificación</w:t>
            </w:r>
          </w:p>
        </w:tc>
      </w:tr>
      <w:tr>
        <w:tc>
          <w:tcPr>
            <w:tcW w:w="1383" w:type="dxa"/>
          </w:tcPr>
          <w:p>
            <w:pPr>
              <w:pStyle w:val="CeldaAPA"/>
            </w:pPr>
          </w:p>
        </w:tc>
        <w:tc>
          <w:tcPr>
            <w:tcW w:w="1708" w:type="dxa"/>
          </w:tcPr>
          <w:p>
            <w:pPr>
              <w:pStyle w:val="CeldaAPA"/>
              <w:jc w:val="left"/>
            </w:pPr>
            <w:r>
              <w:rPr/>
              <w:t xml:space="preserve">Control de materiales</w:t>
            </w:r>
          </w:p>
        </w:tc>
        <w:tc>
          <w:tcPr>
            <w:tcW w:w="2532" w:type="dxa"/>
          </w:tcPr>
          <w:p>
            <w:pPr>
              <w:pStyle w:val="CeldaAPA"/>
              <w:jc w:val="left"/>
            </w:pPr>
            <w:r>
              <w:rPr/>
              <w:t xml:space="preserve">Lotes con certificado o ensayo conforme</w:t>
            </w:r>
          </w:p>
        </w:tc>
        <w:tc>
          <w:tcPr>
            <w:tcW w:w="2129" w:type="dxa"/>
          </w:tcPr>
          <w:p>
            <w:pPr>
              <w:pStyle w:val="CeldaAPA"/>
              <w:jc w:val="left"/>
            </w:pPr>
            <w:r>
              <w:rPr/>
              <w:t xml:space="preserve">% de lotes conformes</w:t>
            </w:r>
          </w:p>
        </w:tc>
        <w:tc>
          <w:tcPr>
            <w:tcW w:w="1608" w:type="dxa"/>
          </w:tcPr>
          <w:p>
            <w:pPr>
              <w:pStyle w:val="CeldaAPA"/>
              <w:jc w:val="left"/>
            </w:pPr>
            <w:r>
              <w:rPr/>
              <w:t xml:space="preserve">Ficha de recepción</w:t>
            </w:r>
          </w:p>
        </w:tc>
      </w:tr>
      <w:tr>
        <w:tc>
          <w:tcPr>
            <w:tcW w:w="1383" w:type="dxa"/>
          </w:tcPr>
          <w:p>
            <w:pPr>
              <w:pStyle w:val="CeldaAPA"/>
            </w:pPr>
          </w:p>
        </w:tc>
        <w:tc>
          <w:tcPr>
            <w:tcW w:w="1708" w:type="dxa"/>
          </w:tcPr>
          <w:p>
            <w:pPr>
              <w:pStyle w:val="CeldaAPA"/>
            </w:pPr>
          </w:p>
        </w:tc>
        <w:tc>
          <w:tcPr>
            <w:tcW w:w="2532" w:type="dxa"/>
          </w:tcPr>
          <w:p>
            <w:pPr>
              <w:pStyle w:val="CeldaAPA"/>
              <w:jc w:val="left"/>
            </w:pPr>
            <w:r>
              <w:rPr/>
              <w:t xml:space="preserve">Trazabilidad de consumos</w:t>
            </w:r>
          </w:p>
        </w:tc>
        <w:tc>
          <w:tcPr>
            <w:tcW w:w="2129" w:type="dxa"/>
          </w:tcPr>
          <w:p>
            <w:pPr>
              <w:pStyle w:val="CeldaAPA"/>
              <w:jc w:val="left"/>
            </w:pPr>
            <w:r>
              <w:rPr/>
              <w:t xml:space="preserve">Kardex al día; vales por paño</w:t>
            </w:r>
          </w:p>
        </w:tc>
        <w:tc>
          <w:tcPr>
            <w:tcW w:w="1608" w:type="dxa"/>
          </w:tcPr>
          <w:p>
            <w:pPr>
              <w:pStyle w:val="CeldaAPA"/>
              <w:jc w:val="left"/>
            </w:pPr>
            <w:r>
              <w:rPr/>
              <w:t xml:space="preserve">Kardex y vales</w:t>
            </w:r>
          </w:p>
        </w:tc>
      </w:tr>
      <w:tr>
        <w:tc>
          <w:tcPr>
            <w:tcW w:w="1383" w:type="dxa"/>
          </w:tcPr>
          <w:p>
            <w:pPr>
              <w:pStyle w:val="CeldaAPA"/>
            </w:pPr>
          </w:p>
        </w:tc>
        <w:tc>
          <w:tcPr>
            <w:tcW w:w="1708" w:type="dxa"/>
          </w:tcPr>
          <w:p>
            <w:pPr>
              <w:pStyle w:val="CeldaAPA"/>
              <w:jc w:val="left"/>
            </w:pPr>
            <w:r>
              <w:rPr/>
              <w:t xml:space="preserve">Control del proceso (PPI)</w:t>
            </w:r>
          </w:p>
        </w:tc>
        <w:tc>
          <w:tcPr>
            <w:tcW w:w="2532" w:type="dxa"/>
          </w:tcPr>
          <w:p>
            <w:pPr>
              <w:pStyle w:val="CeldaAPA"/>
              <w:jc w:val="left"/>
            </w:pPr>
            <w:r>
              <w:rPr/>
              <w:t xml:space="preserve">Puntos de inspección ejecutados frente a programados</w:t>
            </w:r>
          </w:p>
        </w:tc>
        <w:tc>
          <w:tcPr>
            <w:tcW w:w="2129" w:type="dxa"/>
          </w:tcPr>
          <w:p>
            <w:pPr>
              <w:pStyle w:val="CeldaAPA"/>
              <w:jc w:val="left"/>
            </w:pPr>
            <w:r>
              <w:rPr/>
              <w:t xml:space="preserve">%</w:t>
            </w:r>
          </w:p>
        </w:tc>
        <w:tc>
          <w:tcPr>
            <w:tcW w:w="1608" w:type="dxa"/>
          </w:tcPr>
          <w:p>
            <w:pPr>
              <w:pStyle w:val="CeldaAPA"/>
              <w:jc w:val="left"/>
            </w:pPr>
            <w:r>
              <w:rPr/>
              <w:t xml:space="preserve">Fichas PPI</w:t>
            </w:r>
          </w:p>
        </w:tc>
      </w:tr>
      <w:tr>
        <w:tc>
          <w:tcPr>
            <w:tcW w:w="1383" w:type="dxa"/>
          </w:tcPr>
          <w:p>
            <w:pPr>
              <w:pStyle w:val="CeldaAPA"/>
            </w:pPr>
          </w:p>
        </w:tc>
        <w:tc>
          <w:tcPr>
            <w:tcW w:w="1708" w:type="dxa"/>
          </w:tcPr>
          <w:p>
            <w:pPr>
              <w:pStyle w:val="CeldaAPA"/>
              <w:jc w:val="left"/>
            </w:pPr>
            <w:r>
              <w:rPr/>
              <w:t xml:space="preserve">Seguimiento y mejora</w:t>
            </w:r>
          </w:p>
        </w:tc>
        <w:tc>
          <w:tcPr>
            <w:tcW w:w="2532" w:type="dxa"/>
          </w:tcPr>
          <w:p>
            <w:pPr>
              <w:pStyle w:val="CeldaAPA"/>
              <w:jc w:val="left"/>
            </w:pPr>
            <w:r>
              <w:rPr/>
              <w:t xml:space="preserve">No conformidades detectadas y cerradas</w:t>
            </w:r>
          </w:p>
        </w:tc>
        <w:tc>
          <w:tcPr>
            <w:tcW w:w="2129" w:type="dxa"/>
          </w:tcPr>
          <w:p>
            <w:pPr>
              <w:pStyle w:val="CeldaAPA"/>
              <w:jc w:val="left"/>
            </w:pPr>
            <w:r>
              <w:rPr/>
              <w:t xml:space="preserve">N.</w:t>
            </w:r>
            <w:r>
              <w:rPr>
                <w:vertAlign w:val="superscript"/>
              </w:rPr>
              <w:t xml:space="preserve">o</w:t>
            </w:r>
            <w:r>
              <w:rPr/>
              <w:t xml:space="preserve">; % cerradas; días de cierre</w:t>
            </w:r>
          </w:p>
        </w:tc>
        <w:tc>
          <w:tcPr>
            <w:tcW w:w="1608" w:type="dxa"/>
          </w:tcPr>
          <w:p>
            <w:pPr>
              <w:pStyle w:val="CeldaAPA"/>
              <w:jc w:val="left"/>
            </w:pPr>
            <w:r>
              <w:rPr/>
              <w:t xml:space="preserve">Registro de NC</w:t>
            </w:r>
          </w:p>
        </w:tc>
      </w:tr>
      <w:tr>
        <w:tc>
          <w:tcPr>
            <w:tcW w:w="1383" w:type="dxa"/>
            <w:tcBorders>
              <w:top w:val="single" w:sz="4" w:space="0" w:color="000000"/>
            </w:tcBorders>
          </w:tcPr>
          <w:p>
            <w:pPr>
              <w:pStyle w:val="CeldaAPA"/>
              <w:jc w:val="left"/>
            </w:pPr>
            <w:r>
              <w:rPr>
                <w:bCs/>
                <w:b/>
              </w:rPr>
              <w:t xml:space="preserve">Y:</w:t>
            </w:r>
            <w:r>
              <w:rPr/>
              <w:t xml:space="preserve"> </w:t>
            </w:r>
            <w:r>
              <w:rPr/>
              <w:t xml:space="preserve">Costo de ejecución de la losa</w:t>
            </w:r>
          </w:p>
        </w:tc>
        <w:tc>
          <w:tcPr>
            <w:tcW w:w="1708" w:type="dxa"/>
            <w:tcBorders>
              <w:top w:val="single" w:sz="4" w:space="0" w:color="000000"/>
            </w:tcBorders>
          </w:tcPr>
          <w:p>
            <w:pPr>
              <w:pStyle w:val="CeldaAPA"/>
              <w:jc w:val="left"/>
            </w:pPr>
            <w:r>
              <w:rPr/>
              <w:t xml:space="preserve">Costo directo</w:t>
            </w:r>
          </w:p>
        </w:tc>
        <w:tc>
          <w:tcPr>
            <w:tcW w:w="2532" w:type="dxa"/>
            <w:tcBorders>
              <w:top w:val="single" w:sz="4" w:space="0" w:color="000000"/>
            </w:tcBorders>
          </w:tcPr>
          <w:p>
            <w:pPr>
              <w:pStyle w:val="CeldaAPA"/>
              <w:jc w:val="left"/>
            </w:pPr>
            <w:r>
              <w:rPr/>
              <w:t xml:space="preserve">Costo unitario real frente al contractual</w:t>
            </w:r>
          </w:p>
        </w:tc>
        <w:tc>
          <w:tcPr>
            <w:tcW w:w="2129" w:type="dxa"/>
            <w:tcBorders>
              <w:top w:val="single" w:sz="4" w:space="0" w:color="000000"/>
            </w:tcBorders>
          </w:tcPr>
          <w:p>
            <w:pPr>
              <w:pStyle w:val="CeldaAPA"/>
              <w:jc w:val="left"/>
            </w:pPr>
            <w:r>
              <w:rPr/>
              <w:t xml:space="preserve">Bs/m</w:t>
            </w:r>
            <w:r>
              <w:rPr>
                <w:vertAlign w:val="superscript"/>
              </w:rPr>
              <w:t xml:space="preserve">2</w:t>
            </w:r>
            <w:r>
              <w:rPr/>
              <w:t xml:space="preserve"> </w:t>
            </w:r>
            <w:r>
              <w:rPr/>
              <w:t xml:space="preserve">(ec. 9); desviación %</w:t>
            </w:r>
          </w:p>
        </w:tc>
        <w:tc>
          <w:tcPr>
            <w:tcW w:w="1608" w:type="dxa"/>
            <w:tcBorders>
              <w:top w:val="single" w:sz="4" w:space="0" w:color="000000"/>
            </w:tcBorders>
          </w:tcPr>
          <w:p>
            <w:pPr>
              <w:pStyle w:val="CeldaAPA"/>
              <w:jc w:val="left"/>
            </w:pPr>
            <w:r>
              <w:rPr/>
              <w:t xml:space="preserve">APU y planillas</w:t>
            </w:r>
          </w:p>
        </w:tc>
      </w:tr>
      <w:tr>
        <w:tc>
          <w:tcPr>
            <w:tcW w:w="1383" w:type="dxa"/>
          </w:tcPr>
          <w:p>
            <w:pPr>
              <w:pStyle w:val="CeldaAPA"/>
            </w:pPr>
          </w:p>
        </w:tc>
        <w:tc>
          <w:tcPr>
            <w:tcW w:w="1708" w:type="dxa"/>
          </w:tcPr>
          <w:p>
            <w:pPr>
              <w:pStyle w:val="CeldaAPA"/>
              <w:jc w:val="left"/>
            </w:pPr>
            <w:r>
              <w:rPr/>
              <w:t xml:space="preserve">Desperdicio de materiales</w:t>
            </w:r>
          </w:p>
        </w:tc>
        <w:tc>
          <w:tcPr>
            <w:tcW w:w="2532" w:type="dxa"/>
          </w:tcPr>
          <w:p>
            <w:pPr>
              <w:pStyle w:val="CeldaAPA"/>
              <w:jc w:val="left"/>
            </w:pPr>
            <w:r>
              <w:rPr/>
              <w:t xml:space="preserve">Índice de desperdicio por material</w:t>
            </w:r>
          </w:p>
        </w:tc>
        <w:tc>
          <w:tcPr>
            <w:tcW w:w="2129" w:type="dxa"/>
          </w:tcPr>
          <w:p>
            <w:pPr>
              <w:pStyle w:val="CeldaAPA"/>
              <w:jc w:val="left"/>
            </w:pPr>
            <m:oMath>
              <m:r>
                <m:t>I</m:t>
              </m:r>
              <m:r>
                <m:t>D</m:t>
              </m:r>
              <m:sSub>
                <m:e>
                  <m:r>
                    <m:t>M</m:t>
                  </m:r>
                </m:e>
                <m:sub>
                  <m:r>
                    <m:t>i</m:t>
                  </m:r>
                </m:sub>
              </m:sSub>
            </m:oMath>
            <w:r>
              <w:rPr/>
              <w:t xml:space="preserve"> </w:t>
            </w:r>
            <w:r>
              <w:rPr/>
              <w:t xml:space="preserve">(ec. 8)</w:t>
            </w:r>
          </w:p>
        </w:tc>
        <w:tc>
          <w:tcPr>
            <w:tcW w:w="1608" w:type="dxa"/>
          </w:tcPr>
          <w:p>
            <w:pPr>
              <w:pStyle w:val="CeldaAPA"/>
              <w:jc w:val="left"/>
            </w:pPr>
            <w:r>
              <w:rPr/>
              <w:t xml:space="preserve">Ficha de control de materiales</w:t>
            </w:r>
          </w:p>
        </w:tc>
      </w:tr>
      <w:tr>
        <w:tc>
          <w:tcPr>
            <w:tcW w:w="1383" w:type="dxa"/>
          </w:tcPr>
          <w:p>
            <w:pPr>
              <w:pStyle w:val="CeldaAPA"/>
            </w:pPr>
          </w:p>
        </w:tc>
        <w:tc>
          <w:tcPr>
            <w:tcW w:w="1708" w:type="dxa"/>
          </w:tcPr>
          <w:p>
            <w:pPr>
              <w:pStyle w:val="CeldaAPA"/>
            </w:pPr>
          </w:p>
        </w:tc>
        <w:tc>
          <w:tcPr>
            <w:tcW w:w="2532" w:type="dxa"/>
          </w:tcPr>
          <w:p>
            <w:pPr>
              <w:pStyle w:val="CeldaAPA"/>
              <w:jc w:val="left"/>
            </w:pPr>
            <w:r>
              <w:rPr/>
              <w:t xml:space="preserve">Consumo unitario real</w:t>
            </w:r>
          </w:p>
        </w:tc>
        <w:tc>
          <w:tcPr>
            <w:tcW w:w="2129" w:type="dxa"/>
          </w:tcPr>
          <w:p>
            <w:pPr>
              <w:pStyle w:val="CeldaAPA"/>
              <w:jc w:val="left"/>
            </w:pPr>
            <w:r>
              <w:rPr/>
              <w:t xml:space="preserve">m</w:t>
            </w:r>
            <w:r>
              <w:rPr>
                <w:vertAlign w:val="superscript"/>
              </w:rPr>
              <w:t xml:space="preserve">3</w:t>
            </w:r>
            <w:r>
              <w:rPr/>
              <w:t xml:space="preserve">/m</w:t>
            </w:r>
            <w:r>
              <w:rPr>
                <w:vertAlign w:val="superscript"/>
              </w:rPr>
              <w:t xml:space="preserve">2</w:t>
            </w:r>
            <w:r>
              <w:rPr/>
              <w:t xml:space="preserve">; kg/m</w:t>
            </w:r>
            <w:r>
              <w:rPr>
                <w:vertAlign w:val="superscript"/>
              </w:rPr>
              <w:t xml:space="preserve">2</w:t>
            </w:r>
            <w:r>
              <w:rPr/>
              <w:t xml:space="preserve">; m/m</w:t>
            </w:r>
            <w:r>
              <w:rPr>
                <w:vertAlign w:val="superscript"/>
              </w:rPr>
              <w:t xml:space="preserve">2</w:t>
            </w:r>
            <w:r>
              <w:rPr/>
              <w:t xml:space="preserve">; pza/m</w:t>
            </w:r>
            <w:r>
              <w:rPr>
                <w:vertAlign w:val="superscript"/>
              </w:rPr>
              <w:t xml:space="preserve">2</w:t>
            </w:r>
          </w:p>
        </w:tc>
        <w:tc>
          <w:tcPr>
            <w:tcW w:w="1608" w:type="dxa"/>
          </w:tcPr>
          <w:p>
            <w:pPr>
              <w:pStyle w:val="CeldaAPA"/>
              <w:jc w:val="left"/>
            </w:pPr>
            <w:r>
              <w:rPr/>
              <w:t xml:space="preserve">Ficha de control de materiales</w:t>
            </w:r>
          </w:p>
        </w:tc>
      </w:tr>
      <w:tr>
        <w:tc>
          <w:tcPr>
            <w:tcW w:w="1383" w:type="dxa"/>
          </w:tcPr>
          <w:p>
            <w:pPr>
              <w:pStyle w:val="CeldaAPA"/>
            </w:pPr>
          </w:p>
        </w:tc>
        <w:tc>
          <w:tcPr>
            <w:tcW w:w="1708" w:type="dxa"/>
          </w:tcPr>
          <w:p>
            <w:pPr>
              <w:pStyle w:val="CeldaAPA"/>
              <w:jc w:val="left"/>
            </w:pPr>
            <w:r>
              <w:rPr/>
              <w:t xml:space="preserve">Costo de no calidad</w:t>
            </w:r>
          </w:p>
        </w:tc>
        <w:tc>
          <w:tcPr>
            <w:tcW w:w="2532" w:type="dxa"/>
          </w:tcPr>
          <w:p>
            <w:pPr>
              <w:pStyle w:val="CeldaAPA"/>
              <w:jc w:val="left"/>
            </w:pPr>
            <w:r>
              <w:rPr/>
              <w:t xml:space="preserve">Fallas internas y externas</w:t>
            </w:r>
          </w:p>
        </w:tc>
        <w:tc>
          <w:tcPr>
            <w:tcW w:w="2129" w:type="dxa"/>
          </w:tcPr>
          <w:p>
            <w:pPr>
              <w:pStyle w:val="CeldaAPA"/>
              <w:jc w:val="left"/>
            </w:pPr>
            <w:r>
              <w:rPr/>
              <w:t xml:space="preserve">Bs; %CNC (ec. 10)</w:t>
            </w:r>
          </w:p>
        </w:tc>
        <w:tc>
          <w:tcPr>
            <w:tcW w:w="1608" w:type="dxa"/>
          </w:tcPr>
          <w:p>
            <w:pPr>
              <w:pStyle w:val="CeldaAPA"/>
              <w:jc w:val="left"/>
            </w:pPr>
            <w:r>
              <w:rPr/>
              <w:t xml:space="preserve">Planilla de costos de calidad</w:t>
            </w:r>
          </w:p>
        </w:tc>
      </w:tr>
      <w:tr>
        <w:tc>
          <w:tcPr>
            <w:tcW w:w="1383" w:type="dxa"/>
          </w:tcPr>
          <w:p>
            <w:pPr>
              <w:pStyle w:val="CeldaAPA"/>
            </w:pPr>
          </w:p>
        </w:tc>
        <w:tc>
          <w:tcPr>
            <w:tcW w:w="1708" w:type="dxa"/>
          </w:tcPr>
          <w:p>
            <w:pPr>
              <w:pStyle w:val="CeldaAPA"/>
              <w:jc w:val="left"/>
            </w:pPr>
            <w:r>
              <w:rPr/>
              <w:t xml:space="preserve">Costo de la calidad</w:t>
            </w:r>
          </w:p>
        </w:tc>
        <w:tc>
          <w:tcPr>
            <w:tcW w:w="2532" w:type="dxa"/>
          </w:tcPr>
          <w:p>
            <w:pPr>
              <w:pStyle w:val="CeldaAPA"/>
              <w:jc w:val="left"/>
            </w:pPr>
            <w:r>
              <w:rPr/>
              <w:t xml:space="preserve">Prevención y evaluación</w:t>
            </w:r>
          </w:p>
        </w:tc>
        <w:tc>
          <w:tcPr>
            <w:tcW w:w="2129" w:type="dxa"/>
          </w:tcPr>
          <w:p>
            <w:pPr>
              <w:pStyle w:val="CeldaAPA"/>
              <w:jc w:val="left"/>
            </w:pPr>
            <w:r>
              <w:rPr/>
              <w:t xml:space="preserve">Bs; % del costo del ítem</w:t>
            </w:r>
          </w:p>
        </w:tc>
        <w:tc>
          <w:tcPr>
            <w:tcW w:w="1608" w:type="dxa"/>
          </w:tcPr>
          <w:p>
            <w:pPr>
              <w:pStyle w:val="CeldaAPA"/>
              <w:jc w:val="left"/>
            </w:pPr>
            <w:r>
              <w:rPr/>
              <w:t xml:space="preserve">Planilla de costos de calidad</w:t>
            </w:r>
          </w:p>
        </w:tc>
      </w:tr>
      <w:tr>
        <w:tc>
          <w:tcPr>
            <w:tcW w:w="1383" w:type="dxa"/>
            <w:tcBorders>
              <w:bottom w:val="single" w:sz="8" w:space="0" w:color="000000"/>
            </w:tcBorders>
          </w:tcPr>
          <w:p>
            <w:pPr>
              <w:pStyle w:val="CeldaAPA"/>
            </w:pPr>
          </w:p>
        </w:tc>
        <w:tc>
          <w:tcPr>
            <w:tcW w:w="1708" w:type="dxa"/>
            <w:tcBorders>
              <w:bottom w:val="single" w:sz="8" w:space="0" w:color="000000"/>
            </w:tcBorders>
          </w:tcPr>
          <w:p>
            <w:pPr>
              <w:pStyle w:val="CeldaAPA"/>
              <w:jc w:val="left"/>
            </w:pPr>
            <w:r>
              <w:rPr/>
              <w:t xml:space="preserve">Conformidad del hormigón</w:t>
            </w:r>
          </w:p>
        </w:tc>
        <w:tc>
          <w:tcPr>
            <w:tcW w:w="2532" w:type="dxa"/>
            <w:tcBorders>
              <w:bottom w:val="single" w:sz="8" w:space="0" w:color="000000"/>
            </w:tcBorders>
          </w:tcPr>
          <w:p>
            <w:pPr>
              <w:pStyle w:val="CeldaAPA"/>
              <w:jc w:val="left"/>
            </w:pPr>
            <w:r>
              <w:rPr/>
              <w:t xml:space="preserve">Ensayos que cumplen ACI 318-25 (26.12.3.1)</w:t>
            </w:r>
          </w:p>
        </w:tc>
        <w:tc>
          <w:tcPr>
            <w:tcW w:w="2129" w:type="dxa"/>
            <w:tcBorders>
              <w:bottom w:val="single" w:sz="8" w:space="0" w:color="000000"/>
            </w:tcBorders>
          </w:tcPr>
          <w:p>
            <w:pPr>
              <w:pStyle w:val="CeldaAPA"/>
              <w:jc w:val="left"/>
            </w:pPr>
            <w:r>
              <w:rPr/>
              <w:t xml:space="preserve">% de ensayos conformes</w:t>
            </w:r>
          </w:p>
        </w:tc>
        <w:tc>
          <w:tcPr>
            <w:tcW w:w="1608" w:type="dxa"/>
            <w:tcBorders>
              <w:bottom w:val="single" w:sz="8" w:space="0" w:color="000000"/>
            </w:tcBorders>
          </w:tcPr>
          <w:p>
            <w:pPr>
              <w:pStyle w:val="CeldaAPA"/>
              <w:jc w:val="left"/>
            </w:pPr>
            <w:r>
              <w:rPr/>
              <w:t xml:space="preserve">Ensayos ASTM C31, C39 y C143</w:t>
            </w:r>
          </w:p>
        </w:tc>
      </w:tr>
    </w:tbl>
    <w:p>
      <w:pPr>
        <w:pStyle w:val="Heading1"/>
      </w:pPr>
      <w:bookmarkStart w:id="337" w:name="tit153"/>
      <w:r>
        <w:t xml:space="preserve">ANEXO C</w:t>
      </w:r>
      <w:r>
        <w:br/>
      </w:r>
      <w:r>
        <w:t xml:space="preserve">INSTRUMENTOS DE RECOLECCIÓN DE DATOS Y FORMATOS DEL SGC</w:t>
      </w:r>
      <w:bookmarkEnd w:id="337"/>
    </w:p>
    <w:p>
      <w:pPr>
        <w:pStyle w:val="FirstParagraph"/>
      </w:pPr>
      <w:r>
        <w:t xml:space="preserve">Este anexo reúne los instrumentos de recolección de datos de la investigación y los formatos del Sistema de Gestión de la Calidad (SGC) propuesto en la Sección 2.6. Los formatos C.2 a C.6 son los registros del SGC: se imprimen en tamaño carta, se llenan en obra y se archivan por losa y por paño. Los instrumentos C.7 y C.8 sirven a la investigación: la guía de entrevista para el diagnóstico (OE1) y el formato de validación por juicio de expertos (OE5). La relación de cada formato con el sistema es la siguiente:</w:t>
      </w:r>
    </w:p>
    <w:tbl>
      <w:tblPr>
        <w:tblStyle w:val="Table"/>
        <w:tblW w:w="9359" w:type="dxa"/>
        <w:jc w:val="left"/>
        <w:tblLayout w:type="fixed"/>
        <w:tblCellMar>
          <w:top w:w="0" w:type="dxa"/>
          <w:left w:w="85" w:type="dxa"/>
          <w:bottom w:w="0" w:type="dxa"/>
          <w:right w:w="85" w:type="dxa"/>
        </w:tblCellMar>
        <w:tblLook w:firstRow="1" w:lastRow="0" w:firstColumn="0" w:lastColumn="0" w:noHBand="0" w:noVBand="0" w:val="0020"/>
      </w:tblPr>
      <w:tblGrid>
        <w:gridCol w:w="1083"/>
        <w:gridCol w:w="3663"/>
        <w:gridCol w:w="2722"/>
        <w:gridCol w:w="1891"/>
      </w:tblGrid>
      <w:tr>
        <w:trPr>
          <w:cantSplit/>
          <w:tblHeader w:val="true"/>
        </w:trPr>
        <w:tc>
          <w:tcPr>
            <w:tcW w:w="1083" w:type="dxa"/>
            <w:tcBorders>
              <w:top w:val="single" w:sz="8" w:space="0" w:color="000000"/>
              <w:bottom w:val="single" w:sz="4" w:space="0" w:color="000000"/>
            </w:tcBorders>
          </w:tcPr>
          <w:p>
            <w:pPr>
              <w:pStyle w:val="CeldaAPA"/>
              <w:jc w:val="center"/>
            </w:pPr>
            <w:r>
              <w:rPr>
                <w:bCs/>
                <w:b/>
              </w:rPr>
              <w:t xml:space="preserve">Código</w:t>
            </w:r>
          </w:p>
        </w:tc>
        <w:tc>
          <w:tcPr>
            <w:tcW w:w="3663" w:type="dxa"/>
            <w:tcBorders>
              <w:top w:val="single" w:sz="8" w:space="0" w:color="000000"/>
              <w:bottom w:val="single" w:sz="4" w:space="0" w:color="000000"/>
            </w:tcBorders>
          </w:tcPr>
          <w:p>
            <w:pPr>
              <w:pStyle w:val="CeldaAPA"/>
              <w:jc w:val="center"/>
            </w:pPr>
            <w:r>
              <w:rPr>
                <w:bCs/>
                <w:b/>
              </w:rPr>
              <w:t xml:space="preserve">Formato o instrumento</w:t>
            </w:r>
          </w:p>
        </w:tc>
        <w:tc>
          <w:tcPr>
            <w:tcW w:w="2722" w:type="dxa"/>
            <w:tcBorders>
              <w:top w:val="single" w:sz="8" w:space="0" w:color="000000"/>
              <w:bottom w:val="single" w:sz="4" w:space="0" w:color="000000"/>
            </w:tcBorders>
          </w:tcPr>
          <w:p>
            <w:pPr>
              <w:pStyle w:val="CeldaAPA"/>
              <w:jc w:val="center"/>
            </w:pPr>
            <w:r>
              <w:rPr>
                <w:bCs/>
                <w:b/>
              </w:rPr>
              <w:t xml:space="preserve">Componente del SGC</w:t>
            </w:r>
          </w:p>
        </w:tc>
        <w:tc>
          <w:tcPr>
            <w:tcW w:w="1891" w:type="dxa"/>
            <w:tcBorders>
              <w:top w:val="single" w:sz="8" w:space="0" w:color="000000"/>
              <w:bottom w:val="single" w:sz="4" w:space="0" w:color="000000"/>
            </w:tcBorders>
          </w:tcPr>
          <w:p>
            <w:pPr>
              <w:pStyle w:val="CeldaAPA"/>
              <w:jc w:val="center"/>
            </w:pPr>
            <w:r>
              <w:rPr>
                <w:bCs/>
                <w:b/>
              </w:rPr>
              <w:t xml:space="preserve">Responsable</w:t>
            </w:r>
          </w:p>
        </w:tc>
      </w:tr>
      <w:tr>
        <w:tc>
          <w:tcPr>
            <w:tcW w:w="1083" w:type="dxa"/>
          </w:tcPr>
          <w:p>
            <w:pPr>
              <w:pStyle w:val="CeldaAPA"/>
              <w:jc w:val="left"/>
            </w:pPr>
            <w:r>
              <w:rPr/>
              <w:t xml:space="preserve">C.1</w:t>
            </w:r>
          </w:p>
        </w:tc>
        <w:tc>
          <w:tcPr>
            <w:tcW w:w="3663" w:type="dxa"/>
          </w:tcPr>
          <w:p>
            <w:pPr>
              <w:pStyle w:val="CeldaAPA"/>
              <w:jc w:val="left"/>
            </w:pPr>
            <w:r>
              <w:rPr/>
              <w:t xml:space="preserve">Lista de verificación de requisitos ISO 9001:2026</w:t>
            </w:r>
          </w:p>
        </w:tc>
        <w:tc>
          <w:tcPr>
            <w:tcW w:w="2722" w:type="dxa"/>
          </w:tcPr>
          <w:p>
            <w:pPr>
              <w:pStyle w:val="CeldaAPA"/>
              <w:jc w:val="left"/>
            </w:pPr>
            <w:r>
              <w:rPr/>
              <w:t xml:space="preserve">Diagnóstico y auditoría interna</w:t>
            </w:r>
          </w:p>
        </w:tc>
        <w:tc>
          <w:tcPr>
            <w:tcW w:w="1891" w:type="dxa"/>
          </w:tcPr>
          <w:p>
            <w:pPr>
              <w:pStyle w:val="CeldaAPA"/>
              <w:jc w:val="left"/>
            </w:pPr>
            <w:r>
              <w:rPr/>
              <w:t xml:space="preserve">Investigador; auditor</w:t>
            </w:r>
          </w:p>
        </w:tc>
      </w:tr>
      <w:tr>
        <w:tc>
          <w:tcPr>
            <w:tcW w:w="1083" w:type="dxa"/>
          </w:tcPr>
          <w:p>
            <w:pPr>
              <w:pStyle w:val="CeldaAPA"/>
              <w:jc w:val="left"/>
            </w:pPr>
            <w:r>
              <w:rPr/>
              <w:t xml:space="preserve">C.2</w:t>
            </w:r>
          </w:p>
        </w:tc>
        <w:tc>
          <w:tcPr>
            <w:tcW w:w="3663" w:type="dxa"/>
          </w:tcPr>
          <w:p>
            <w:pPr>
              <w:pStyle w:val="CeldaAPA"/>
              <w:jc w:val="left"/>
            </w:pPr>
            <w:r>
              <w:rPr/>
              <w:t xml:space="preserve">Fichas PPI de liberación por paño</w:t>
            </w:r>
          </w:p>
        </w:tc>
        <w:tc>
          <w:tcPr>
            <w:tcW w:w="2722" w:type="dxa"/>
          </w:tcPr>
          <w:p>
            <w:pPr>
              <w:pStyle w:val="CeldaAPA"/>
              <w:jc w:val="left"/>
            </w:pPr>
            <w:r>
              <w:rPr/>
              <w:t xml:space="preserve">Plan de puntos de inspección (Tabla 36)</w:t>
            </w:r>
          </w:p>
        </w:tc>
        <w:tc>
          <w:tcPr>
            <w:tcW w:w="1891" w:type="dxa"/>
          </w:tcPr>
          <w:p>
            <w:pPr>
              <w:pStyle w:val="CeldaAPA"/>
              <w:jc w:val="left"/>
            </w:pPr>
            <w:r>
              <w:rPr/>
              <w:t xml:space="preserve">Encargado de calidad; Supervisor</w:t>
            </w:r>
          </w:p>
        </w:tc>
      </w:tr>
      <w:tr>
        <w:tc>
          <w:tcPr>
            <w:tcW w:w="1083" w:type="dxa"/>
          </w:tcPr>
          <w:p>
            <w:pPr>
              <w:pStyle w:val="CeldaAPA"/>
              <w:jc w:val="left"/>
            </w:pPr>
            <w:r>
              <w:rPr/>
              <w:t xml:space="preserve">C.3</w:t>
            </w:r>
          </w:p>
        </w:tc>
        <w:tc>
          <w:tcPr>
            <w:tcW w:w="3663" w:type="dxa"/>
          </w:tcPr>
          <w:p>
            <w:pPr>
              <w:pStyle w:val="CeldaAPA"/>
              <w:jc w:val="left"/>
            </w:pPr>
            <w:r>
              <w:rPr/>
              <w:t xml:space="preserve">Ficha de recepción de materiales</w:t>
            </w:r>
          </w:p>
        </w:tc>
        <w:tc>
          <w:tcPr>
            <w:tcW w:w="2722" w:type="dxa"/>
          </w:tcPr>
          <w:p>
            <w:pPr>
              <w:pStyle w:val="CeldaAPA"/>
              <w:jc w:val="left"/>
            </w:pPr>
            <w:r>
              <w:rPr/>
              <w:t xml:space="preserve">PCM-01 (Tabla 37)</w:t>
            </w:r>
          </w:p>
        </w:tc>
        <w:tc>
          <w:tcPr>
            <w:tcW w:w="1891" w:type="dxa"/>
          </w:tcPr>
          <w:p>
            <w:pPr>
              <w:pStyle w:val="CeldaAPA"/>
              <w:jc w:val="left"/>
            </w:pPr>
            <w:r>
              <w:rPr/>
              <w:t xml:space="preserve">Almacenero; encargado de calidad</w:t>
            </w:r>
          </w:p>
        </w:tc>
      </w:tr>
      <w:tr>
        <w:tc>
          <w:tcPr>
            <w:tcW w:w="1083" w:type="dxa"/>
          </w:tcPr>
          <w:p>
            <w:pPr>
              <w:pStyle w:val="CeldaAPA"/>
              <w:jc w:val="left"/>
            </w:pPr>
            <w:r>
              <w:rPr/>
              <w:t xml:space="preserve">C.4</w:t>
            </w:r>
          </w:p>
        </w:tc>
        <w:tc>
          <w:tcPr>
            <w:tcW w:w="3663" w:type="dxa"/>
          </w:tcPr>
          <w:p>
            <w:pPr>
              <w:pStyle w:val="CeldaAPA"/>
              <w:jc w:val="left"/>
            </w:pPr>
            <w:r>
              <w:rPr/>
              <w:t xml:space="preserve">Control de materiales y conciliación por paño</w:t>
            </w:r>
          </w:p>
        </w:tc>
        <w:tc>
          <w:tcPr>
            <w:tcW w:w="2722" w:type="dxa"/>
          </w:tcPr>
          <w:p>
            <w:pPr>
              <w:pStyle w:val="CeldaAPA"/>
              <w:jc w:val="left"/>
            </w:pPr>
            <w:r>
              <w:rPr/>
              <w:t xml:space="preserve">PCM-02, PCM-03 y PCM-04</w:t>
            </w:r>
          </w:p>
        </w:tc>
        <w:tc>
          <w:tcPr>
            <w:tcW w:w="1891" w:type="dxa"/>
          </w:tcPr>
          <w:p>
            <w:pPr>
              <w:pStyle w:val="CeldaAPA"/>
              <w:jc w:val="left"/>
            </w:pPr>
            <w:r>
              <w:rPr/>
              <w:t xml:space="preserve">Almacenero; encargado de calidad</w:t>
            </w:r>
          </w:p>
        </w:tc>
      </w:tr>
      <w:tr>
        <w:tc>
          <w:tcPr>
            <w:tcW w:w="1083" w:type="dxa"/>
          </w:tcPr>
          <w:p>
            <w:pPr>
              <w:pStyle w:val="CeldaAPA"/>
              <w:jc w:val="left"/>
            </w:pPr>
            <w:r>
              <w:rPr/>
              <w:t xml:space="preserve">C.5</w:t>
            </w:r>
          </w:p>
        </w:tc>
        <w:tc>
          <w:tcPr>
            <w:tcW w:w="3663" w:type="dxa"/>
          </w:tcPr>
          <w:p>
            <w:pPr>
              <w:pStyle w:val="CeldaAPA"/>
              <w:jc w:val="left"/>
            </w:pPr>
            <w:r>
              <w:rPr/>
              <w:t xml:space="preserve">Registro de no conformidades y acción correctiva</w:t>
            </w:r>
          </w:p>
        </w:tc>
        <w:tc>
          <w:tcPr>
            <w:tcW w:w="2722" w:type="dxa"/>
          </w:tcPr>
          <w:p>
            <w:pPr>
              <w:pStyle w:val="CeldaAPA"/>
              <w:jc w:val="left"/>
            </w:pPr>
            <w:r>
              <w:rPr/>
              <w:t xml:space="preserve">PCM-05; procedimiento de NC</w:t>
            </w:r>
          </w:p>
        </w:tc>
        <w:tc>
          <w:tcPr>
            <w:tcW w:w="1891" w:type="dxa"/>
          </w:tcPr>
          <w:p>
            <w:pPr>
              <w:pStyle w:val="CeldaAPA"/>
              <w:jc w:val="left"/>
            </w:pPr>
            <w:r>
              <w:rPr/>
              <w:t xml:space="preserve">Encargado de calidad</w:t>
            </w:r>
          </w:p>
        </w:tc>
      </w:tr>
      <w:tr>
        <w:tc>
          <w:tcPr>
            <w:tcW w:w="1083" w:type="dxa"/>
          </w:tcPr>
          <w:p>
            <w:pPr>
              <w:pStyle w:val="CeldaAPA"/>
              <w:jc w:val="left"/>
            </w:pPr>
            <w:r>
              <w:rPr/>
              <w:t xml:space="preserve">C.6</w:t>
            </w:r>
          </w:p>
        </w:tc>
        <w:tc>
          <w:tcPr>
            <w:tcW w:w="3663" w:type="dxa"/>
          </w:tcPr>
          <w:p>
            <w:pPr>
              <w:pStyle w:val="CeldaAPA"/>
              <w:jc w:val="left"/>
            </w:pPr>
            <w:r>
              <w:rPr/>
              <w:t xml:space="preserve">Planilla de costos de la calidad (PAF)</w:t>
            </w:r>
          </w:p>
        </w:tc>
        <w:tc>
          <w:tcPr>
            <w:tcW w:w="2722" w:type="dxa"/>
          </w:tcPr>
          <w:p>
            <w:pPr>
              <w:pStyle w:val="CeldaAPA"/>
              <w:jc w:val="left"/>
            </w:pPr>
            <w:r>
              <w:rPr/>
              <w:t xml:space="preserve">Registro de costos de la calidad</w:t>
            </w:r>
          </w:p>
        </w:tc>
        <w:tc>
          <w:tcPr>
            <w:tcW w:w="1891" w:type="dxa"/>
          </w:tcPr>
          <w:p>
            <w:pPr>
              <w:pStyle w:val="CeldaAPA"/>
              <w:jc w:val="left"/>
            </w:pPr>
            <w:r>
              <w:rPr/>
              <w:t xml:space="preserve">Encargado de calidad</w:t>
            </w:r>
          </w:p>
        </w:tc>
      </w:tr>
      <w:tr>
        <w:tc>
          <w:tcPr>
            <w:tcW w:w="1083" w:type="dxa"/>
          </w:tcPr>
          <w:p>
            <w:pPr>
              <w:pStyle w:val="CeldaAPA"/>
              <w:jc w:val="left"/>
            </w:pPr>
            <w:r>
              <w:rPr/>
              <w:t xml:space="preserve">C.7</w:t>
            </w:r>
          </w:p>
        </w:tc>
        <w:tc>
          <w:tcPr>
            <w:tcW w:w="3663" w:type="dxa"/>
          </w:tcPr>
          <w:p>
            <w:pPr>
              <w:pStyle w:val="CeldaAPA"/>
              <w:jc w:val="left"/>
            </w:pPr>
            <w:r>
              <w:rPr/>
              <w:t xml:space="preserve">Guía de entrevista semiestructurada</w:t>
            </w:r>
          </w:p>
        </w:tc>
        <w:tc>
          <w:tcPr>
            <w:tcW w:w="2722" w:type="dxa"/>
          </w:tcPr>
          <w:p>
            <w:pPr>
              <w:pStyle w:val="CeldaAPA"/>
              <w:jc w:val="left"/>
            </w:pPr>
            <w:r>
              <w:rPr/>
              <w:t xml:space="preserve">Diagnóstico (OE1)</w:t>
            </w:r>
          </w:p>
        </w:tc>
        <w:tc>
          <w:tcPr>
            <w:tcW w:w="1891" w:type="dxa"/>
          </w:tcPr>
          <w:p>
            <w:pPr>
              <w:pStyle w:val="CeldaAPA"/>
              <w:jc w:val="left"/>
            </w:pPr>
            <w:r>
              <w:rPr/>
              <w:t xml:space="preserve">Investigador</w:t>
            </w:r>
          </w:p>
        </w:tc>
      </w:tr>
      <w:tr>
        <w:tc>
          <w:tcPr>
            <w:tcW w:w="1083" w:type="dxa"/>
            <w:tcBorders>
              <w:bottom w:val="single" w:sz="8" w:space="0" w:color="000000"/>
            </w:tcBorders>
          </w:tcPr>
          <w:p>
            <w:pPr>
              <w:pStyle w:val="CeldaAPA"/>
              <w:jc w:val="left"/>
            </w:pPr>
            <w:r>
              <w:rPr/>
              <w:t xml:space="preserve">C.8</w:t>
            </w:r>
          </w:p>
        </w:tc>
        <w:tc>
          <w:tcPr>
            <w:tcW w:w="3663" w:type="dxa"/>
            <w:tcBorders>
              <w:bottom w:val="single" w:sz="8" w:space="0" w:color="000000"/>
            </w:tcBorders>
          </w:tcPr>
          <w:p>
            <w:pPr>
              <w:pStyle w:val="CeldaAPA"/>
              <w:jc w:val="left"/>
            </w:pPr>
            <w:r>
              <w:rPr/>
              <w:t xml:space="preserve">Formato de validación por juicio de expertos</w:t>
            </w:r>
          </w:p>
        </w:tc>
        <w:tc>
          <w:tcPr>
            <w:tcW w:w="2722" w:type="dxa"/>
            <w:tcBorders>
              <w:bottom w:val="single" w:sz="8" w:space="0" w:color="000000"/>
            </w:tcBorders>
          </w:tcPr>
          <w:p>
            <w:pPr>
              <w:pStyle w:val="CeldaAPA"/>
              <w:jc w:val="left"/>
            </w:pPr>
            <w:r>
              <w:rPr/>
              <w:t xml:space="preserve">Validación (OE5)</w:t>
            </w:r>
          </w:p>
        </w:tc>
        <w:tc>
          <w:tcPr>
            <w:tcW w:w="1891" w:type="dxa"/>
            <w:tcBorders>
              <w:bottom w:val="single" w:sz="8" w:space="0" w:color="000000"/>
            </w:tcBorders>
          </w:tcPr>
          <w:p>
            <w:pPr>
              <w:pStyle w:val="CeldaAPA"/>
              <w:jc w:val="left"/>
            </w:pPr>
            <w:r>
              <w:rPr/>
              <w:t xml:space="preserve">Investigador; expertos</w:t>
            </w:r>
          </w:p>
        </w:tc>
      </w:tr>
    </w:tbl>
    <w:p>
      <w:pPr>
        <w:pStyle w:val="Heading2"/>
        <w:spacing w:before="240"/>
      </w:pPr>
      <w:bookmarkStart w:id="329" w:name="tit154"/>
      <w:r>
        <w:t xml:space="preserve">C.1. Lista de verificación de requisitos de ISO 9001:2026 aplicada a la ejecución de la primera losa</w:t>
      </w:r>
      <w:bookmarkEnd w:id="329"/>
    </w:p>
    <w:p>
      <w:pPr>
        <w:pStyle w:val="FirstParagraph"/>
      </w:pPr>
      <w:r>
        <w:rPr>
          <w:bCs/>
          <w:b/>
        </w:rPr>
        <w:t xml:space="preserve">Propósito y alcance.</w:t>
      </w:r>
      <w:r>
        <w:t xml:space="preserve"> </w:t>
      </w:r>
      <w:r>
        <w:t xml:space="preserve">La lista sirve para diagnosticar las brechas entre la gestión real del proceso constructivo de la losa alivianada y los requisitos de las cláusulas 4 a 10 de la norma ISO 9001:2026</w:t>
      </w:r>
      <w:r>
        <w:t xml:space="preserve"> </w:t>
      </w:r>
      <w:r>
        <w:t xml:space="preserve">(ISO, 2026b)</w:t>
      </w:r>
      <w:r>
        <w:t xml:space="preserve">. Se aplicó a la ejecución de la primera losa (41 paños; 1.109,84 m</w:t>
      </w:r>
      <w:r>
        <w:rPr>
          <w:vertAlign w:val="superscript"/>
        </w:rPr>
        <w:t xml:space="preserve">2</w:t>
      </w:r>
      <w:r>
        <w:t xml:space="preserve">), entendida como el sistema formado por la empresa contratista, su Dirección de Obra y los controles de la Supervisión que constan en los documentos. Los requisitos se redactaron como paráfrasis del autor, en términos del proceso de la losa; no reproducen el texto de la norma. La numeración corresponde a la estructura de cláusulas que la edición de 2026 conserva de la de 2015.</w:t>
      </w:r>
      <w:r>
        <w:t xml:space="preserve"> </w:t>
      </w:r>
      <w:r>
        <w:rPr>
          <w:rStyle w:val="Pendiente"/>
          <w:bCs/>
          <w:b/>
        </w:rPr>
        <w:t xml:space="preserve">[Pendiente:</w:t>
      </w:r>
      <w:r>
        <w:rPr>
          <w:rStyle w:val="Pendiente"/>
        </w:rPr>
        <w:t xml:space="preserve"> </w:t>
      </w:r>
      <w:r>
        <w:rPr>
          <w:rStyle w:val="Pendiente"/>
        </w:rPr>
        <w:t xml:space="preserve">contrastar la numeración de las subcláusulas con el texto de la NB/ISO 9001:2026 de IBNORCA</w:t>
      </w:r>
      <w:r>
        <w:rPr>
          <w:rStyle w:val="Pendiente"/>
        </w:rPr>
        <w:t xml:space="preserve"> </w:t>
      </w:r>
      <w:r>
        <w:rPr>
          <w:rStyle w:val="Pendiente"/>
        </w:rPr>
        <w:t xml:space="preserve">(IBNORCA, 2026)</w:t>
      </w:r>
      <w:r>
        <w:rPr>
          <w:rStyle w:val="Pendiente"/>
        </w:rPr>
        <w:t xml:space="preserve">.</w:t>
      </w:r>
      <w:r>
        <w:rPr>
          <w:rStyle w:val="Pendiente"/>
          <w:bCs/>
          <w:b/>
        </w:rPr>
        <w:t xml:space="preserve">]</w:t>
      </w:r>
    </w:p>
    <w:p>
      <w:pPr>
        <w:pStyle w:val="BodyText"/>
      </w:pPr>
      <w:r>
        <w:rPr>
          <w:bCs/>
          <w:b/>
        </w:rPr>
        <w:t xml:space="preserve">Método.</w:t>
      </w:r>
      <w:r>
        <w:t xml:space="preserve"> </w:t>
      </w:r>
      <w:r>
        <w:t xml:space="preserve">La aplicación fue documental y la realizó el investigador. Se revisaron, página por página, la Planilla de avance de obra N.</w:t>
      </w:r>
      <w:r>
        <w:rPr>
          <w:vertAlign w:val="superscript"/>
        </w:rPr>
        <w:t xml:space="preserve">o</w:t>
      </w:r>
      <w:r>
        <w:t xml:space="preserve"> 2 con sus anexos (informe de Supervisión, cómputos, certificados, contrato, Libro de Órdenes y cronogramas), la planilla y los cómputos de cierre por resolución del contrato, el expediente del ítem 13, las especificaciones técnicas y los planos 01 a 03. Cada requisito aplicable se calificó así:</w:t>
      </w:r>
      <w:r>
        <w:t xml:space="preserve"> </w:t>
      </w:r>
      <w:r>
        <w:rPr>
          <w:bCs/>
          <w:b/>
        </w:rPr>
        <w:t xml:space="preserve">1</w:t>
      </w:r>
      <w:r>
        <w:t xml:space="preserve"> </w:t>
      </w:r>
      <w:r>
        <w:t xml:space="preserve">= cumple (el requisito está establecido, se aplicó y hay evidencia documental);</w:t>
      </w:r>
      <w:r>
        <w:t xml:space="preserve"> </w:t>
      </w:r>
      <w:r>
        <w:rPr>
          <w:bCs/>
          <w:b/>
        </w:rPr>
        <w:t xml:space="preserve">0,5</w:t>
      </w:r>
      <w:r>
        <w:t xml:space="preserve"> </w:t>
      </w:r>
      <w:r>
        <w:t xml:space="preserve">= cumple parcialmente (hay evidencia de una aplicación parcial, informal o sin registros completos);</w:t>
      </w:r>
      <w:r>
        <w:t xml:space="preserve"> </w:t>
      </w:r>
      <w:r>
        <w:rPr>
          <w:bCs/>
          <w:b/>
        </w:rPr>
        <w:t xml:space="preserve">0</w:t>
      </w:r>
      <w:r>
        <w:t xml:space="preserve"> </w:t>
      </w:r>
      <w:r>
        <w:t xml:space="preserve">= no cumple (no se encontró evidencia en los documentos revisados, o la evidencia muestra lo contrario);</w:t>
      </w:r>
      <w:r>
        <w:t xml:space="preserve"> </w:t>
      </w:r>
      <w:r>
        <w:rPr>
          <w:bCs/>
          <w:b/>
        </w:rPr>
        <w:t xml:space="preserve">NA</w:t>
      </w:r>
      <w:r>
        <w:t xml:space="preserve"> </w:t>
      </w:r>
      <w:r>
        <w:t xml:space="preserve">= no aplica al proceso de la losa (se excluye del denominador). El porcentaje de cada cláusula es la suma de las calificaciones dividida entre el número de requisitos aplicables. La interpretación usa la escala de</w:t>
      </w:r>
      <w:r>
        <w:t xml:space="preserve"> </w:t>
      </w:r>
      <w:r>
        <w:t xml:space="preserve">Mamani Calsina (2025, p. 42)</w:t>
      </w:r>
      <w:r>
        <w:t xml:space="preserve">: 0–25 % deficiente o no implementado; 26–50 % básico o en desarrollo; 51–75 % aceptable; 76–100 % excelente.</w:t>
      </w:r>
    </w:p>
    <w:p>
      <w:pPr>
        <w:pStyle w:val="BodyText"/>
      </w:pPr>
      <w:r>
        <w:rPr>
          <w:bCs/>
          <w:b/>
        </w:rPr>
        <w:t xml:space="preserve">Limitación.</w:t>
      </w:r>
      <w:r>
        <w:t xml:space="preserve"> </w:t>
      </w:r>
      <w:r>
        <w:t xml:space="preserve">Una calificación de 0 por falta de evidencia documental no prueba que la práctica no existiera; prueba que no quedó registrada. Las entrevistas de la guía C.7 a la Dirección de Obra, a la Supervisión y a la Fiscalización permitirán verificar o corregir estas calificaciones. Para las auditorías internas del SGC propuesto, la columna de requisitos se usa sin cambios y las columnas de evidencia y calificación se llenan en cada aplicación.</w:t>
      </w:r>
    </w:p>
    <w:p>
      <w:pPr>
        <w:pStyle w:val="Caption"/>
      </w:pPr>
      <w:bookmarkStart w:id="1450" w:name="tab48"/>
      <w:r>
        <w:t xml:space="preserve"/>
      </w:r>
      <w:r>
        <w:rPr>
          <w:bCs/>
          <w:b/>
        </w:rPr>
        <w:t xml:space="preserve">Tabla 48</w:t>
      </w:r>
      <w:r>
        <w:br/>
      </w:r>
      <w:r>
        <w:rPr>
          <w:iCs/>
          <w:i/>
        </w:rPr>
        <w:t xml:space="preserve">Lista de verificación C.1 aplicada a la ejecución de la primera losa</w:t>
      </w:r>
      <w:bookmarkEnd w:id="1450"/>
    </w:p>
    <w:tbl>
      <w:tblPr>
        <w:tblStyle w:val="Table"/>
        <w:tblW w:w="9359" w:type="dxa"/>
        <w:jc w:val="left"/>
        <w:tblLayout w:type="fixed"/>
        <w:tblCellMar>
          <w:top w:w="0" w:type="dxa"/>
          <w:left w:w="85" w:type="dxa"/>
          <w:bottom w:w="0" w:type="dxa"/>
          <w:right w:w="85" w:type="dxa"/>
        </w:tblCellMar>
        <w:tblLook w:firstRow="1" w:lastRow="0" w:firstColumn="0" w:lastColumn="0" w:noHBand="0" w:noVBand="0" w:val="0020"/>
      </w:tblPr>
      <w:tblGrid>
        <w:gridCol w:w="1251"/>
        <w:gridCol w:w="2203"/>
        <w:gridCol w:w="2707"/>
        <w:gridCol w:w="916"/>
        <w:gridCol w:w="2282"/>
      </w:tblGrid>
      <w:tr>
        <w:trPr>
          <w:cantSplit/>
          <w:tblHeader w:val="true"/>
        </w:trPr>
        <w:tc>
          <w:tcPr>
            <w:tcW w:w="1251" w:type="dxa"/>
            <w:tcBorders>
              <w:top w:val="single" w:sz="8" w:space="0" w:color="000000"/>
              <w:bottom w:val="single" w:sz="4" w:space="0" w:color="000000"/>
            </w:tcBorders>
          </w:tcPr>
          <w:p>
            <w:pPr>
              <w:pStyle w:val="CeldaAPA"/>
              <w:jc w:val="center"/>
            </w:pPr>
            <w:r>
              <w:rPr>
                <w:bCs/>
                <w:b/>
              </w:rPr>
              <w:t xml:space="preserve">Cláusula</w:t>
            </w:r>
          </w:p>
        </w:tc>
        <w:tc>
          <w:tcPr>
            <w:tcW w:w="2203" w:type="dxa"/>
            <w:tcBorders>
              <w:top w:val="single" w:sz="8" w:space="0" w:color="000000"/>
              <w:bottom w:val="single" w:sz="4" w:space="0" w:color="000000"/>
            </w:tcBorders>
          </w:tcPr>
          <w:p>
            <w:pPr>
              <w:pStyle w:val="CeldaAPA"/>
              <w:jc w:val="center"/>
            </w:pPr>
            <w:r>
              <w:rPr>
                <w:bCs/>
                <w:b/>
              </w:rPr>
              <w:t xml:space="preserve">Requisito (paráfrasis aplicada a la losa)</w:t>
            </w:r>
          </w:p>
        </w:tc>
        <w:tc>
          <w:tcPr>
            <w:tcW w:w="2707" w:type="dxa"/>
            <w:tcBorders>
              <w:top w:val="single" w:sz="8" w:space="0" w:color="000000"/>
              <w:bottom w:val="single" w:sz="4" w:space="0" w:color="000000"/>
            </w:tcBorders>
          </w:tcPr>
          <w:p>
            <w:pPr>
              <w:pStyle w:val="CeldaAPA"/>
              <w:jc w:val="center"/>
            </w:pPr>
            <w:r>
              <w:rPr>
                <w:bCs/>
                <w:b/>
              </w:rPr>
              <w:t xml:space="preserve">Evidencia documental encontrada</w:t>
            </w:r>
          </w:p>
        </w:tc>
        <w:tc>
          <w:tcPr>
            <w:tcW w:w="916" w:type="dxa"/>
            <w:tcBorders>
              <w:top w:val="single" w:sz="8" w:space="0" w:color="000000"/>
              <w:bottom w:val="single" w:sz="4" w:space="0" w:color="000000"/>
            </w:tcBorders>
          </w:tcPr>
          <w:p>
            <w:pPr>
              <w:pStyle w:val="CeldaAPA"/>
              <w:jc w:val="center"/>
            </w:pPr>
            <w:r>
              <w:rPr>
                <w:bCs/>
                <w:b/>
              </w:rPr>
              <w:t xml:space="preserve">Calif.</w:t>
            </w:r>
          </w:p>
        </w:tc>
        <w:tc>
          <w:tcPr>
            <w:tcW w:w="2282" w:type="dxa"/>
            <w:tcBorders>
              <w:top w:val="single" w:sz="8" w:space="0" w:color="000000"/>
              <w:bottom w:val="single" w:sz="4" w:space="0" w:color="000000"/>
            </w:tcBorders>
          </w:tcPr>
          <w:p>
            <w:pPr>
              <w:pStyle w:val="CeldaAPA"/>
              <w:jc w:val="center"/>
            </w:pPr>
            <w:r>
              <w:rPr>
                <w:bCs/>
                <w:b/>
              </w:rPr>
              <w:t xml:space="preserve">Observación</w:t>
            </w:r>
          </w:p>
        </w:tc>
      </w:tr>
      <w:tr>
        <w:tc>
          <w:tcPr>
            <w:tcW w:w="9359" w:type="dxa"/>
            <w:gridSpan w:val="5"/>
          </w:tcPr>
          <w:p>
            <w:pPr>
              <w:pStyle w:val="CeldaAPA"/>
              <w:jc w:val="left"/>
            </w:pPr>
            <w:r>
              <w:rPr>
                <w:bCs/>
                <w:b/>
              </w:rPr>
              <w:t xml:space="preserve">4. Contexto de la organización</w:t>
            </w:r>
          </w:p>
        </w:tc>
      </w:tr>
      <w:tr>
        <w:tc>
          <w:tcPr>
            <w:tcW w:w="1251" w:type="dxa"/>
          </w:tcPr>
          <w:p>
            <w:pPr>
              <w:pStyle w:val="CeldaAPA"/>
              <w:jc w:val="left"/>
            </w:pPr>
            <w:r>
              <w:rPr/>
              <w:t xml:space="preserve">4.1</w:t>
            </w:r>
          </w:p>
        </w:tc>
        <w:tc>
          <w:tcPr>
            <w:tcW w:w="2203" w:type="dxa"/>
          </w:tcPr>
          <w:p>
            <w:pPr>
              <w:pStyle w:val="CeldaAPA"/>
              <w:jc w:val="left"/>
            </w:pPr>
            <w:r>
              <w:rPr/>
              <w:t xml:space="preserve">Determinar las cuestiones externas e internas que afectan al proceso de la losa (abastecimiento, precios, clima y pertinencia del cambio climático) y darles seguimiento.</w:t>
            </w:r>
          </w:p>
        </w:tc>
        <w:tc>
          <w:tcPr>
            <w:tcW w:w="2707" w:type="dxa"/>
          </w:tcPr>
          <w:p>
            <w:pPr>
              <w:pStyle w:val="CeldaAPA"/>
              <w:jc w:val="left"/>
            </w:pPr>
            <w:r>
              <w:rPr/>
              <w:t xml:space="preserve">No hay análisis de contexto. Las lluvias (siete días) y la demora de materiales por escasez de combustible solo se anotaron después de ocurridas, para pedir ampliación de plazo (PAO2, pp. 114–124).</w:t>
            </w:r>
          </w:p>
        </w:tc>
        <w:tc>
          <w:tcPr>
            <w:tcW w:w="916" w:type="dxa"/>
          </w:tcPr>
          <w:p>
            <w:pPr>
              <w:pStyle w:val="CeldaAPA"/>
              <w:jc w:val="center"/>
            </w:pPr>
            <w:r>
              <w:rPr/>
              <w:t xml:space="preserve">0</w:t>
            </w:r>
          </w:p>
        </w:tc>
        <w:tc>
          <w:tcPr>
            <w:tcW w:w="2282" w:type="dxa"/>
          </w:tcPr>
          <w:p>
            <w:pPr>
              <w:pStyle w:val="CeldaAPA"/>
              <w:jc w:val="left"/>
            </w:pPr>
            <w:r>
              <w:rPr/>
              <w:t xml:space="preserve">La escasez de diésel ya era pública en junio de 2025 (FANCESA; Las Lomas) y no generó previsiones.</w:t>
            </w:r>
          </w:p>
        </w:tc>
      </w:tr>
      <w:tr>
        <w:tc>
          <w:tcPr>
            <w:tcW w:w="1251" w:type="dxa"/>
          </w:tcPr>
          <w:p>
            <w:pPr>
              <w:pStyle w:val="CeldaAPA"/>
              <w:jc w:val="left"/>
            </w:pPr>
            <w:r>
              <w:rPr/>
              <w:t xml:space="preserve">4.2</w:t>
            </w:r>
          </w:p>
        </w:tc>
        <w:tc>
          <w:tcPr>
            <w:tcW w:w="2203" w:type="dxa"/>
          </w:tcPr>
          <w:p>
            <w:pPr>
              <w:pStyle w:val="CeldaAPA"/>
              <w:jc w:val="left"/>
            </w:pPr>
            <w:r>
              <w:rPr/>
              <w:t xml:space="preserve">Identificar las partes interesadas pertinentes (UATF, Supervisión, Fiscalización, proveedores, laboratorio, usuarios) y sus requisitos.</w:t>
            </w:r>
          </w:p>
        </w:tc>
        <w:tc>
          <w:tcPr>
            <w:tcW w:w="2707" w:type="dxa"/>
          </w:tcPr>
          <w:p>
            <w:pPr>
              <w:pStyle w:val="CeldaAPA"/>
              <w:jc w:val="left"/>
            </w:pPr>
            <w:r>
              <w:rPr/>
              <w:t xml:space="preserve">El contrato define partes y obligaciones (PAO2, pp. 91–112); la ET y los planos fijan los requisitos del producto. No hay análisis de las demás partes interesadas.</w:t>
            </w:r>
          </w:p>
        </w:tc>
        <w:tc>
          <w:tcPr>
            <w:tcW w:w="916" w:type="dxa"/>
          </w:tcPr>
          <w:p>
            <w:pPr>
              <w:pStyle w:val="CeldaAPA"/>
              <w:jc w:val="center"/>
            </w:pPr>
            <w:r>
              <w:rPr/>
              <w:t xml:space="preserve">0,5</w:t>
            </w:r>
          </w:p>
        </w:tc>
        <w:tc>
          <w:tcPr>
            <w:tcW w:w="2282" w:type="dxa"/>
          </w:tcPr>
          <w:p>
            <w:pPr>
              <w:pStyle w:val="CeldaAPA"/>
              <w:jc w:val="left"/>
            </w:pPr>
            <w:r>
              <w:rPr/>
              <w:t xml:space="preserve">Documentados solo los requisitos de la entidad contratante.</w:t>
            </w:r>
          </w:p>
        </w:tc>
      </w:tr>
      <w:tr>
        <w:tc>
          <w:tcPr>
            <w:tcW w:w="1251" w:type="dxa"/>
          </w:tcPr>
          <w:p>
            <w:pPr>
              <w:pStyle w:val="CeldaAPA"/>
              <w:jc w:val="left"/>
            </w:pPr>
            <w:r>
              <w:rPr/>
              <w:t xml:space="preserve">4.3</w:t>
            </w:r>
          </w:p>
        </w:tc>
        <w:tc>
          <w:tcPr>
            <w:tcW w:w="2203" w:type="dxa"/>
          </w:tcPr>
          <w:p>
            <w:pPr>
              <w:pStyle w:val="CeldaAPA"/>
              <w:jc w:val="left"/>
            </w:pPr>
            <w:r>
              <w:rPr/>
              <w:t xml:space="preserve">Definir y documentar el alcance del sistema, con los requisitos que no se aplican y su justificación.</w:t>
            </w:r>
          </w:p>
        </w:tc>
        <w:tc>
          <w:tcPr>
            <w:tcW w:w="2707" w:type="dxa"/>
          </w:tcPr>
          <w:p>
            <w:pPr>
              <w:pStyle w:val="CeldaAPA"/>
              <w:jc w:val="left"/>
            </w:pPr>
            <w:r>
              <w:rPr/>
              <w:t xml:space="preserve">No existe un sistema declarado ni un documento de alcance; los 15 documentos de la planilla no incluyen un plan de la calidad (PAO2, pp. 3–4, 12).</w:t>
            </w:r>
          </w:p>
        </w:tc>
        <w:tc>
          <w:tcPr>
            <w:tcW w:w="916" w:type="dxa"/>
          </w:tcPr>
          <w:p>
            <w:pPr>
              <w:pStyle w:val="CeldaAPA"/>
              <w:jc w:val="center"/>
            </w:pPr>
            <w:r>
              <w:rPr/>
              <w:t xml:space="preserve">0</w:t>
            </w:r>
          </w:p>
        </w:tc>
        <w:tc>
          <w:tcPr>
            <w:tcW w:w="2282" w:type="dxa"/>
          </w:tcPr>
          <w:p>
            <w:pPr>
              <w:pStyle w:val="CeldaAPA"/>
              <w:jc w:val="left"/>
            </w:pPr>
            <w:r>
              <w:rPr/>
              <w:t xml:space="preserve">—</w:t>
            </w:r>
          </w:p>
        </w:tc>
      </w:tr>
      <w:tr>
        <w:tc>
          <w:tcPr>
            <w:tcW w:w="1251" w:type="dxa"/>
          </w:tcPr>
          <w:p>
            <w:pPr>
              <w:pStyle w:val="CeldaAPA"/>
              <w:jc w:val="left"/>
            </w:pPr>
            <w:r>
              <w:rPr/>
              <w:t xml:space="preserve">4.4</w:t>
            </w:r>
          </w:p>
        </w:tc>
        <w:tc>
          <w:tcPr>
            <w:tcW w:w="2203" w:type="dxa"/>
          </w:tcPr>
          <w:p>
            <w:pPr>
              <w:pStyle w:val="CeldaAPA"/>
              <w:jc w:val="left"/>
            </w:pPr>
            <w:r>
              <w:rPr/>
              <w:t xml:space="preserve">Determinar los procesos de la losa (abastecimiento, montaje, armado, hormigonado, curado y medición) con entradas, salidas, secuencia, criterios, responsables y recursos.</w:t>
            </w:r>
          </w:p>
        </w:tc>
        <w:tc>
          <w:tcPr>
            <w:tcW w:w="2707" w:type="dxa"/>
          </w:tcPr>
          <w:p>
            <w:pPr>
              <w:pStyle w:val="CeldaAPA"/>
              <w:jc w:val="left"/>
            </w:pPr>
            <w:r>
              <w:rPr/>
              <w:t xml:space="preserve">La secuencia general figura en la ET (pp. 1–4) y en el cronograma A-8 (PAO2, p. 137); no hay mapa de procesos, procedimientos ni responsables por actividad.</w:t>
            </w:r>
          </w:p>
        </w:tc>
        <w:tc>
          <w:tcPr>
            <w:tcW w:w="916" w:type="dxa"/>
          </w:tcPr>
          <w:p>
            <w:pPr>
              <w:pStyle w:val="CeldaAPA"/>
              <w:jc w:val="center"/>
            </w:pPr>
            <w:r>
              <w:rPr/>
              <w:t xml:space="preserve">0,5</w:t>
            </w:r>
          </w:p>
        </w:tc>
        <w:tc>
          <w:tcPr>
            <w:tcW w:w="2282" w:type="dxa"/>
          </w:tcPr>
          <w:p>
            <w:pPr>
              <w:pStyle w:val="CeldaAPA"/>
              <w:jc w:val="left"/>
            </w:pPr>
            <w:r>
              <w:rPr/>
              <w:t xml:space="preserve">El cronograma no refleja la secuencia real: la losa se armó en noviembre de 2025.</w:t>
            </w:r>
          </w:p>
        </w:tc>
      </w:tr>
      <w:tr>
        <w:tc>
          <w:tcPr>
            <w:tcW w:w="9359" w:type="dxa"/>
            <w:gridSpan w:val="5"/>
          </w:tcPr>
          <w:p>
            <w:pPr>
              <w:pStyle w:val="CeldaAPA"/>
              <w:jc w:val="left"/>
            </w:pPr>
            <w:r>
              <w:rPr>
                <w:bCs/>
                <w:b/>
              </w:rPr>
              <w:t xml:space="preserve">5. Liderazgo</w:t>
            </w:r>
          </w:p>
        </w:tc>
      </w:tr>
      <w:tr>
        <w:tc>
          <w:tcPr>
            <w:tcW w:w="1251" w:type="dxa"/>
          </w:tcPr>
          <w:p>
            <w:pPr>
              <w:pStyle w:val="CeldaAPA"/>
              <w:jc w:val="left"/>
            </w:pPr>
            <w:r>
              <w:rPr/>
              <w:t xml:space="preserve">5.1.1 a</w:t>
            </w:r>
          </w:p>
        </w:tc>
        <w:tc>
          <w:tcPr>
            <w:tcW w:w="2203" w:type="dxa"/>
          </w:tcPr>
          <w:p>
            <w:pPr>
              <w:pStyle w:val="CeldaAPA"/>
              <w:jc w:val="left"/>
            </w:pPr>
            <w:r>
              <w:rPr/>
              <w:t xml:space="preserve">Demostrar el compromiso de la dirección de la empresa con la eficacia del sistema (rendición de cuentas, recursos, integración en los procesos).</w:t>
            </w:r>
          </w:p>
        </w:tc>
        <w:tc>
          <w:tcPr>
            <w:tcW w:w="2707" w:type="dxa"/>
          </w:tcPr>
          <w:p>
            <w:pPr>
              <w:pStyle w:val="CeldaAPA"/>
              <w:jc w:val="left"/>
            </w:pPr>
            <w:r>
              <w:rPr/>
              <w:t xml:space="preserve">La dirección de la empresa solo aparece en las cartas de entrega de planillas y en las firmas de cobro (PAO2, pp. 12, 14, 88).</w:t>
            </w:r>
          </w:p>
        </w:tc>
        <w:tc>
          <w:tcPr>
            <w:tcW w:w="916" w:type="dxa"/>
          </w:tcPr>
          <w:p>
            <w:pPr>
              <w:pStyle w:val="CeldaAPA"/>
              <w:jc w:val="center"/>
            </w:pPr>
            <w:r>
              <w:rPr/>
              <w:t xml:space="preserve">0</w:t>
            </w:r>
          </w:p>
        </w:tc>
        <w:tc>
          <w:tcPr>
            <w:tcW w:w="2282" w:type="dxa"/>
          </w:tcPr>
          <w:p>
            <w:pPr>
              <w:pStyle w:val="CeldaAPA"/>
              <w:jc w:val="left"/>
            </w:pPr>
            <w:r>
              <w:rPr/>
              <w:t xml:space="preserve">—</w:t>
            </w:r>
          </w:p>
        </w:tc>
      </w:tr>
      <w:tr>
        <w:tc>
          <w:tcPr>
            <w:tcW w:w="1251" w:type="dxa"/>
          </w:tcPr>
          <w:p>
            <w:pPr>
              <w:pStyle w:val="CeldaAPA"/>
              <w:jc w:val="left"/>
            </w:pPr>
            <w:r>
              <w:rPr/>
              <w:t xml:space="preserve">5.1.1 b</w:t>
            </w:r>
          </w:p>
        </w:tc>
        <w:tc>
          <w:tcPr>
            <w:tcW w:w="2203" w:type="dxa"/>
          </w:tcPr>
          <w:p>
            <w:pPr>
              <w:pStyle w:val="CeldaAPA"/>
              <w:jc w:val="left"/>
            </w:pPr>
            <w:r>
              <w:rPr/>
              <w:t xml:space="preserve">Promover una cultura de la calidad y un comportamiento ético en la ejecución, la medición y el registro de la obra.</w:t>
            </w:r>
          </w:p>
        </w:tc>
        <w:tc>
          <w:tcPr>
            <w:tcW w:w="2707" w:type="dxa"/>
          </w:tcPr>
          <w:p>
            <w:pPr>
              <w:pStyle w:val="CeldaAPA"/>
              <w:jc w:val="left"/>
            </w:pPr>
            <w:r>
              <w:rPr/>
              <w:t xml:space="preserve">No hay evidencia de acciones; las diferencias de cantidades del acero no tienen explicación documentada (PAO3, hoja de cómputos, filas 375–541; Exp., p. 12).</w:t>
            </w:r>
          </w:p>
        </w:tc>
        <w:tc>
          <w:tcPr>
            <w:tcW w:w="916" w:type="dxa"/>
          </w:tcPr>
          <w:p>
            <w:pPr>
              <w:pStyle w:val="CeldaAPA"/>
              <w:jc w:val="center"/>
            </w:pPr>
            <w:r>
              <w:rPr/>
              <w:t xml:space="preserve">0</w:t>
            </w:r>
          </w:p>
        </w:tc>
        <w:tc>
          <w:tcPr>
            <w:tcW w:w="2282" w:type="dxa"/>
          </w:tcPr>
          <w:p>
            <w:pPr>
              <w:pStyle w:val="CeldaAPA"/>
              <w:jc w:val="left"/>
            </w:pPr>
            <w:r>
              <w:rPr/>
              <w:t xml:space="preserve">Énfasis de la edición 2026. Es ausencia de evidencia, no un juicio sobre las personas.</w:t>
            </w:r>
          </w:p>
        </w:tc>
      </w:tr>
      <w:tr>
        <w:tc>
          <w:tcPr>
            <w:tcW w:w="1251" w:type="dxa"/>
          </w:tcPr>
          <w:p>
            <w:pPr>
              <w:pStyle w:val="CeldaAPA"/>
              <w:jc w:val="left"/>
            </w:pPr>
            <w:r>
              <w:rPr/>
              <w:t xml:space="preserve">5.1.2</w:t>
            </w:r>
          </w:p>
        </w:tc>
        <w:tc>
          <w:tcPr>
            <w:tcW w:w="2203" w:type="dxa"/>
          </w:tcPr>
          <w:p>
            <w:pPr>
              <w:pStyle w:val="CeldaAPA"/>
              <w:jc w:val="left"/>
            </w:pPr>
            <w:r>
              <w:rPr/>
              <w:t xml:space="preserve">Mantener el enfoque al cliente: cumplir los requisitos de la UATF y los legales, y atender los riesgos que afectan la conformidad de la losa.</w:t>
            </w:r>
          </w:p>
        </w:tc>
        <w:tc>
          <w:tcPr>
            <w:tcW w:w="2707" w:type="dxa"/>
          </w:tcPr>
          <w:p>
            <w:pPr>
              <w:pStyle w:val="CeldaAPA"/>
              <w:jc w:val="left"/>
            </w:pPr>
            <w:r>
              <w:rPr/>
              <w:t xml:space="preserve">Obra ejecutada con autorización de la Supervisión (PAO2, pp. 114–125), pero con retraso acumulado de 3,03 % (p. 10) y con garantías, ensayos y dosificaciones pendientes al cierre del periodo (p. 9).</w:t>
            </w:r>
          </w:p>
        </w:tc>
        <w:tc>
          <w:tcPr>
            <w:tcW w:w="916" w:type="dxa"/>
          </w:tcPr>
          <w:p>
            <w:pPr>
              <w:pStyle w:val="CeldaAPA"/>
              <w:jc w:val="center"/>
            </w:pPr>
            <w:r>
              <w:rPr/>
              <w:t xml:space="preserve">0,5</w:t>
            </w:r>
          </w:p>
        </w:tc>
        <w:tc>
          <w:tcPr>
            <w:tcW w:w="2282" w:type="dxa"/>
          </w:tcPr>
          <w:p>
            <w:pPr>
              <w:pStyle w:val="CeldaAPA"/>
              <w:jc w:val="left"/>
            </w:pPr>
            <w:r>
              <w:rPr/>
              <w:t xml:space="preserve">—</w:t>
            </w:r>
          </w:p>
        </w:tc>
      </w:tr>
      <w:tr>
        <w:tc>
          <w:tcPr>
            <w:tcW w:w="1251" w:type="dxa"/>
          </w:tcPr>
          <w:p>
            <w:pPr>
              <w:pStyle w:val="CeldaAPA"/>
              <w:jc w:val="left"/>
            </w:pPr>
            <w:r>
              <w:rPr/>
              <w:t xml:space="preserve">5.2</w:t>
            </w:r>
          </w:p>
        </w:tc>
        <w:tc>
          <w:tcPr>
            <w:tcW w:w="2203" w:type="dxa"/>
          </w:tcPr>
          <w:p>
            <w:pPr>
              <w:pStyle w:val="CeldaAPA"/>
              <w:jc w:val="left"/>
            </w:pPr>
            <w:r>
              <w:rPr/>
              <w:t xml:space="preserve">Establecer, comunicar y mantener disponible una política de la calidad apropiada al proyecto.</w:t>
            </w:r>
          </w:p>
        </w:tc>
        <w:tc>
          <w:tcPr>
            <w:tcW w:w="2707" w:type="dxa"/>
          </w:tcPr>
          <w:p>
            <w:pPr>
              <w:pStyle w:val="CeldaAPA"/>
              <w:jc w:val="left"/>
            </w:pPr>
            <w:r>
              <w:rPr/>
              <w:t xml:space="preserve">No se encontró.</w:t>
            </w:r>
          </w:p>
        </w:tc>
        <w:tc>
          <w:tcPr>
            <w:tcW w:w="916" w:type="dxa"/>
          </w:tcPr>
          <w:p>
            <w:pPr>
              <w:pStyle w:val="CeldaAPA"/>
              <w:jc w:val="center"/>
            </w:pPr>
            <w:r>
              <w:rPr/>
              <w:t xml:space="preserve">0</w:t>
            </w:r>
          </w:p>
        </w:tc>
        <w:tc>
          <w:tcPr>
            <w:tcW w:w="2282" w:type="dxa"/>
          </w:tcPr>
          <w:p>
            <w:pPr>
              <w:pStyle w:val="CeldaAPA"/>
              <w:jc w:val="left"/>
            </w:pPr>
            <w:r>
              <w:rPr/>
              <w:t xml:space="preserve">—</w:t>
            </w:r>
          </w:p>
        </w:tc>
      </w:tr>
      <w:tr>
        <w:tc>
          <w:tcPr>
            <w:tcW w:w="1251" w:type="dxa"/>
          </w:tcPr>
          <w:p>
            <w:pPr>
              <w:pStyle w:val="CeldaAPA"/>
              <w:jc w:val="left"/>
            </w:pPr>
            <w:r>
              <w:rPr/>
              <w:t xml:space="preserve">5.3</w:t>
            </w:r>
          </w:p>
        </w:tc>
        <w:tc>
          <w:tcPr>
            <w:tcW w:w="2203" w:type="dxa"/>
          </w:tcPr>
          <w:p>
            <w:pPr>
              <w:pStyle w:val="CeldaAPA"/>
              <w:jc w:val="left"/>
            </w:pPr>
            <w:r>
              <w:rPr/>
              <w:t xml:space="preserve">Asignar y comunicar roles, responsabilidades y autoridades, incluido quién informa sobre el desempeño del sistema.</w:t>
            </w:r>
          </w:p>
        </w:tc>
        <w:tc>
          <w:tcPr>
            <w:tcW w:w="2707" w:type="dxa"/>
          </w:tcPr>
          <w:p>
            <w:pPr>
              <w:pStyle w:val="CeldaAPA"/>
              <w:jc w:val="left"/>
            </w:pPr>
            <w:r>
              <w:rPr/>
              <w:t xml:space="preserve">Director de Obra designado y evaluado (PAO2, p. 9); Supervisora y Fiscal designados (pp. 7, 127). No hay organigrama ni responsable de calidad; falta la constancia del Director de Obra en las 12 hojas del Libro de Órdenes (pp. 114–125).</w:t>
            </w:r>
          </w:p>
        </w:tc>
        <w:tc>
          <w:tcPr>
            <w:tcW w:w="916" w:type="dxa"/>
          </w:tcPr>
          <w:p>
            <w:pPr>
              <w:pStyle w:val="CeldaAPA"/>
              <w:jc w:val="center"/>
            </w:pPr>
            <w:r>
              <w:rPr/>
              <w:t xml:space="preserve">0,5</w:t>
            </w:r>
          </w:p>
        </w:tc>
        <w:tc>
          <w:tcPr>
            <w:tcW w:w="2282" w:type="dxa"/>
          </w:tcPr>
          <w:p>
            <w:pPr>
              <w:pStyle w:val="CeldaAPA"/>
              <w:jc w:val="left"/>
            </w:pPr>
            <w:r>
              <w:rPr/>
              <w:t xml:space="preserve">Cl. 25.ª del contrato (PAO2, p. 100).</w:t>
            </w:r>
          </w:p>
        </w:tc>
      </w:tr>
      <w:tr>
        <w:tc>
          <w:tcPr>
            <w:tcW w:w="9359" w:type="dxa"/>
            <w:gridSpan w:val="5"/>
          </w:tcPr>
          <w:p>
            <w:pPr>
              <w:pStyle w:val="CeldaAPA"/>
              <w:jc w:val="left"/>
            </w:pPr>
            <w:r>
              <w:rPr>
                <w:bCs/>
                <w:b/>
              </w:rPr>
              <w:t xml:space="preserve">6. Planificación</w:t>
            </w:r>
          </w:p>
        </w:tc>
      </w:tr>
      <w:tr>
        <w:tc>
          <w:tcPr>
            <w:tcW w:w="1251" w:type="dxa"/>
          </w:tcPr>
          <w:p>
            <w:pPr>
              <w:pStyle w:val="CeldaAPA"/>
              <w:jc w:val="left"/>
            </w:pPr>
            <w:r>
              <w:rPr/>
              <w:t xml:space="preserve">6.1 a</w:t>
            </w:r>
          </w:p>
        </w:tc>
        <w:tc>
          <w:tcPr>
            <w:tcW w:w="2203" w:type="dxa"/>
          </w:tcPr>
          <w:p>
            <w:pPr>
              <w:pStyle w:val="CeldaAPA"/>
              <w:jc w:val="left"/>
            </w:pPr>
            <w:r>
              <w:rPr/>
              <w:t xml:space="preserve">Determinar los riesgos y las oportunidades del proceso (suministro, precios, clima, cambios de diseño).</w:t>
            </w:r>
          </w:p>
        </w:tc>
        <w:tc>
          <w:tcPr>
            <w:tcW w:w="2707" w:type="dxa"/>
          </w:tcPr>
          <w:p>
            <w:pPr>
              <w:pStyle w:val="CeldaAPA"/>
              <w:jc w:val="left"/>
            </w:pPr>
            <w:r>
              <w:rPr/>
              <w:t xml:space="preserve">No hay matriz de riesgos. Se materializaron riesgos no previstos: viguetas inexistentes en el mercado en los tamaños requeridos (PAO2, p. 11), entrega del 30 % del acero pedido (carta de Las Lomas, Exp., p. 27) y demoras por combustible (PAO2, p. 123).</w:t>
            </w:r>
          </w:p>
        </w:tc>
        <w:tc>
          <w:tcPr>
            <w:tcW w:w="916" w:type="dxa"/>
          </w:tcPr>
          <w:p>
            <w:pPr>
              <w:pStyle w:val="CeldaAPA"/>
              <w:jc w:val="center"/>
            </w:pPr>
            <w:r>
              <w:rPr/>
              <w:t xml:space="preserve">0</w:t>
            </w:r>
          </w:p>
        </w:tc>
        <w:tc>
          <w:tcPr>
            <w:tcW w:w="2282" w:type="dxa"/>
          </w:tcPr>
          <w:p>
            <w:pPr>
              <w:pStyle w:val="CeldaAPA"/>
              <w:jc w:val="left"/>
            </w:pPr>
            <w:r>
              <w:rPr/>
              <w:t xml:space="preserve">—</w:t>
            </w:r>
          </w:p>
        </w:tc>
      </w:tr>
      <w:tr>
        <w:tc>
          <w:tcPr>
            <w:tcW w:w="1251" w:type="dxa"/>
          </w:tcPr>
          <w:p>
            <w:pPr>
              <w:pStyle w:val="CeldaAPA"/>
              <w:jc w:val="left"/>
            </w:pPr>
            <w:r>
              <w:rPr/>
              <w:t xml:space="preserve">6.1 b</w:t>
            </w:r>
          </w:p>
        </w:tc>
        <w:tc>
          <w:tcPr>
            <w:tcW w:w="2203" w:type="dxa"/>
          </w:tcPr>
          <w:p>
            <w:pPr>
              <w:pStyle w:val="CeldaAPA"/>
              <w:jc w:val="left"/>
            </w:pPr>
            <w:r>
              <w:rPr/>
              <w:t xml:space="preserve">Planificar acciones proporcionales a los riesgos, integrarlas en los procesos y evaluar su eficacia.</w:t>
            </w:r>
          </w:p>
        </w:tc>
        <w:tc>
          <w:tcPr>
            <w:tcW w:w="2707" w:type="dxa"/>
          </w:tcPr>
          <w:p>
            <w:pPr>
              <w:pStyle w:val="CeldaAPA"/>
              <w:jc w:val="left"/>
            </w:pPr>
            <w:r>
              <w:rPr/>
              <w:t xml:space="preserve">Sin evidencia; los eventos solo se tramitaron como causales de ampliación de plazo (PAO2, pp. 114–124), aunque la cl. 20.ª no los considera fuerza mayor (p. 96).</w:t>
            </w:r>
          </w:p>
        </w:tc>
        <w:tc>
          <w:tcPr>
            <w:tcW w:w="916" w:type="dxa"/>
          </w:tcPr>
          <w:p>
            <w:pPr>
              <w:pStyle w:val="CeldaAPA"/>
              <w:jc w:val="center"/>
            </w:pPr>
            <w:r>
              <w:rPr/>
              <w:t xml:space="preserve">0</w:t>
            </w:r>
          </w:p>
        </w:tc>
        <w:tc>
          <w:tcPr>
            <w:tcW w:w="2282" w:type="dxa"/>
          </w:tcPr>
          <w:p>
            <w:pPr>
              <w:pStyle w:val="CeldaAPA"/>
              <w:jc w:val="left"/>
            </w:pPr>
            <w:r>
              <w:rPr/>
              <w:t xml:space="preserve">—</w:t>
            </w:r>
          </w:p>
        </w:tc>
      </w:tr>
      <w:tr>
        <w:tc>
          <w:tcPr>
            <w:tcW w:w="1251" w:type="dxa"/>
          </w:tcPr>
          <w:p>
            <w:pPr>
              <w:pStyle w:val="CeldaAPA"/>
              <w:jc w:val="left"/>
            </w:pPr>
            <w:r>
              <w:rPr/>
              <w:t xml:space="preserve">6.2</w:t>
            </w:r>
          </w:p>
        </w:tc>
        <w:tc>
          <w:tcPr>
            <w:tcW w:w="2203" w:type="dxa"/>
          </w:tcPr>
          <w:p>
            <w:pPr>
              <w:pStyle w:val="CeldaAPA"/>
              <w:jc w:val="left"/>
            </w:pPr>
            <w:r>
              <w:rPr/>
              <w:t xml:space="preserve">Establecer objetivos de la calidad medibles (desperdicio, conformidad del hormigón, plazos de liberación) y planificar cómo lograrlos.</w:t>
            </w:r>
          </w:p>
        </w:tc>
        <w:tc>
          <w:tcPr>
            <w:tcW w:w="2707" w:type="dxa"/>
          </w:tcPr>
          <w:p>
            <w:pPr>
              <w:pStyle w:val="CeldaAPA"/>
              <w:jc w:val="left"/>
            </w:pPr>
            <w:r>
              <w:rPr/>
              <w:t xml:space="preserve">El único objetivo medido es el avance físico-financiero (PAO2, p. 10).</w:t>
            </w:r>
          </w:p>
        </w:tc>
        <w:tc>
          <w:tcPr>
            <w:tcW w:w="916" w:type="dxa"/>
          </w:tcPr>
          <w:p>
            <w:pPr>
              <w:pStyle w:val="CeldaAPA"/>
              <w:jc w:val="center"/>
            </w:pPr>
            <w:r>
              <w:rPr/>
              <w:t xml:space="preserve">0</w:t>
            </w:r>
          </w:p>
        </w:tc>
        <w:tc>
          <w:tcPr>
            <w:tcW w:w="2282" w:type="dxa"/>
          </w:tcPr>
          <w:p>
            <w:pPr>
              <w:pStyle w:val="CeldaAPA"/>
              <w:jc w:val="left"/>
            </w:pPr>
            <w:r>
              <w:rPr/>
              <w:t xml:space="preserve">—</w:t>
            </w:r>
          </w:p>
        </w:tc>
      </w:tr>
      <w:tr>
        <w:tc>
          <w:tcPr>
            <w:tcW w:w="1251" w:type="dxa"/>
          </w:tcPr>
          <w:p>
            <w:pPr>
              <w:pStyle w:val="CeldaAPA"/>
              <w:jc w:val="left"/>
            </w:pPr>
            <w:r>
              <w:rPr/>
              <w:t xml:space="preserve">6.3</w:t>
            </w:r>
          </w:p>
        </w:tc>
        <w:tc>
          <w:tcPr>
            <w:tcW w:w="2203" w:type="dxa"/>
          </w:tcPr>
          <w:p>
            <w:pPr>
              <w:pStyle w:val="CeldaAPA"/>
              <w:jc w:val="left"/>
            </w:pPr>
            <w:r>
              <w:rPr/>
              <w:t xml:space="preserve">Planificar y controlar los cambios que afectan al sistema o al producto.</w:t>
            </w:r>
          </w:p>
        </w:tc>
        <w:tc>
          <w:tcPr>
            <w:tcW w:w="2707" w:type="dxa"/>
          </w:tcPr>
          <w:p>
            <w:pPr>
              <w:pStyle w:val="CeldaAPA"/>
              <w:jc w:val="left"/>
            </w:pPr>
            <w:r>
              <w:rPr/>
              <w:t xml:space="preserve">Los cambios contractuales se tramitaron formalmente: contrato modificatorio N.</w:t>
            </w:r>
            <w:r>
              <w:rPr>
                <w:vertAlign w:val="superscript"/>
              </w:rPr>
              <w:t xml:space="preserve">o</w:t>
            </w:r>
            <w:r>
              <w:rPr/>
              <w:t xml:space="preserve"> 1 y dos ampliaciones de plazo (PAO2, pp. 4, 7). Los cambios técnicos de la losa (viguetas, complemento) no tienen registro (p. 11; p. 81; ET, p. 3).</w:t>
            </w:r>
          </w:p>
        </w:tc>
        <w:tc>
          <w:tcPr>
            <w:tcW w:w="916" w:type="dxa"/>
          </w:tcPr>
          <w:p>
            <w:pPr>
              <w:pStyle w:val="CeldaAPA"/>
              <w:jc w:val="center"/>
            </w:pPr>
            <w:r>
              <w:rPr/>
              <w:t xml:space="preserve">0,5</w:t>
            </w:r>
          </w:p>
        </w:tc>
        <w:tc>
          <w:tcPr>
            <w:tcW w:w="2282" w:type="dxa"/>
          </w:tcPr>
          <w:p>
            <w:pPr>
              <w:pStyle w:val="CeldaAPA"/>
              <w:jc w:val="left"/>
            </w:pPr>
            <w:r>
              <w:rPr/>
              <w:t xml:space="preserve">—</w:t>
            </w:r>
          </w:p>
        </w:tc>
      </w:tr>
      <w:tr>
        <w:tc>
          <w:tcPr>
            <w:tcW w:w="9359" w:type="dxa"/>
            <w:gridSpan w:val="5"/>
          </w:tcPr>
          <w:p>
            <w:pPr>
              <w:pStyle w:val="CeldaAPA"/>
              <w:jc w:val="left"/>
            </w:pPr>
            <w:r>
              <w:rPr>
                <w:bCs/>
                <w:b/>
              </w:rPr>
              <w:t xml:space="preserve">7. Apoyo</w:t>
            </w:r>
          </w:p>
        </w:tc>
      </w:tr>
      <w:tr>
        <w:tc>
          <w:tcPr>
            <w:tcW w:w="1251" w:type="dxa"/>
          </w:tcPr>
          <w:p>
            <w:pPr>
              <w:pStyle w:val="CeldaAPA"/>
              <w:jc w:val="left"/>
            </w:pPr>
            <w:r>
              <w:rPr/>
              <w:t xml:space="preserve">7.1.2 y 7.1.3</w:t>
            </w:r>
          </w:p>
        </w:tc>
        <w:tc>
          <w:tcPr>
            <w:tcW w:w="2203" w:type="dxa"/>
          </w:tcPr>
          <w:p>
            <w:pPr>
              <w:pStyle w:val="CeldaAPA"/>
              <w:jc w:val="left"/>
            </w:pPr>
            <w:r>
              <w:rPr/>
              <w:t xml:space="preserve">Proveer las personas y la infraestructura necesarias (frentes de trabajo, apuntalamiento, mezclado, transporte y vibrado del hormigón).</w:t>
            </w:r>
          </w:p>
        </w:tc>
        <w:tc>
          <w:tcPr>
            <w:tcW w:w="2707" w:type="dxa"/>
          </w:tcPr>
          <w:p>
            <w:pPr>
              <w:pStyle w:val="CeldaAPA"/>
              <w:jc w:val="left"/>
            </w:pPr>
            <w:r>
              <w:rPr/>
              <w:t xml:space="preserve">Dos frentes de obra civil y dos de vaciado de</w:t>
            </w:r>
            <w:r>
              <w:rPr/>
              <w:t xml:space="preserve"> </w:t>
            </w:r>
            <m:oMath>
              <m:r>
                <m:rPr>
                  <m:sty m:val="p"/>
                </m:rPr>
                <m:t>≈</m:t>
              </m:r>
            </m:oMath>
            <w:r>
              <w:rPr/>
              <w:t xml:space="preserve"> 6 trabajadores (PAO2, p. 9); apuntalamiento de madera, carretillas y vibrador en las fotografías (pp. 74–76). La Supervisión pidió más cuadrillas para recuperar el retraso (p. 11).</w:t>
            </w:r>
          </w:p>
        </w:tc>
        <w:tc>
          <w:tcPr>
            <w:tcW w:w="916" w:type="dxa"/>
          </w:tcPr>
          <w:p>
            <w:pPr>
              <w:pStyle w:val="CeldaAPA"/>
              <w:jc w:val="center"/>
            </w:pPr>
            <w:r>
              <w:rPr/>
              <w:t xml:space="preserve">0,5</w:t>
            </w:r>
          </w:p>
        </w:tc>
        <w:tc>
          <w:tcPr>
            <w:tcW w:w="2282" w:type="dxa"/>
          </w:tcPr>
          <w:p>
            <w:pPr>
              <w:pStyle w:val="CeldaAPA"/>
              <w:jc w:val="left"/>
            </w:pPr>
            <w:r>
              <w:rPr/>
              <w:t xml:space="preserve">Recursos presentes, pero insuficientes para el cronograma.</w:t>
            </w:r>
          </w:p>
        </w:tc>
      </w:tr>
      <w:tr>
        <w:tc>
          <w:tcPr>
            <w:tcW w:w="1251" w:type="dxa"/>
          </w:tcPr>
          <w:p>
            <w:pPr>
              <w:pStyle w:val="CeldaAPA"/>
              <w:jc w:val="left"/>
            </w:pPr>
            <w:r>
              <w:rPr/>
              <w:t xml:space="preserve">7.1.4</w:t>
            </w:r>
          </w:p>
        </w:tc>
        <w:tc>
          <w:tcPr>
            <w:tcW w:w="2203" w:type="dxa"/>
          </w:tcPr>
          <w:p>
            <w:pPr>
              <w:pStyle w:val="CeldaAPA"/>
              <w:jc w:val="left"/>
            </w:pPr>
            <w:r>
              <w:rPr/>
              <w:t xml:space="preserve">Mantener un ambiente adecuado para la operación (protección del hormigón ante lluvia y bajas temperaturas).</w:t>
            </w:r>
          </w:p>
        </w:tc>
        <w:tc>
          <w:tcPr>
            <w:tcW w:w="2707" w:type="dxa"/>
          </w:tcPr>
          <w:p>
            <w:pPr>
              <w:pStyle w:val="CeldaAPA"/>
              <w:jc w:val="left"/>
            </w:pPr>
            <w:r>
              <w:rPr/>
              <w:t xml:space="preserve">No hay previsiones de vaciado ni de curado en tiempo frío o con lluvia; solo el registro de las lluvias (PAO2, pp. 114–124).</w:t>
            </w:r>
          </w:p>
        </w:tc>
        <w:tc>
          <w:tcPr>
            <w:tcW w:w="916" w:type="dxa"/>
          </w:tcPr>
          <w:p>
            <w:pPr>
              <w:pStyle w:val="CeldaAPA"/>
              <w:jc w:val="center"/>
            </w:pPr>
            <w:r>
              <w:rPr/>
              <w:t xml:space="preserve">0</w:t>
            </w:r>
          </w:p>
        </w:tc>
        <w:tc>
          <w:tcPr>
            <w:tcW w:w="2282" w:type="dxa"/>
          </w:tcPr>
          <w:p>
            <w:pPr>
              <w:pStyle w:val="CeldaAPA"/>
              <w:jc w:val="left"/>
            </w:pPr>
            <w:r>
              <w:rPr/>
              <w:t xml:space="preserve">ACI 318-25 exige un plan de hormigonado en tiempo frío (p. 583).</w:t>
            </w:r>
          </w:p>
        </w:tc>
      </w:tr>
      <w:tr>
        <w:tc>
          <w:tcPr>
            <w:tcW w:w="1251" w:type="dxa"/>
          </w:tcPr>
          <w:p>
            <w:pPr>
              <w:pStyle w:val="CeldaAPA"/>
              <w:jc w:val="left"/>
            </w:pPr>
            <w:r>
              <w:rPr/>
              <w:t xml:space="preserve">7.1.5</w:t>
            </w:r>
          </w:p>
        </w:tc>
        <w:tc>
          <w:tcPr>
            <w:tcW w:w="2203" w:type="dxa"/>
          </w:tcPr>
          <w:p>
            <w:pPr>
              <w:pStyle w:val="CeldaAPA"/>
              <w:jc w:val="left"/>
            </w:pPr>
            <w:r>
              <w:rPr/>
              <w:t xml:space="preserve">Disponer de recursos de seguimiento y medición adecuados y de un muestreo confiable (laboratorio, moldes, cono de Abrams, balanzas).</w:t>
            </w:r>
          </w:p>
        </w:tc>
        <w:tc>
          <w:tcPr>
            <w:tcW w:w="2707" w:type="dxa"/>
          </w:tcPr>
          <w:p>
            <w:pPr>
              <w:pStyle w:val="CeldaAPA"/>
              <w:jc w:val="left"/>
            </w:pPr>
            <w:r>
              <w:rPr/>
              <w:t xml:space="preserve">Ensayos en el laboratorio de la UATF (PAO2, p. 78), con probetas «traídas y elaboradas por la empresa solicitante»; no constan equipos de obra ni su verificación.</w:t>
            </w:r>
          </w:p>
        </w:tc>
        <w:tc>
          <w:tcPr>
            <w:tcW w:w="916" w:type="dxa"/>
          </w:tcPr>
          <w:p>
            <w:pPr>
              <w:pStyle w:val="CeldaAPA"/>
              <w:jc w:val="center"/>
            </w:pPr>
            <w:r>
              <w:rPr/>
              <w:t xml:space="preserve">0,5</w:t>
            </w:r>
          </w:p>
        </w:tc>
        <w:tc>
          <w:tcPr>
            <w:tcW w:w="2282" w:type="dxa"/>
          </w:tcPr>
          <w:p>
            <w:pPr>
              <w:pStyle w:val="CeldaAPA"/>
              <w:jc w:val="left"/>
            </w:pPr>
            <w:r>
              <w:rPr/>
              <w:t xml:space="preserve">—</w:t>
            </w:r>
          </w:p>
        </w:tc>
      </w:tr>
      <w:tr>
        <w:tc>
          <w:tcPr>
            <w:tcW w:w="1251" w:type="dxa"/>
          </w:tcPr>
          <w:p>
            <w:pPr>
              <w:pStyle w:val="CeldaAPA"/>
              <w:jc w:val="left"/>
            </w:pPr>
            <w:r>
              <w:rPr/>
              <w:t xml:space="preserve">7.1.6</w:t>
            </w:r>
          </w:p>
        </w:tc>
        <w:tc>
          <w:tcPr>
            <w:tcW w:w="2203" w:type="dxa"/>
          </w:tcPr>
          <w:p>
            <w:pPr>
              <w:pStyle w:val="CeldaAPA"/>
              <w:jc w:val="left"/>
            </w:pPr>
            <w:r>
              <w:rPr/>
              <w:t xml:space="preserve">Determinar y mantener los conocimientos necesarios (instrucciones de montaje del fabricante, lecciones aprendidas).</w:t>
            </w:r>
          </w:p>
        </w:tc>
        <w:tc>
          <w:tcPr>
            <w:tcW w:w="2707" w:type="dxa"/>
          </w:tcPr>
          <w:p>
            <w:pPr>
              <w:pStyle w:val="CeldaAPA"/>
              <w:jc w:val="left"/>
            </w:pPr>
            <w:r>
              <w:rPr/>
              <w:t xml:space="preserve">El certificado de PRETENSA remite a los pasos de montaje del fabricante (PAO2, p. 80); no consta que estuvieran en obra.</w:t>
            </w:r>
          </w:p>
        </w:tc>
        <w:tc>
          <w:tcPr>
            <w:tcW w:w="916" w:type="dxa"/>
          </w:tcPr>
          <w:p>
            <w:pPr>
              <w:pStyle w:val="CeldaAPA"/>
              <w:jc w:val="center"/>
            </w:pPr>
            <w:r>
              <w:rPr/>
              <w:t xml:space="preserve">0</w:t>
            </w:r>
          </w:p>
        </w:tc>
        <w:tc>
          <w:tcPr>
            <w:tcW w:w="2282" w:type="dxa"/>
          </w:tcPr>
          <w:p>
            <w:pPr>
              <w:pStyle w:val="CeldaAPA"/>
              <w:jc w:val="left"/>
            </w:pPr>
            <w:r>
              <w:rPr/>
              <w:t xml:space="preserve">—</w:t>
            </w:r>
          </w:p>
        </w:tc>
      </w:tr>
      <w:tr>
        <w:tc>
          <w:tcPr>
            <w:tcW w:w="1251" w:type="dxa"/>
          </w:tcPr>
          <w:p>
            <w:pPr>
              <w:pStyle w:val="CeldaAPA"/>
              <w:jc w:val="left"/>
            </w:pPr>
            <w:r>
              <w:rPr/>
              <w:t xml:space="preserve">7.2</w:t>
            </w:r>
          </w:p>
        </w:tc>
        <w:tc>
          <w:tcPr>
            <w:tcW w:w="2203" w:type="dxa"/>
          </w:tcPr>
          <w:p>
            <w:pPr>
              <w:pStyle w:val="CeldaAPA"/>
              <w:jc w:val="left"/>
            </w:pPr>
            <w:r>
              <w:rPr/>
              <w:t xml:space="preserve">Determinar la competencia necesaria (armadores, encofradores, personal de vaciado y muestreo), asegurarla y conservar evidencia.</w:t>
            </w:r>
          </w:p>
        </w:tc>
        <w:tc>
          <w:tcPr>
            <w:tcW w:w="2707" w:type="dxa"/>
          </w:tcPr>
          <w:p>
            <w:pPr>
              <w:pStyle w:val="CeldaAPA"/>
              <w:jc w:val="left"/>
            </w:pPr>
            <w:r>
              <w:rPr/>
              <w:t xml:space="preserve">Solo se evalúa al Director de Obra («Buena», PAO2, p. 9); la Supervisión trabajó con apoyo de pasantes (p. 10); no hay registros de competencia ni de capacitación.</w:t>
            </w:r>
          </w:p>
        </w:tc>
        <w:tc>
          <w:tcPr>
            <w:tcW w:w="916" w:type="dxa"/>
          </w:tcPr>
          <w:p>
            <w:pPr>
              <w:pStyle w:val="CeldaAPA"/>
              <w:jc w:val="center"/>
            </w:pPr>
            <w:r>
              <w:rPr/>
              <w:t xml:space="preserve">0,5</w:t>
            </w:r>
          </w:p>
        </w:tc>
        <w:tc>
          <w:tcPr>
            <w:tcW w:w="2282" w:type="dxa"/>
          </w:tcPr>
          <w:p>
            <w:pPr>
              <w:pStyle w:val="CeldaAPA"/>
              <w:jc w:val="left"/>
            </w:pPr>
            <w:r>
              <w:rPr/>
              <w:t xml:space="preserve">—</w:t>
            </w:r>
          </w:p>
        </w:tc>
      </w:tr>
      <w:tr>
        <w:tc>
          <w:tcPr>
            <w:tcW w:w="1251" w:type="dxa"/>
          </w:tcPr>
          <w:p>
            <w:pPr>
              <w:pStyle w:val="CeldaAPA"/>
              <w:jc w:val="left"/>
            </w:pPr>
            <w:r>
              <w:rPr/>
              <w:t xml:space="preserve">7.3</w:t>
            </w:r>
          </w:p>
        </w:tc>
        <w:tc>
          <w:tcPr>
            <w:tcW w:w="2203" w:type="dxa"/>
          </w:tcPr>
          <w:p>
            <w:pPr>
              <w:pStyle w:val="CeldaAPA"/>
              <w:jc w:val="left"/>
            </w:pPr>
            <w:r>
              <w:rPr/>
              <w:t xml:space="preserve">Asegurar que el personal conozca la importancia de su trabajo para la calidad y las consecuencias de incumplir.</w:t>
            </w:r>
          </w:p>
        </w:tc>
        <w:tc>
          <w:tcPr>
            <w:tcW w:w="2707" w:type="dxa"/>
          </w:tcPr>
          <w:p>
            <w:pPr>
              <w:pStyle w:val="CeldaAPA"/>
              <w:jc w:val="left"/>
            </w:pPr>
            <w:r>
              <w:rPr/>
              <w:t xml:space="preserve">Sin evidencia; las fotografías muestran la parrilla pisada durante el vaciado y sin separadores visibles (PAO2, p. 76).</w:t>
            </w:r>
          </w:p>
        </w:tc>
        <w:tc>
          <w:tcPr>
            <w:tcW w:w="916" w:type="dxa"/>
          </w:tcPr>
          <w:p>
            <w:pPr>
              <w:pStyle w:val="CeldaAPA"/>
              <w:jc w:val="center"/>
            </w:pPr>
            <w:r>
              <w:rPr/>
              <w:t xml:space="preserve">0</w:t>
            </w:r>
          </w:p>
        </w:tc>
        <w:tc>
          <w:tcPr>
            <w:tcW w:w="2282" w:type="dxa"/>
          </w:tcPr>
          <w:p>
            <w:pPr>
              <w:pStyle w:val="CeldaAPA"/>
              <w:jc w:val="left"/>
            </w:pPr>
            <w:r>
              <w:rPr/>
              <w:t xml:space="preserve">Observación fotográfica a confirmar.</w:t>
            </w:r>
          </w:p>
        </w:tc>
      </w:tr>
      <w:tr>
        <w:tc>
          <w:tcPr>
            <w:tcW w:w="1251" w:type="dxa"/>
          </w:tcPr>
          <w:p>
            <w:pPr>
              <w:pStyle w:val="CeldaAPA"/>
              <w:jc w:val="left"/>
            </w:pPr>
            <w:r>
              <w:rPr/>
              <w:t xml:space="preserve">7.4</w:t>
            </w:r>
          </w:p>
        </w:tc>
        <w:tc>
          <w:tcPr>
            <w:tcW w:w="2203" w:type="dxa"/>
          </w:tcPr>
          <w:p>
            <w:pPr>
              <w:pStyle w:val="CeldaAPA"/>
              <w:jc w:val="left"/>
            </w:pPr>
            <w:r>
              <w:rPr/>
              <w:t xml:space="preserve">Definir la comunicación interna y externa (qué, cuándo, a quién, cómo y quién comunica).</w:t>
            </w:r>
          </w:p>
        </w:tc>
        <w:tc>
          <w:tcPr>
            <w:tcW w:w="2707" w:type="dxa"/>
          </w:tcPr>
          <w:p>
            <w:pPr>
              <w:pStyle w:val="CeldaAPA"/>
              <w:jc w:val="left"/>
            </w:pPr>
            <w:r>
              <w:rPr/>
              <w:t xml:space="preserve">El Libro de Órdenes funcionó como canal formal: 24 asientos con respuesta el mismo día (PAO2, pp. 114–125); hay cartas formales (pp. 2, 5, 12, 88). Encabezados vacíos y sin constancia del Director de Obra.</w:t>
            </w:r>
          </w:p>
        </w:tc>
        <w:tc>
          <w:tcPr>
            <w:tcW w:w="916" w:type="dxa"/>
          </w:tcPr>
          <w:p>
            <w:pPr>
              <w:pStyle w:val="CeldaAPA"/>
              <w:jc w:val="center"/>
            </w:pPr>
            <w:r>
              <w:rPr/>
              <w:t xml:space="preserve">0,5</w:t>
            </w:r>
          </w:p>
        </w:tc>
        <w:tc>
          <w:tcPr>
            <w:tcW w:w="2282" w:type="dxa"/>
          </w:tcPr>
          <w:p>
            <w:pPr>
              <w:pStyle w:val="CeldaAPA"/>
              <w:jc w:val="left"/>
            </w:pPr>
            <w:r>
              <w:rPr/>
              <w:t xml:space="preserve">Sin evidencia de comunicación interna con el personal.</w:t>
            </w:r>
          </w:p>
        </w:tc>
      </w:tr>
      <w:tr>
        <w:tc>
          <w:tcPr>
            <w:tcW w:w="1251" w:type="dxa"/>
          </w:tcPr>
          <w:p>
            <w:pPr>
              <w:pStyle w:val="CeldaAPA"/>
              <w:jc w:val="left"/>
            </w:pPr>
            <w:r>
              <w:rPr/>
              <w:t xml:space="preserve">7.5.2</w:t>
            </w:r>
          </w:p>
        </w:tc>
        <w:tc>
          <w:tcPr>
            <w:tcW w:w="2203" w:type="dxa"/>
          </w:tcPr>
          <w:p>
            <w:pPr>
              <w:pStyle w:val="CeldaAPA"/>
              <w:jc w:val="left"/>
            </w:pPr>
            <w:r>
              <w:rPr/>
              <w:t xml:space="preserve">Crear y actualizar la información documentada con identificación, fecha, revisión y aprobación.</w:t>
            </w:r>
          </w:p>
        </w:tc>
        <w:tc>
          <w:tcPr>
            <w:tcW w:w="2707" w:type="dxa"/>
          </w:tcPr>
          <w:p>
            <w:pPr>
              <w:pStyle w:val="CeldaAPA"/>
              <w:jc w:val="left"/>
            </w:pPr>
            <w:r>
              <w:rPr/>
              <w:t xml:space="preserve">Planillas, cómputos y croquis firmados y sellados (PAO2, pp. 14, 18–72), pero con errores: rótulo ZT10 repetido (p. 18), columna tipo 5 con 6 y 7 unidades (p. 38), hoja duplicada (pp. 51–52), anticipo de 10 % en un contrato sin anticipo (p. 14), desfase del periodo mal calculado (p. 10).</w:t>
            </w:r>
          </w:p>
        </w:tc>
        <w:tc>
          <w:tcPr>
            <w:tcW w:w="916" w:type="dxa"/>
          </w:tcPr>
          <w:p>
            <w:pPr>
              <w:pStyle w:val="CeldaAPA"/>
              <w:jc w:val="center"/>
            </w:pPr>
            <w:r>
              <w:rPr/>
              <w:t xml:space="preserve">0,5</w:t>
            </w:r>
          </w:p>
        </w:tc>
        <w:tc>
          <w:tcPr>
            <w:tcW w:w="2282" w:type="dxa"/>
          </w:tcPr>
          <w:p>
            <w:pPr>
              <w:pStyle w:val="CeldaAPA"/>
              <w:jc w:val="left"/>
            </w:pPr>
            <w:r>
              <w:rPr/>
              <w:t xml:space="preserve">—</w:t>
            </w:r>
          </w:p>
        </w:tc>
      </w:tr>
      <w:tr>
        <w:tc>
          <w:tcPr>
            <w:tcW w:w="1251" w:type="dxa"/>
          </w:tcPr>
          <w:p>
            <w:pPr>
              <w:pStyle w:val="CeldaAPA"/>
              <w:jc w:val="left"/>
            </w:pPr>
            <w:r>
              <w:rPr/>
              <w:t xml:space="preserve">7.5.3 a</w:t>
            </w:r>
          </w:p>
        </w:tc>
        <w:tc>
          <w:tcPr>
            <w:tcW w:w="2203" w:type="dxa"/>
          </w:tcPr>
          <w:p>
            <w:pPr>
              <w:pStyle w:val="CeldaAPA"/>
              <w:jc w:val="left"/>
            </w:pPr>
            <w:r>
              <w:rPr/>
              <w:t xml:space="preserve">Controlar la información documentada: versión vigente, coherencia entre documentos y normas actualizadas.</w:t>
            </w:r>
          </w:p>
        </w:tc>
        <w:tc>
          <w:tcPr>
            <w:tcW w:w="2707" w:type="dxa"/>
          </w:tcPr>
          <w:p>
            <w:pPr>
              <w:pStyle w:val="CeldaAPA"/>
              <w:jc w:val="left"/>
            </w:pPr>
            <w:r>
              <w:rPr/>
              <w:t xml:space="preserve">Tres geometrías del complemento: 100 </w:t>
            </w:r>
            <m:oMath>
              <m:r>
                <m:rPr>
                  <m:sty m:val="p"/>
                </m:rPr>
                <m:t>×</m:t>
              </m:r>
            </m:oMath>
            <w:r>
              <w:rPr/>
              <w:t xml:space="preserve"> 50 </w:t>
            </w:r>
            <m:oMath>
              <m:r>
                <m:rPr>
                  <m:sty m:val="p"/>
                </m:rPr>
                <m:t>×</m:t>
              </m:r>
            </m:oMath>
            <w:r>
              <w:rPr/>
              <w:t xml:space="preserve"> 20 cm (ET, p. 3), altura de 0,15 m (Plano 02) y 20 </w:t>
            </w:r>
            <m:oMath>
              <m:r>
                <m:rPr>
                  <m:sty m:val="p"/>
                </m:rPr>
                <m:t>×</m:t>
              </m:r>
            </m:oMath>
            <w:r>
              <w:rPr/>
              <w:t xml:space="preserve"> 100 </w:t>
            </w:r>
            <m:oMath>
              <m:r>
                <m:rPr>
                  <m:sty m:val="p"/>
                </m:rPr>
                <m:t>×</m:t>
              </m:r>
            </m:oMath>
            <w:r>
              <w:rPr/>
              <w:t xml:space="preserve"> 44 cm (PAO2, p. 81); la ET cita la CBH-87 y NB antiguas (pp. 1–2); dos versiones de la planilla de cierre con distinto descuento de acero (Exp., p. 2; PAO3); el archivo de cierre conserva una hoja de otro contrato (PAO3).</w:t>
            </w:r>
          </w:p>
        </w:tc>
        <w:tc>
          <w:tcPr>
            <w:tcW w:w="916" w:type="dxa"/>
          </w:tcPr>
          <w:p>
            <w:pPr>
              <w:pStyle w:val="CeldaAPA"/>
              <w:jc w:val="center"/>
            </w:pPr>
            <w:r>
              <w:rPr/>
              <w:t xml:space="preserve">0</w:t>
            </w:r>
          </w:p>
        </w:tc>
        <w:tc>
          <w:tcPr>
            <w:tcW w:w="2282" w:type="dxa"/>
          </w:tcPr>
          <w:p>
            <w:pPr>
              <w:pStyle w:val="CeldaAPA"/>
              <w:jc w:val="left"/>
            </w:pPr>
            <w:r>
              <w:rPr/>
              <w:t xml:space="preserve">—</w:t>
            </w:r>
          </w:p>
        </w:tc>
      </w:tr>
      <w:tr>
        <w:tc>
          <w:tcPr>
            <w:tcW w:w="1251" w:type="dxa"/>
          </w:tcPr>
          <w:p>
            <w:pPr>
              <w:pStyle w:val="CeldaAPA"/>
              <w:jc w:val="left"/>
            </w:pPr>
            <w:r>
              <w:rPr/>
              <w:t xml:space="preserve">7.5.3 b</w:t>
            </w:r>
          </w:p>
        </w:tc>
        <w:tc>
          <w:tcPr>
            <w:tcW w:w="2203" w:type="dxa"/>
          </w:tcPr>
          <w:p>
            <w:pPr>
              <w:pStyle w:val="CeldaAPA"/>
              <w:jc w:val="left"/>
            </w:pPr>
            <w:r>
              <w:rPr/>
              <w:t xml:space="preserve">Conservar los registros que evidencian la conformidad (recepción, inspección, ensayos, consumos, vaciado y curado).</w:t>
            </w:r>
          </w:p>
        </w:tc>
        <w:tc>
          <w:tcPr>
            <w:tcW w:w="2707" w:type="dxa"/>
          </w:tcPr>
          <w:p>
            <w:pPr>
              <w:pStyle w:val="CeldaAPA"/>
              <w:jc w:val="left"/>
            </w:pPr>
            <w:r>
              <w:rPr/>
              <w:t xml:space="preserve">No se encontraron registros de recepción, inspección del armado, consumos, vaciado ni curado de la losa (PAO2, pp. 1–139; Exp., pp. 1–29).</w:t>
            </w:r>
          </w:p>
        </w:tc>
        <w:tc>
          <w:tcPr>
            <w:tcW w:w="916" w:type="dxa"/>
          </w:tcPr>
          <w:p>
            <w:pPr>
              <w:pStyle w:val="CeldaAPA"/>
              <w:jc w:val="center"/>
            </w:pPr>
            <w:r>
              <w:rPr/>
              <w:t xml:space="preserve">0</w:t>
            </w:r>
          </w:p>
        </w:tc>
        <w:tc>
          <w:tcPr>
            <w:tcW w:w="2282" w:type="dxa"/>
          </w:tcPr>
          <w:p>
            <w:pPr>
              <w:pStyle w:val="CeldaAPA"/>
              <w:jc w:val="left"/>
            </w:pPr>
            <w:r>
              <w:rPr/>
              <w:t xml:space="preserve">Brecha central para la línea base.</w:t>
            </w:r>
          </w:p>
        </w:tc>
      </w:tr>
      <w:tr>
        <w:tc>
          <w:tcPr>
            <w:tcW w:w="9359" w:type="dxa"/>
            <w:gridSpan w:val="5"/>
          </w:tcPr>
          <w:p>
            <w:pPr>
              <w:pStyle w:val="CeldaAPA"/>
              <w:jc w:val="left"/>
            </w:pPr>
            <w:r>
              <w:rPr>
                <w:bCs/>
                <w:b/>
              </w:rPr>
              <w:t xml:space="preserve">8. Operación</w:t>
            </w:r>
          </w:p>
        </w:tc>
      </w:tr>
      <w:tr>
        <w:tc>
          <w:tcPr>
            <w:tcW w:w="1251" w:type="dxa"/>
          </w:tcPr>
          <w:p>
            <w:pPr>
              <w:pStyle w:val="CeldaAPA"/>
              <w:jc w:val="left"/>
            </w:pPr>
            <w:r>
              <w:rPr/>
              <w:t xml:space="preserve">8.1 a</w:t>
            </w:r>
          </w:p>
        </w:tc>
        <w:tc>
          <w:tcPr>
            <w:tcW w:w="2203" w:type="dxa"/>
          </w:tcPr>
          <w:p>
            <w:pPr>
              <w:pStyle w:val="CeldaAPA"/>
              <w:jc w:val="left"/>
            </w:pPr>
            <w:r>
              <w:rPr/>
              <w:t xml:space="preserve">Planificar el proceso de la losa: criterios de aceptación, controles y registros necesarios (plan de la calidad, PPI).</w:t>
            </w:r>
          </w:p>
        </w:tc>
        <w:tc>
          <w:tcPr>
            <w:tcW w:w="2707" w:type="dxa"/>
          </w:tcPr>
          <w:p>
            <w:pPr>
              <w:pStyle w:val="CeldaAPA"/>
              <w:jc w:val="left"/>
            </w:pPr>
            <w:r>
              <w:rPr/>
              <w:t xml:space="preserve">La ET fija criterios: f’c = 250 kg/cm</w:t>
            </w:r>
            <w:r>
              <w:rPr>
                <w:vertAlign w:val="superscript"/>
              </w:rPr>
              <w:t xml:space="preserve">2</w:t>
            </w:r>
            <w:r>
              <w:rPr/>
              <w:t xml:space="preserve">, cemento</w:t>
            </w:r>
            <w:r>
              <w:rPr/>
              <w:t xml:space="preserve"> </w:t>
            </w:r>
            <m:oMath>
              <m:r>
                <m:rPr>
                  <m:sty m:val="p"/>
                </m:rPr>
                <m:t>≥</m:t>
              </m:r>
            </m:oMath>
            <w:r>
              <w:rPr/>
              <w:t xml:space="preserve"> 400 kg/m</w:t>
            </w:r>
            <w:r>
              <w:rPr>
                <w:vertAlign w:val="superscript"/>
              </w:rPr>
              <w:t xml:space="preserve">3</w:t>
            </w:r>
            <w:r>
              <w:rPr/>
              <w:t xml:space="preserve">, vaciado por franjas y monolítico con las vigas (pp. 1–4). No hay plan de la calidad ni PPI.</w:t>
            </w:r>
          </w:p>
        </w:tc>
        <w:tc>
          <w:tcPr>
            <w:tcW w:w="916" w:type="dxa"/>
          </w:tcPr>
          <w:p>
            <w:pPr>
              <w:pStyle w:val="CeldaAPA"/>
              <w:jc w:val="center"/>
            </w:pPr>
            <w:r>
              <w:rPr/>
              <w:t xml:space="preserve">0,5</w:t>
            </w:r>
          </w:p>
        </w:tc>
        <w:tc>
          <w:tcPr>
            <w:tcW w:w="2282" w:type="dxa"/>
          </w:tcPr>
          <w:p>
            <w:pPr>
              <w:pStyle w:val="CeldaAPA"/>
              <w:jc w:val="left"/>
            </w:pPr>
            <w:r>
              <w:rPr/>
              <w:t xml:space="preserve">—</w:t>
            </w:r>
          </w:p>
        </w:tc>
      </w:tr>
      <w:tr>
        <w:tc>
          <w:tcPr>
            <w:tcW w:w="1251" w:type="dxa"/>
          </w:tcPr>
          <w:p>
            <w:pPr>
              <w:pStyle w:val="CeldaAPA"/>
              <w:jc w:val="left"/>
            </w:pPr>
            <w:r>
              <w:rPr/>
              <w:t xml:space="preserve">8.1 b</w:t>
            </w:r>
          </w:p>
        </w:tc>
        <w:tc>
          <w:tcPr>
            <w:tcW w:w="2203" w:type="dxa"/>
          </w:tcPr>
          <w:p>
            <w:pPr>
              <w:pStyle w:val="CeldaAPA"/>
              <w:jc w:val="left"/>
            </w:pPr>
            <w:r>
              <w:rPr/>
              <w:t xml:space="preserve">Determinar los materiales necesarios por paño (cantidades teóricas para pedido y control).</w:t>
            </w:r>
          </w:p>
        </w:tc>
        <w:tc>
          <w:tcPr>
            <w:tcW w:w="2707" w:type="dxa"/>
          </w:tcPr>
          <w:p>
            <w:pPr>
              <w:pStyle w:val="CeldaAPA"/>
              <w:jc w:val="left"/>
            </w:pPr>
            <w:r>
              <w:rPr/>
              <w:t xml:space="preserve">El cómputo del ítem 13 solo lista las áreas de los 41 paños (PAO2, pp. 28–29); no hay cantidades de viguetas, EPS, hormigón ni acero por paño.</w:t>
            </w:r>
          </w:p>
        </w:tc>
        <w:tc>
          <w:tcPr>
            <w:tcW w:w="916" w:type="dxa"/>
          </w:tcPr>
          <w:p>
            <w:pPr>
              <w:pStyle w:val="CeldaAPA"/>
              <w:jc w:val="center"/>
            </w:pPr>
            <w:r>
              <w:rPr/>
              <w:t xml:space="preserve">0</w:t>
            </w:r>
          </w:p>
        </w:tc>
        <w:tc>
          <w:tcPr>
            <w:tcW w:w="2282" w:type="dxa"/>
          </w:tcPr>
          <w:p>
            <w:pPr>
              <w:pStyle w:val="CeldaAPA"/>
              <w:jc w:val="left"/>
            </w:pPr>
            <w:r>
              <w:rPr/>
              <w:t xml:space="preserve">—</w:t>
            </w:r>
          </w:p>
        </w:tc>
      </w:tr>
      <w:tr>
        <w:tc>
          <w:tcPr>
            <w:tcW w:w="1251" w:type="dxa"/>
          </w:tcPr>
          <w:p>
            <w:pPr>
              <w:pStyle w:val="CeldaAPA"/>
              <w:jc w:val="left"/>
            </w:pPr>
            <w:r>
              <w:rPr/>
              <w:t xml:space="preserve">8.2.2 y 8.2.3</w:t>
            </w:r>
          </w:p>
        </w:tc>
        <w:tc>
          <w:tcPr>
            <w:tcW w:w="2203" w:type="dxa"/>
          </w:tcPr>
          <w:p>
            <w:pPr>
              <w:pStyle w:val="CeldaAPA"/>
              <w:jc w:val="left"/>
            </w:pPr>
            <w:r>
              <w:rPr/>
              <w:t xml:space="preserve">Determinar y revisar los requisitos del producto (contrato, ET, planos) antes de ejecutar, y resolver las diferencias.</w:t>
            </w:r>
          </w:p>
        </w:tc>
        <w:tc>
          <w:tcPr>
            <w:tcW w:w="2707" w:type="dxa"/>
          </w:tcPr>
          <w:p>
            <w:pPr>
              <w:pStyle w:val="CeldaAPA"/>
              <w:jc w:val="left"/>
            </w:pPr>
            <w:r>
              <w:rPr/>
              <w:t xml:space="preserve">Requisitos disponibles (PAO2, pp. 91–112; ET; planos 01 a 03), pero las discrepancias del complemento, de su altura y de las normas citadas no se resolvieron, pese a la consulta previa que exige la cl. 33.1 (p. 107).</w:t>
            </w:r>
          </w:p>
        </w:tc>
        <w:tc>
          <w:tcPr>
            <w:tcW w:w="916" w:type="dxa"/>
          </w:tcPr>
          <w:p>
            <w:pPr>
              <w:pStyle w:val="CeldaAPA"/>
              <w:jc w:val="center"/>
            </w:pPr>
            <w:r>
              <w:rPr/>
              <w:t xml:space="preserve">0,5</w:t>
            </w:r>
          </w:p>
        </w:tc>
        <w:tc>
          <w:tcPr>
            <w:tcW w:w="2282" w:type="dxa"/>
          </w:tcPr>
          <w:p>
            <w:pPr>
              <w:pStyle w:val="CeldaAPA"/>
              <w:jc w:val="left"/>
            </w:pPr>
            <w:r>
              <w:rPr/>
              <w:t xml:space="preserve">—</w:t>
            </w:r>
          </w:p>
        </w:tc>
      </w:tr>
      <w:tr>
        <w:tc>
          <w:tcPr>
            <w:tcW w:w="1251" w:type="dxa"/>
          </w:tcPr>
          <w:p>
            <w:pPr>
              <w:pStyle w:val="CeldaAPA"/>
              <w:jc w:val="left"/>
            </w:pPr>
            <w:r>
              <w:rPr/>
              <w:t xml:space="preserve">8.2.4</w:t>
            </w:r>
          </w:p>
        </w:tc>
        <w:tc>
          <w:tcPr>
            <w:tcW w:w="2203" w:type="dxa"/>
          </w:tcPr>
          <w:p>
            <w:pPr>
              <w:pStyle w:val="CeldaAPA"/>
              <w:jc w:val="left"/>
            </w:pPr>
            <w:r>
              <w:rPr/>
              <w:t xml:space="preserve">Actualizar la información y comunicarla cuando cambian los requisitos.</w:t>
            </w:r>
          </w:p>
        </w:tc>
        <w:tc>
          <w:tcPr>
            <w:tcW w:w="2707" w:type="dxa"/>
          </w:tcPr>
          <w:p>
            <w:pPr>
              <w:pStyle w:val="CeldaAPA"/>
              <w:jc w:val="left"/>
            </w:pPr>
            <w:r>
              <w:rPr/>
              <w:t xml:space="preserve">«Modificaciones estructurales» por falta de viguetas de los tamaños requeridos, sin documento que las describa (PAO2, p. 11); EPS distinto de la ET sin orden de cambio (p. 81).</w:t>
            </w:r>
          </w:p>
        </w:tc>
        <w:tc>
          <w:tcPr>
            <w:tcW w:w="916" w:type="dxa"/>
          </w:tcPr>
          <w:p>
            <w:pPr>
              <w:pStyle w:val="CeldaAPA"/>
              <w:jc w:val="center"/>
            </w:pPr>
            <w:r>
              <w:rPr/>
              <w:t xml:space="preserve">0</w:t>
            </w:r>
          </w:p>
        </w:tc>
        <w:tc>
          <w:tcPr>
            <w:tcW w:w="2282" w:type="dxa"/>
          </w:tcPr>
          <w:p>
            <w:pPr>
              <w:pStyle w:val="CeldaAPA"/>
              <w:jc w:val="left"/>
            </w:pPr>
            <w:r>
              <w:rPr/>
              <w:t xml:space="preserve">—</w:t>
            </w:r>
          </w:p>
        </w:tc>
      </w:tr>
      <w:tr>
        <w:tc>
          <w:tcPr>
            <w:tcW w:w="1251" w:type="dxa"/>
          </w:tcPr>
          <w:p>
            <w:pPr>
              <w:pStyle w:val="CeldaAPA"/>
              <w:jc w:val="left"/>
            </w:pPr>
            <w:r>
              <w:rPr/>
              <w:t xml:space="preserve">8.3</w:t>
            </w:r>
          </w:p>
        </w:tc>
        <w:tc>
          <w:tcPr>
            <w:tcW w:w="2203" w:type="dxa"/>
          </w:tcPr>
          <w:p>
            <w:pPr>
              <w:pStyle w:val="CeldaAPA"/>
              <w:jc w:val="left"/>
            </w:pPr>
            <w:r>
              <w:rPr/>
              <w:t xml:space="preserve">Diseño y desarrollo de los productos.</w:t>
            </w:r>
          </w:p>
        </w:tc>
        <w:tc>
          <w:tcPr>
            <w:tcW w:w="2707" w:type="dxa"/>
          </w:tcPr>
          <w:p>
            <w:pPr>
              <w:pStyle w:val="CeldaAPA"/>
              <w:jc w:val="left"/>
            </w:pPr>
            <w:r>
              <w:rPr/>
              <w:t xml:space="preserve">—</w:t>
            </w:r>
          </w:p>
        </w:tc>
        <w:tc>
          <w:tcPr>
            <w:tcW w:w="916" w:type="dxa"/>
          </w:tcPr>
          <w:p>
            <w:pPr>
              <w:pStyle w:val="CeldaAPA"/>
              <w:jc w:val="center"/>
            </w:pPr>
            <w:r>
              <w:rPr/>
              <w:t xml:space="preserve">NA</w:t>
            </w:r>
          </w:p>
        </w:tc>
        <w:tc>
          <w:tcPr>
            <w:tcW w:w="2282" w:type="dxa"/>
          </w:tcPr>
          <w:p>
            <w:pPr>
              <w:pStyle w:val="CeldaAPA"/>
              <w:jc w:val="left"/>
            </w:pPr>
            <w:r>
              <w:rPr/>
              <w:t xml:space="preserve">El diseño estructural corresponde al proyectista de la UATF.</w:t>
            </w:r>
          </w:p>
        </w:tc>
      </w:tr>
      <w:tr>
        <w:tc>
          <w:tcPr>
            <w:tcW w:w="1251" w:type="dxa"/>
          </w:tcPr>
          <w:p>
            <w:pPr>
              <w:pStyle w:val="CeldaAPA"/>
              <w:jc w:val="left"/>
            </w:pPr>
            <w:r>
              <w:rPr/>
              <w:t xml:space="preserve">8.4.1</w:t>
            </w:r>
          </w:p>
        </w:tc>
        <w:tc>
          <w:tcPr>
            <w:tcW w:w="2203" w:type="dxa"/>
          </w:tcPr>
          <w:p>
            <w:pPr>
              <w:pStyle w:val="CeldaAPA"/>
              <w:jc w:val="left"/>
            </w:pPr>
            <w:r>
              <w:rPr/>
              <w:t xml:space="preserve">Aplicar criterios para evaluar, seleccionar y hacer seguimiento a los proveedores externos.</w:t>
            </w:r>
          </w:p>
        </w:tc>
        <w:tc>
          <w:tcPr>
            <w:tcW w:w="2707" w:type="dxa"/>
          </w:tcPr>
          <w:p>
            <w:pPr>
              <w:pStyle w:val="CeldaAPA"/>
              <w:jc w:val="left"/>
            </w:pPr>
            <w:r>
              <w:rPr/>
              <w:t xml:space="preserve">Sin criterios documentados ni reevaluación tras los incumplimientos (acero entregado en 30 %, Exp., p. 27; viguetas no disponibles, PAO2, p. 11). La certificación NB 997 e ISO 9001 de PRETENSA (p. 80) es un atributo del proveedor, no un criterio registrado.</w:t>
            </w:r>
          </w:p>
        </w:tc>
        <w:tc>
          <w:tcPr>
            <w:tcW w:w="916" w:type="dxa"/>
          </w:tcPr>
          <w:p>
            <w:pPr>
              <w:pStyle w:val="CeldaAPA"/>
              <w:jc w:val="center"/>
            </w:pPr>
            <w:r>
              <w:rPr/>
              <w:t xml:space="preserve">0</w:t>
            </w:r>
          </w:p>
        </w:tc>
        <w:tc>
          <w:tcPr>
            <w:tcW w:w="2282" w:type="dxa"/>
          </w:tcPr>
          <w:p>
            <w:pPr>
              <w:pStyle w:val="CeldaAPA"/>
              <w:jc w:val="left"/>
            </w:pPr>
            <w:r>
              <w:rPr/>
              <w:t xml:space="preserve">—</w:t>
            </w:r>
          </w:p>
        </w:tc>
      </w:tr>
      <w:tr>
        <w:tc>
          <w:tcPr>
            <w:tcW w:w="1251" w:type="dxa"/>
          </w:tcPr>
          <w:p>
            <w:pPr>
              <w:pStyle w:val="CeldaAPA"/>
              <w:jc w:val="left"/>
            </w:pPr>
            <w:r>
              <w:rPr/>
              <w:t xml:space="preserve">8.4.2</w:t>
            </w:r>
          </w:p>
        </w:tc>
        <w:tc>
          <w:tcPr>
            <w:tcW w:w="2203" w:type="dxa"/>
          </w:tcPr>
          <w:p>
            <w:pPr>
              <w:pStyle w:val="CeldaAPA"/>
              <w:jc w:val="left"/>
            </w:pPr>
            <w:r>
              <w:rPr/>
              <w:t xml:space="preserve">Verificar lo suministrado antes de incorporarlo a la obra (certificados, inspección de recepción, ensayos).</w:t>
            </w:r>
          </w:p>
        </w:tc>
        <w:tc>
          <w:tcPr>
            <w:tcW w:w="2707" w:type="dxa"/>
          </w:tcPr>
          <w:p>
            <w:pPr>
              <w:pStyle w:val="CeldaAPA"/>
              <w:jc w:val="left"/>
            </w:pPr>
            <w:r>
              <w:rPr/>
              <w:t xml:space="preserve">Certificados de PRETENSA y UNICON del 27/11/2025, sin firma y posteriores al inicio del armado (14/11/2025) (PAO2, pp. 80–81, 122); certificados de acero de</w:t>
            </w:r>
            <w:r>
              <w:rPr/>
              <w:t xml:space="preserve"> </w:t>
            </w:r>
            <m:oMath>
              <m:r>
                <m:t>ϕ</m:t>
              </m:r>
            </m:oMath>
            <w:r>
              <w:rPr/>
              <w:t xml:space="preserve">20 a</w:t>
            </w:r>
            <w:r>
              <w:rPr/>
              <w:t xml:space="preserve"> </w:t>
            </w:r>
            <m:oMath>
              <m:r>
                <m:t>ϕ</m:t>
              </m:r>
            </m:oMath>
            <w:r>
              <w:rPr/>
              <w:t xml:space="preserve">8 (pp. 82–86), sin</w:t>
            </w:r>
            <w:r>
              <w:rPr/>
              <w:t xml:space="preserve"> </w:t>
            </w:r>
            <m:oMath>
              <m:r>
                <m:t>ϕ</m:t>
              </m:r>
            </m:oMath>
            <w:r>
              <w:rPr/>
              <w:t xml:space="preserve">6 ni</w:t>
            </w:r>
            <w:r>
              <w:rPr/>
              <w:t xml:space="preserve"> </w:t>
            </w:r>
            <m:oMath>
              <m:r>
                <m:t>ϕ</m:t>
              </m:r>
            </m:oMath>
            <w:r>
              <w:rPr/>
              <w:t xml:space="preserve">10; sin certificados de cemento ni áridos; sin inspección de recepción.</w:t>
            </w:r>
          </w:p>
        </w:tc>
        <w:tc>
          <w:tcPr>
            <w:tcW w:w="916" w:type="dxa"/>
          </w:tcPr>
          <w:p>
            <w:pPr>
              <w:pStyle w:val="CeldaAPA"/>
              <w:jc w:val="center"/>
            </w:pPr>
            <w:r>
              <w:rPr/>
              <w:t xml:space="preserve">0,5</w:t>
            </w:r>
          </w:p>
        </w:tc>
        <w:tc>
          <w:tcPr>
            <w:tcW w:w="2282" w:type="dxa"/>
          </w:tcPr>
          <w:p>
            <w:pPr>
              <w:pStyle w:val="CeldaAPA"/>
              <w:jc w:val="left"/>
            </w:pPr>
            <w:r>
              <w:rPr/>
              <w:t xml:space="preserve">Cl. 26.6 (PAO2, p. 102); ACI 318-25 (p. 587).</w:t>
            </w:r>
          </w:p>
        </w:tc>
      </w:tr>
      <w:tr>
        <w:tc>
          <w:tcPr>
            <w:tcW w:w="1251" w:type="dxa"/>
          </w:tcPr>
          <w:p>
            <w:pPr>
              <w:pStyle w:val="CeldaAPA"/>
              <w:jc w:val="left"/>
            </w:pPr>
            <w:r>
              <w:rPr/>
              <w:t xml:space="preserve">8.4.3</w:t>
            </w:r>
          </w:p>
        </w:tc>
        <w:tc>
          <w:tcPr>
            <w:tcW w:w="2203" w:type="dxa"/>
          </w:tcPr>
          <w:p>
            <w:pPr>
              <w:pStyle w:val="CeldaAPA"/>
              <w:jc w:val="left"/>
            </w:pPr>
            <w:r>
              <w:rPr/>
              <w:t xml:space="preserve">Comunicar a los proveedores los requisitos de lo que se compra (tipo, dimensiones, cantidad, aprobación).</w:t>
            </w:r>
          </w:p>
        </w:tc>
        <w:tc>
          <w:tcPr>
            <w:tcW w:w="2707" w:type="dxa"/>
          </w:tcPr>
          <w:p>
            <w:pPr>
              <w:pStyle w:val="CeldaAPA"/>
              <w:jc w:val="left"/>
            </w:pPr>
            <w:r>
              <w:rPr/>
              <w:t xml:space="preserve">No hay órdenes de compra; el EPS entregado (20 </w:t>
            </w:r>
            <m:oMath>
              <m:r>
                <m:rPr>
                  <m:sty m:val="p"/>
                </m:rPr>
                <m:t>×</m:t>
              </m:r>
            </m:oMath>
            <w:r>
              <w:rPr/>
              <w:t xml:space="preserve"> 100 </w:t>
            </w:r>
            <m:oMath>
              <m:r>
                <m:rPr>
                  <m:sty m:val="p"/>
                </m:rPr>
                <m:t>×</m:t>
              </m:r>
            </m:oMath>
            <w:r>
              <w:rPr/>
              <w:t xml:space="preserve"> 44 cm; 2.350 piezas) no coincide con la dimensión de la ET (PAO2, p. 81; ET, p. 3).</w:t>
            </w:r>
          </w:p>
        </w:tc>
        <w:tc>
          <w:tcPr>
            <w:tcW w:w="916" w:type="dxa"/>
          </w:tcPr>
          <w:p>
            <w:pPr>
              <w:pStyle w:val="CeldaAPA"/>
              <w:jc w:val="center"/>
            </w:pPr>
            <w:r>
              <w:rPr/>
              <w:t xml:space="preserve">0</w:t>
            </w:r>
          </w:p>
        </w:tc>
        <w:tc>
          <w:tcPr>
            <w:tcW w:w="2282" w:type="dxa"/>
          </w:tcPr>
          <w:p>
            <w:pPr>
              <w:pStyle w:val="CeldaAPA"/>
              <w:jc w:val="left"/>
            </w:pPr>
            <w:r>
              <w:rPr/>
              <w:t xml:space="preserve">—</w:t>
            </w:r>
          </w:p>
        </w:tc>
      </w:tr>
      <w:tr>
        <w:tc>
          <w:tcPr>
            <w:tcW w:w="1251" w:type="dxa"/>
          </w:tcPr>
          <w:p>
            <w:pPr>
              <w:pStyle w:val="CeldaAPA"/>
              <w:jc w:val="left"/>
            </w:pPr>
            <w:r>
              <w:rPr/>
              <w:t xml:space="preserve">8.5.1 a</w:t>
            </w:r>
          </w:p>
        </w:tc>
        <w:tc>
          <w:tcPr>
            <w:tcW w:w="2203" w:type="dxa"/>
          </w:tcPr>
          <w:p>
            <w:pPr>
              <w:pStyle w:val="CeldaAPA"/>
              <w:jc w:val="left"/>
            </w:pPr>
            <w:r>
              <w:rPr/>
              <w:t xml:space="preserve">Ejecutar en condiciones controladas: información disponible, seguimiento en las etapas apropiadas y personal competente.</w:t>
            </w:r>
          </w:p>
        </w:tc>
        <w:tc>
          <w:tcPr>
            <w:tcW w:w="2707" w:type="dxa"/>
          </w:tcPr>
          <w:p>
            <w:pPr>
              <w:pStyle w:val="CeldaAPA"/>
              <w:jc w:val="left"/>
            </w:pPr>
            <w:r>
              <w:rPr/>
              <w:t xml:space="preserve">Verificación del armado antes de cada vaciado, registrada en el Libro de Órdenes (PAO2, pp. 114–125), sin lista de verificación ni criterios; no consta la fecha del hormigonado de la losa (p. 125).</w:t>
            </w:r>
          </w:p>
        </w:tc>
        <w:tc>
          <w:tcPr>
            <w:tcW w:w="916" w:type="dxa"/>
          </w:tcPr>
          <w:p>
            <w:pPr>
              <w:pStyle w:val="CeldaAPA"/>
              <w:jc w:val="center"/>
            </w:pPr>
            <w:r>
              <w:rPr/>
              <w:t xml:space="preserve">0,5</w:t>
            </w:r>
          </w:p>
        </w:tc>
        <w:tc>
          <w:tcPr>
            <w:tcW w:w="2282" w:type="dxa"/>
          </w:tcPr>
          <w:p>
            <w:pPr>
              <w:pStyle w:val="CeldaAPA"/>
              <w:jc w:val="left"/>
            </w:pPr>
            <w:r>
              <w:rPr/>
              <w:t xml:space="preserve">—</w:t>
            </w:r>
          </w:p>
        </w:tc>
      </w:tr>
      <w:tr>
        <w:tc>
          <w:tcPr>
            <w:tcW w:w="1251" w:type="dxa"/>
          </w:tcPr>
          <w:p>
            <w:pPr>
              <w:pStyle w:val="CeldaAPA"/>
              <w:jc w:val="left"/>
            </w:pPr>
            <w:r>
              <w:rPr/>
              <w:t xml:space="preserve">8.5.1 b</w:t>
            </w:r>
          </w:p>
        </w:tc>
        <w:tc>
          <w:tcPr>
            <w:tcW w:w="2203" w:type="dxa"/>
          </w:tcPr>
          <w:p>
            <w:pPr>
              <w:pStyle w:val="CeldaAPA"/>
              <w:jc w:val="left"/>
            </w:pPr>
            <w:r>
              <w:rPr/>
              <w:t xml:space="preserve">Controlar el hormigón y validar el proceso de hormigonado: dosificación aprobada, asentamiento, muestreo, ensayos a 28 días y curado.</w:t>
            </w:r>
          </w:p>
        </w:tc>
        <w:tc>
          <w:tcPr>
            <w:tcW w:w="2707" w:type="dxa"/>
          </w:tcPr>
          <w:p>
            <w:pPr>
              <w:pStyle w:val="CeldaAPA"/>
              <w:jc w:val="left"/>
            </w:pPr>
            <w:r>
              <w:rPr/>
              <w:t xml:space="preserve">Dosificaciones no presentadas (PAO2, p. 9); instrucciones reiteradas sin registro (pp. 120, 121, 125); ninguna probeta de la losa; columnas y vigas ensayadas a 55–76 días (p. 78).</w:t>
            </w:r>
          </w:p>
        </w:tc>
        <w:tc>
          <w:tcPr>
            <w:tcW w:w="916" w:type="dxa"/>
          </w:tcPr>
          <w:p>
            <w:pPr>
              <w:pStyle w:val="CeldaAPA"/>
              <w:jc w:val="center"/>
            </w:pPr>
            <w:r>
              <w:rPr/>
              <w:t xml:space="preserve">0</w:t>
            </w:r>
          </w:p>
        </w:tc>
        <w:tc>
          <w:tcPr>
            <w:tcW w:w="2282" w:type="dxa"/>
          </w:tcPr>
          <w:p>
            <w:pPr>
              <w:pStyle w:val="CeldaAPA"/>
              <w:jc w:val="left"/>
            </w:pPr>
            <w:r>
              <w:rPr/>
              <w:t xml:space="preserve">ACI 318-25 (pp. 577, 601–603).</w:t>
            </w:r>
          </w:p>
        </w:tc>
      </w:tr>
      <w:tr>
        <w:tc>
          <w:tcPr>
            <w:tcW w:w="1251" w:type="dxa"/>
          </w:tcPr>
          <w:p>
            <w:pPr>
              <w:pStyle w:val="CeldaAPA"/>
              <w:jc w:val="left"/>
            </w:pPr>
            <w:r>
              <w:rPr/>
              <w:t xml:space="preserve">8.5.2</w:t>
            </w:r>
          </w:p>
        </w:tc>
        <w:tc>
          <w:tcPr>
            <w:tcW w:w="2203" w:type="dxa"/>
          </w:tcPr>
          <w:p>
            <w:pPr>
              <w:pStyle w:val="CeldaAPA"/>
              <w:jc w:val="left"/>
            </w:pPr>
            <w:r>
              <w:rPr/>
              <w:t xml:space="preserve">Identificar las salidas y su estado de inspección, y asegurar la trazabilidad de materiales y probetas.</w:t>
            </w:r>
          </w:p>
        </w:tc>
        <w:tc>
          <w:tcPr>
            <w:tcW w:w="2707" w:type="dxa"/>
          </w:tcPr>
          <w:p>
            <w:pPr>
              <w:pStyle w:val="CeldaAPA"/>
              <w:jc w:val="left"/>
            </w:pPr>
            <w:r>
              <w:rPr/>
              <w:t xml:space="preserve">Coladas identificadas en los certificados de acero (PAO2, pp. 82–86) sin vínculo con los elementos; probetas rotuladas solo «COLUMNA» o «VIGA» (p. 78).</w:t>
            </w:r>
          </w:p>
        </w:tc>
        <w:tc>
          <w:tcPr>
            <w:tcW w:w="916" w:type="dxa"/>
          </w:tcPr>
          <w:p>
            <w:pPr>
              <w:pStyle w:val="CeldaAPA"/>
              <w:jc w:val="center"/>
            </w:pPr>
            <w:r>
              <w:rPr/>
              <w:t xml:space="preserve">0</w:t>
            </w:r>
          </w:p>
        </w:tc>
        <w:tc>
          <w:tcPr>
            <w:tcW w:w="2282" w:type="dxa"/>
          </w:tcPr>
          <w:p>
            <w:pPr>
              <w:pStyle w:val="CeldaAPA"/>
              <w:jc w:val="left"/>
            </w:pPr>
            <w:r>
              <w:rPr/>
              <w:t xml:space="preserve">—</w:t>
            </w:r>
          </w:p>
        </w:tc>
      </w:tr>
      <w:tr>
        <w:tc>
          <w:tcPr>
            <w:tcW w:w="1251" w:type="dxa"/>
          </w:tcPr>
          <w:p>
            <w:pPr>
              <w:pStyle w:val="CeldaAPA"/>
              <w:jc w:val="left"/>
            </w:pPr>
            <w:r>
              <w:rPr/>
              <w:t xml:space="preserve">8.5.3</w:t>
            </w:r>
          </w:p>
        </w:tc>
        <w:tc>
          <w:tcPr>
            <w:tcW w:w="2203" w:type="dxa"/>
          </w:tcPr>
          <w:p>
            <w:pPr>
              <w:pStyle w:val="CeldaAPA"/>
              <w:jc w:val="left"/>
            </w:pPr>
            <w:r>
              <w:rPr/>
              <w:t xml:space="preserve">Cuidar la propiedad del cliente o de proveedores externos.</w:t>
            </w:r>
          </w:p>
        </w:tc>
        <w:tc>
          <w:tcPr>
            <w:tcW w:w="2707" w:type="dxa"/>
          </w:tcPr>
          <w:p>
            <w:pPr>
              <w:pStyle w:val="CeldaAPA"/>
              <w:jc w:val="left"/>
            </w:pPr>
            <w:r>
              <w:rPr/>
              <w:t xml:space="preserve">—</w:t>
            </w:r>
          </w:p>
        </w:tc>
        <w:tc>
          <w:tcPr>
            <w:tcW w:w="916" w:type="dxa"/>
          </w:tcPr>
          <w:p>
            <w:pPr>
              <w:pStyle w:val="CeldaAPA"/>
              <w:jc w:val="center"/>
            </w:pPr>
            <w:r>
              <w:rPr/>
              <w:t xml:space="preserve">NA</w:t>
            </w:r>
          </w:p>
        </w:tc>
        <w:tc>
          <w:tcPr>
            <w:tcW w:w="2282" w:type="dxa"/>
          </w:tcPr>
          <w:p>
            <w:pPr>
              <w:pStyle w:val="CeldaAPA"/>
              <w:jc w:val="left"/>
            </w:pPr>
            <w:r>
              <w:rPr/>
              <w:t xml:space="preserve">La UATF no suministró materiales ni equipos para la losa.</w:t>
            </w:r>
          </w:p>
        </w:tc>
      </w:tr>
      <w:tr>
        <w:tc>
          <w:tcPr>
            <w:tcW w:w="1251" w:type="dxa"/>
          </w:tcPr>
          <w:p>
            <w:pPr>
              <w:pStyle w:val="CeldaAPA"/>
              <w:jc w:val="left"/>
            </w:pPr>
            <w:r>
              <w:rPr/>
              <w:t xml:space="preserve">8.5.4</w:t>
            </w:r>
          </w:p>
        </w:tc>
        <w:tc>
          <w:tcPr>
            <w:tcW w:w="2203" w:type="dxa"/>
          </w:tcPr>
          <w:p>
            <w:pPr>
              <w:pStyle w:val="CeldaAPA"/>
              <w:jc w:val="left"/>
            </w:pPr>
            <w:r>
              <w:rPr/>
              <w:t xml:space="preserve">Preservar los materiales y el producto (acopio, protección, curado).</w:t>
            </w:r>
          </w:p>
        </w:tc>
        <w:tc>
          <w:tcPr>
            <w:tcW w:w="2707" w:type="dxa"/>
          </w:tcPr>
          <w:p>
            <w:pPr>
              <w:pStyle w:val="CeldaAPA"/>
              <w:jc w:val="left"/>
            </w:pPr>
            <w:r>
              <w:rPr/>
              <w:t xml:space="preserve">Plan de acopio limitado a «transportar el material y ubicarlo cerca de la obra» (PAO2, p. 10); material y restos dispersos en las fotografías (pp. 75–76); sin registro de curado.</w:t>
            </w:r>
          </w:p>
        </w:tc>
        <w:tc>
          <w:tcPr>
            <w:tcW w:w="916" w:type="dxa"/>
          </w:tcPr>
          <w:p>
            <w:pPr>
              <w:pStyle w:val="CeldaAPA"/>
              <w:jc w:val="center"/>
            </w:pPr>
            <w:r>
              <w:rPr/>
              <w:t xml:space="preserve">0</w:t>
            </w:r>
          </w:p>
        </w:tc>
        <w:tc>
          <w:tcPr>
            <w:tcW w:w="2282" w:type="dxa"/>
          </w:tcPr>
          <w:p>
            <w:pPr>
              <w:pStyle w:val="CeldaAPA"/>
              <w:jc w:val="left"/>
            </w:pPr>
            <w:r>
              <w:rPr/>
              <w:t xml:space="preserve">Cl. 26.9 (PAO2, p. 102).</w:t>
            </w:r>
          </w:p>
        </w:tc>
      </w:tr>
      <w:tr>
        <w:tc>
          <w:tcPr>
            <w:tcW w:w="1251" w:type="dxa"/>
          </w:tcPr>
          <w:p>
            <w:pPr>
              <w:pStyle w:val="CeldaAPA"/>
              <w:jc w:val="left"/>
            </w:pPr>
            <w:r>
              <w:rPr/>
              <w:t xml:space="preserve">8.5.6</w:t>
            </w:r>
          </w:p>
        </w:tc>
        <w:tc>
          <w:tcPr>
            <w:tcW w:w="2203" w:type="dxa"/>
          </w:tcPr>
          <w:p>
            <w:pPr>
              <w:pStyle w:val="CeldaAPA"/>
              <w:jc w:val="left"/>
            </w:pPr>
            <w:r>
              <w:rPr/>
              <w:t xml:space="preserve">Revisar y controlar los cambios no planificados en la ejecución.</w:t>
            </w:r>
          </w:p>
        </w:tc>
        <w:tc>
          <w:tcPr>
            <w:tcW w:w="2707" w:type="dxa"/>
          </w:tcPr>
          <w:p>
            <w:pPr>
              <w:pStyle w:val="CeldaAPA"/>
              <w:jc w:val="left"/>
            </w:pPr>
            <w:r>
              <w:rPr/>
              <w:t xml:space="preserve">Modificación estructural y cambio de complemento sin registro (PAO2, pp. 11, 81); vaciado «desde dos frentes» sin plan de juntas (p. 125).</w:t>
            </w:r>
          </w:p>
        </w:tc>
        <w:tc>
          <w:tcPr>
            <w:tcW w:w="916" w:type="dxa"/>
          </w:tcPr>
          <w:p>
            <w:pPr>
              <w:pStyle w:val="CeldaAPA"/>
              <w:jc w:val="center"/>
            </w:pPr>
            <w:r>
              <w:rPr/>
              <w:t xml:space="preserve">0</w:t>
            </w:r>
          </w:p>
        </w:tc>
        <w:tc>
          <w:tcPr>
            <w:tcW w:w="2282" w:type="dxa"/>
          </w:tcPr>
          <w:p>
            <w:pPr>
              <w:pStyle w:val="CeldaAPA"/>
              <w:jc w:val="left"/>
            </w:pPr>
            <w:r>
              <w:rPr/>
              <w:t xml:space="preserve">—</w:t>
            </w:r>
          </w:p>
        </w:tc>
      </w:tr>
      <w:tr>
        <w:tc>
          <w:tcPr>
            <w:tcW w:w="1251" w:type="dxa"/>
          </w:tcPr>
          <w:p>
            <w:pPr>
              <w:pStyle w:val="CeldaAPA"/>
              <w:jc w:val="left"/>
            </w:pPr>
            <w:r>
              <w:rPr/>
              <w:t xml:space="preserve">8.6</w:t>
            </w:r>
          </w:p>
        </w:tc>
        <w:tc>
          <w:tcPr>
            <w:tcW w:w="2203" w:type="dxa"/>
          </w:tcPr>
          <w:p>
            <w:pPr>
              <w:pStyle w:val="CeldaAPA"/>
              <w:jc w:val="left"/>
            </w:pPr>
            <w:r>
              <w:rPr/>
              <w:t xml:space="preserve">Liberar cada etapa solo después de verificar los requisitos, con registro de quién autoriza.</w:t>
            </w:r>
          </w:p>
        </w:tc>
        <w:tc>
          <w:tcPr>
            <w:tcW w:w="2707" w:type="dxa"/>
          </w:tcPr>
          <w:p>
            <w:pPr>
              <w:pStyle w:val="CeldaAPA"/>
              <w:jc w:val="left"/>
            </w:pPr>
            <w:r>
              <w:rPr/>
              <w:t xml:space="preserve">Ocho autorizaciones de vaciado firmadas por la Supervisión (PAO2, pp. 114–125); la losa se certificó para pago el 08/12/2025 (p. 16) antes de que pudiera existir un ensayo a 28 días (26/12/2025).</w:t>
            </w:r>
          </w:p>
        </w:tc>
        <w:tc>
          <w:tcPr>
            <w:tcW w:w="916" w:type="dxa"/>
          </w:tcPr>
          <w:p>
            <w:pPr>
              <w:pStyle w:val="CeldaAPA"/>
              <w:jc w:val="center"/>
            </w:pPr>
            <w:r>
              <w:rPr/>
              <w:t xml:space="preserve">0,5</w:t>
            </w:r>
          </w:p>
        </w:tc>
        <w:tc>
          <w:tcPr>
            <w:tcW w:w="2282" w:type="dxa"/>
          </w:tcPr>
          <w:p>
            <w:pPr>
              <w:pStyle w:val="CeldaAPA"/>
              <w:jc w:val="left"/>
            </w:pPr>
            <w:r>
              <w:rPr/>
              <w:t xml:space="preserve">—</w:t>
            </w:r>
          </w:p>
        </w:tc>
      </w:tr>
      <w:tr>
        <w:tc>
          <w:tcPr>
            <w:tcW w:w="1251" w:type="dxa"/>
          </w:tcPr>
          <w:p>
            <w:pPr>
              <w:pStyle w:val="CeldaAPA"/>
              <w:jc w:val="left"/>
            </w:pPr>
            <w:r>
              <w:rPr/>
              <w:t xml:space="preserve">8.7</w:t>
            </w:r>
          </w:p>
        </w:tc>
        <w:tc>
          <w:tcPr>
            <w:tcW w:w="2203" w:type="dxa"/>
          </w:tcPr>
          <w:p>
            <w:pPr>
              <w:pStyle w:val="CeldaAPA"/>
              <w:jc w:val="left"/>
            </w:pPr>
            <w:r>
              <w:rPr/>
              <w:t xml:space="preserve">Identificar y controlar las salidas no conformes y registrar su tratamiento.</w:t>
            </w:r>
          </w:p>
        </w:tc>
        <w:tc>
          <w:tcPr>
            <w:tcW w:w="2707" w:type="dxa"/>
          </w:tcPr>
          <w:p>
            <w:pPr>
              <w:pStyle w:val="CeldaAPA"/>
              <w:jc w:val="left"/>
            </w:pPr>
            <w:r>
              <w:rPr/>
              <w:t xml:space="preserve">Ningún rechazo, no conformidad ni retrabajo registrado en los 24 asientos (PAO2, pp. 114–125) ni en el informe de Supervisión (pp. 6–11).</w:t>
            </w:r>
          </w:p>
        </w:tc>
        <w:tc>
          <w:tcPr>
            <w:tcW w:w="916" w:type="dxa"/>
          </w:tcPr>
          <w:p>
            <w:pPr>
              <w:pStyle w:val="CeldaAPA"/>
              <w:jc w:val="center"/>
            </w:pPr>
            <w:r>
              <w:rPr/>
              <w:t xml:space="preserve">0</w:t>
            </w:r>
          </w:p>
        </w:tc>
        <w:tc>
          <w:tcPr>
            <w:tcW w:w="2282" w:type="dxa"/>
          </w:tcPr>
          <w:p>
            <w:pPr>
              <w:pStyle w:val="CeldaAPA"/>
              <w:jc w:val="left"/>
            </w:pPr>
            <w:r>
              <w:rPr/>
              <w:t xml:space="preserve">—</w:t>
            </w:r>
          </w:p>
        </w:tc>
      </w:tr>
      <w:tr>
        <w:tc>
          <w:tcPr>
            <w:tcW w:w="9359" w:type="dxa"/>
            <w:gridSpan w:val="5"/>
          </w:tcPr>
          <w:p>
            <w:pPr>
              <w:pStyle w:val="CeldaAPA"/>
              <w:jc w:val="left"/>
            </w:pPr>
            <w:r>
              <w:rPr>
                <w:bCs/>
                <w:b/>
              </w:rPr>
              <w:t xml:space="preserve">9. Evaluación del desempeño</w:t>
            </w:r>
          </w:p>
        </w:tc>
      </w:tr>
      <w:tr>
        <w:tc>
          <w:tcPr>
            <w:tcW w:w="1251" w:type="dxa"/>
          </w:tcPr>
          <w:p>
            <w:pPr>
              <w:pStyle w:val="CeldaAPA"/>
              <w:jc w:val="left"/>
            </w:pPr>
            <w:r>
              <w:rPr/>
              <w:t xml:space="preserve">9.1.1 a</w:t>
            </w:r>
          </w:p>
        </w:tc>
        <w:tc>
          <w:tcPr>
            <w:tcW w:w="2203" w:type="dxa"/>
          </w:tcPr>
          <w:p>
            <w:pPr>
              <w:pStyle w:val="CeldaAPA"/>
              <w:jc w:val="left"/>
            </w:pPr>
            <w:r>
              <w:rPr/>
              <w:t xml:space="preserve">Determinar qué se mide (calidad, desperdicio, costos), con qué métodos y cuándo se analizan los resultados.</w:t>
            </w:r>
          </w:p>
        </w:tc>
        <w:tc>
          <w:tcPr>
            <w:tcW w:w="2707" w:type="dxa"/>
          </w:tcPr>
          <w:p>
            <w:pPr>
              <w:pStyle w:val="CeldaAPA"/>
              <w:jc w:val="left"/>
            </w:pPr>
            <w:r>
              <w:rPr/>
              <w:t xml:space="preserve">Solo se mide el avance físico-financiero por planillas (PAO2, pp. 10, 16).</w:t>
            </w:r>
          </w:p>
        </w:tc>
        <w:tc>
          <w:tcPr>
            <w:tcW w:w="916" w:type="dxa"/>
          </w:tcPr>
          <w:p>
            <w:pPr>
              <w:pStyle w:val="CeldaAPA"/>
              <w:jc w:val="center"/>
            </w:pPr>
            <w:r>
              <w:rPr/>
              <w:t xml:space="preserve">0,5</w:t>
            </w:r>
          </w:p>
        </w:tc>
        <w:tc>
          <w:tcPr>
            <w:tcW w:w="2282" w:type="dxa"/>
          </w:tcPr>
          <w:p>
            <w:pPr>
              <w:pStyle w:val="CeldaAPA"/>
              <w:jc w:val="left"/>
            </w:pPr>
            <w:r>
              <w:rPr/>
              <w:t xml:space="preserve">Sin indicadores de calidad ni de desperdicio.</w:t>
            </w:r>
          </w:p>
        </w:tc>
      </w:tr>
      <w:tr>
        <w:tc>
          <w:tcPr>
            <w:tcW w:w="1251" w:type="dxa"/>
          </w:tcPr>
          <w:p>
            <w:pPr>
              <w:pStyle w:val="CeldaAPA"/>
              <w:jc w:val="left"/>
            </w:pPr>
            <w:r>
              <w:rPr/>
              <w:t xml:space="preserve">9.1.1 b</w:t>
            </w:r>
          </w:p>
        </w:tc>
        <w:tc>
          <w:tcPr>
            <w:tcW w:w="2203" w:type="dxa"/>
          </w:tcPr>
          <w:p>
            <w:pPr>
              <w:pStyle w:val="CeldaAPA"/>
              <w:jc w:val="left"/>
            </w:pPr>
            <w:r>
              <w:rPr/>
              <w:t xml:space="preserve">Medir y conciliar las cantidades ejecutadas (medición conjunta, neta y con respaldo) antes de cada planilla.</w:t>
            </w:r>
          </w:p>
        </w:tc>
        <w:tc>
          <w:tcPr>
            <w:tcW w:w="2707" w:type="dxa"/>
          </w:tcPr>
          <w:p>
            <w:pPr>
              <w:pStyle w:val="CeldaAPA"/>
              <w:jc w:val="left"/>
            </w:pPr>
            <w:r>
              <w:rPr/>
              <w:t xml:space="preserve">Cómputos firmados por contratista, Supervisión y Fiscal (PAO2, pp. 18–32), pero el acero de la losa sin planilla de armado (p. 20), correcciones posteriores (ítem 4:</w:t>
            </w:r>
            <w:r>
              <w:rPr/>
              <w:t xml:space="preserve"> </w:t>
            </w:r>
            <m:oMath>
              <m:r>
                <m:rPr>
                  <m:sty m:val="p"/>
                </m:rPr>
                <m:t>−</m:t>
              </m:r>
            </m:oMath>
            <w:r>
              <w:rPr/>
              <w:t xml:space="preserve">5,66 m</w:t>
            </w:r>
            <w:r>
              <w:rPr>
                <w:vertAlign w:val="superscript"/>
              </w:rPr>
              <w:t xml:space="preserve">3</w:t>
            </w:r>
            <w:r>
              <w:rPr/>
              <w:t xml:space="preserve">; acero:</w:t>
            </w:r>
            <w:r>
              <w:rPr/>
              <w:t xml:space="preserve"> </w:t>
            </w:r>
            <m:oMath>
              <m:r>
                <m:rPr>
                  <m:sty m:val="p"/>
                </m:rPr>
                <m:t>−</m:t>
              </m:r>
            </m:oMath>
            <w:r>
              <w:rPr/>
              <w:t xml:space="preserve">1.862,81 kg en la planilla de cierre firmada y</w:t>
            </w:r>
            <w:r>
              <w:rPr/>
              <w:t xml:space="preserve"> </w:t>
            </w:r>
            <m:oMath>
              <m:r>
                <m:rPr>
                  <m:sty m:val="p"/>
                </m:rPr>
                <m:t>−</m:t>
              </m:r>
            </m:oMath>
            <w:r>
              <w:rPr/>
              <w:t xml:space="preserve">1.915,16 kg en su versión digital) y tres cifras distintas del acero acumulado (p. 16; PAO3; Exp., pp. 2, 12).</w:t>
            </w:r>
          </w:p>
        </w:tc>
        <w:tc>
          <w:tcPr>
            <w:tcW w:w="916" w:type="dxa"/>
          </w:tcPr>
          <w:p>
            <w:pPr>
              <w:pStyle w:val="CeldaAPA"/>
              <w:jc w:val="center"/>
            </w:pPr>
            <w:r>
              <w:rPr/>
              <w:t xml:space="preserve">0,5</w:t>
            </w:r>
          </w:p>
        </w:tc>
        <w:tc>
          <w:tcPr>
            <w:tcW w:w="2282" w:type="dxa"/>
          </w:tcPr>
          <w:p>
            <w:pPr>
              <w:pStyle w:val="CeldaAPA"/>
              <w:jc w:val="left"/>
            </w:pPr>
            <w:r>
              <w:rPr/>
              <w:t xml:space="preserve">Cl. 27.ª (PAO2, p. 99).</w:t>
            </w:r>
          </w:p>
        </w:tc>
      </w:tr>
      <w:tr>
        <w:tc>
          <w:tcPr>
            <w:tcW w:w="1251" w:type="dxa"/>
          </w:tcPr>
          <w:p>
            <w:pPr>
              <w:pStyle w:val="CeldaAPA"/>
              <w:jc w:val="left"/>
            </w:pPr>
            <w:r>
              <w:rPr/>
              <w:t xml:space="preserve">9.1.2</w:t>
            </w:r>
          </w:p>
        </w:tc>
        <w:tc>
          <w:tcPr>
            <w:tcW w:w="2203" w:type="dxa"/>
          </w:tcPr>
          <w:p>
            <w:pPr>
              <w:pStyle w:val="CeldaAPA"/>
              <w:jc w:val="left"/>
            </w:pPr>
            <w:r>
              <w:rPr/>
              <w:t xml:space="preserve">Hacer seguimiento de la percepción del cliente sobre el cumplimiento de sus requisitos.</w:t>
            </w:r>
          </w:p>
        </w:tc>
        <w:tc>
          <w:tcPr>
            <w:tcW w:w="2707" w:type="dxa"/>
          </w:tcPr>
          <w:p>
            <w:pPr>
              <w:pStyle w:val="CeldaAPA"/>
              <w:jc w:val="left"/>
            </w:pPr>
            <w:r>
              <w:rPr/>
              <w:t xml:space="preserve">El informe de Supervisión califica los trabajos de «buena calidad» y evalúa al Director de Obra (PAO2, pp. 9, 11), sin evidencia objetiva que respalde la calificación.</w:t>
            </w:r>
          </w:p>
        </w:tc>
        <w:tc>
          <w:tcPr>
            <w:tcW w:w="916" w:type="dxa"/>
          </w:tcPr>
          <w:p>
            <w:pPr>
              <w:pStyle w:val="CeldaAPA"/>
              <w:jc w:val="center"/>
            </w:pPr>
            <w:r>
              <w:rPr/>
              <w:t xml:space="preserve">0,5</w:t>
            </w:r>
          </w:p>
        </w:tc>
        <w:tc>
          <w:tcPr>
            <w:tcW w:w="2282" w:type="dxa"/>
          </w:tcPr>
          <w:p>
            <w:pPr>
              <w:pStyle w:val="CeldaAPA"/>
              <w:jc w:val="left"/>
            </w:pPr>
            <w:r>
              <w:rPr/>
              <w:t xml:space="preserve">—</w:t>
            </w:r>
          </w:p>
        </w:tc>
      </w:tr>
      <w:tr>
        <w:tc>
          <w:tcPr>
            <w:tcW w:w="1251" w:type="dxa"/>
          </w:tcPr>
          <w:p>
            <w:pPr>
              <w:pStyle w:val="CeldaAPA"/>
              <w:jc w:val="left"/>
            </w:pPr>
            <w:r>
              <w:rPr/>
              <w:t xml:space="preserve">9.1.3</w:t>
            </w:r>
          </w:p>
        </w:tc>
        <w:tc>
          <w:tcPr>
            <w:tcW w:w="2203" w:type="dxa"/>
          </w:tcPr>
          <w:p>
            <w:pPr>
              <w:pStyle w:val="CeldaAPA"/>
              <w:jc w:val="left"/>
            </w:pPr>
            <w:r>
              <w:rPr/>
              <w:t xml:space="preserve">Analizar y evaluar los datos (conformidad, desempeño de proveedores, eficacia de las acciones).</w:t>
            </w:r>
          </w:p>
        </w:tc>
        <w:tc>
          <w:tcPr>
            <w:tcW w:w="2707" w:type="dxa"/>
          </w:tcPr>
          <w:p>
            <w:pPr>
              <w:pStyle w:val="CeldaAPA"/>
              <w:jc w:val="left"/>
            </w:pPr>
            <w:r>
              <w:rPr/>
              <w:t xml:space="preserve">Sin evidencia; el desfase del periodo se calculó mal: 3,03 % en lugar de 1,07 % (PAO2, p. 10).</w:t>
            </w:r>
          </w:p>
        </w:tc>
        <w:tc>
          <w:tcPr>
            <w:tcW w:w="916" w:type="dxa"/>
          </w:tcPr>
          <w:p>
            <w:pPr>
              <w:pStyle w:val="CeldaAPA"/>
              <w:jc w:val="center"/>
            </w:pPr>
            <w:r>
              <w:rPr/>
              <w:t xml:space="preserve">0</w:t>
            </w:r>
          </w:p>
        </w:tc>
        <w:tc>
          <w:tcPr>
            <w:tcW w:w="2282" w:type="dxa"/>
          </w:tcPr>
          <w:p>
            <w:pPr>
              <w:pStyle w:val="CeldaAPA"/>
              <w:jc w:val="left"/>
            </w:pPr>
            <w:r>
              <w:rPr/>
              <w:t xml:space="preserve">—</w:t>
            </w:r>
          </w:p>
        </w:tc>
      </w:tr>
      <w:tr>
        <w:tc>
          <w:tcPr>
            <w:tcW w:w="1251" w:type="dxa"/>
          </w:tcPr>
          <w:p>
            <w:pPr>
              <w:pStyle w:val="CeldaAPA"/>
              <w:jc w:val="left"/>
            </w:pPr>
            <w:r>
              <w:rPr/>
              <w:t xml:space="preserve">9.2</w:t>
            </w:r>
          </w:p>
        </w:tc>
        <w:tc>
          <w:tcPr>
            <w:tcW w:w="2203" w:type="dxa"/>
          </w:tcPr>
          <w:p>
            <w:pPr>
              <w:pStyle w:val="CeldaAPA"/>
              <w:jc w:val="left"/>
            </w:pPr>
            <w:r>
              <w:rPr/>
              <w:t xml:space="preserve">Realizar auditorías internas planificadas.</w:t>
            </w:r>
          </w:p>
        </w:tc>
        <w:tc>
          <w:tcPr>
            <w:tcW w:w="2707" w:type="dxa"/>
          </w:tcPr>
          <w:p>
            <w:pPr>
              <w:pStyle w:val="CeldaAPA"/>
              <w:jc w:val="left"/>
            </w:pPr>
            <w:r>
              <w:rPr/>
              <w:t xml:space="preserve">No se encontraron.</w:t>
            </w:r>
          </w:p>
        </w:tc>
        <w:tc>
          <w:tcPr>
            <w:tcW w:w="916" w:type="dxa"/>
          </w:tcPr>
          <w:p>
            <w:pPr>
              <w:pStyle w:val="CeldaAPA"/>
              <w:jc w:val="center"/>
            </w:pPr>
            <w:r>
              <w:rPr/>
              <w:t xml:space="preserve">0</w:t>
            </w:r>
          </w:p>
        </w:tc>
        <w:tc>
          <w:tcPr>
            <w:tcW w:w="2282" w:type="dxa"/>
          </w:tcPr>
          <w:p>
            <w:pPr>
              <w:pStyle w:val="CeldaAPA"/>
              <w:jc w:val="left"/>
            </w:pPr>
            <w:r>
              <w:rPr/>
              <w:t xml:space="preserve">—</w:t>
            </w:r>
          </w:p>
        </w:tc>
      </w:tr>
      <w:tr>
        <w:tc>
          <w:tcPr>
            <w:tcW w:w="1251" w:type="dxa"/>
          </w:tcPr>
          <w:p>
            <w:pPr>
              <w:pStyle w:val="CeldaAPA"/>
              <w:jc w:val="left"/>
            </w:pPr>
            <w:r>
              <w:rPr/>
              <w:t xml:space="preserve">9.3</w:t>
            </w:r>
          </w:p>
        </w:tc>
        <w:tc>
          <w:tcPr>
            <w:tcW w:w="2203" w:type="dxa"/>
          </w:tcPr>
          <w:p>
            <w:pPr>
              <w:pStyle w:val="CeldaAPA"/>
              <w:jc w:val="left"/>
            </w:pPr>
            <w:r>
              <w:rPr/>
              <w:t xml:space="preserve">Revisar el sistema por la dirección a intervalos planificados.</w:t>
            </w:r>
          </w:p>
        </w:tc>
        <w:tc>
          <w:tcPr>
            <w:tcW w:w="2707" w:type="dxa"/>
          </w:tcPr>
          <w:p>
            <w:pPr>
              <w:pStyle w:val="CeldaAPA"/>
              <w:jc w:val="left"/>
            </w:pPr>
            <w:r>
              <w:rPr/>
              <w:t xml:space="preserve">No se encontró.</w:t>
            </w:r>
          </w:p>
        </w:tc>
        <w:tc>
          <w:tcPr>
            <w:tcW w:w="916" w:type="dxa"/>
          </w:tcPr>
          <w:p>
            <w:pPr>
              <w:pStyle w:val="CeldaAPA"/>
              <w:jc w:val="center"/>
            </w:pPr>
            <w:r>
              <w:rPr/>
              <w:t xml:space="preserve">0</w:t>
            </w:r>
          </w:p>
        </w:tc>
        <w:tc>
          <w:tcPr>
            <w:tcW w:w="2282" w:type="dxa"/>
          </w:tcPr>
          <w:p>
            <w:pPr>
              <w:pStyle w:val="CeldaAPA"/>
              <w:jc w:val="left"/>
            </w:pPr>
            <w:r>
              <w:rPr/>
              <w:t xml:space="preserve">—</w:t>
            </w:r>
          </w:p>
        </w:tc>
      </w:tr>
      <w:tr>
        <w:tc>
          <w:tcPr>
            <w:tcW w:w="9359" w:type="dxa"/>
            <w:gridSpan w:val="5"/>
          </w:tcPr>
          <w:p>
            <w:pPr>
              <w:pStyle w:val="CeldaAPA"/>
              <w:jc w:val="left"/>
            </w:pPr>
            <w:r>
              <w:rPr>
                <w:bCs/>
                <w:b/>
              </w:rPr>
              <w:t xml:space="preserve">10. Mejora</w:t>
            </w:r>
          </w:p>
        </w:tc>
      </w:tr>
      <w:tr>
        <w:tc>
          <w:tcPr>
            <w:tcW w:w="1251" w:type="dxa"/>
          </w:tcPr>
          <w:p>
            <w:pPr>
              <w:pStyle w:val="CeldaAPA"/>
              <w:jc w:val="left"/>
            </w:pPr>
            <w:r>
              <w:rPr/>
              <w:t xml:space="preserve">10.1</w:t>
            </w:r>
          </w:p>
        </w:tc>
        <w:tc>
          <w:tcPr>
            <w:tcW w:w="2203" w:type="dxa"/>
          </w:tcPr>
          <w:p>
            <w:pPr>
              <w:pStyle w:val="CeldaAPA"/>
              <w:jc w:val="left"/>
            </w:pPr>
            <w:r>
              <w:rPr/>
              <w:t xml:space="preserve">Determinar y aplicar oportunidades de mejora.</w:t>
            </w:r>
          </w:p>
        </w:tc>
        <w:tc>
          <w:tcPr>
            <w:tcW w:w="2707" w:type="dxa"/>
          </w:tcPr>
          <w:p>
            <w:pPr>
              <w:pStyle w:val="CeldaAPA"/>
              <w:jc w:val="left"/>
            </w:pPr>
            <w:r>
              <w:rPr/>
              <w:t xml:space="preserve">La Supervisión recomendó presentar las garantías de los materiales, romper probetas y presentar dosificaciones (PAO2, p. 9); no consta que se atendieran en la losa (p. 78).</w:t>
            </w:r>
          </w:p>
        </w:tc>
        <w:tc>
          <w:tcPr>
            <w:tcW w:w="916" w:type="dxa"/>
          </w:tcPr>
          <w:p>
            <w:pPr>
              <w:pStyle w:val="CeldaAPA"/>
              <w:jc w:val="center"/>
            </w:pPr>
            <w:r>
              <w:rPr/>
              <w:t xml:space="preserve">0</w:t>
            </w:r>
          </w:p>
        </w:tc>
        <w:tc>
          <w:tcPr>
            <w:tcW w:w="2282" w:type="dxa"/>
          </w:tcPr>
          <w:p>
            <w:pPr>
              <w:pStyle w:val="CeldaAPA"/>
              <w:jc w:val="left"/>
            </w:pPr>
            <w:r>
              <w:rPr/>
              <w:t xml:space="preserve">—</w:t>
            </w:r>
          </w:p>
        </w:tc>
      </w:tr>
      <w:tr>
        <w:tc>
          <w:tcPr>
            <w:tcW w:w="1251" w:type="dxa"/>
          </w:tcPr>
          <w:p>
            <w:pPr>
              <w:pStyle w:val="CeldaAPA"/>
              <w:jc w:val="left"/>
            </w:pPr>
            <w:r>
              <w:rPr/>
              <w:t xml:space="preserve">10.2.1 a</w:t>
            </w:r>
          </w:p>
        </w:tc>
        <w:tc>
          <w:tcPr>
            <w:tcW w:w="2203" w:type="dxa"/>
          </w:tcPr>
          <w:p>
            <w:pPr>
              <w:pStyle w:val="CeldaAPA"/>
              <w:jc w:val="left"/>
            </w:pPr>
            <w:r>
              <w:rPr/>
              <w:t xml:space="preserve">Reaccionar ante las no conformidades: controlarlas, corregirlas y asumir sus consecuencias.</w:t>
            </w:r>
          </w:p>
        </w:tc>
        <w:tc>
          <w:tcPr>
            <w:tcW w:w="2707" w:type="dxa"/>
          </w:tcPr>
          <w:p>
            <w:pPr>
              <w:pStyle w:val="CeldaAPA"/>
              <w:jc w:val="left"/>
            </w:pPr>
            <w:r>
              <w:rPr/>
              <w:t xml:space="preserve">Se corrigieron cantidades después de pagadas: ítem 4,</w:t>
            </w:r>
            <w:r>
              <w:rPr/>
              <w:t xml:space="preserve"> </w:t>
            </w:r>
            <m:oMath>
              <m:r>
                <m:rPr>
                  <m:sty m:val="p"/>
                </m:rPr>
                <m:t>−</m:t>
              </m:r>
            </m:oMath>
            <w:r>
              <w:rPr/>
              <w:t xml:space="preserve">5,66 m</w:t>
            </w:r>
            <w:r>
              <w:rPr>
                <w:vertAlign w:val="superscript"/>
              </w:rPr>
              <w:t xml:space="preserve">3</w:t>
            </w:r>
            <w:r>
              <w:rPr/>
              <w:t xml:space="preserve"> </w:t>
            </w:r>
            <w:r>
              <w:rPr/>
              <w:t xml:space="preserve">(PAO2, pp. 16, 18); acero,</w:t>
            </w:r>
            <w:r>
              <w:rPr/>
              <w:t xml:space="preserve"> </w:t>
            </w:r>
            <m:oMath>
              <m:r>
                <m:rPr>
                  <m:sty m:val="p"/>
                </m:rPr>
                <m:t>−</m:t>
              </m:r>
            </m:oMath>
            <w:r>
              <w:rPr/>
              <w:t xml:space="preserve">1.862,81 kg en la planilla de cierre (Exp., p. 2).</w:t>
            </w:r>
          </w:p>
        </w:tc>
        <w:tc>
          <w:tcPr>
            <w:tcW w:w="916" w:type="dxa"/>
          </w:tcPr>
          <w:p>
            <w:pPr>
              <w:pStyle w:val="CeldaAPA"/>
              <w:jc w:val="center"/>
            </w:pPr>
            <w:r>
              <w:rPr/>
              <w:t xml:space="preserve">0,5</w:t>
            </w:r>
          </w:p>
        </w:tc>
        <w:tc>
          <w:tcPr>
            <w:tcW w:w="2282" w:type="dxa"/>
          </w:tcPr>
          <w:p>
            <w:pPr>
              <w:pStyle w:val="CeldaAPA"/>
              <w:jc w:val="left"/>
            </w:pPr>
            <w:r>
              <w:rPr/>
              <w:t xml:space="preserve">Correcciones de medición, sin análisis.</w:t>
            </w:r>
          </w:p>
        </w:tc>
      </w:tr>
      <w:tr>
        <w:tc>
          <w:tcPr>
            <w:tcW w:w="1251" w:type="dxa"/>
          </w:tcPr>
          <w:p>
            <w:pPr>
              <w:pStyle w:val="CeldaAPA"/>
              <w:jc w:val="left"/>
            </w:pPr>
            <w:r>
              <w:rPr/>
              <w:t xml:space="preserve">10.2.1 b</w:t>
            </w:r>
          </w:p>
        </w:tc>
        <w:tc>
          <w:tcPr>
            <w:tcW w:w="2203" w:type="dxa"/>
          </w:tcPr>
          <w:p>
            <w:pPr>
              <w:pStyle w:val="CeldaAPA"/>
              <w:jc w:val="left"/>
            </w:pPr>
            <w:r>
              <w:rPr/>
              <w:t xml:space="preserve">Analizar las causas, implementar acciones correctivas y verificar su eficacia.</w:t>
            </w:r>
          </w:p>
        </w:tc>
        <w:tc>
          <w:tcPr>
            <w:tcW w:w="2707" w:type="dxa"/>
          </w:tcPr>
          <w:p>
            <w:pPr>
              <w:pStyle w:val="CeldaAPA"/>
              <w:jc w:val="left"/>
            </w:pPr>
            <w:r>
              <w:rPr/>
              <w:t xml:space="preserve">Sin evidencia de análisis de causas ni de acciones correctivas.</w:t>
            </w:r>
          </w:p>
        </w:tc>
        <w:tc>
          <w:tcPr>
            <w:tcW w:w="916" w:type="dxa"/>
          </w:tcPr>
          <w:p>
            <w:pPr>
              <w:pStyle w:val="CeldaAPA"/>
              <w:jc w:val="center"/>
            </w:pPr>
            <w:r>
              <w:rPr/>
              <w:t xml:space="preserve">0</w:t>
            </w:r>
          </w:p>
        </w:tc>
        <w:tc>
          <w:tcPr>
            <w:tcW w:w="2282" w:type="dxa"/>
          </w:tcPr>
          <w:p>
            <w:pPr>
              <w:pStyle w:val="CeldaAPA"/>
              <w:jc w:val="left"/>
            </w:pPr>
            <w:r>
              <w:rPr/>
              <w:t xml:space="preserve">—</w:t>
            </w:r>
          </w:p>
        </w:tc>
      </w:tr>
      <w:tr>
        <w:tc>
          <w:tcPr>
            <w:tcW w:w="1251" w:type="dxa"/>
          </w:tcPr>
          <w:p>
            <w:pPr>
              <w:pStyle w:val="CeldaAPA"/>
              <w:jc w:val="left"/>
            </w:pPr>
            <w:r>
              <w:rPr/>
              <w:t xml:space="preserve">10.2.2</w:t>
            </w:r>
          </w:p>
        </w:tc>
        <w:tc>
          <w:tcPr>
            <w:tcW w:w="2203" w:type="dxa"/>
          </w:tcPr>
          <w:p>
            <w:pPr>
              <w:pStyle w:val="CeldaAPA"/>
              <w:jc w:val="left"/>
            </w:pPr>
            <w:r>
              <w:rPr/>
              <w:t xml:space="preserve">Conservar información documentada de las no conformidades y de las acciones tomadas.</w:t>
            </w:r>
          </w:p>
        </w:tc>
        <w:tc>
          <w:tcPr>
            <w:tcW w:w="2707" w:type="dxa"/>
          </w:tcPr>
          <w:p>
            <w:pPr>
              <w:pStyle w:val="CeldaAPA"/>
              <w:jc w:val="left"/>
            </w:pPr>
            <w:r>
              <w:rPr/>
              <w:t xml:space="preserve">No hay registro de no conformidades.</w:t>
            </w:r>
          </w:p>
        </w:tc>
        <w:tc>
          <w:tcPr>
            <w:tcW w:w="916" w:type="dxa"/>
          </w:tcPr>
          <w:p>
            <w:pPr>
              <w:pStyle w:val="CeldaAPA"/>
              <w:jc w:val="center"/>
            </w:pPr>
            <w:r>
              <w:rPr/>
              <w:t xml:space="preserve">0</w:t>
            </w:r>
          </w:p>
        </w:tc>
        <w:tc>
          <w:tcPr>
            <w:tcW w:w="2282" w:type="dxa"/>
          </w:tcPr>
          <w:p>
            <w:pPr>
              <w:pStyle w:val="CeldaAPA"/>
              <w:jc w:val="left"/>
            </w:pPr>
            <w:r>
              <w:rPr/>
              <w:t xml:space="preserve">—</w:t>
            </w:r>
          </w:p>
        </w:tc>
      </w:tr>
      <w:tr>
        <w:tc>
          <w:tcPr>
            <w:tcW w:w="1251" w:type="dxa"/>
            <w:tcBorders>
              <w:bottom w:val="single" w:sz="8" w:space="0" w:color="000000"/>
            </w:tcBorders>
          </w:tcPr>
          <w:p>
            <w:pPr>
              <w:pStyle w:val="CeldaAPA"/>
              <w:jc w:val="left"/>
            </w:pPr>
            <w:r>
              <w:rPr/>
              <w:t xml:space="preserve">10.3</w:t>
            </w:r>
          </w:p>
        </w:tc>
        <w:tc>
          <w:tcPr>
            <w:tcW w:w="2203" w:type="dxa"/>
            <w:tcBorders>
              <w:bottom w:val="single" w:sz="8" w:space="0" w:color="000000"/>
            </w:tcBorders>
          </w:tcPr>
          <w:p>
            <w:pPr>
              <w:pStyle w:val="CeldaAPA"/>
              <w:jc w:val="left"/>
            </w:pPr>
            <w:r>
              <w:rPr/>
              <w:t xml:space="preserve">Mejorar continuamente la conveniencia, adecuación y eficacia del sistema.</w:t>
            </w:r>
          </w:p>
        </w:tc>
        <w:tc>
          <w:tcPr>
            <w:tcW w:w="2707" w:type="dxa"/>
            <w:tcBorders>
              <w:bottom w:val="single" w:sz="8" w:space="0" w:color="000000"/>
            </w:tcBorders>
          </w:tcPr>
          <w:p>
            <w:pPr>
              <w:pStyle w:val="CeldaAPA"/>
              <w:jc w:val="left"/>
            </w:pPr>
            <w:r>
              <w:rPr/>
              <w:t xml:space="preserve">No se encontró.</w:t>
            </w:r>
          </w:p>
        </w:tc>
        <w:tc>
          <w:tcPr>
            <w:tcW w:w="916" w:type="dxa"/>
            <w:tcBorders>
              <w:bottom w:val="single" w:sz="8" w:space="0" w:color="000000"/>
            </w:tcBorders>
          </w:tcPr>
          <w:p>
            <w:pPr>
              <w:pStyle w:val="CeldaAPA"/>
              <w:jc w:val="center"/>
            </w:pPr>
            <w:r>
              <w:rPr/>
              <w:t xml:space="preserve">0</w:t>
            </w:r>
          </w:p>
        </w:tc>
        <w:tc>
          <w:tcPr>
            <w:tcW w:w="2282" w:type="dxa"/>
            <w:tcBorders>
              <w:bottom w:val="single" w:sz="8" w:space="0" w:color="000000"/>
            </w:tcBorders>
          </w:tcPr>
          <w:p>
            <w:pPr>
              <w:pStyle w:val="CeldaAPA"/>
              <w:jc w:val="left"/>
            </w:pPr>
            <w:r>
              <w:rPr/>
              <w:t xml:space="preserve">—</w:t>
            </w:r>
          </w:p>
        </w:tc>
      </w:tr>
    </w:tbl>
    <w:p>
      <w:pPr>
        <w:pStyle w:val="NotaAPA"/>
      </w:pPr>
      <w:r>
        <w:rPr>
          <w:iCs/>
          <w:i/>
        </w:rPr>
        <w:t xml:space="preserve">Nota.</w:t>
      </w:r>
      <w:r>
        <w:t xml:space="preserve"> </w:t>
      </w:r>
      <w:r>
        <w:t xml:space="preserve">Elaboración propia. Fuentes: PAO2 =</w:t>
      </w:r>
      <w:r>
        <w:t xml:space="preserve"> </w:t>
      </w:r>
      <w:r>
        <w:t xml:space="preserve">UATF (2025)</w:t>
      </w:r>
      <w:r>
        <w:t xml:space="preserve"> </w:t>
      </w:r>
      <w:r>
        <w:t xml:space="preserve">(página del archivo PDF; incluye el contrato, el Libro de Órdenes y los certificados); PAO3 =</w:t>
      </w:r>
      <w:r>
        <w:t xml:space="preserve"> </w:t>
      </w:r>
      <w:r>
        <w:t xml:space="preserve">UATF (s. f.-c)</w:t>
      </w:r>
      <w:r>
        <w:t xml:space="preserve"> </w:t>
      </w:r>
      <w:r>
        <w:t xml:space="preserve">(archivo de planilla y cómputos de cierre); Exp. =</w:t>
      </w:r>
      <w:r>
        <w:t xml:space="preserve"> </w:t>
      </w:r>
      <w:r>
        <w:t xml:space="preserve">UATF (s. f.-b)</w:t>
      </w:r>
      <w:r>
        <w:t xml:space="preserve"> </w:t>
      </w:r>
      <w:r>
        <w:t xml:space="preserve">(página del archivo PDF); ET =</w:t>
      </w:r>
      <w:r>
        <w:t xml:space="preserve"> </w:t>
      </w:r>
      <w:r>
        <w:t xml:space="preserve">UATF (s. f.-a)</w:t>
      </w:r>
      <w:r>
        <w:t xml:space="preserve">; Plano 02 = sección y detalles de la losa</w:t>
      </w:r>
      <w:r>
        <w:t xml:space="preserve"> </w:t>
      </w:r>
      <w:r>
        <w:t xml:space="preserve">(UATF, s. f.-d)</w:t>
      </w:r>
      <w:r>
        <w:t xml:space="preserve">. Calificación: 1 = cumple; 0,5 = cumple parcialmente; 0 = no cumple o sin evidencia; NA = no aplica. ACI 318-25 =</w:t>
      </w:r>
      <w:r>
        <w:t xml:space="preserve"> </w:t>
      </w:r>
      <w:r>
        <w:t xml:space="preserve">ACI Committee 318 (2025)</w:t>
      </w:r>
      <w:r>
        <w:t xml:space="preserve">.</w:t>
      </w:r>
    </w:p>
    <w:p>
      <w:pPr>
        <w:pStyle w:val="BodyText"/>
      </w:pPr>
      <w:r>
        <w:rPr>
          <w:bCs/>
          <w:b/>
        </w:rPr>
        <w:t xml:space="preserve">Resumen por cláusula.</w:t>
      </w:r>
      <w:r>
        <w:t xml:space="preserve"> </w:t>
      </w:r>
      <w:r>
        <w:t xml:space="preserve">La Tabla 49 resume la aplicación. Ningún requisito alcanzó la calificación de cumplimiento pleno: 19 se cumplieron parcialmente y 29 no se cumplieron, de un total de 48 requisitos aplicables.</w:t>
      </w:r>
    </w:p>
    <w:p>
      <w:pPr>
        <w:pStyle w:val="Caption"/>
      </w:pPr>
      <w:bookmarkStart w:id="1451" w:name="tab49"/>
      <w:r>
        <w:t xml:space="preserve"/>
      </w:r>
      <w:r>
        <w:rPr>
          <w:bCs/>
          <w:b/>
        </w:rPr>
        <w:t xml:space="preserve">Tabla 49</w:t>
      </w:r>
      <w:r>
        <w:br/>
      </w:r>
      <w:r>
        <w:rPr>
          <w:iCs/>
          <w:i/>
        </w:rPr>
        <w:t xml:space="preserve">Resumen de la lista de verificación C.1 por cláusula</w:t>
      </w:r>
      <w:bookmarkEnd w:id="1451"/>
    </w:p>
    <w:tbl>
      <w:tblPr>
        <w:tblStyle w:val="Table"/>
        <w:tblW w:w="10180" w:type="dxa"/>
        <w:jc w:val="left"/>
        <w:tblLayout w:type="fixed"/>
        <w:tblCellMar>
          <w:top w:w="0" w:type="dxa"/>
          <w:left w:w="85" w:type="dxa"/>
          <w:bottom w:w="0" w:type="dxa"/>
          <w:right w:w="85" w:type="dxa"/>
        </w:tblCellMar>
        <w:tblLook w:firstRow="1" w:lastRow="0" w:firstColumn="0" w:lastColumn="0" w:noHBand="0" w:noVBand="0" w:val="0020"/>
      </w:tblPr>
      <w:tblGrid>
        <w:gridCol w:w="1708"/>
        <w:gridCol w:w="1418"/>
        <w:gridCol w:w="650"/>
        <w:gridCol w:w="1151"/>
        <w:gridCol w:w="1116"/>
        <w:gridCol w:w="1097"/>
        <w:gridCol w:w="1167"/>
        <w:gridCol w:w="1873"/>
      </w:tblGrid>
      <w:tr>
        <w:trPr>
          <w:cantSplit/>
          <w:tblHeader w:val="true"/>
        </w:trPr>
        <w:tc>
          <w:tcPr>
            <w:tcW w:w="1708" w:type="dxa"/>
            <w:tcBorders>
              <w:top w:val="single" w:sz="8" w:space="0" w:color="000000"/>
              <w:bottom w:val="single" w:sz="4" w:space="0" w:color="000000"/>
            </w:tcBorders>
          </w:tcPr>
          <w:p>
            <w:pPr>
              <w:pStyle w:val="CeldaAPA"/>
              <w:jc w:val="center"/>
            </w:pPr>
            <w:r>
              <w:rPr>
                <w:bCs/>
                <w:b/>
              </w:rPr>
              <w:t xml:space="preserve">Cláusula</w:t>
            </w:r>
          </w:p>
        </w:tc>
        <w:tc>
          <w:tcPr>
            <w:tcW w:w="1418" w:type="dxa"/>
            <w:tcBorders>
              <w:top w:val="single" w:sz="8" w:space="0" w:color="000000"/>
              <w:bottom w:val="single" w:sz="4" w:space="0" w:color="000000"/>
            </w:tcBorders>
          </w:tcPr>
          <w:p>
            <w:pPr>
              <w:pStyle w:val="CeldaAPA"/>
              <w:jc w:val="center"/>
            </w:pPr>
            <w:r>
              <w:rPr>
                <w:bCs/>
                <w:b/>
              </w:rPr>
              <w:t xml:space="preserve">Requisitos aplicables</w:t>
            </w:r>
          </w:p>
        </w:tc>
        <w:tc>
          <w:tcPr>
            <w:tcW w:w="650" w:type="dxa"/>
            <w:tcBorders>
              <w:top w:val="single" w:sz="8" w:space="0" w:color="000000"/>
              <w:bottom w:val="single" w:sz="4" w:space="0" w:color="000000"/>
            </w:tcBorders>
          </w:tcPr>
          <w:p>
            <w:pPr>
              <w:pStyle w:val="CeldaAPA"/>
              <w:jc w:val="center"/>
            </w:pPr>
            <w:r>
              <w:rPr>
                <w:bCs/>
                <w:b/>
              </w:rPr>
              <w:t xml:space="preserve">NA</w:t>
            </w:r>
          </w:p>
        </w:tc>
        <w:tc>
          <w:tcPr>
            <w:tcW w:w="1151" w:type="dxa"/>
            <w:tcBorders>
              <w:top w:val="single" w:sz="8" w:space="0" w:color="000000"/>
              <w:bottom w:val="single" w:sz="4" w:space="0" w:color="000000"/>
            </w:tcBorders>
          </w:tcPr>
          <w:p>
            <w:pPr>
              <w:pStyle w:val="CeldaAPA"/>
              <w:jc w:val="center"/>
            </w:pPr>
            <w:r>
              <w:rPr>
                <w:bCs/>
                <w:b/>
              </w:rPr>
              <w:t xml:space="preserve">Cumple (1)</w:t>
            </w:r>
          </w:p>
        </w:tc>
        <w:tc>
          <w:tcPr>
            <w:tcW w:w="1116" w:type="dxa"/>
            <w:tcBorders>
              <w:top w:val="single" w:sz="8" w:space="0" w:color="000000"/>
              <w:bottom w:val="single" w:sz="4" w:space="0" w:color="000000"/>
            </w:tcBorders>
          </w:tcPr>
          <w:p>
            <w:pPr>
              <w:pStyle w:val="CeldaAPA"/>
              <w:jc w:val="center"/>
            </w:pPr>
            <w:r>
              <w:rPr>
                <w:bCs/>
                <w:b/>
              </w:rPr>
              <w:t xml:space="preserve">Parcial (0,5)</w:t>
            </w:r>
          </w:p>
        </w:tc>
        <w:tc>
          <w:tcPr>
            <w:tcW w:w="1097" w:type="dxa"/>
            <w:tcBorders>
              <w:top w:val="single" w:sz="8" w:space="0" w:color="000000"/>
              <w:bottom w:val="single" w:sz="4" w:space="0" w:color="000000"/>
            </w:tcBorders>
          </w:tcPr>
          <w:p>
            <w:pPr>
              <w:pStyle w:val="CeldaAPA"/>
              <w:jc w:val="center"/>
            </w:pPr>
            <w:r>
              <w:rPr>
                <w:bCs/>
                <w:b/>
              </w:rPr>
              <w:t xml:space="preserve">No cumple (0)</w:t>
            </w:r>
          </w:p>
        </w:tc>
        <w:tc>
          <w:tcPr>
            <w:tcW w:w="1167" w:type="dxa"/>
            <w:tcBorders>
              <w:top w:val="single" w:sz="8" w:space="0" w:color="000000"/>
              <w:bottom w:val="single" w:sz="4" w:space="0" w:color="000000"/>
            </w:tcBorders>
          </w:tcPr>
          <w:p>
            <w:pPr>
              <w:pStyle w:val="CeldaAPA"/>
              <w:jc w:val="center"/>
            </w:pPr>
            <w:r>
              <w:rPr>
                <w:bCs/>
                <w:b/>
              </w:rPr>
              <w:t xml:space="preserve">Puntaje</w:t>
            </w:r>
          </w:p>
        </w:tc>
        <w:tc>
          <w:tcPr>
            <w:tcW w:w="1873" w:type="dxa"/>
            <w:tcBorders>
              <w:top w:val="single" w:sz="8" w:space="0" w:color="000000"/>
              <w:bottom w:val="single" w:sz="4" w:space="0" w:color="000000"/>
            </w:tcBorders>
          </w:tcPr>
          <w:p>
            <w:pPr>
              <w:pStyle w:val="CeldaAPA"/>
              <w:jc w:val="center"/>
            </w:pPr>
            <w:r>
              <w:rPr>
                <w:bCs/>
                <w:b/>
              </w:rPr>
              <w:t xml:space="preserve">Cumplimiento</w:t>
            </w:r>
          </w:p>
        </w:tc>
      </w:tr>
      <w:tr>
        <w:tc>
          <w:tcPr>
            <w:tcW w:w="1708" w:type="dxa"/>
          </w:tcPr>
          <w:p>
            <w:pPr>
              <w:pStyle w:val="CeldaAPA"/>
              <w:jc w:val="left"/>
            </w:pPr>
            <w:r>
              <w:rPr/>
              <w:t xml:space="preserve">4. Contexto de la organización</w:t>
            </w:r>
          </w:p>
        </w:tc>
        <w:tc>
          <w:tcPr>
            <w:tcW w:w="1418" w:type="dxa"/>
          </w:tcPr>
          <w:p>
            <w:pPr>
              <w:pStyle w:val="CeldaAPA"/>
              <w:jc w:val="center"/>
            </w:pPr>
            <w:r>
              <w:rPr/>
              <w:t xml:space="preserve">4</w:t>
            </w:r>
          </w:p>
        </w:tc>
        <w:tc>
          <w:tcPr>
            <w:tcW w:w="650" w:type="dxa"/>
          </w:tcPr>
          <w:p>
            <w:pPr>
              <w:pStyle w:val="CeldaAPA"/>
              <w:jc w:val="center"/>
            </w:pPr>
            <w:r>
              <w:rPr/>
              <w:t xml:space="preserve">0</w:t>
            </w:r>
          </w:p>
        </w:tc>
        <w:tc>
          <w:tcPr>
            <w:tcW w:w="1151" w:type="dxa"/>
          </w:tcPr>
          <w:p>
            <w:pPr>
              <w:pStyle w:val="CeldaAPA"/>
              <w:jc w:val="center"/>
            </w:pPr>
            <w:r>
              <w:rPr/>
              <w:t xml:space="preserve">0</w:t>
            </w:r>
          </w:p>
        </w:tc>
        <w:tc>
          <w:tcPr>
            <w:tcW w:w="1116" w:type="dxa"/>
          </w:tcPr>
          <w:p>
            <w:pPr>
              <w:pStyle w:val="CeldaAPA"/>
              <w:jc w:val="center"/>
            </w:pPr>
            <w:r>
              <w:rPr/>
              <w:t xml:space="preserve">2</w:t>
            </w:r>
          </w:p>
        </w:tc>
        <w:tc>
          <w:tcPr>
            <w:tcW w:w="1097" w:type="dxa"/>
          </w:tcPr>
          <w:p>
            <w:pPr>
              <w:pStyle w:val="CeldaAPA"/>
              <w:jc w:val="center"/>
            </w:pPr>
            <w:r>
              <w:rPr/>
              <w:t xml:space="preserve">2</w:t>
            </w:r>
          </w:p>
        </w:tc>
        <w:tc>
          <w:tcPr>
            <w:tcW w:w="1167" w:type="dxa"/>
          </w:tcPr>
          <w:p>
            <w:pPr>
              <w:pStyle w:val="CeldaAPA"/>
              <w:jc w:val="center"/>
            </w:pPr>
            <w:r>
              <w:rPr/>
              <w:t xml:space="preserve">1,0</w:t>
            </w:r>
          </w:p>
        </w:tc>
        <w:tc>
          <w:tcPr>
            <w:tcW w:w="1873" w:type="dxa"/>
          </w:tcPr>
          <w:p>
            <w:pPr>
              <w:pStyle w:val="CeldaAPA"/>
              <w:jc w:val="center"/>
            </w:pPr>
            <w:r>
              <w:rPr/>
              <w:t xml:space="preserve">25,0 %</w:t>
            </w:r>
          </w:p>
        </w:tc>
      </w:tr>
      <w:tr>
        <w:tc>
          <w:tcPr>
            <w:tcW w:w="1708" w:type="dxa"/>
          </w:tcPr>
          <w:p>
            <w:pPr>
              <w:pStyle w:val="CeldaAPA"/>
              <w:jc w:val="left"/>
            </w:pPr>
            <w:r>
              <w:rPr/>
              <w:t xml:space="preserve">5. Liderazgo</w:t>
            </w:r>
          </w:p>
        </w:tc>
        <w:tc>
          <w:tcPr>
            <w:tcW w:w="1418" w:type="dxa"/>
          </w:tcPr>
          <w:p>
            <w:pPr>
              <w:pStyle w:val="CeldaAPA"/>
              <w:jc w:val="center"/>
            </w:pPr>
            <w:r>
              <w:rPr/>
              <w:t xml:space="preserve">5</w:t>
            </w:r>
          </w:p>
        </w:tc>
        <w:tc>
          <w:tcPr>
            <w:tcW w:w="650" w:type="dxa"/>
          </w:tcPr>
          <w:p>
            <w:pPr>
              <w:pStyle w:val="CeldaAPA"/>
              <w:jc w:val="center"/>
            </w:pPr>
            <w:r>
              <w:rPr/>
              <w:t xml:space="preserve">0</w:t>
            </w:r>
          </w:p>
        </w:tc>
        <w:tc>
          <w:tcPr>
            <w:tcW w:w="1151" w:type="dxa"/>
          </w:tcPr>
          <w:p>
            <w:pPr>
              <w:pStyle w:val="CeldaAPA"/>
              <w:jc w:val="center"/>
            </w:pPr>
            <w:r>
              <w:rPr/>
              <w:t xml:space="preserve">0</w:t>
            </w:r>
          </w:p>
        </w:tc>
        <w:tc>
          <w:tcPr>
            <w:tcW w:w="1116" w:type="dxa"/>
          </w:tcPr>
          <w:p>
            <w:pPr>
              <w:pStyle w:val="CeldaAPA"/>
              <w:jc w:val="center"/>
            </w:pPr>
            <w:r>
              <w:rPr/>
              <w:t xml:space="preserve">2</w:t>
            </w:r>
          </w:p>
        </w:tc>
        <w:tc>
          <w:tcPr>
            <w:tcW w:w="1097" w:type="dxa"/>
          </w:tcPr>
          <w:p>
            <w:pPr>
              <w:pStyle w:val="CeldaAPA"/>
              <w:jc w:val="center"/>
            </w:pPr>
            <w:r>
              <w:rPr/>
              <w:t xml:space="preserve">3</w:t>
            </w:r>
          </w:p>
        </w:tc>
        <w:tc>
          <w:tcPr>
            <w:tcW w:w="1167" w:type="dxa"/>
          </w:tcPr>
          <w:p>
            <w:pPr>
              <w:pStyle w:val="CeldaAPA"/>
              <w:jc w:val="center"/>
            </w:pPr>
            <w:r>
              <w:rPr/>
              <w:t xml:space="preserve">1,0</w:t>
            </w:r>
          </w:p>
        </w:tc>
        <w:tc>
          <w:tcPr>
            <w:tcW w:w="1873" w:type="dxa"/>
          </w:tcPr>
          <w:p>
            <w:pPr>
              <w:pStyle w:val="CeldaAPA"/>
              <w:jc w:val="center"/>
            </w:pPr>
            <w:r>
              <w:rPr/>
              <w:t xml:space="preserve">20,0 %</w:t>
            </w:r>
          </w:p>
        </w:tc>
      </w:tr>
      <w:tr>
        <w:tc>
          <w:tcPr>
            <w:tcW w:w="1708" w:type="dxa"/>
          </w:tcPr>
          <w:p>
            <w:pPr>
              <w:pStyle w:val="CeldaAPA"/>
              <w:jc w:val="left"/>
            </w:pPr>
            <w:r>
              <w:rPr/>
              <w:t xml:space="preserve">6. Planificación</w:t>
            </w:r>
          </w:p>
        </w:tc>
        <w:tc>
          <w:tcPr>
            <w:tcW w:w="1418" w:type="dxa"/>
          </w:tcPr>
          <w:p>
            <w:pPr>
              <w:pStyle w:val="CeldaAPA"/>
              <w:jc w:val="center"/>
            </w:pPr>
            <w:r>
              <w:rPr/>
              <w:t xml:space="preserve">4</w:t>
            </w:r>
          </w:p>
        </w:tc>
        <w:tc>
          <w:tcPr>
            <w:tcW w:w="650" w:type="dxa"/>
          </w:tcPr>
          <w:p>
            <w:pPr>
              <w:pStyle w:val="CeldaAPA"/>
              <w:jc w:val="center"/>
            </w:pPr>
            <w:r>
              <w:rPr/>
              <w:t xml:space="preserve">0</w:t>
            </w:r>
          </w:p>
        </w:tc>
        <w:tc>
          <w:tcPr>
            <w:tcW w:w="1151" w:type="dxa"/>
          </w:tcPr>
          <w:p>
            <w:pPr>
              <w:pStyle w:val="CeldaAPA"/>
              <w:jc w:val="center"/>
            </w:pPr>
            <w:r>
              <w:rPr/>
              <w:t xml:space="preserve">0</w:t>
            </w:r>
          </w:p>
        </w:tc>
        <w:tc>
          <w:tcPr>
            <w:tcW w:w="1116" w:type="dxa"/>
          </w:tcPr>
          <w:p>
            <w:pPr>
              <w:pStyle w:val="CeldaAPA"/>
              <w:jc w:val="center"/>
            </w:pPr>
            <w:r>
              <w:rPr/>
              <w:t xml:space="preserve">1</w:t>
            </w:r>
          </w:p>
        </w:tc>
        <w:tc>
          <w:tcPr>
            <w:tcW w:w="1097" w:type="dxa"/>
          </w:tcPr>
          <w:p>
            <w:pPr>
              <w:pStyle w:val="CeldaAPA"/>
              <w:jc w:val="center"/>
            </w:pPr>
            <w:r>
              <w:rPr/>
              <w:t xml:space="preserve">3</w:t>
            </w:r>
          </w:p>
        </w:tc>
        <w:tc>
          <w:tcPr>
            <w:tcW w:w="1167" w:type="dxa"/>
          </w:tcPr>
          <w:p>
            <w:pPr>
              <w:pStyle w:val="CeldaAPA"/>
              <w:jc w:val="center"/>
            </w:pPr>
            <w:r>
              <w:rPr/>
              <w:t xml:space="preserve">0,5</w:t>
            </w:r>
          </w:p>
        </w:tc>
        <w:tc>
          <w:tcPr>
            <w:tcW w:w="1873" w:type="dxa"/>
          </w:tcPr>
          <w:p>
            <w:pPr>
              <w:pStyle w:val="CeldaAPA"/>
              <w:jc w:val="center"/>
            </w:pPr>
            <w:r>
              <w:rPr/>
              <w:t xml:space="preserve">12,5 %</w:t>
            </w:r>
          </w:p>
        </w:tc>
      </w:tr>
      <w:tr>
        <w:tc>
          <w:tcPr>
            <w:tcW w:w="1708" w:type="dxa"/>
          </w:tcPr>
          <w:p>
            <w:pPr>
              <w:pStyle w:val="CeldaAPA"/>
              <w:jc w:val="left"/>
            </w:pPr>
            <w:r>
              <w:rPr/>
              <w:t xml:space="preserve">7. Apoyo</w:t>
            </w:r>
          </w:p>
        </w:tc>
        <w:tc>
          <w:tcPr>
            <w:tcW w:w="1418" w:type="dxa"/>
          </w:tcPr>
          <w:p>
            <w:pPr>
              <w:pStyle w:val="CeldaAPA"/>
              <w:jc w:val="center"/>
            </w:pPr>
            <w:r>
              <w:rPr/>
              <w:t xml:space="preserve">10</w:t>
            </w:r>
          </w:p>
        </w:tc>
        <w:tc>
          <w:tcPr>
            <w:tcW w:w="650" w:type="dxa"/>
          </w:tcPr>
          <w:p>
            <w:pPr>
              <w:pStyle w:val="CeldaAPA"/>
              <w:jc w:val="center"/>
            </w:pPr>
            <w:r>
              <w:rPr/>
              <w:t xml:space="preserve">0</w:t>
            </w:r>
          </w:p>
        </w:tc>
        <w:tc>
          <w:tcPr>
            <w:tcW w:w="1151" w:type="dxa"/>
          </w:tcPr>
          <w:p>
            <w:pPr>
              <w:pStyle w:val="CeldaAPA"/>
              <w:jc w:val="center"/>
            </w:pPr>
            <w:r>
              <w:rPr/>
              <w:t xml:space="preserve">0</w:t>
            </w:r>
          </w:p>
        </w:tc>
        <w:tc>
          <w:tcPr>
            <w:tcW w:w="1116" w:type="dxa"/>
          </w:tcPr>
          <w:p>
            <w:pPr>
              <w:pStyle w:val="CeldaAPA"/>
              <w:jc w:val="center"/>
            </w:pPr>
            <w:r>
              <w:rPr/>
              <w:t xml:space="preserve">5</w:t>
            </w:r>
          </w:p>
        </w:tc>
        <w:tc>
          <w:tcPr>
            <w:tcW w:w="1097" w:type="dxa"/>
          </w:tcPr>
          <w:p>
            <w:pPr>
              <w:pStyle w:val="CeldaAPA"/>
              <w:jc w:val="center"/>
            </w:pPr>
            <w:r>
              <w:rPr/>
              <w:t xml:space="preserve">5</w:t>
            </w:r>
          </w:p>
        </w:tc>
        <w:tc>
          <w:tcPr>
            <w:tcW w:w="1167" w:type="dxa"/>
          </w:tcPr>
          <w:p>
            <w:pPr>
              <w:pStyle w:val="CeldaAPA"/>
              <w:jc w:val="center"/>
            </w:pPr>
            <w:r>
              <w:rPr/>
              <w:t xml:space="preserve">2,5</w:t>
            </w:r>
          </w:p>
        </w:tc>
        <w:tc>
          <w:tcPr>
            <w:tcW w:w="1873" w:type="dxa"/>
          </w:tcPr>
          <w:p>
            <w:pPr>
              <w:pStyle w:val="CeldaAPA"/>
              <w:jc w:val="center"/>
            </w:pPr>
            <w:r>
              <w:rPr/>
              <w:t xml:space="preserve">25,0 %</w:t>
            </w:r>
          </w:p>
        </w:tc>
      </w:tr>
      <w:tr>
        <w:tc>
          <w:tcPr>
            <w:tcW w:w="1708" w:type="dxa"/>
          </w:tcPr>
          <w:p>
            <w:pPr>
              <w:pStyle w:val="CeldaAPA"/>
              <w:jc w:val="left"/>
            </w:pPr>
            <w:r>
              <w:rPr/>
              <w:t xml:space="preserve">8. Operación</w:t>
            </w:r>
          </w:p>
        </w:tc>
        <w:tc>
          <w:tcPr>
            <w:tcW w:w="1418" w:type="dxa"/>
          </w:tcPr>
          <w:p>
            <w:pPr>
              <w:pStyle w:val="CeldaAPA"/>
              <w:jc w:val="center"/>
            </w:pPr>
            <w:r>
              <w:rPr/>
              <w:t xml:space="preserve">14</w:t>
            </w:r>
          </w:p>
        </w:tc>
        <w:tc>
          <w:tcPr>
            <w:tcW w:w="650" w:type="dxa"/>
          </w:tcPr>
          <w:p>
            <w:pPr>
              <w:pStyle w:val="CeldaAPA"/>
              <w:jc w:val="center"/>
            </w:pPr>
            <w:r>
              <w:rPr/>
              <w:t xml:space="preserve">2</w:t>
            </w:r>
          </w:p>
        </w:tc>
        <w:tc>
          <w:tcPr>
            <w:tcW w:w="1151" w:type="dxa"/>
          </w:tcPr>
          <w:p>
            <w:pPr>
              <w:pStyle w:val="CeldaAPA"/>
              <w:jc w:val="center"/>
            </w:pPr>
            <w:r>
              <w:rPr/>
              <w:t xml:space="preserve">0</w:t>
            </w:r>
          </w:p>
        </w:tc>
        <w:tc>
          <w:tcPr>
            <w:tcW w:w="1116" w:type="dxa"/>
          </w:tcPr>
          <w:p>
            <w:pPr>
              <w:pStyle w:val="CeldaAPA"/>
              <w:jc w:val="center"/>
            </w:pPr>
            <w:r>
              <w:rPr/>
              <w:t xml:space="preserve">5</w:t>
            </w:r>
          </w:p>
        </w:tc>
        <w:tc>
          <w:tcPr>
            <w:tcW w:w="1097" w:type="dxa"/>
          </w:tcPr>
          <w:p>
            <w:pPr>
              <w:pStyle w:val="CeldaAPA"/>
              <w:jc w:val="center"/>
            </w:pPr>
            <w:r>
              <w:rPr/>
              <w:t xml:space="preserve">9</w:t>
            </w:r>
          </w:p>
        </w:tc>
        <w:tc>
          <w:tcPr>
            <w:tcW w:w="1167" w:type="dxa"/>
          </w:tcPr>
          <w:p>
            <w:pPr>
              <w:pStyle w:val="CeldaAPA"/>
              <w:jc w:val="center"/>
            </w:pPr>
            <w:r>
              <w:rPr/>
              <w:t xml:space="preserve">2,5</w:t>
            </w:r>
          </w:p>
        </w:tc>
        <w:tc>
          <w:tcPr>
            <w:tcW w:w="1873" w:type="dxa"/>
          </w:tcPr>
          <w:p>
            <w:pPr>
              <w:pStyle w:val="CeldaAPA"/>
              <w:jc w:val="center"/>
            </w:pPr>
            <w:r>
              <w:rPr/>
              <w:t xml:space="preserve">17,9 %</w:t>
            </w:r>
          </w:p>
        </w:tc>
      </w:tr>
      <w:tr>
        <w:tc>
          <w:tcPr>
            <w:tcW w:w="1708" w:type="dxa"/>
          </w:tcPr>
          <w:p>
            <w:pPr>
              <w:pStyle w:val="CeldaAPA"/>
              <w:jc w:val="left"/>
            </w:pPr>
            <w:r>
              <w:rPr/>
              <w:t xml:space="preserve">9. Evaluación del desempeño</w:t>
            </w:r>
          </w:p>
        </w:tc>
        <w:tc>
          <w:tcPr>
            <w:tcW w:w="1418" w:type="dxa"/>
          </w:tcPr>
          <w:p>
            <w:pPr>
              <w:pStyle w:val="CeldaAPA"/>
              <w:jc w:val="center"/>
            </w:pPr>
            <w:r>
              <w:rPr/>
              <w:t xml:space="preserve">6</w:t>
            </w:r>
          </w:p>
        </w:tc>
        <w:tc>
          <w:tcPr>
            <w:tcW w:w="650" w:type="dxa"/>
          </w:tcPr>
          <w:p>
            <w:pPr>
              <w:pStyle w:val="CeldaAPA"/>
              <w:jc w:val="center"/>
            </w:pPr>
            <w:r>
              <w:rPr/>
              <w:t xml:space="preserve">0</w:t>
            </w:r>
          </w:p>
        </w:tc>
        <w:tc>
          <w:tcPr>
            <w:tcW w:w="1151" w:type="dxa"/>
          </w:tcPr>
          <w:p>
            <w:pPr>
              <w:pStyle w:val="CeldaAPA"/>
              <w:jc w:val="center"/>
            </w:pPr>
            <w:r>
              <w:rPr/>
              <w:t xml:space="preserve">0</w:t>
            </w:r>
          </w:p>
        </w:tc>
        <w:tc>
          <w:tcPr>
            <w:tcW w:w="1116" w:type="dxa"/>
          </w:tcPr>
          <w:p>
            <w:pPr>
              <w:pStyle w:val="CeldaAPA"/>
              <w:jc w:val="center"/>
            </w:pPr>
            <w:r>
              <w:rPr/>
              <w:t xml:space="preserve">3</w:t>
            </w:r>
          </w:p>
        </w:tc>
        <w:tc>
          <w:tcPr>
            <w:tcW w:w="1097" w:type="dxa"/>
          </w:tcPr>
          <w:p>
            <w:pPr>
              <w:pStyle w:val="CeldaAPA"/>
              <w:jc w:val="center"/>
            </w:pPr>
            <w:r>
              <w:rPr/>
              <w:t xml:space="preserve">3</w:t>
            </w:r>
          </w:p>
        </w:tc>
        <w:tc>
          <w:tcPr>
            <w:tcW w:w="1167" w:type="dxa"/>
          </w:tcPr>
          <w:p>
            <w:pPr>
              <w:pStyle w:val="CeldaAPA"/>
              <w:jc w:val="center"/>
            </w:pPr>
            <w:r>
              <w:rPr/>
              <w:t xml:space="preserve">1,5</w:t>
            </w:r>
          </w:p>
        </w:tc>
        <w:tc>
          <w:tcPr>
            <w:tcW w:w="1873" w:type="dxa"/>
          </w:tcPr>
          <w:p>
            <w:pPr>
              <w:pStyle w:val="CeldaAPA"/>
              <w:jc w:val="center"/>
            </w:pPr>
            <w:r>
              <w:rPr/>
              <w:t xml:space="preserve">25,0 %</w:t>
            </w:r>
          </w:p>
        </w:tc>
      </w:tr>
      <w:tr>
        <w:tc>
          <w:tcPr>
            <w:tcW w:w="1708" w:type="dxa"/>
          </w:tcPr>
          <w:p>
            <w:pPr>
              <w:pStyle w:val="CeldaAPA"/>
              <w:jc w:val="left"/>
            </w:pPr>
            <w:r>
              <w:rPr/>
              <w:t xml:space="preserve">10. Mejora</w:t>
            </w:r>
          </w:p>
        </w:tc>
        <w:tc>
          <w:tcPr>
            <w:tcW w:w="1418" w:type="dxa"/>
          </w:tcPr>
          <w:p>
            <w:pPr>
              <w:pStyle w:val="CeldaAPA"/>
              <w:jc w:val="center"/>
            </w:pPr>
            <w:r>
              <w:rPr/>
              <w:t xml:space="preserve">5</w:t>
            </w:r>
          </w:p>
        </w:tc>
        <w:tc>
          <w:tcPr>
            <w:tcW w:w="650" w:type="dxa"/>
          </w:tcPr>
          <w:p>
            <w:pPr>
              <w:pStyle w:val="CeldaAPA"/>
              <w:jc w:val="center"/>
            </w:pPr>
            <w:r>
              <w:rPr/>
              <w:t xml:space="preserve">0</w:t>
            </w:r>
          </w:p>
        </w:tc>
        <w:tc>
          <w:tcPr>
            <w:tcW w:w="1151" w:type="dxa"/>
          </w:tcPr>
          <w:p>
            <w:pPr>
              <w:pStyle w:val="CeldaAPA"/>
              <w:jc w:val="center"/>
            </w:pPr>
            <w:r>
              <w:rPr/>
              <w:t xml:space="preserve">0</w:t>
            </w:r>
          </w:p>
        </w:tc>
        <w:tc>
          <w:tcPr>
            <w:tcW w:w="1116" w:type="dxa"/>
          </w:tcPr>
          <w:p>
            <w:pPr>
              <w:pStyle w:val="CeldaAPA"/>
              <w:jc w:val="center"/>
            </w:pPr>
            <w:r>
              <w:rPr/>
              <w:t xml:space="preserve">1</w:t>
            </w:r>
          </w:p>
        </w:tc>
        <w:tc>
          <w:tcPr>
            <w:tcW w:w="1097" w:type="dxa"/>
          </w:tcPr>
          <w:p>
            <w:pPr>
              <w:pStyle w:val="CeldaAPA"/>
              <w:jc w:val="center"/>
            </w:pPr>
            <w:r>
              <w:rPr/>
              <w:t xml:space="preserve">4</w:t>
            </w:r>
          </w:p>
        </w:tc>
        <w:tc>
          <w:tcPr>
            <w:tcW w:w="1167" w:type="dxa"/>
          </w:tcPr>
          <w:p>
            <w:pPr>
              <w:pStyle w:val="CeldaAPA"/>
              <w:jc w:val="center"/>
            </w:pPr>
            <w:r>
              <w:rPr/>
              <w:t xml:space="preserve">0,5</w:t>
            </w:r>
          </w:p>
        </w:tc>
        <w:tc>
          <w:tcPr>
            <w:tcW w:w="1873" w:type="dxa"/>
          </w:tcPr>
          <w:p>
            <w:pPr>
              <w:pStyle w:val="CeldaAPA"/>
              <w:jc w:val="center"/>
            </w:pPr>
            <w:r>
              <w:rPr/>
              <w:t xml:space="preserve">10,0 %</w:t>
            </w:r>
          </w:p>
        </w:tc>
      </w:tr>
      <w:tr>
        <w:tc>
          <w:tcPr>
            <w:tcW w:w="1708" w:type="dxa"/>
            <w:tcBorders>
              <w:top w:val="single" w:sz="4" w:space="0" w:color="000000"/>
              <w:bottom w:val="single" w:sz="8" w:space="0" w:color="000000"/>
            </w:tcBorders>
          </w:tcPr>
          <w:p>
            <w:pPr>
              <w:pStyle w:val="CeldaAPA"/>
              <w:jc w:val="left"/>
            </w:pPr>
            <w:r>
              <w:rPr>
                <w:bCs/>
                <w:b/>
              </w:rPr>
              <w:t xml:space="preserve">Global</w:t>
            </w:r>
          </w:p>
        </w:tc>
        <w:tc>
          <w:tcPr>
            <w:tcW w:w="1418" w:type="dxa"/>
            <w:tcBorders>
              <w:top w:val="single" w:sz="4" w:space="0" w:color="000000"/>
              <w:bottom w:val="single" w:sz="8" w:space="0" w:color="000000"/>
            </w:tcBorders>
          </w:tcPr>
          <w:p>
            <w:pPr>
              <w:pStyle w:val="CeldaAPA"/>
              <w:jc w:val="center"/>
            </w:pPr>
            <w:r>
              <w:rPr>
                <w:bCs/>
                <w:b/>
              </w:rPr>
              <w:t xml:space="preserve">48</w:t>
            </w:r>
          </w:p>
        </w:tc>
        <w:tc>
          <w:tcPr>
            <w:tcW w:w="650" w:type="dxa"/>
            <w:tcBorders>
              <w:top w:val="single" w:sz="4" w:space="0" w:color="000000"/>
              <w:bottom w:val="single" w:sz="8" w:space="0" w:color="000000"/>
            </w:tcBorders>
          </w:tcPr>
          <w:p>
            <w:pPr>
              <w:pStyle w:val="CeldaAPA"/>
              <w:jc w:val="center"/>
            </w:pPr>
            <w:r>
              <w:rPr>
                <w:bCs/>
                <w:b/>
              </w:rPr>
              <w:t xml:space="preserve">2</w:t>
            </w:r>
          </w:p>
        </w:tc>
        <w:tc>
          <w:tcPr>
            <w:tcW w:w="1151" w:type="dxa"/>
            <w:tcBorders>
              <w:top w:val="single" w:sz="4" w:space="0" w:color="000000"/>
              <w:bottom w:val="single" w:sz="8" w:space="0" w:color="000000"/>
            </w:tcBorders>
          </w:tcPr>
          <w:p>
            <w:pPr>
              <w:pStyle w:val="CeldaAPA"/>
              <w:jc w:val="center"/>
            </w:pPr>
            <w:r>
              <w:rPr>
                <w:bCs/>
                <w:b/>
              </w:rPr>
              <w:t xml:space="preserve">0</w:t>
            </w:r>
          </w:p>
        </w:tc>
        <w:tc>
          <w:tcPr>
            <w:tcW w:w="1116" w:type="dxa"/>
            <w:tcBorders>
              <w:top w:val="single" w:sz="4" w:space="0" w:color="000000"/>
              <w:bottom w:val="single" w:sz="8" w:space="0" w:color="000000"/>
            </w:tcBorders>
          </w:tcPr>
          <w:p>
            <w:pPr>
              <w:pStyle w:val="CeldaAPA"/>
              <w:jc w:val="center"/>
            </w:pPr>
            <w:r>
              <w:rPr>
                <w:bCs/>
                <w:b/>
              </w:rPr>
              <w:t xml:space="preserve">19</w:t>
            </w:r>
          </w:p>
        </w:tc>
        <w:tc>
          <w:tcPr>
            <w:tcW w:w="1097" w:type="dxa"/>
            <w:tcBorders>
              <w:top w:val="single" w:sz="4" w:space="0" w:color="000000"/>
              <w:bottom w:val="single" w:sz="8" w:space="0" w:color="000000"/>
            </w:tcBorders>
          </w:tcPr>
          <w:p>
            <w:pPr>
              <w:pStyle w:val="CeldaAPA"/>
              <w:jc w:val="center"/>
            </w:pPr>
            <w:r>
              <w:rPr>
                <w:bCs/>
                <w:b/>
              </w:rPr>
              <w:t xml:space="preserve">29</w:t>
            </w:r>
          </w:p>
        </w:tc>
        <w:tc>
          <w:tcPr>
            <w:tcW w:w="1167" w:type="dxa"/>
            <w:tcBorders>
              <w:top w:val="single" w:sz="4" w:space="0" w:color="000000"/>
              <w:bottom w:val="single" w:sz="8" w:space="0" w:color="000000"/>
            </w:tcBorders>
          </w:tcPr>
          <w:p>
            <w:pPr>
              <w:pStyle w:val="CeldaAPA"/>
              <w:jc w:val="center"/>
            </w:pPr>
            <w:r>
              <w:rPr>
                <w:bCs/>
                <w:b/>
              </w:rPr>
              <w:t xml:space="preserve">9,5</w:t>
            </w:r>
          </w:p>
        </w:tc>
        <w:tc>
          <w:tcPr>
            <w:tcW w:w="1873" w:type="dxa"/>
            <w:tcBorders>
              <w:top w:val="single" w:sz="4" w:space="0" w:color="000000"/>
              <w:bottom w:val="single" w:sz="8" w:space="0" w:color="000000"/>
            </w:tcBorders>
          </w:tcPr>
          <w:p>
            <w:pPr>
              <w:pStyle w:val="CeldaAPA"/>
              <w:jc w:val="center"/>
            </w:pPr>
            <w:r>
              <w:rPr>
                <w:bCs/>
                <w:b/>
              </w:rPr>
              <w:t xml:space="preserve">19,8 %</w:t>
            </w:r>
          </w:p>
        </w:tc>
      </w:tr>
    </w:tbl>
    <w:p>
      <w:pPr>
        <w:pStyle w:val="NotaAPA"/>
      </w:pPr>
      <w:r>
        <w:rPr>
          <w:iCs/>
          <w:i/>
        </w:rPr>
        <w:t xml:space="preserve">Nota.</w:t>
      </w:r>
      <w:r>
        <w:t xml:space="preserve"> </w:t>
      </w:r>
      <w:r>
        <w:t xml:space="preserve">Elaboración propia. Cumplimiento = puntaje / requisitos aplicables</w:t>
      </w:r>
      <w:r>
        <w:t xml:space="preserve"> </w:t>
      </w:r>
      <m:oMath>
        <m:r>
          <m:rPr>
            <m:sty m:val="p"/>
          </m:rPr>
          <m:t>×</m:t>
        </m:r>
      </m:oMath>
      <w:r>
        <w:t xml:space="preserve"> </w:t>
      </w:r>
      <w:r>
        <w:t xml:space="preserve">100. El cumplimiento global se calcula con el total de requisitos (9,5/48); el promedio simple de las siete cláusulas es 19,3 %. Según la escala de</w:t>
      </w:r>
      <w:r>
        <w:t xml:space="preserve"> </w:t>
      </w:r>
      <w:r>
        <w:t xml:space="preserve">Mamani Calsina (2025, p. 42)</w:t>
      </w:r>
      <w:r>
        <w:t xml:space="preserve">, todas las cláusulas y el resultado global se ubican en el rango «deficiente o no implementado» (0–25 %).</w:t>
      </w:r>
    </w:p>
    <w:p>
      <w:pPr>
        <w:pStyle w:val="Heading2"/>
      </w:pPr>
      <w:bookmarkStart w:id="330" w:name="tit155"/>
      <w:r>
        <w:t xml:space="preserve">C.2. Fichas PPI de liberación por paño</w:t>
      </w:r>
      <w:bookmarkEnd w:id="330"/>
    </w:p>
    <w:p>
      <w:pPr>
        <w:pStyle w:val="FirstParagraph"/>
      </w:pPr>
      <w:r>
        <w:rPr>
          <w:bCs/>
          <w:b/>
        </w:rPr>
        <w:t xml:space="preserve">Uso.</w:t>
      </w:r>
      <w:r>
        <w:t xml:space="preserve"> </w:t>
      </w:r>
      <w:r>
        <w:t xml:space="preserve">Una ficha por paño. Marque C (conforme), NC (no conforme) o NA (no aplica). Los puntos de espera (H) no se superan sin la firma del Supervisor; los de aviso (W) se notifican a la Supervisión. Toda NC se registra en el formato C.5 con su número. Criterios: Tabla 36 del plan de la calidad.</w:t>
      </w:r>
    </w:p>
    <w:tbl>
      <w:tblPr>
        <w:tblStyle w:val="Table"/>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0" w:lastRow="0" w:firstColumn="0" w:lastColumn="0" w:noHBand="0" w:noVBand="0" w:val="0000"/>
      </w:tblPr>
      <w:tblGrid>
        <w:gridCol w:w="2930"/>
        <w:gridCol w:w="4240"/>
        <w:gridCol w:w="1900"/>
      </w:tblGrid>
      <w:tr>
        <w:tc>
          <w:tcPr>
            <w:tcW w:w="2930" w:type="dxa"/>
          </w:tcPr>
          <w:p>
            <w:pPr>
              <w:pStyle w:val="CeldaAPA"/>
              <w:jc w:val="left"/>
            </w:pPr>
            <w:r>
              <w:rPr>
                <w:bCs/>
                <w:b/>
                <w:sz w:val="20"/>
                <w:szCs w:val="20"/>
              </w:rPr>
              <w:t xml:space="preserve">UATF – Edificio de Posgrado</w:t>
            </w:r>
          </w:p>
        </w:tc>
        <w:tc>
          <w:tcPr>
            <w:tcW w:w="4240" w:type="dxa"/>
            <w:vMerge w:val="restart"/>
          </w:tcPr>
          <w:p>
            <w:pPr>
              <w:pStyle w:val="CeldaAPA"/>
              <w:jc w:val="left"/>
            </w:pPr>
            <w:r>
              <w:rPr>
                <w:bCs/>
                <w:b/>
                <w:sz w:val="20"/>
                <w:szCs w:val="20"/>
              </w:rPr>
              <w:t xml:space="preserve">Ficha PPI de liberación del paño</w:t>
            </w:r>
          </w:p>
        </w:tc>
        <w:tc>
          <w:tcPr>
            <w:tcW w:w="1900" w:type="dxa"/>
          </w:tcPr>
          <w:p>
            <w:pPr>
              <w:pStyle w:val="CeldaAPA"/>
              <w:jc w:val="left"/>
            </w:pPr>
            <w:r>
              <w:rPr>
                <w:bCs/>
                <w:b/>
                <w:sz w:val="20"/>
                <w:szCs w:val="20"/>
              </w:rPr>
              <w:t xml:space="preserve">Código:</w:t>
            </w:r>
            <w:r>
              <w:rPr>
                <w:sz w:val="20"/>
                <w:szCs w:val="20"/>
              </w:rPr>
              <w:t xml:space="preserve"> </w:t>
            </w:r>
            <w:r>
              <w:rPr>
                <w:sz w:val="20"/>
                <w:szCs w:val="20"/>
              </w:rPr>
              <w:t xml:space="preserve">C.2</w:t>
            </w:r>
          </w:p>
        </w:tc>
      </w:tr>
      <w:tr>
        <w:tc>
          <w:tcPr>
            <w:tcW w:w="2930" w:type="dxa"/>
          </w:tcPr>
          <w:p>
            <w:pPr>
              <w:pStyle w:val="CeldaAPA"/>
              <w:jc w:val="left"/>
            </w:pPr>
            <w:r>
              <w:rPr>
                <w:sz w:val="20"/>
                <w:szCs w:val="20"/>
              </w:rPr>
              <w:t xml:space="preserve">Ítem 13: losa alivianada h = 25 cm</w:t>
            </w:r>
          </w:p>
        </w:tc>
        <w:tc>
          <w:tcPr>
            <w:tcW w:w="4240" w:type="dxa"/>
            <w:gridSpan w:val="1"/>
            <w:vMerge w:val="continue"/>
          </w:tcPr>
          <w:p>
            <w:pPr>
              <w:pStyle w:val="CeldaAPA"/>
            </w:pPr>
          </w:p>
        </w:tc>
        <w:tc>
          <w:tcPr>
            <w:tcW w:w="1900" w:type="dxa"/>
          </w:tcPr>
          <w:p>
            <w:pPr>
              <w:pStyle w:val="CeldaAPA"/>
              <w:jc w:val="left"/>
            </w:pPr>
            <w:r>
              <w:rPr>
                <w:sz w:val="20"/>
                <w:szCs w:val="20"/>
              </w:rPr>
              <w:t xml:space="preserve">Versión 0</w:t>
            </w:r>
          </w:p>
        </w:tc>
      </w:tr>
    </w:tbl>
    <w:tbl>
      <w:tblPr>
        <w:tblStyle w:val="Table"/>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0" w:lastRow="0" w:firstColumn="0" w:lastColumn="0" w:noHBand="0" w:noVBand="0" w:val="0000"/>
      </w:tblPr>
      <w:tblGrid>
        <w:gridCol w:w="2340"/>
        <w:gridCol w:w="2340"/>
        <w:gridCol w:w="2340"/>
        <w:gridCol w:w="2340"/>
      </w:tblGrid>
      <w:tr>
        <w:tc>
          <w:tcPr>
            <w:tcW w:w="2340" w:type="dxa"/>
          </w:tcPr>
          <w:p>
            <w:pPr>
              <w:pStyle w:val="CeldaAPA"/>
              <w:jc w:val="left"/>
            </w:pPr>
            <w:r>
              <w:rPr>
                <w:sz w:val="20"/>
                <w:szCs w:val="20"/>
              </w:rPr>
              <w:t xml:space="preserve">Losa N.</w:t>
            </w:r>
            <w:r>
              <w:rPr>
                <w:vertAlign w:val="superscript"/>
                <w:sz w:val="20"/>
                <w:szCs w:val="20"/>
              </w:rPr>
              <w:t xml:space="preserve">o</w:t>
            </w:r>
            <w:r>
              <w:rPr>
                <w:sz w:val="20"/>
                <w:szCs w:val="20"/>
              </w:rPr>
              <w:t xml:space="preserve"> ______________</w:t>
            </w:r>
          </w:p>
        </w:tc>
        <w:tc>
          <w:tcPr>
            <w:tcW w:w="2340" w:type="dxa"/>
          </w:tcPr>
          <w:p>
            <w:pPr>
              <w:pStyle w:val="CeldaAPA"/>
              <w:jc w:val="left"/>
            </w:pPr>
            <w:r>
              <w:rPr>
                <w:sz w:val="20"/>
                <w:szCs w:val="20"/>
              </w:rPr>
              <w:t xml:space="preserve">Paño N.</w:t>
            </w:r>
            <w:r>
              <w:rPr>
                <w:vertAlign w:val="superscript"/>
                <w:sz w:val="20"/>
                <w:szCs w:val="20"/>
              </w:rPr>
              <w:t xml:space="preserve">o</w:t>
            </w:r>
            <w:r>
              <w:rPr>
                <w:sz w:val="20"/>
                <w:szCs w:val="20"/>
              </w:rPr>
              <w:t xml:space="preserve"> ______________</w:t>
            </w:r>
          </w:p>
        </w:tc>
        <w:tc>
          <w:tcPr>
            <w:tcW w:w="2340" w:type="dxa"/>
          </w:tcPr>
          <w:p>
            <w:pPr>
              <w:pStyle w:val="CeldaAPA"/>
              <w:jc w:val="left"/>
            </w:pPr>
            <w:r>
              <w:rPr>
                <w:sz w:val="20"/>
                <w:szCs w:val="20"/>
              </w:rPr>
              <w:t xml:space="preserve">Ejes ______________</w:t>
            </w:r>
          </w:p>
        </w:tc>
        <w:tc>
          <w:tcPr>
            <w:tcW w:w="2340" w:type="dxa"/>
          </w:tcPr>
          <w:p>
            <w:pPr>
              <w:pStyle w:val="CeldaAPA"/>
              <w:jc w:val="left"/>
            </w:pPr>
            <w:r>
              <w:rPr>
                <w:sz w:val="20"/>
                <w:szCs w:val="20"/>
              </w:rPr>
              <w:t xml:space="preserve">Área (m</w:t>
            </w:r>
            <w:r>
              <w:rPr>
                <w:vertAlign w:val="superscript"/>
                <w:sz w:val="20"/>
                <w:szCs w:val="20"/>
              </w:rPr>
              <w:t xml:space="preserve">2</w:t>
            </w:r>
            <w:r>
              <w:rPr>
                <w:sz w:val="20"/>
                <w:szCs w:val="20"/>
              </w:rPr>
              <w:t xml:space="preserve">) ______________</w:t>
            </w:r>
          </w:p>
        </w:tc>
      </w:tr>
      <w:tr>
        <w:tc>
          <w:tcPr>
            <w:tcW w:w="2340" w:type="dxa"/>
          </w:tcPr>
          <w:p>
            <w:pPr>
              <w:pStyle w:val="CeldaAPA"/>
              <w:jc w:val="left"/>
            </w:pPr>
            <w:r>
              <w:rPr>
                <w:sz w:val="20"/>
                <w:szCs w:val="20"/>
              </w:rPr>
              <w:t xml:space="preserve">Viguetas (Plano 03): n.</w:t>
            </w:r>
            <w:r>
              <w:rPr>
                <w:vertAlign w:val="superscript"/>
                <w:sz w:val="20"/>
                <w:szCs w:val="20"/>
              </w:rPr>
              <w:t xml:space="preserve">o</w:t>
            </w:r>
            <w:r>
              <w:rPr>
                <w:sz w:val="20"/>
                <w:szCs w:val="20"/>
              </w:rPr>
              <w:t xml:space="preserve"> ______________</w:t>
            </w:r>
          </w:p>
        </w:tc>
        <w:tc>
          <w:tcPr>
            <w:tcW w:w="2340" w:type="dxa"/>
          </w:tcPr>
          <w:p>
            <w:pPr>
              <w:pStyle w:val="CeldaAPA"/>
              <w:jc w:val="left"/>
            </w:pPr>
            <w:r>
              <w:rPr>
                <w:sz w:val="20"/>
                <w:szCs w:val="20"/>
              </w:rPr>
              <w:t xml:space="preserve">Tipo y longitud ______________</w:t>
            </w:r>
          </w:p>
        </w:tc>
        <w:tc>
          <w:tcPr>
            <w:tcW w:w="2340" w:type="dxa"/>
          </w:tcPr>
          <w:p>
            <w:pPr>
              <w:pStyle w:val="CeldaAPA"/>
              <w:jc w:val="left"/>
            </w:pPr>
            <w:r>
              <w:rPr>
                <w:sz w:val="20"/>
                <w:szCs w:val="20"/>
              </w:rPr>
              <w:t xml:space="preserve">Luz libre (m) ______________</w:t>
            </w:r>
          </w:p>
        </w:tc>
        <w:tc>
          <w:tcPr>
            <w:tcW w:w="2340" w:type="dxa"/>
          </w:tcPr>
          <w:p>
            <w:pPr>
              <w:pStyle w:val="CeldaAPA"/>
              <w:jc w:val="left"/>
            </w:pPr>
            <w:r>
              <w:rPr>
                <w:sz w:val="20"/>
                <w:szCs w:val="20"/>
              </w:rPr>
              <w:t xml:space="preserve">Fecha de inicio ______________</w:t>
            </w:r>
          </w:p>
        </w:tc>
      </w:tr>
    </w:tbl>
    <w:tbl>
      <w:tblPr>
        <w:tblStyle w:val="Table"/>
        <w:tblW w:w="9362"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1" w:lastRow="0" w:firstColumn="0" w:lastColumn="0" w:noHBand="0" w:noVBand="0" w:val="0020"/>
      </w:tblPr>
      <w:tblGrid>
        <w:gridCol w:w="666"/>
        <w:gridCol w:w="1955"/>
        <w:gridCol w:w="2779"/>
        <w:gridCol w:w="461"/>
        <w:gridCol w:w="650"/>
        <w:gridCol w:w="650"/>
        <w:gridCol w:w="2201"/>
      </w:tblGrid>
      <w:tr>
        <w:trPr>
          <w:cantSplit/>
          <w:tblHeader w:val="true"/>
        </w:trPr>
        <w:tc>
          <w:tcPr>
            <w:tcW w:w="9362" w:type="dxa"/>
            <w:gridSpan w:val="7"/>
          </w:tcPr>
          <w:p>
            <w:pPr>
              <w:pStyle w:val="CeldaAPA"/>
              <w:jc w:val="left"/>
            </w:pPr>
            <w:r>
              <w:rPr>
                <w:bCs/>
                <w:b/>
                <w:sz w:val="20"/>
                <w:szCs w:val="20"/>
              </w:rPr>
              <w:t xml:space="preserve">A. Apuntalamiento y encofrado — punto de espera (H)</w:t>
            </w:r>
          </w:p>
        </w:tc>
      </w:tr>
      <w:tr>
        <w:tc>
          <w:tcPr>
            <w:tcW w:w="666" w:type="dxa"/>
          </w:tcPr>
          <w:p>
            <w:pPr>
              <w:pStyle w:val="CeldaAPA"/>
              <w:jc w:val="left"/>
            </w:pPr>
            <w:r>
              <w:rPr>
                <w:bCs/>
                <w:b/>
                <w:sz w:val="20"/>
                <w:szCs w:val="20"/>
              </w:rPr>
              <w:t xml:space="preserve">N.</w:t>
            </w:r>
            <w:r>
              <w:rPr>
                <w:vertAlign w:val="superscript"/>
                <w:bCs/>
                <w:b/>
                <w:sz w:val="20"/>
                <w:szCs w:val="20"/>
              </w:rPr>
              <w:t xml:space="preserve">o</w:t>
            </w:r>
          </w:p>
        </w:tc>
        <w:tc>
          <w:tcPr>
            <w:tcW w:w="1955" w:type="dxa"/>
          </w:tcPr>
          <w:p>
            <w:pPr>
              <w:pStyle w:val="CeldaAPA"/>
              <w:jc w:val="left"/>
            </w:pPr>
            <w:r>
              <w:rPr>
                <w:bCs/>
                <w:b/>
                <w:sz w:val="20"/>
                <w:szCs w:val="20"/>
              </w:rPr>
              <w:t xml:space="preserve">Punto de control</w:t>
            </w:r>
          </w:p>
        </w:tc>
        <w:tc>
          <w:tcPr>
            <w:tcW w:w="2779" w:type="dxa"/>
          </w:tcPr>
          <w:p>
            <w:pPr>
              <w:pStyle w:val="CeldaAPA"/>
              <w:jc w:val="left"/>
            </w:pPr>
            <w:r>
              <w:rPr>
                <w:bCs/>
                <w:b/>
                <w:sz w:val="20"/>
                <w:szCs w:val="20"/>
              </w:rPr>
              <w:t xml:space="preserve">Criterio de aceptación</w:t>
            </w:r>
          </w:p>
        </w:tc>
        <w:tc>
          <w:tcPr>
            <w:tcW w:w="461" w:type="dxa"/>
          </w:tcPr>
          <w:p>
            <w:pPr>
              <w:pStyle w:val="CeldaAPA"/>
              <w:jc w:val="center"/>
            </w:pPr>
            <w:r>
              <w:rPr>
                <w:bCs/>
                <w:b/>
                <w:sz w:val="20"/>
                <w:szCs w:val="20"/>
              </w:rPr>
              <w:t xml:space="preserve">C</w:t>
            </w:r>
          </w:p>
        </w:tc>
        <w:tc>
          <w:tcPr>
            <w:tcW w:w="650" w:type="dxa"/>
          </w:tcPr>
          <w:p>
            <w:pPr>
              <w:pStyle w:val="CeldaAPA"/>
              <w:jc w:val="center"/>
            </w:pPr>
            <w:r>
              <w:rPr>
                <w:bCs/>
                <w:b/>
                <w:sz w:val="20"/>
                <w:szCs w:val="20"/>
              </w:rPr>
              <w:t xml:space="preserve">NC</w:t>
            </w:r>
          </w:p>
        </w:tc>
        <w:tc>
          <w:tcPr>
            <w:tcW w:w="650" w:type="dxa"/>
          </w:tcPr>
          <w:p>
            <w:pPr>
              <w:pStyle w:val="CeldaAPA"/>
              <w:jc w:val="center"/>
            </w:pPr>
            <w:r>
              <w:rPr>
                <w:bCs/>
                <w:b/>
                <w:sz w:val="20"/>
                <w:szCs w:val="20"/>
              </w:rPr>
              <w:t xml:space="preserve">NA</w:t>
            </w:r>
          </w:p>
        </w:tc>
        <w:tc>
          <w:tcPr>
            <w:tcW w:w="2201" w:type="dxa"/>
          </w:tcPr>
          <w:p>
            <w:pPr>
              <w:pStyle w:val="CeldaAPA"/>
              <w:jc w:val="left"/>
            </w:pPr>
            <w:r>
              <w:rPr>
                <w:bCs/>
                <w:b/>
                <w:sz w:val="20"/>
                <w:szCs w:val="20"/>
              </w:rPr>
              <w:t xml:space="preserve">Observación o valor medido</w:t>
            </w:r>
          </w:p>
        </w:tc>
      </w:tr>
      <w:tr>
        <w:tc>
          <w:tcPr>
            <w:tcW w:w="666" w:type="dxa"/>
          </w:tcPr>
          <w:p>
            <w:pPr>
              <w:pStyle w:val="CeldaAPA"/>
              <w:jc w:val="left"/>
            </w:pPr>
            <w:r>
              <w:rPr>
                <w:sz w:val="20"/>
                <w:szCs w:val="20"/>
              </w:rPr>
              <w:t xml:space="preserve">A1</w:t>
            </w:r>
          </w:p>
        </w:tc>
        <w:tc>
          <w:tcPr>
            <w:tcW w:w="1955" w:type="dxa"/>
          </w:tcPr>
          <w:p>
            <w:pPr>
              <w:pStyle w:val="CeldaAPA"/>
              <w:jc w:val="left"/>
            </w:pPr>
            <w:r>
              <w:rPr>
                <w:sz w:val="20"/>
                <w:szCs w:val="20"/>
              </w:rPr>
              <w:t xml:space="preserve">Ejes y niveles</w:t>
            </w:r>
          </w:p>
        </w:tc>
        <w:tc>
          <w:tcPr>
            <w:tcW w:w="2779" w:type="dxa"/>
          </w:tcPr>
          <w:p>
            <w:pPr>
              <w:pStyle w:val="CeldaAPA"/>
              <w:jc w:val="left"/>
            </w:pPr>
            <w:r>
              <w:rPr>
                <w:sz w:val="20"/>
                <w:szCs w:val="20"/>
              </w:rPr>
              <w:t xml:space="preserve">Según el Plano 01; niveles de fondo de viga verificados</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pPr>
          </w:p>
        </w:tc>
      </w:tr>
      <w:tr>
        <w:tc>
          <w:tcPr>
            <w:tcW w:w="666" w:type="dxa"/>
          </w:tcPr>
          <w:p>
            <w:pPr>
              <w:pStyle w:val="CeldaAPA"/>
              <w:jc w:val="left"/>
            </w:pPr>
            <w:r>
              <w:rPr>
                <w:sz w:val="20"/>
                <w:szCs w:val="20"/>
              </w:rPr>
              <w:t xml:space="preserve">A2</w:t>
            </w:r>
          </w:p>
        </w:tc>
        <w:tc>
          <w:tcPr>
            <w:tcW w:w="1955" w:type="dxa"/>
          </w:tcPr>
          <w:p>
            <w:pPr>
              <w:pStyle w:val="CeldaAPA"/>
              <w:jc w:val="left"/>
            </w:pPr>
            <w:r>
              <w:rPr>
                <w:sz w:val="20"/>
                <w:szCs w:val="20"/>
              </w:rPr>
              <w:t xml:space="preserve">Encofrado de vigas</w:t>
            </w:r>
          </w:p>
        </w:tc>
        <w:tc>
          <w:tcPr>
            <w:tcW w:w="2779" w:type="dxa"/>
          </w:tcPr>
          <w:p>
            <w:pPr>
              <w:pStyle w:val="CeldaAPA"/>
              <w:jc w:val="left"/>
            </w:pPr>
            <w:r>
              <w:rPr>
                <w:sz w:val="20"/>
                <w:szCs w:val="20"/>
              </w:rPr>
              <w:t xml:space="preserve">Estanco, arriostrado y limpio; alero</w:t>
            </w:r>
            <w:r>
              <w:rPr>
                <w:sz w:val="20"/>
                <w:szCs w:val="20"/>
              </w:rPr>
              <w:t xml:space="preserve"> </w:t>
            </w:r>
            <m:oMath>
              <m:r>
                <m:rPr>
                  <m:sty m:val="p"/>
                </m:rPr>
                <m:t>≥</m:t>
              </m:r>
              <m:r>
                <m:t>20</m:t>
              </m:r>
            </m:oMath>
            <w:r>
              <w:rPr>
                <w:sz w:val="20"/>
                <w:szCs w:val="20"/>
              </w:rPr>
              <w:t xml:space="preserve"> cm donde la vigueta corre paralela a la viga</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pPr>
          </w:p>
        </w:tc>
      </w:tr>
      <w:tr>
        <w:tc>
          <w:tcPr>
            <w:tcW w:w="666" w:type="dxa"/>
          </w:tcPr>
          <w:p>
            <w:pPr>
              <w:pStyle w:val="CeldaAPA"/>
              <w:jc w:val="left"/>
            </w:pPr>
            <w:r>
              <w:rPr>
                <w:sz w:val="20"/>
                <w:szCs w:val="20"/>
              </w:rPr>
              <w:t xml:space="preserve">A3</w:t>
            </w:r>
          </w:p>
        </w:tc>
        <w:tc>
          <w:tcPr>
            <w:tcW w:w="1955" w:type="dxa"/>
          </w:tcPr>
          <w:p>
            <w:pPr>
              <w:pStyle w:val="CeldaAPA"/>
              <w:jc w:val="left"/>
            </w:pPr>
            <w:r>
              <w:rPr>
                <w:sz w:val="20"/>
                <w:szCs w:val="20"/>
              </w:rPr>
              <w:t xml:space="preserve">Soleras</w:t>
            </w:r>
          </w:p>
        </w:tc>
        <w:tc>
          <w:tcPr>
            <w:tcW w:w="2779" w:type="dxa"/>
          </w:tcPr>
          <w:p>
            <w:pPr>
              <w:pStyle w:val="CeldaAPA"/>
              <w:jc w:val="left"/>
            </w:pPr>
            <w:r>
              <w:rPr>
                <w:sz w:val="20"/>
                <w:szCs w:val="20"/>
              </w:rPr>
              <w:t xml:space="preserve">Sección</w:t>
            </w:r>
            <w:r>
              <w:rPr>
                <w:sz w:val="20"/>
                <w:szCs w:val="20"/>
              </w:rPr>
              <w:t xml:space="preserve"> </w:t>
            </w:r>
            <m:oMath>
              <m:r>
                <m:rPr>
                  <m:sty m:val="p"/>
                </m:rPr>
                <m:t>≥</m:t>
              </m:r>
              <m:r>
                <m:t>2</m:t>
              </m:r>
              <m:r>
                <m:rPr>
                  <m:sty m:val="p"/>
                </m:rPr>
                <m:t>″</m:t>
              </m:r>
              <m:r>
                <m:rPr>
                  <m:sty m:val="p"/>
                </m:rPr>
                <m:t>×</m:t>
              </m:r>
              <m:r>
                <m:t>4</m:t>
              </m:r>
              <m:r>
                <m:rPr>
                  <m:sty m:val="p"/>
                </m:rPr>
                <m:t>″</m:t>
              </m:r>
            </m:oMath>
            <w:r>
              <w:rPr>
                <w:sz w:val="20"/>
                <w:szCs w:val="20"/>
              </w:rPr>
              <w:t xml:space="preserve">; una (luz de 2 a 4 m), dos (4,5 a 6 m) o tres (6,5 a 7,5 m), transversales a las viguetas</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jc w:val="left"/>
            </w:pPr>
            <w:r>
              <w:rPr>
                <w:sz w:val="20"/>
                <w:szCs w:val="20"/>
              </w:rPr>
              <w:t xml:space="preserve">N.</w:t>
            </w:r>
            <w:r>
              <w:rPr>
                <w:vertAlign w:val="superscript"/>
                <w:sz w:val="20"/>
                <w:szCs w:val="20"/>
              </w:rPr>
              <w:t xml:space="preserve">o</w:t>
            </w:r>
            <w:r>
              <w:rPr>
                <w:sz w:val="20"/>
                <w:szCs w:val="20"/>
              </w:rPr>
              <w:t xml:space="preserve"> </w:t>
            </w:r>
            <w:r>
              <w:rPr>
                <w:sz w:val="20"/>
                <w:szCs w:val="20"/>
              </w:rPr>
              <w:t xml:space="preserve">de soleras:</w:t>
            </w:r>
          </w:p>
        </w:tc>
      </w:tr>
      <w:tr>
        <w:tc>
          <w:tcPr>
            <w:tcW w:w="666" w:type="dxa"/>
          </w:tcPr>
          <w:p>
            <w:pPr>
              <w:pStyle w:val="CeldaAPA"/>
              <w:jc w:val="left"/>
            </w:pPr>
            <w:r>
              <w:rPr>
                <w:sz w:val="20"/>
                <w:szCs w:val="20"/>
              </w:rPr>
              <w:t xml:space="preserve">A4</w:t>
            </w:r>
          </w:p>
        </w:tc>
        <w:tc>
          <w:tcPr>
            <w:tcW w:w="1955" w:type="dxa"/>
          </w:tcPr>
          <w:p>
            <w:pPr>
              <w:pStyle w:val="CeldaAPA"/>
              <w:jc w:val="left"/>
            </w:pPr>
            <w:r>
              <w:rPr>
                <w:sz w:val="20"/>
                <w:szCs w:val="20"/>
              </w:rPr>
              <w:t xml:space="preserve">Puntales</w:t>
            </w:r>
          </w:p>
        </w:tc>
        <w:tc>
          <w:tcPr>
            <w:tcW w:w="2779" w:type="dxa"/>
          </w:tcPr>
          <w:p>
            <w:pPr>
              <w:pStyle w:val="CeldaAPA"/>
              <w:jc w:val="left"/>
            </w:pPr>
            <w:r>
              <w:rPr>
                <w:sz w:val="20"/>
                <w:szCs w:val="20"/>
              </w:rPr>
              <w:t xml:space="preserve">Diámetro</w:t>
            </w:r>
            <w:r>
              <w:rPr>
                <w:sz w:val="20"/>
                <w:szCs w:val="20"/>
              </w:rPr>
              <w:t xml:space="preserve"> </w:t>
            </w:r>
            <m:oMath>
              <m:r>
                <m:rPr>
                  <m:sty m:val="p"/>
                </m:rPr>
                <m:t>≥</m:t>
              </m:r>
              <m:r>
                <m:t>4</m:t>
              </m:r>
              <m:r>
                <m:rPr>
                  <m:sty m:val="p"/>
                </m:rPr>
                <m:t>″</m:t>
              </m:r>
            </m:oMath>
            <w:r>
              <w:rPr>
                <w:sz w:val="20"/>
                <w:szCs w:val="20"/>
              </w:rPr>
              <w:t xml:space="preserve">; separación de 0,80 a 1,00 m; sobre tabla o cuña; arriostrados en cruz</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jc w:val="left"/>
            </w:pPr>
            <w:r>
              <w:rPr>
                <w:sz w:val="20"/>
                <w:szCs w:val="20"/>
              </w:rPr>
              <w:t xml:space="preserve">Separación medida (m):</w:t>
            </w:r>
          </w:p>
        </w:tc>
      </w:tr>
      <w:tr>
        <w:tc>
          <w:tcPr>
            <w:tcW w:w="666" w:type="dxa"/>
          </w:tcPr>
          <w:p>
            <w:pPr>
              <w:pStyle w:val="CeldaAPA"/>
              <w:jc w:val="left"/>
            </w:pPr>
            <w:r>
              <w:rPr>
                <w:sz w:val="20"/>
                <w:szCs w:val="20"/>
              </w:rPr>
              <w:t xml:space="preserve">A5</w:t>
            </w:r>
          </w:p>
        </w:tc>
        <w:tc>
          <w:tcPr>
            <w:tcW w:w="1955" w:type="dxa"/>
          </w:tcPr>
          <w:p>
            <w:pPr>
              <w:pStyle w:val="CeldaAPA"/>
              <w:jc w:val="left"/>
            </w:pPr>
            <w:r>
              <w:rPr>
                <w:sz w:val="20"/>
                <w:szCs w:val="20"/>
              </w:rPr>
              <w:t xml:space="preserve">Contraflecha</w:t>
            </w:r>
          </w:p>
        </w:tc>
        <w:tc>
          <w:tcPr>
            <w:tcW w:w="2779" w:type="dxa"/>
          </w:tcPr>
          <w:p>
            <w:pPr>
              <w:pStyle w:val="CeldaAPA"/>
              <w:jc w:val="left"/>
            </w:pPr>
            <w:r>
              <w:rPr>
                <w:sz w:val="20"/>
                <w:szCs w:val="20"/>
              </w:rPr>
              <w:t xml:space="preserve">Según las instrucciones del fabricante</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jc w:val="left"/>
            </w:pPr>
            <w:r>
              <w:rPr>
                <w:sz w:val="20"/>
                <w:szCs w:val="20"/>
              </w:rPr>
              <w:t xml:space="preserve">Medida (mm):</w:t>
            </w:r>
          </w:p>
        </w:tc>
      </w:tr>
      <w:tr>
        <w:tc>
          <w:tcPr>
            <w:tcW w:w="9362" w:type="dxa"/>
            <w:gridSpan w:val="7"/>
          </w:tcPr>
          <w:p>
            <w:pPr>
              <w:pStyle w:val="CeldaAPA"/>
              <w:jc w:val="left"/>
            </w:pPr>
            <w:r>
              <w:rPr>
                <w:bCs/>
                <w:b/>
                <w:sz w:val="20"/>
                <w:szCs w:val="20"/>
              </w:rPr>
              <w:t xml:space="preserve">Liberación A</w:t>
            </w:r>
            <w:r>
              <w:rPr>
                <w:sz w:val="20"/>
                <w:szCs w:val="20"/>
              </w:rPr>
              <w:t xml:space="preserve"> </w:t>
            </w:r>
            <w:r>
              <w:rPr>
                <w:sz w:val="20"/>
                <w:szCs w:val="20"/>
              </w:rPr>
              <w:t xml:space="preserve">_________________ _________________ _________________ _________________</w:t>
            </w:r>
          </w:p>
        </w:tc>
      </w:tr>
      <w:tr>
        <w:tc>
          <w:tcPr>
            <w:tcW w:w="9362" w:type="dxa"/>
            <w:gridSpan w:val="7"/>
          </w:tcPr>
          <w:p>
            <w:pPr>
              <w:pStyle w:val="CeldaAPA"/>
              <w:jc w:val="left"/>
            </w:pPr>
            <w:r>
              <w:rPr>
                <w:bCs/>
                <w:b/>
                <w:sz w:val="20"/>
                <w:szCs w:val="20"/>
              </w:rPr>
              <w:t xml:space="preserve">B. Viguetas y complementos EPS — punto de aviso (W)</w:t>
            </w:r>
          </w:p>
        </w:tc>
      </w:tr>
      <w:tr>
        <w:tc>
          <w:tcPr>
            <w:tcW w:w="666" w:type="dxa"/>
          </w:tcPr>
          <w:p>
            <w:pPr>
              <w:pStyle w:val="CeldaAPA"/>
              <w:jc w:val="left"/>
            </w:pPr>
            <w:r>
              <w:rPr>
                <w:bCs/>
                <w:b/>
                <w:sz w:val="20"/>
                <w:szCs w:val="20"/>
              </w:rPr>
              <w:t xml:space="preserve">N.</w:t>
            </w:r>
            <w:r>
              <w:rPr>
                <w:vertAlign w:val="superscript"/>
                <w:bCs/>
                <w:b/>
                <w:sz w:val="20"/>
                <w:szCs w:val="20"/>
              </w:rPr>
              <w:t xml:space="preserve">o</w:t>
            </w:r>
          </w:p>
        </w:tc>
        <w:tc>
          <w:tcPr>
            <w:tcW w:w="1955" w:type="dxa"/>
          </w:tcPr>
          <w:p>
            <w:pPr>
              <w:pStyle w:val="CeldaAPA"/>
              <w:jc w:val="left"/>
            </w:pPr>
            <w:r>
              <w:rPr>
                <w:bCs/>
                <w:b/>
                <w:sz w:val="20"/>
                <w:szCs w:val="20"/>
              </w:rPr>
              <w:t xml:space="preserve">Punto de control</w:t>
            </w:r>
          </w:p>
        </w:tc>
        <w:tc>
          <w:tcPr>
            <w:tcW w:w="2779" w:type="dxa"/>
          </w:tcPr>
          <w:p>
            <w:pPr>
              <w:pStyle w:val="CeldaAPA"/>
              <w:jc w:val="left"/>
            </w:pPr>
            <w:r>
              <w:rPr>
                <w:bCs/>
                <w:b/>
                <w:sz w:val="20"/>
                <w:szCs w:val="20"/>
              </w:rPr>
              <w:t xml:space="preserve">Criterio de aceptación</w:t>
            </w:r>
          </w:p>
        </w:tc>
        <w:tc>
          <w:tcPr>
            <w:tcW w:w="461" w:type="dxa"/>
          </w:tcPr>
          <w:p>
            <w:pPr>
              <w:pStyle w:val="CeldaAPA"/>
              <w:jc w:val="center"/>
            </w:pPr>
            <w:r>
              <w:rPr>
                <w:bCs/>
                <w:b/>
                <w:sz w:val="20"/>
                <w:szCs w:val="20"/>
              </w:rPr>
              <w:t xml:space="preserve">C</w:t>
            </w:r>
          </w:p>
        </w:tc>
        <w:tc>
          <w:tcPr>
            <w:tcW w:w="650" w:type="dxa"/>
          </w:tcPr>
          <w:p>
            <w:pPr>
              <w:pStyle w:val="CeldaAPA"/>
              <w:jc w:val="center"/>
            </w:pPr>
            <w:r>
              <w:rPr>
                <w:bCs/>
                <w:b/>
                <w:sz w:val="20"/>
                <w:szCs w:val="20"/>
              </w:rPr>
              <w:t xml:space="preserve">NC</w:t>
            </w:r>
          </w:p>
        </w:tc>
        <w:tc>
          <w:tcPr>
            <w:tcW w:w="650" w:type="dxa"/>
          </w:tcPr>
          <w:p>
            <w:pPr>
              <w:pStyle w:val="CeldaAPA"/>
              <w:jc w:val="center"/>
            </w:pPr>
            <w:r>
              <w:rPr>
                <w:bCs/>
                <w:b/>
                <w:sz w:val="20"/>
                <w:szCs w:val="20"/>
              </w:rPr>
              <w:t xml:space="preserve">NA</w:t>
            </w:r>
          </w:p>
        </w:tc>
        <w:tc>
          <w:tcPr>
            <w:tcW w:w="2201" w:type="dxa"/>
          </w:tcPr>
          <w:p>
            <w:pPr>
              <w:pStyle w:val="CeldaAPA"/>
              <w:jc w:val="left"/>
            </w:pPr>
            <w:r>
              <w:rPr>
                <w:bCs/>
                <w:b/>
                <w:sz w:val="20"/>
                <w:szCs w:val="20"/>
              </w:rPr>
              <w:t xml:space="preserve">Observación o valor medido</w:t>
            </w:r>
          </w:p>
        </w:tc>
      </w:tr>
      <w:tr>
        <w:tc>
          <w:tcPr>
            <w:tcW w:w="666" w:type="dxa"/>
          </w:tcPr>
          <w:p>
            <w:pPr>
              <w:pStyle w:val="CeldaAPA"/>
              <w:jc w:val="left"/>
            </w:pPr>
            <w:r>
              <w:rPr>
                <w:sz w:val="20"/>
                <w:szCs w:val="20"/>
              </w:rPr>
              <w:t xml:space="preserve">B1</w:t>
            </w:r>
          </w:p>
        </w:tc>
        <w:tc>
          <w:tcPr>
            <w:tcW w:w="1955" w:type="dxa"/>
          </w:tcPr>
          <w:p>
            <w:pPr>
              <w:pStyle w:val="CeldaAPA"/>
              <w:jc w:val="left"/>
            </w:pPr>
            <w:r>
              <w:rPr>
                <w:sz w:val="20"/>
                <w:szCs w:val="20"/>
              </w:rPr>
              <w:t xml:space="preserve">Viguetas</w:t>
            </w:r>
          </w:p>
        </w:tc>
        <w:tc>
          <w:tcPr>
            <w:tcW w:w="2779" w:type="dxa"/>
          </w:tcPr>
          <w:p>
            <w:pPr>
              <w:pStyle w:val="CeldaAPA"/>
              <w:jc w:val="left"/>
            </w:pPr>
            <w:r>
              <w:rPr>
                <w:sz w:val="20"/>
                <w:szCs w:val="20"/>
              </w:rPr>
              <w:t xml:space="preserve">Número, tipo y longitud según el Plano 03; lote aceptado (ficha C.3)</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jc w:val="left"/>
            </w:pPr>
            <w:r>
              <w:rPr>
                <w:sz w:val="20"/>
                <w:szCs w:val="20"/>
              </w:rPr>
              <w:t xml:space="preserve">C.3 N.</w:t>
            </w:r>
            <w:r>
              <w:rPr>
                <w:vertAlign w:val="superscript"/>
                <w:sz w:val="20"/>
                <w:szCs w:val="20"/>
              </w:rPr>
              <w:t xml:space="preserve">o</w:t>
            </w:r>
            <w:r>
              <w:rPr>
                <w:sz w:val="20"/>
                <w:szCs w:val="20"/>
              </w:rPr>
              <w:t xml:space="preserve">:</w:t>
            </w:r>
          </w:p>
        </w:tc>
      </w:tr>
      <w:tr>
        <w:tc>
          <w:tcPr>
            <w:tcW w:w="666" w:type="dxa"/>
          </w:tcPr>
          <w:p>
            <w:pPr>
              <w:pStyle w:val="CeldaAPA"/>
              <w:jc w:val="left"/>
            </w:pPr>
            <w:r>
              <w:rPr>
                <w:sz w:val="20"/>
                <w:szCs w:val="20"/>
              </w:rPr>
              <w:t xml:space="preserve">B2</w:t>
            </w:r>
          </w:p>
        </w:tc>
        <w:tc>
          <w:tcPr>
            <w:tcW w:w="1955" w:type="dxa"/>
          </w:tcPr>
          <w:p>
            <w:pPr>
              <w:pStyle w:val="CeldaAPA"/>
              <w:jc w:val="left"/>
            </w:pPr>
            <w:r>
              <w:rPr>
                <w:sz w:val="20"/>
                <w:szCs w:val="20"/>
              </w:rPr>
              <w:t xml:space="preserve">Separación</w:t>
            </w:r>
          </w:p>
        </w:tc>
        <w:tc>
          <w:tcPr>
            <w:tcW w:w="2779" w:type="dxa"/>
          </w:tcPr>
          <w:p>
            <w:pPr>
              <w:pStyle w:val="CeldaAPA"/>
              <w:jc w:val="left"/>
            </w:pPr>
            <w:r>
              <w:rPr>
                <w:sz w:val="20"/>
                <w:szCs w:val="20"/>
              </w:rPr>
              <w:t xml:space="preserve">50 cm entre ejes</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pPr>
          </w:p>
        </w:tc>
      </w:tr>
      <w:tr>
        <w:tc>
          <w:tcPr>
            <w:tcW w:w="666" w:type="dxa"/>
          </w:tcPr>
          <w:p>
            <w:pPr>
              <w:pStyle w:val="CeldaAPA"/>
              <w:jc w:val="left"/>
            </w:pPr>
            <w:r>
              <w:rPr>
                <w:sz w:val="20"/>
                <w:szCs w:val="20"/>
              </w:rPr>
              <w:t xml:space="preserve">B3</w:t>
            </w:r>
          </w:p>
        </w:tc>
        <w:tc>
          <w:tcPr>
            <w:tcW w:w="1955" w:type="dxa"/>
          </w:tcPr>
          <w:p>
            <w:pPr>
              <w:pStyle w:val="CeldaAPA"/>
              <w:jc w:val="left"/>
            </w:pPr>
            <w:r>
              <w:rPr>
                <w:sz w:val="20"/>
                <w:szCs w:val="20"/>
              </w:rPr>
              <w:t xml:space="preserve">Apoyos</w:t>
            </w:r>
          </w:p>
        </w:tc>
        <w:tc>
          <w:tcPr>
            <w:tcW w:w="2779" w:type="dxa"/>
          </w:tcPr>
          <w:p>
            <w:pPr>
              <w:pStyle w:val="CeldaAPA"/>
              <w:jc w:val="left"/>
            </w:pPr>
            <m:oMath>
              <m:r>
                <m:rPr>
                  <m:sty m:val="p"/>
                </m:rPr>
                <m:t>≥</m:t>
              </m:r>
              <m:r>
                <m:t>5</m:t>
              </m:r>
            </m:oMath>
            <w:r>
              <w:rPr>
                <w:sz w:val="20"/>
                <w:szCs w:val="20"/>
              </w:rPr>
              <w:t xml:space="preserve"> cm si se vacía con la viga;</w:t>
            </w:r>
            <w:r>
              <w:rPr>
                <w:sz w:val="20"/>
                <w:szCs w:val="20"/>
              </w:rPr>
              <w:t xml:space="preserve"> </w:t>
            </w:r>
            <m:oMath>
              <m:r>
                <m:rPr>
                  <m:sty m:val="p"/>
                </m:rPr>
                <m:t>≥</m:t>
              </m:r>
              <m:r>
                <m:t>10</m:t>
              </m:r>
            </m:oMath>
            <w:r>
              <w:rPr>
                <w:sz w:val="20"/>
                <w:szCs w:val="20"/>
              </w:rPr>
              <w:t xml:space="preserve"> cm sobre viga ya vaciada</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jc w:val="left"/>
            </w:pPr>
            <w:r>
              <w:rPr>
                <w:sz w:val="20"/>
                <w:szCs w:val="20"/>
              </w:rPr>
              <w:t xml:space="preserve">Mínimo medido (cm):</w:t>
            </w:r>
          </w:p>
        </w:tc>
      </w:tr>
      <w:tr>
        <w:tc>
          <w:tcPr>
            <w:tcW w:w="666" w:type="dxa"/>
          </w:tcPr>
          <w:p>
            <w:pPr>
              <w:pStyle w:val="CeldaAPA"/>
              <w:jc w:val="left"/>
            </w:pPr>
            <w:r>
              <w:rPr>
                <w:sz w:val="20"/>
                <w:szCs w:val="20"/>
              </w:rPr>
              <w:t xml:space="preserve">B4</w:t>
            </w:r>
          </w:p>
        </w:tc>
        <w:tc>
          <w:tcPr>
            <w:tcW w:w="1955" w:type="dxa"/>
          </w:tcPr>
          <w:p>
            <w:pPr>
              <w:pStyle w:val="CeldaAPA"/>
              <w:jc w:val="left"/>
            </w:pPr>
            <w:r>
              <w:rPr>
                <w:sz w:val="20"/>
                <w:szCs w:val="20"/>
              </w:rPr>
              <w:t xml:space="preserve">Estado</w:t>
            </w:r>
          </w:p>
        </w:tc>
        <w:tc>
          <w:tcPr>
            <w:tcW w:w="2779" w:type="dxa"/>
          </w:tcPr>
          <w:p>
            <w:pPr>
              <w:pStyle w:val="CeldaAPA"/>
              <w:jc w:val="left"/>
            </w:pPr>
            <w:r>
              <w:rPr>
                <w:sz w:val="20"/>
                <w:szCs w:val="20"/>
              </w:rPr>
              <w:t xml:space="preserve">Sin fisuras, golpes ni flecha</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pPr>
          </w:p>
        </w:tc>
      </w:tr>
      <w:tr>
        <w:tc>
          <w:tcPr>
            <w:tcW w:w="666" w:type="dxa"/>
          </w:tcPr>
          <w:p>
            <w:pPr>
              <w:pStyle w:val="CeldaAPA"/>
              <w:jc w:val="left"/>
            </w:pPr>
            <w:r>
              <w:rPr>
                <w:sz w:val="20"/>
                <w:szCs w:val="20"/>
              </w:rPr>
              <w:t xml:space="preserve">B5</w:t>
            </w:r>
          </w:p>
        </w:tc>
        <w:tc>
          <w:tcPr>
            <w:tcW w:w="1955" w:type="dxa"/>
          </w:tcPr>
          <w:p>
            <w:pPr>
              <w:pStyle w:val="CeldaAPA"/>
              <w:jc w:val="left"/>
            </w:pPr>
            <w:r>
              <w:rPr>
                <w:sz w:val="20"/>
                <w:szCs w:val="20"/>
              </w:rPr>
              <w:t xml:space="preserve">Complementos EPS</w:t>
            </w:r>
          </w:p>
        </w:tc>
        <w:tc>
          <w:tcPr>
            <w:tcW w:w="2779" w:type="dxa"/>
          </w:tcPr>
          <w:p>
            <w:pPr>
              <w:pStyle w:val="CeldaAPA"/>
              <w:jc w:val="left"/>
            </w:pPr>
            <w:r>
              <w:rPr>
                <w:sz w:val="20"/>
                <w:szCs w:val="20"/>
              </w:rPr>
              <w:t xml:space="preserve">Geometría aprobada; piezas enteras y ajustadas; sin huecos; cortes solo en bordes y nervios</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jc w:val="left"/>
            </w:pPr>
            <w:r>
              <w:rPr>
                <w:sz w:val="20"/>
                <w:szCs w:val="20"/>
              </w:rPr>
              <w:t xml:space="preserve">Piezas colocadas:</w:t>
            </w:r>
          </w:p>
        </w:tc>
      </w:tr>
      <w:tr>
        <w:tc>
          <w:tcPr>
            <w:tcW w:w="666" w:type="dxa"/>
          </w:tcPr>
          <w:p>
            <w:pPr>
              <w:pStyle w:val="CeldaAPA"/>
              <w:jc w:val="left"/>
            </w:pPr>
            <w:r>
              <w:rPr>
                <w:sz w:val="20"/>
                <w:szCs w:val="20"/>
              </w:rPr>
              <w:t xml:space="preserve">B6</w:t>
            </w:r>
          </w:p>
        </w:tc>
        <w:tc>
          <w:tcPr>
            <w:tcW w:w="1955" w:type="dxa"/>
          </w:tcPr>
          <w:p>
            <w:pPr>
              <w:pStyle w:val="CeldaAPA"/>
              <w:jc w:val="left"/>
            </w:pPr>
            <w:r>
              <w:rPr>
                <w:sz w:val="20"/>
                <w:szCs w:val="20"/>
              </w:rPr>
              <w:t xml:space="preserve">Tránsito</w:t>
            </w:r>
          </w:p>
        </w:tc>
        <w:tc>
          <w:tcPr>
            <w:tcW w:w="2779" w:type="dxa"/>
          </w:tcPr>
          <w:p>
            <w:pPr>
              <w:pStyle w:val="CeldaAPA"/>
              <w:jc w:val="left"/>
            </w:pPr>
            <w:r>
              <w:rPr>
                <w:sz w:val="20"/>
                <w:szCs w:val="20"/>
              </w:rPr>
              <w:t xml:space="preserve">Tablones o pasarelas colocados; no se pisan las piezas</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pPr>
          </w:p>
        </w:tc>
      </w:tr>
      <w:tr>
        <w:tc>
          <w:tcPr>
            <w:tcW w:w="9362" w:type="dxa"/>
            <w:gridSpan w:val="7"/>
          </w:tcPr>
          <w:p>
            <w:pPr>
              <w:pStyle w:val="CeldaAPA"/>
              <w:jc w:val="left"/>
            </w:pPr>
            <w:r>
              <w:rPr>
                <w:bCs/>
                <w:b/>
                <w:sz w:val="20"/>
                <w:szCs w:val="20"/>
              </w:rPr>
              <w:t xml:space="preserve">Conformidad B</w:t>
            </w:r>
            <w:r>
              <w:rPr>
                <w:sz w:val="20"/>
                <w:szCs w:val="20"/>
              </w:rPr>
              <w:t xml:space="preserve"> </w:t>
            </w:r>
            <w:r>
              <w:rPr>
                <w:sz w:val="20"/>
                <w:szCs w:val="20"/>
              </w:rPr>
              <w:t xml:space="preserve">_________________ _________________ _________________</w:t>
            </w:r>
          </w:p>
        </w:tc>
      </w:tr>
      <w:tr>
        <w:tc>
          <w:tcPr>
            <w:tcW w:w="9362" w:type="dxa"/>
            <w:gridSpan w:val="7"/>
          </w:tcPr>
          <w:p>
            <w:pPr>
              <w:pStyle w:val="CeldaAPA"/>
              <w:jc w:val="left"/>
            </w:pPr>
            <w:r>
              <w:rPr>
                <w:bCs/>
                <w:b/>
                <w:sz w:val="20"/>
                <w:szCs w:val="20"/>
              </w:rPr>
              <w:t xml:space="preserve">C. Nervios, armadura de distribución, negativos y continuidad — punto de espera (H)</w:t>
            </w:r>
          </w:p>
        </w:tc>
      </w:tr>
      <w:tr>
        <w:tc>
          <w:tcPr>
            <w:tcW w:w="666" w:type="dxa"/>
          </w:tcPr>
          <w:p>
            <w:pPr>
              <w:pStyle w:val="CeldaAPA"/>
              <w:jc w:val="left"/>
            </w:pPr>
            <w:r>
              <w:rPr>
                <w:bCs/>
                <w:b/>
                <w:sz w:val="20"/>
                <w:szCs w:val="20"/>
              </w:rPr>
              <w:t xml:space="preserve">N.</w:t>
            </w:r>
            <w:r>
              <w:rPr>
                <w:vertAlign w:val="superscript"/>
                <w:bCs/>
                <w:b/>
                <w:sz w:val="20"/>
                <w:szCs w:val="20"/>
              </w:rPr>
              <w:t xml:space="preserve">o</w:t>
            </w:r>
          </w:p>
        </w:tc>
        <w:tc>
          <w:tcPr>
            <w:tcW w:w="1955" w:type="dxa"/>
          </w:tcPr>
          <w:p>
            <w:pPr>
              <w:pStyle w:val="CeldaAPA"/>
              <w:jc w:val="left"/>
            </w:pPr>
            <w:r>
              <w:rPr>
                <w:bCs/>
                <w:b/>
                <w:sz w:val="20"/>
                <w:szCs w:val="20"/>
              </w:rPr>
              <w:t xml:space="preserve">Punto de control</w:t>
            </w:r>
          </w:p>
        </w:tc>
        <w:tc>
          <w:tcPr>
            <w:tcW w:w="2779" w:type="dxa"/>
          </w:tcPr>
          <w:p>
            <w:pPr>
              <w:pStyle w:val="CeldaAPA"/>
              <w:jc w:val="left"/>
            </w:pPr>
            <w:r>
              <w:rPr>
                <w:bCs/>
                <w:b/>
                <w:sz w:val="20"/>
                <w:szCs w:val="20"/>
              </w:rPr>
              <w:t xml:space="preserve">Criterio de aceptación</w:t>
            </w:r>
          </w:p>
        </w:tc>
        <w:tc>
          <w:tcPr>
            <w:tcW w:w="461" w:type="dxa"/>
          </w:tcPr>
          <w:p>
            <w:pPr>
              <w:pStyle w:val="CeldaAPA"/>
              <w:jc w:val="center"/>
            </w:pPr>
            <w:r>
              <w:rPr>
                <w:bCs/>
                <w:b/>
                <w:sz w:val="20"/>
                <w:szCs w:val="20"/>
              </w:rPr>
              <w:t xml:space="preserve">C</w:t>
            </w:r>
          </w:p>
        </w:tc>
        <w:tc>
          <w:tcPr>
            <w:tcW w:w="650" w:type="dxa"/>
          </w:tcPr>
          <w:p>
            <w:pPr>
              <w:pStyle w:val="CeldaAPA"/>
              <w:jc w:val="center"/>
            </w:pPr>
            <w:r>
              <w:rPr>
                <w:bCs/>
                <w:b/>
                <w:sz w:val="20"/>
                <w:szCs w:val="20"/>
              </w:rPr>
              <w:t xml:space="preserve">NC</w:t>
            </w:r>
          </w:p>
        </w:tc>
        <w:tc>
          <w:tcPr>
            <w:tcW w:w="650" w:type="dxa"/>
          </w:tcPr>
          <w:p>
            <w:pPr>
              <w:pStyle w:val="CeldaAPA"/>
              <w:jc w:val="center"/>
            </w:pPr>
            <w:r>
              <w:rPr>
                <w:bCs/>
                <w:b/>
                <w:sz w:val="20"/>
                <w:szCs w:val="20"/>
              </w:rPr>
              <w:t xml:space="preserve">NA</w:t>
            </w:r>
          </w:p>
        </w:tc>
        <w:tc>
          <w:tcPr>
            <w:tcW w:w="2201" w:type="dxa"/>
          </w:tcPr>
          <w:p>
            <w:pPr>
              <w:pStyle w:val="CeldaAPA"/>
              <w:jc w:val="left"/>
            </w:pPr>
            <w:r>
              <w:rPr>
                <w:bCs/>
                <w:b/>
                <w:sz w:val="20"/>
                <w:szCs w:val="20"/>
              </w:rPr>
              <w:t xml:space="preserve">Observación o valor medido</w:t>
            </w:r>
          </w:p>
        </w:tc>
      </w:tr>
      <w:tr>
        <w:tc>
          <w:tcPr>
            <w:tcW w:w="666" w:type="dxa"/>
          </w:tcPr>
          <w:p>
            <w:pPr>
              <w:pStyle w:val="CeldaAPA"/>
              <w:jc w:val="left"/>
            </w:pPr>
            <w:r>
              <w:rPr>
                <w:sz w:val="20"/>
                <w:szCs w:val="20"/>
              </w:rPr>
              <w:t xml:space="preserve">C1</w:t>
            </w:r>
          </w:p>
        </w:tc>
        <w:tc>
          <w:tcPr>
            <w:tcW w:w="1955" w:type="dxa"/>
          </w:tcPr>
          <w:p>
            <w:pPr>
              <w:pStyle w:val="CeldaAPA"/>
              <w:jc w:val="left"/>
            </w:pPr>
            <w:r>
              <w:rPr>
                <w:sz w:val="20"/>
                <w:szCs w:val="20"/>
              </w:rPr>
              <w:t xml:space="preserve">Nervios transversales</w:t>
            </w:r>
          </w:p>
        </w:tc>
        <w:tc>
          <w:tcPr>
            <w:tcW w:w="2779" w:type="dxa"/>
          </w:tcPr>
          <w:p>
            <w:pPr>
              <w:pStyle w:val="CeldaAPA"/>
              <w:jc w:val="left"/>
            </w:pPr>
            <w:r>
              <w:rPr>
                <w:sz w:val="20"/>
                <w:szCs w:val="20"/>
              </w:rPr>
              <w:t xml:space="preserve">Ubicación y dimensiones según el Plano 02</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pPr>
          </w:p>
        </w:tc>
      </w:tr>
      <w:tr>
        <w:tc>
          <w:tcPr>
            <w:tcW w:w="666" w:type="dxa"/>
          </w:tcPr>
          <w:p>
            <w:pPr>
              <w:pStyle w:val="CeldaAPA"/>
              <w:jc w:val="left"/>
            </w:pPr>
            <w:r>
              <w:rPr>
                <w:sz w:val="20"/>
                <w:szCs w:val="20"/>
              </w:rPr>
              <w:t xml:space="preserve">C2</w:t>
            </w:r>
          </w:p>
        </w:tc>
        <w:tc>
          <w:tcPr>
            <w:tcW w:w="1955" w:type="dxa"/>
          </w:tcPr>
          <w:p>
            <w:pPr>
              <w:pStyle w:val="CeldaAPA"/>
              <w:jc w:val="left"/>
            </w:pPr>
            <w:r>
              <w:rPr>
                <w:sz w:val="20"/>
                <w:szCs w:val="20"/>
              </w:rPr>
              <w:t xml:space="preserve">Armadura de nervios</w:t>
            </w:r>
          </w:p>
        </w:tc>
        <w:tc>
          <w:tcPr>
            <w:tcW w:w="2779" w:type="dxa"/>
          </w:tcPr>
          <w:p>
            <w:pPr>
              <w:pStyle w:val="CeldaAPA"/>
              <w:jc w:val="left"/>
            </w:pPr>
            <w:r>
              <w:rPr>
                <w:sz w:val="20"/>
                <w:szCs w:val="20"/>
              </w:rPr>
              <w:t xml:space="preserve">Según planos: número, diámetro y longitud</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pPr>
          </w:p>
        </w:tc>
      </w:tr>
      <w:tr>
        <w:tc>
          <w:tcPr>
            <w:tcW w:w="666" w:type="dxa"/>
          </w:tcPr>
          <w:p>
            <w:pPr>
              <w:pStyle w:val="CeldaAPA"/>
              <w:jc w:val="left"/>
            </w:pPr>
            <w:r>
              <w:rPr>
                <w:sz w:val="20"/>
                <w:szCs w:val="20"/>
              </w:rPr>
              <w:t xml:space="preserve">C3</w:t>
            </w:r>
          </w:p>
        </w:tc>
        <w:tc>
          <w:tcPr>
            <w:tcW w:w="1955" w:type="dxa"/>
          </w:tcPr>
          <w:p>
            <w:pPr>
              <w:pStyle w:val="CeldaAPA"/>
              <w:jc w:val="left"/>
            </w:pPr>
            <w:r>
              <w:rPr>
                <w:sz w:val="20"/>
                <w:szCs w:val="20"/>
              </w:rPr>
              <w:t xml:space="preserve">Parrilla</w:t>
            </w:r>
          </w:p>
        </w:tc>
        <w:tc>
          <w:tcPr>
            <w:tcW w:w="2779" w:type="dxa"/>
          </w:tcPr>
          <w:p>
            <w:pPr>
              <w:pStyle w:val="CeldaAPA"/>
              <w:jc w:val="left"/>
            </w:pPr>
            <m:oMath>
              <m:r>
                <m:t>ϕ</m:t>
              </m:r>
            </m:oMath>
            <w:r>
              <w:rPr>
                <w:sz w:val="20"/>
                <w:szCs w:val="20"/>
              </w:rPr>
              <w:t xml:space="preserve">6 c/20 cm en ambas direcciones (Plano 02)</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jc w:val="left"/>
            </w:pPr>
            <w:r>
              <w:rPr>
                <w:sz w:val="20"/>
                <w:szCs w:val="20"/>
              </w:rPr>
              <w:t xml:space="preserve">Separación medida (cm):</w:t>
            </w:r>
          </w:p>
        </w:tc>
      </w:tr>
      <w:tr>
        <w:tc>
          <w:tcPr>
            <w:tcW w:w="666" w:type="dxa"/>
          </w:tcPr>
          <w:p>
            <w:pPr>
              <w:pStyle w:val="CeldaAPA"/>
              <w:jc w:val="left"/>
            </w:pPr>
            <w:r>
              <w:rPr>
                <w:sz w:val="20"/>
                <w:szCs w:val="20"/>
              </w:rPr>
              <w:t xml:space="preserve">C4</w:t>
            </w:r>
          </w:p>
        </w:tc>
        <w:tc>
          <w:tcPr>
            <w:tcW w:w="1955" w:type="dxa"/>
          </w:tcPr>
          <w:p>
            <w:pPr>
              <w:pStyle w:val="CeldaAPA"/>
              <w:jc w:val="left"/>
            </w:pPr>
            <w:r>
              <w:rPr>
                <w:sz w:val="20"/>
                <w:szCs w:val="20"/>
              </w:rPr>
              <w:t xml:space="preserve">Negativos y continuidad</w:t>
            </w:r>
          </w:p>
        </w:tc>
        <w:tc>
          <w:tcPr>
            <w:tcW w:w="2779" w:type="dxa"/>
          </w:tcPr>
          <w:p>
            <w:pPr>
              <w:pStyle w:val="CeldaAPA"/>
              <w:jc w:val="left"/>
            </w:pPr>
            <w:r>
              <w:rPr>
                <w:sz w:val="20"/>
                <w:szCs w:val="20"/>
              </w:rPr>
              <w:t xml:space="preserve">Según planos y lo exigido por el fabricante de viguetas</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pPr>
          </w:p>
        </w:tc>
      </w:tr>
      <w:tr>
        <w:tc>
          <w:tcPr>
            <w:tcW w:w="666" w:type="dxa"/>
          </w:tcPr>
          <w:p>
            <w:pPr>
              <w:pStyle w:val="CeldaAPA"/>
              <w:jc w:val="left"/>
            </w:pPr>
            <w:r>
              <w:rPr>
                <w:sz w:val="20"/>
                <w:szCs w:val="20"/>
              </w:rPr>
              <w:t xml:space="preserve">C5</w:t>
            </w:r>
          </w:p>
        </w:tc>
        <w:tc>
          <w:tcPr>
            <w:tcW w:w="1955" w:type="dxa"/>
          </w:tcPr>
          <w:p>
            <w:pPr>
              <w:pStyle w:val="CeldaAPA"/>
              <w:jc w:val="left"/>
            </w:pPr>
            <w:r>
              <w:rPr>
                <w:sz w:val="20"/>
                <w:szCs w:val="20"/>
              </w:rPr>
              <w:t xml:space="preserve">Separadores y recubrimiento</w:t>
            </w:r>
          </w:p>
        </w:tc>
        <w:tc>
          <w:tcPr>
            <w:tcW w:w="2779" w:type="dxa"/>
          </w:tcPr>
          <w:p>
            <w:pPr>
              <w:pStyle w:val="CeldaAPA"/>
              <w:jc w:val="left"/>
            </w:pPr>
            <w:r>
              <w:rPr>
                <w:sz w:val="20"/>
                <w:szCs w:val="20"/>
              </w:rPr>
              <w:t xml:space="preserve">Parrilla separada del EPS; separadores suficientes; recubrimiento según planos</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jc w:val="left"/>
            </w:pPr>
            <w:r>
              <w:rPr>
                <w:sz w:val="20"/>
                <w:szCs w:val="20"/>
              </w:rPr>
              <w:t xml:space="preserve">Recubrimiento (cm):</w:t>
            </w:r>
          </w:p>
        </w:tc>
      </w:tr>
      <w:tr>
        <w:tc>
          <w:tcPr>
            <w:tcW w:w="666" w:type="dxa"/>
          </w:tcPr>
          <w:p>
            <w:pPr>
              <w:pStyle w:val="CeldaAPA"/>
              <w:jc w:val="left"/>
            </w:pPr>
            <w:r>
              <w:rPr>
                <w:sz w:val="20"/>
                <w:szCs w:val="20"/>
              </w:rPr>
              <w:t xml:space="preserve">C6</w:t>
            </w:r>
          </w:p>
        </w:tc>
        <w:tc>
          <w:tcPr>
            <w:tcW w:w="1955" w:type="dxa"/>
          </w:tcPr>
          <w:p>
            <w:pPr>
              <w:pStyle w:val="CeldaAPA"/>
              <w:jc w:val="left"/>
            </w:pPr>
            <w:r>
              <w:rPr>
                <w:sz w:val="20"/>
                <w:szCs w:val="20"/>
              </w:rPr>
              <w:t xml:space="preserve">Amarres y limpieza</w:t>
            </w:r>
          </w:p>
        </w:tc>
        <w:tc>
          <w:tcPr>
            <w:tcW w:w="2779" w:type="dxa"/>
          </w:tcPr>
          <w:p>
            <w:pPr>
              <w:pStyle w:val="CeldaAPA"/>
              <w:jc w:val="left"/>
            </w:pPr>
            <w:r>
              <w:rPr>
                <w:sz w:val="20"/>
                <w:szCs w:val="20"/>
              </w:rPr>
              <w:t xml:space="preserve">Empalmes y amarres completos; barras sin barro, aceite ni óxido suelto</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pPr>
          </w:p>
        </w:tc>
      </w:tr>
      <w:tr>
        <w:tc>
          <w:tcPr>
            <w:tcW w:w="666" w:type="dxa"/>
          </w:tcPr>
          <w:p>
            <w:pPr>
              <w:pStyle w:val="CeldaAPA"/>
              <w:jc w:val="left"/>
            </w:pPr>
            <w:r>
              <w:rPr>
                <w:sz w:val="20"/>
                <w:szCs w:val="20"/>
              </w:rPr>
              <w:t xml:space="preserve">C7</w:t>
            </w:r>
          </w:p>
        </w:tc>
        <w:tc>
          <w:tcPr>
            <w:tcW w:w="1955" w:type="dxa"/>
          </w:tcPr>
          <w:p>
            <w:pPr>
              <w:pStyle w:val="CeldaAPA"/>
              <w:jc w:val="left"/>
            </w:pPr>
            <w:r>
              <w:rPr>
                <w:sz w:val="20"/>
                <w:szCs w:val="20"/>
              </w:rPr>
              <w:t xml:space="preserve">Trazabilidad del acero</w:t>
            </w:r>
          </w:p>
        </w:tc>
        <w:tc>
          <w:tcPr>
            <w:tcW w:w="2779" w:type="dxa"/>
          </w:tcPr>
          <w:p>
            <w:pPr>
              <w:pStyle w:val="CeldaAPA"/>
              <w:jc w:val="left"/>
            </w:pPr>
            <w:r>
              <w:rPr>
                <w:sz w:val="20"/>
                <w:szCs w:val="20"/>
              </w:rPr>
              <w:t xml:space="preserve">Certificado por colada y diámetro aceptado (ficha C.3)</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jc w:val="left"/>
            </w:pPr>
            <w:r>
              <w:rPr>
                <w:sz w:val="20"/>
                <w:szCs w:val="20"/>
              </w:rPr>
              <w:t xml:space="preserve">C.3 N.</w:t>
            </w:r>
            <w:r>
              <w:rPr>
                <w:vertAlign w:val="superscript"/>
                <w:sz w:val="20"/>
                <w:szCs w:val="20"/>
              </w:rPr>
              <w:t xml:space="preserve">o</w:t>
            </w:r>
            <w:r>
              <w:rPr>
                <w:sz w:val="20"/>
                <w:szCs w:val="20"/>
              </w:rPr>
              <w:t xml:space="preserve">:</w:t>
            </w:r>
          </w:p>
        </w:tc>
      </w:tr>
      <w:tr>
        <w:tc>
          <w:tcPr>
            <w:tcW w:w="9362" w:type="dxa"/>
            <w:gridSpan w:val="7"/>
          </w:tcPr>
          <w:p>
            <w:pPr>
              <w:pStyle w:val="CeldaAPA"/>
              <w:jc w:val="left"/>
            </w:pPr>
            <w:r>
              <w:rPr>
                <w:bCs/>
                <w:b/>
                <w:sz w:val="20"/>
                <w:szCs w:val="20"/>
              </w:rPr>
              <w:t xml:space="preserve">Liberación C</w:t>
            </w:r>
            <w:r>
              <w:rPr>
                <w:sz w:val="20"/>
                <w:szCs w:val="20"/>
              </w:rPr>
              <w:t xml:space="preserve"> </w:t>
            </w:r>
            <w:r>
              <w:rPr>
                <w:sz w:val="20"/>
                <w:szCs w:val="20"/>
              </w:rPr>
              <w:t xml:space="preserve">_________________ _________________ _________________ _________________</w:t>
            </w:r>
          </w:p>
        </w:tc>
      </w:tr>
      <w:tr>
        <w:tc>
          <w:tcPr>
            <w:tcW w:w="9362" w:type="dxa"/>
            <w:gridSpan w:val="7"/>
          </w:tcPr>
          <w:p>
            <w:pPr>
              <w:pStyle w:val="CeldaAPA"/>
              <w:jc w:val="left"/>
            </w:pPr>
            <w:r>
              <w:rPr>
                <w:bCs/>
                <w:b/>
                <w:sz w:val="20"/>
                <w:szCs w:val="20"/>
              </w:rPr>
              <w:t xml:space="preserve">D. Instalaciones embebidas — punto de aviso (W)</w:t>
            </w:r>
          </w:p>
        </w:tc>
      </w:tr>
      <w:tr>
        <w:tc>
          <w:tcPr>
            <w:tcW w:w="666" w:type="dxa"/>
          </w:tcPr>
          <w:p>
            <w:pPr>
              <w:pStyle w:val="CeldaAPA"/>
              <w:jc w:val="left"/>
            </w:pPr>
            <w:r>
              <w:rPr>
                <w:bCs/>
                <w:b/>
                <w:sz w:val="20"/>
                <w:szCs w:val="20"/>
              </w:rPr>
              <w:t xml:space="preserve">N.</w:t>
            </w:r>
            <w:r>
              <w:rPr>
                <w:vertAlign w:val="superscript"/>
                <w:bCs/>
                <w:b/>
                <w:sz w:val="20"/>
                <w:szCs w:val="20"/>
              </w:rPr>
              <w:t xml:space="preserve">o</w:t>
            </w:r>
          </w:p>
        </w:tc>
        <w:tc>
          <w:tcPr>
            <w:tcW w:w="1955" w:type="dxa"/>
          </w:tcPr>
          <w:p>
            <w:pPr>
              <w:pStyle w:val="CeldaAPA"/>
              <w:jc w:val="left"/>
            </w:pPr>
            <w:r>
              <w:rPr>
                <w:bCs/>
                <w:b/>
                <w:sz w:val="20"/>
                <w:szCs w:val="20"/>
              </w:rPr>
              <w:t xml:space="preserve">Punto de control</w:t>
            </w:r>
          </w:p>
        </w:tc>
        <w:tc>
          <w:tcPr>
            <w:tcW w:w="2779" w:type="dxa"/>
          </w:tcPr>
          <w:p>
            <w:pPr>
              <w:pStyle w:val="CeldaAPA"/>
              <w:jc w:val="left"/>
            </w:pPr>
            <w:r>
              <w:rPr>
                <w:bCs/>
                <w:b/>
                <w:sz w:val="20"/>
                <w:szCs w:val="20"/>
              </w:rPr>
              <w:t xml:space="preserve">Criterio de aceptación</w:t>
            </w:r>
          </w:p>
        </w:tc>
        <w:tc>
          <w:tcPr>
            <w:tcW w:w="461" w:type="dxa"/>
          </w:tcPr>
          <w:p>
            <w:pPr>
              <w:pStyle w:val="CeldaAPA"/>
              <w:jc w:val="center"/>
            </w:pPr>
            <w:r>
              <w:rPr>
                <w:bCs/>
                <w:b/>
                <w:sz w:val="20"/>
                <w:szCs w:val="20"/>
              </w:rPr>
              <w:t xml:space="preserve">C</w:t>
            </w:r>
          </w:p>
        </w:tc>
        <w:tc>
          <w:tcPr>
            <w:tcW w:w="650" w:type="dxa"/>
          </w:tcPr>
          <w:p>
            <w:pPr>
              <w:pStyle w:val="CeldaAPA"/>
              <w:jc w:val="center"/>
            </w:pPr>
            <w:r>
              <w:rPr>
                <w:bCs/>
                <w:b/>
                <w:sz w:val="20"/>
                <w:szCs w:val="20"/>
              </w:rPr>
              <w:t xml:space="preserve">NC</w:t>
            </w:r>
          </w:p>
        </w:tc>
        <w:tc>
          <w:tcPr>
            <w:tcW w:w="650" w:type="dxa"/>
          </w:tcPr>
          <w:p>
            <w:pPr>
              <w:pStyle w:val="CeldaAPA"/>
              <w:jc w:val="center"/>
            </w:pPr>
            <w:r>
              <w:rPr>
                <w:bCs/>
                <w:b/>
                <w:sz w:val="20"/>
                <w:szCs w:val="20"/>
              </w:rPr>
              <w:t xml:space="preserve">NA</w:t>
            </w:r>
          </w:p>
        </w:tc>
        <w:tc>
          <w:tcPr>
            <w:tcW w:w="2201" w:type="dxa"/>
          </w:tcPr>
          <w:p>
            <w:pPr>
              <w:pStyle w:val="CeldaAPA"/>
              <w:jc w:val="left"/>
            </w:pPr>
            <w:r>
              <w:rPr>
                <w:bCs/>
                <w:b/>
                <w:sz w:val="20"/>
                <w:szCs w:val="20"/>
              </w:rPr>
              <w:t xml:space="preserve">Observación o valor medido</w:t>
            </w:r>
          </w:p>
        </w:tc>
      </w:tr>
      <w:tr>
        <w:tc>
          <w:tcPr>
            <w:tcW w:w="666" w:type="dxa"/>
          </w:tcPr>
          <w:p>
            <w:pPr>
              <w:pStyle w:val="CeldaAPA"/>
              <w:jc w:val="left"/>
            </w:pPr>
            <w:r>
              <w:rPr>
                <w:sz w:val="20"/>
                <w:szCs w:val="20"/>
              </w:rPr>
              <w:t xml:space="preserve">D1</w:t>
            </w:r>
          </w:p>
        </w:tc>
        <w:tc>
          <w:tcPr>
            <w:tcW w:w="1955" w:type="dxa"/>
          </w:tcPr>
          <w:p>
            <w:pPr>
              <w:pStyle w:val="CeldaAPA"/>
              <w:jc w:val="left"/>
            </w:pPr>
            <w:r>
              <w:rPr>
                <w:sz w:val="20"/>
                <w:szCs w:val="20"/>
              </w:rPr>
              <w:t xml:space="preserve">Eléctricas</w:t>
            </w:r>
          </w:p>
        </w:tc>
        <w:tc>
          <w:tcPr>
            <w:tcW w:w="2779" w:type="dxa"/>
          </w:tcPr>
          <w:p>
            <w:pPr>
              <w:pStyle w:val="CeldaAPA"/>
              <w:jc w:val="left"/>
            </w:pPr>
            <w:r>
              <w:rPr>
                <w:sz w:val="20"/>
                <w:szCs w:val="20"/>
              </w:rPr>
              <w:t xml:space="preserve">Ductos y cajas según planos de instalaciones</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pPr>
          </w:p>
        </w:tc>
      </w:tr>
      <w:tr>
        <w:tc>
          <w:tcPr>
            <w:tcW w:w="666" w:type="dxa"/>
          </w:tcPr>
          <w:p>
            <w:pPr>
              <w:pStyle w:val="CeldaAPA"/>
              <w:jc w:val="left"/>
            </w:pPr>
            <w:r>
              <w:rPr>
                <w:sz w:val="20"/>
                <w:szCs w:val="20"/>
              </w:rPr>
              <w:t xml:space="preserve">D2</w:t>
            </w:r>
          </w:p>
        </w:tc>
        <w:tc>
          <w:tcPr>
            <w:tcW w:w="1955" w:type="dxa"/>
          </w:tcPr>
          <w:p>
            <w:pPr>
              <w:pStyle w:val="CeldaAPA"/>
              <w:jc w:val="left"/>
            </w:pPr>
            <w:r>
              <w:rPr>
                <w:sz w:val="20"/>
                <w:szCs w:val="20"/>
              </w:rPr>
              <w:t xml:space="preserve">Sanitarias y pases</w:t>
            </w:r>
          </w:p>
        </w:tc>
        <w:tc>
          <w:tcPr>
            <w:tcW w:w="2779" w:type="dxa"/>
          </w:tcPr>
          <w:p>
            <w:pPr>
              <w:pStyle w:val="CeldaAPA"/>
              <w:jc w:val="left"/>
            </w:pPr>
            <w:r>
              <w:rPr>
                <w:sz w:val="20"/>
                <w:szCs w:val="20"/>
              </w:rPr>
              <w:t xml:space="preserve">Según planos; pases sellados</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pPr>
          </w:p>
        </w:tc>
      </w:tr>
      <w:tr>
        <w:tc>
          <w:tcPr>
            <w:tcW w:w="666" w:type="dxa"/>
          </w:tcPr>
          <w:p>
            <w:pPr>
              <w:pStyle w:val="CeldaAPA"/>
              <w:jc w:val="left"/>
            </w:pPr>
            <w:r>
              <w:rPr>
                <w:sz w:val="20"/>
                <w:szCs w:val="20"/>
              </w:rPr>
              <w:t xml:space="preserve">D3</w:t>
            </w:r>
          </w:p>
        </w:tc>
        <w:tc>
          <w:tcPr>
            <w:tcW w:w="1955" w:type="dxa"/>
          </w:tcPr>
          <w:p>
            <w:pPr>
              <w:pStyle w:val="CeldaAPA"/>
              <w:jc w:val="left"/>
            </w:pPr>
            <w:r>
              <w:rPr>
                <w:sz w:val="20"/>
                <w:szCs w:val="20"/>
              </w:rPr>
              <w:t xml:space="preserve">Integridad</w:t>
            </w:r>
          </w:p>
        </w:tc>
        <w:tc>
          <w:tcPr>
            <w:tcW w:w="2779" w:type="dxa"/>
          </w:tcPr>
          <w:p>
            <w:pPr>
              <w:pStyle w:val="CeldaAPA"/>
              <w:jc w:val="left"/>
            </w:pPr>
            <w:r>
              <w:rPr>
                <w:sz w:val="20"/>
                <w:szCs w:val="20"/>
              </w:rPr>
              <w:t xml:space="preserve">Sin cortes en viguetas ni en nervios</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pPr>
          </w:p>
        </w:tc>
      </w:tr>
      <w:tr>
        <w:tc>
          <w:tcPr>
            <w:tcW w:w="9362" w:type="dxa"/>
            <w:gridSpan w:val="7"/>
          </w:tcPr>
          <w:p>
            <w:pPr>
              <w:pStyle w:val="CeldaAPA"/>
              <w:jc w:val="left"/>
            </w:pPr>
            <w:r>
              <w:rPr>
                <w:bCs/>
                <w:b/>
                <w:sz w:val="20"/>
                <w:szCs w:val="20"/>
              </w:rPr>
              <w:t xml:space="preserve">Conformidad D</w:t>
            </w:r>
            <w:r>
              <w:rPr>
                <w:sz w:val="20"/>
                <w:szCs w:val="20"/>
              </w:rPr>
              <w:t xml:space="preserve"> </w:t>
            </w:r>
            <w:r>
              <w:rPr>
                <w:sz w:val="20"/>
                <w:szCs w:val="20"/>
              </w:rPr>
              <w:t xml:space="preserve">_________________ _________________ _________________</w:t>
            </w:r>
          </w:p>
        </w:tc>
      </w:tr>
      <w:tr>
        <w:tc>
          <w:tcPr>
            <w:tcW w:w="9362" w:type="dxa"/>
            <w:gridSpan w:val="7"/>
          </w:tcPr>
          <w:p>
            <w:pPr>
              <w:pStyle w:val="CeldaAPA"/>
              <w:jc w:val="left"/>
            </w:pPr>
            <w:r>
              <w:rPr>
                <w:bCs/>
                <w:b/>
                <w:sz w:val="20"/>
                <w:szCs w:val="20"/>
              </w:rPr>
              <w:t xml:space="preserve">E. Liberación para el vaciado y control del vaciado — punto de espera (H)</w:t>
            </w:r>
          </w:p>
        </w:tc>
      </w:tr>
      <w:tr>
        <w:tc>
          <w:tcPr>
            <w:tcW w:w="666" w:type="dxa"/>
          </w:tcPr>
          <w:p>
            <w:pPr>
              <w:pStyle w:val="CeldaAPA"/>
              <w:jc w:val="left"/>
            </w:pPr>
            <w:r>
              <w:rPr>
                <w:bCs/>
                <w:b/>
                <w:sz w:val="20"/>
                <w:szCs w:val="20"/>
              </w:rPr>
              <w:t xml:space="preserve">N.</w:t>
            </w:r>
            <w:r>
              <w:rPr>
                <w:vertAlign w:val="superscript"/>
                <w:bCs/>
                <w:b/>
                <w:sz w:val="20"/>
                <w:szCs w:val="20"/>
              </w:rPr>
              <w:t xml:space="preserve">o</w:t>
            </w:r>
          </w:p>
        </w:tc>
        <w:tc>
          <w:tcPr>
            <w:tcW w:w="1955" w:type="dxa"/>
          </w:tcPr>
          <w:p>
            <w:pPr>
              <w:pStyle w:val="CeldaAPA"/>
              <w:jc w:val="left"/>
            </w:pPr>
            <w:r>
              <w:rPr>
                <w:bCs/>
                <w:b/>
                <w:sz w:val="20"/>
                <w:szCs w:val="20"/>
              </w:rPr>
              <w:t xml:space="preserve">Punto de control</w:t>
            </w:r>
          </w:p>
        </w:tc>
        <w:tc>
          <w:tcPr>
            <w:tcW w:w="2779" w:type="dxa"/>
          </w:tcPr>
          <w:p>
            <w:pPr>
              <w:pStyle w:val="CeldaAPA"/>
              <w:jc w:val="left"/>
            </w:pPr>
            <w:r>
              <w:rPr>
                <w:bCs/>
                <w:b/>
                <w:sz w:val="20"/>
                <w:szCs w:val="20"/>
              </w:rPr>
              <w:t xml:space="preserve">Criterio de aceptación</w:t>
            </w:r>
          </w:p>
        </w:tc>
        <w:tc>
          <w:tcPr>
            <w:tcW w:w="461" w:type="dxa"/>
          </w:tcPr>
          <w:p>
            <w:pPr>
              <w:pStyle w:val="CeldaAPA"/>
              <w:jc w:val="center"/>
            </w:pPr>
            <w:r>
              <w:rPr>
                <w:bCs/>
                <w:b/>
                <w:sz w:val="20"/>
                <w:szCs w:val="20"/>
              </w:rPr>
              <w:t xml:space="preserve">C</w:t>
            </w:r>
          </w:p>
        </w:tc>
        <w:tc>
          <w:tcPr>
            <w:tcW w:w="650" w:type="dxa"/>
          </w:tcPr>
          <w:p>
            <w:pPr>
              <w:pStyle w:val="CeldaAPA"/>
              <w:jc w:val="center"/>
            </w:pPr>
            <w:r>
              <w:rPr>
                <w:bCs/>
                <w:b/>
                <w:sz w:val="20"/>
                <w:szCs w:val="20"/>
              </w:rPr>
              <w:t xml:space="preserve">NC</w:t>
            </w:r>
          </w:p>
        </w:tc>
        <w:tc>
          <w:tcPr>
            <w:tcW w:w="650" w:type="dxa"/>
          </w:tcPr>
          <w:p>
            <w:pPr>
              <w:pStyle w:val="CeldaAPA"/>
              <w:jc w:val="center"/>
            </w:pPr>
            <w:r>
              <w:rPr>
                <w:bCs/>
                <w:b/>
                <w:sz w:val="20"/>
                <w:szCs w:val="20"/>
              </w:rPr>
              <w:t xml:space="preserve">NA</w:t>
            </w:r>
          </w:p>
        </w:tc>
        <w:tc>
          <w:tcPr>
            <w:tcW w:w="2201" w:type="dxa"/>
          </w:tcPr>
          <w:p>
            <w:pPr>
              <w:pStyle w:val="CeldaAPA"/>
              <w:jc w:val="left"/>
            </w:pPr>
            <w:r>
              <w:rPr>
                <w:bCs/>
                <w:b/>
                <w:sz w:val="20"/>
                <w:szCs w:val="20"/>
              </w:rPr>
              <w:t xml:space="preserve">Observación o valor medido</w:t>
            </w:r>
          </w:p>
        </w:tc>
      </w:tr>
      <w:tr>
        <w:tc>
          <w:tcPr>
            <w:tcW w:w="666" w:type="dxa"/>
          </w:tcPr>
          <w:p>
            <w:pPr>
              <w:pStyle w:val="CeldaAPA"/>
              <w:jc w:val="left"/>
            </w:pPr>
            <w:r>
              <w:rPr>
                <w:sz w:val="20"/>
                <w:szCs w:val="20"/>
              </w:rPr>
              <w:t xml:space="preserve">E1</w:t>
            </w:r>
          </w:p>
        </w:tc>
        <w:tc>
          <w:tcPr>
            <w:tcW w:w="1955" w:type="dxa"/>
          </w:tcPr>
          <w:p>
            <w:pPr>
              <w:pStyle w:val="CeldaAPA"/>
              <w:jc w:val="left"/>
            </w:pPr>
            <w:r>
              <w:rPr>
                <w:sz w:val="20"/>
                <w:szCs w:val="20"/>
              </w:rPr>
              <w:t xml:space="preserve">Etapas previas</w:t>
            </w:r>
          </w:p>
        </w:tc>
        <w:tc>
          <w:tcPr>
            <w:tcW w:w="2779" w:type="dxa"/>
          </w:tcPr>
          <w:p>
            <w:pPr>
              <w:pStyle w:val="CeldaAPA"/>
              <w:jc w:val="left"/>
            </w:pPr>
            <w:r>
              <w:rPr>
                <w:sz w:val="20"/>
                <w:szCs w:val="20"/>
              </w:rPr>
              <w:t xml:space="preserve">A, B, C y D conformes; ninguna NC abierta en el paño</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pPr>
          </w:p>
        </w:tc>
      </w:tr>
      <w:tr>
        <w:tc>
          <w:tcPr>
            <w:tcW w:w="666" w:type="dxa"/>
          </w:tcPr>
          <w:p>
            <w:pPr>
              <w:pStyle w:val="CeldaAPA"/>
              <w:jc w:val="left"/>
            </w:pPr>
            <w:r>
              <w:rPr>
                <w:sz w:val="20"/>
                <w:szCs w:val="20"/>
              </w:rPr>
              <w:t xml:space="preserve">E2</w:t>
            </w:r>
          </w:p>
        </w:tc>
        <w:tc>
          <w:tcPr>
            <w:tcW w:w="1955" w:type="dxa"/>
          </w:tcPr>
          <w:p>
            <w:pPr>
              <w:pStyle w:val="CeldaAPA"/>
              <w:jc w:val="left"/>
            </w:pPr>
            <w:r>
              <w:rPr>
                <w:sz w:val="20"/>
                <w:szCs w:val="20"/>
              </w:rPr>
              <w:t xml:space="preserve">Superficie</w:t>
            </w:r>
          </w:p>
        </w:tc>
        <w:tc>
          <w:tcPr>
            <w:tcW w:w="2779" w:type="dxa"/>
          </w:tcPr>
          <w:p>
            <w:pPr>
              <w:pStyle w:val="CeldaAPA"/>
              <w:jc w:val="left"/>
            </w:pPr>
            <w:r>
              <w:rPr>
                <w:sz w:val="20"/>
                <w:szCs w:val="20"/>
              </w:rPr>
              <w:t xml:space="preserve">Limpia, sin escombros, hielo ni agua estancada; humedecida</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pPr>
          </w:p>
        </w:tc>
      </w:tr>
      <w:tr>
        <w:tc>
          <w:tcPr>
            <w:tcW w:w="666" w:type="dxa"/>
          </w:tcPr>
          <w:p>
            <w:pPr>
              <w:pStyle w:val="CeldaAPA"/>
              <w:jc w:val="left"/>
            </w:pPr>
            <w:r>
              <w:rPr>
                <w:sz w:val="20"/>
                <w:szCs w:val="20"/>
              </w:rPr>
              <w:t xml:space="preserve">E3</w:t>
            </w:r>
          </w:p>
        </w:tc>
        <w:tc>
          <w:tcPr>
            <w:tcW w:w="1955" w:type="dxa"/>
          </w:tcPr>
          <w:p>
            <w:pPr>
              <w:pStyle w:val="CeldaAPA"/>
              <w:jc w:val="left"/>
            </w:pPr>
            <w:r>
              <w:rPr>
                <w:sz w:val="20"/>
                <w:szCs w:val="20"/>
              </w:rPr>
              <w:t xml:space="preserve">Dosificación y existencias</w:t>
            </w:r>
          </w:p>
        </w:tc>
        <w:tc>
          <w:tcPr>
            <w:tcW w:w="2779" w:type="dxa"/>
          </w:tcPr>
          <w:p>
            <w:pPr>
              <w:pStyle w:val="CeldaAPA"/>
              <w:jc w:val="left"/>
            </w:pPr>
            <w:r>
              <w:rPr>
                <w:sz w:val="20"/>
                <w:szCs w:val="20"/>
              </w:rPr>
              <w:t xml:space="preserve">Dosificación aprobada; cemento y áridos para el vaciado completo</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jc w:val="left"/>
            </w:pPr>
            <w:r>
              <w:rPr>
                <w:sz w:val="20"/>
                <w:szCs w:val="20"/>
              </w:rPr>
              <w:t xml:space="preserve">Bolsas disponibles / requeridas:</w:t>
            </w:r>
          </w:p>
        </w:tc>
      </w:tr>
      <w:tr>
        <w:tc>
          <w:tcPr>
            <w:tcW w:w="666" w:type="dxa"/>
          </w:tcPr>
          <w:p>
            <w:pPr>
              <w:pStyle w:val="CeldaAPA"/>
              <w:jc w:val="left"/>
            </w:pPr>
            <w:r>
              <w:rPr>
                <w:sz w:val="20"/>
                <w:szCs w:val="20"/>
              </w:rPr>
              <w:t xml:space="preserve">E4</w:t>
            </w:r>
          </w:p>
        </w:tc>
        <w:tc>
          <w:tcPr>
            <w:tcW w:w="1955" w:type="dxa"/>
          </w:tcPr>
          <w:p>
            <w:pPr>
              <w:pStyle w:val="CeldaAPA"/>
              <w:jc w:val="left"/>
            </w:pPr>
            <w:r>
              <w:rPr>
                <w:sz w:val="20"/>
                <w:szCs w:val="20"/>
              </w:rPr>
              <w:t xml:space="preserve">Equipos y personal</w:t>
            </w:r>
          </w:p>
        </w:tc>
        <w:tc>
          <w:tcPr>
            <w:tcW w:w="2779" w:type="dxa"/>
          </w:tcPr>
          <w:p>
            <w:pPr>
              <w:pStyle w:val="CeldaAPA"/>
              <w:jc w:val="left"/>
            </w:pPr>
            <w:r>
              <w:rPr>
                <w:sz w:val="20"/>
                <w:szCs w:val="20"/>
              </w:rPr>
              <w:t xml:space="preserve">Mezcladora, vibrador y vibrador de reserva; técnico de muestreo y moldes</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jc w:val="left"/>
            </w:pPr>
            <w:r>
              <w:rPr>
                <w:sz w:val="20"/>
                <w:szCs w:val="20"/>
              </w:rPr>
              <w:t xml:space="preserve">N.</w:t>
            </w:r>
            <w:r>
              <w:rPr>
                <w:vertAlign w:val="superscript"/>
                <w:sz w:val="20"/>
                <w:szCs w:val="20"/>
              </w:rPr>
              <w:t xml:space="preserve">o</w:t>
            </w:r>
            <w:r>
              <w:rPr>
                <w:sz w:val="20"/>
                <w:szCs w:val="20"/>
              </w:rPr>
              <w:t xml:space="preserve"> </w:t>
            </w:r>
            <w:r>
              <w:rPr>
                <w:sz w:val="20"/>
                <w:szCs w:val="20"/>
              </w:rPr>
              <w:t xml:space="preserve">de muestras previstas:</w:t>
            </w:r>
          </w:p>
        </w:tc>
      </w:tr>
      <w:tr>
        <w:tc>
          <w:tcPr>
            <w:tcW w:w="666" w:type="dxa"/>
          </w:tcPr>
          <w:p>
            <w:pPr>
              <w:pStyle w:val="CeldaAPA"/>
              <w:jc w:val="left"/>
            </w:pPr>
            <w:r>
              <w:rPr>
                <w:sz w:val="20"/>
                <w:szCs w:val="20"/>
              </w:rPr>
              <w:t xml:space="preserve">E5</w:t>
            </w:r>
          </w:p>
        </w:tc>
        <w:tc>
          <w:tcPr>
            <w:tcW w:w="1955" w:type="dxa"/>
          </w:tcPr>
          <w:p>
            <w:pPr>
              <w:pStyle w:val="CeldaAPA"/>
              <w:jc w:val="left"/>
            </w:pPr>
            <w:r>
              <w:rPr>
                <w:sz w:val="20"/>
                <w:szCs w:val="20"/>
              </w:rPr>
              <w:t xml:space="preserve">Clima</w:t>
            </w:r>
          </w:p>
        </w:tc>
        <w:tc>
          <w:tcPr>
            <w:tcW w:w="2779" w:type="dxa"/>
          </w:tcPr>
          <w:p>
            <w:pPr>
              <w:pStyle w:val="CeldaAPA"/>
              <w:jc w:val="left"/>
            </w:pPr>
            <w:r>
              <w:rPr>
                <w:sz w:val="20"/>
                <w:szCs w:val="20"/>
              </w:rPr>
              <w:t xml:space="preserve">Pronóstico sin lluvia; si la temperatura mínima prevista es menor de 4,4 </w:t>
            </w:r>
            <m:oMath>
              <m:sSup>
                <m:e>
                  <m:r>
                    <m:t>​</m:t>
                  </m:r>
                </m:e>
                <m:sup>
                  <m:r>
                    <m:rPr>
                      <m:sty m:val="p"/>
                    </m:rPr>
                    <m:t>∘</m:t>
                  </m:r>
                </m:sup>
              </m:sSup>
            </m:oMath>
            <w:r>
              <w:rPr>
                <w:sz w:val="20"/>
                <w:szCs w:val="20"/>
              </w:rPr>
              <w:t xml:space="preserve">C, plan de tiempo frío activo</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jc w:val="left"/>
            </w:pPr>
            <w:r>
              <w:rPr>
                <w:sz w:val="20"/>
                <w:szCs w:val="20"/>
              </w:rPr>
              <w:t xml:space="preserve">T mín. prevista (</w:t>
            </w:r>
            <m:oMath>
              <m:sSup>
                <m:e>
                  <m:r>
                    <m:t>​</m:t>
                  </m:r>
                </m:e>
                <m:sup>
                  <m:r>
                    <m:rPr>
                      <m:sty m:val="p"/>
                    </m:rPr>
                    <m:t>∘</m:t>
                  </m:r>
                </m:sup>
              </m:sSup>
            </m:oMath>
            <w:r>
              <w:rPr>
                <w:sz w:val="20"/>
                <w:szCs w:val="20"/>
              </w:rPr>
              <w:t xml:space="preserve">C):</w:t>
            </w:r>
          </w:p>
        </w:tc>
      </w:tr>
      <w:tr>
        <w:tc>
          <w:tcPr>
            <w:tcW w:w="666" w:type="dxa"/>
          </w:tcPr>
          <w:p>
            <w:pPr>
              <w:pStyle w:val="CeldaAPA"/>
              <w:jc w:val="left"/>
            </w:pPr>
            <w:r>
              <w:rPr>
                <w:sz w:val="20"/>
                <w:szCs w:val="20"/>
              </w:rPr>
              <w:t xml:space="preserve">E6</w:t>
            </w:r>
          </w:p>
        </w:tc>
        <w:tc>
          <w:tcPr>
            <w:tcW w:w="1955" w:type="dxa"/>
          </w:tcPr>
          <w:p>
            <w:pPr>
              <w:pStyle w:val="CeldaAPA"/>
              <w:jc w:val="left"/>
            </w:pPr>
            <w:r>
              <w:rPr>
                <w:sz w:val="20"/>
                <w:szCs w:val="20"/>
              </w:rPr>
              <w:t xml:space="preserve">Asentamiento</w:t>
            </w:r>
          </w:p>
        </w:tc>
        <w:tc>
          <w:tcPr>
            <w:tcW w:w="2779" w:type="dxa"/>
          </w:tcPr>
          <w:p>
            <w:pPr>
              <w:pStyle w:val="CeldaAPA"/>
              <w:jc w:val="left"/>
            </w:pPr>
            <w:r>
              <w:rPr>
                <w:sz w:val="20"/>
                <w:szCs w:val="20"/>
              </w:rPr>
              <w:t xml:space="preserve">Dentro del rango de la dosificación (ASTM C143)</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jc w:val="left"/>
            </w:pPr>
            <w:r>
              <w:rPr>
                <w:sz w:val="20"/>
                <w:szCs w:val="20"/>
              </w:rPr>
              <w:t xml:space="preserve">Valores (cm):</w:t>
            </w:r>
          </w:p>
        </w:tc>
      </w:tr>
      <w:tr>
        <w:tc>
          <w:tcPr>
            <w:tcW w:w="666" w:type="dxa"/>
          </w:tcPr>
          <w:p>
            <w:pPr>
              <w:pStyle w:val="CeldaAPA"/>
              <w:jc w:val="left"/>
            </w:pPr>
            <w:r>
              <w:rPr>
                <w:sz w:val="20"/>
                <w:szCs w:val="20"/>
              </w:rPr>
              <w:t xml:space="preserve">E7</w:t>
            </w:r>
          </w:p>
        </w:tc>
        <w:tc>
          <w:tcPr>
            <w:tcW w:w="1955" w:type="dxa"/>
          </w:tcPr>
          <w:p>
            <w:pPr>
              <w:pStyle w:val="CeldaAPA"/>
              <w:jc w:val="left"/>
            </w:pPr>
            <w:r>
              <w:rPr>
                <w:sz w:val="20"/>
                <w:szCs w:val="20"/>
              </w:rPr>
              <w:t xml:space="preserve">Temperaturas</w:t>
            </w:r>
          </w:p>
        </w:tc>
        <w:tc>
          <w:tcPr>
            <w:tcW w:w="2779" w:type="dxa"/>
          </w:tcPr>
          <w:p>
            <w:pPr>
              <w:pStyle w:val="CeldaAPA"/>
              <w:jc w:val="left"/>
            </w:pPr>
            <w:r>
              <w:rPr>
                <w:sz w:val="20"/>
                <w:szCs w:val="20"/>
              </w:rPr>
              <w:t xml:space="preserve">Hormigón registrada al muestrear; agua de amasado</w:t>
            </w:r>
            <w:r>
              <w:rPr>
                <w:sz w:val="20"/>
                <w:szCs w:val="20"/>
              </w:rPr>
              <w:t xml:space="preserve"> </w:t>
            </w:r>
            <m:oMath>
              <m:r>
                <m:rPr>
                  <m:sty m:val="p"/>
                </m:rPr>
                <m:t>&gt;</m:t>
              </m:r>
              <m:r>
                <m:t>5</m:t>
              </m:r>
            </m:oMath>
            <w:r>
              <w:rPr>
                <w:sz w:val="20"/>
                <w:szCs w:val="20"/>
              </w:rPr>
              <w:t xml:space="preserve"> </w:t>
            </w:r>
            <m:oMath>
              <m:sSup>
                <m:e>
                  <m:r>
                    <m:t>​</m:t>
                  </m:r>
                </m:e>
                <m:sup>
                  <m:r>
                    <m:rPr>
                      <m:sty m:val="p"/>
                    </m:rPr>
                    <m:t>∘</m:t>
                  </m:r>
                </m:sup>
              </m:sSup>
            </m:oMath>
            <w:r>
              <w:rPr>
                <w:sz w:val="20"/>
                <w:szCs w:val="20"/>
              </w:rPr>
              <w:t xml:space="preserve">C</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jc w:val="left"/>
            </w:pPr>
            <w:r>
              <w:rPr>
                <w:sz w:val="20"/>
                <w:szCs w:val="20"/>
              </w:rPr>
              <w:t xml:space="preserve">T hormigón / agua (</w:t>
            </w:r>
            <m:oMath>
              <m:sSup>
                <m:e>
                  <m:r>
                    <m:t>​</m:t>
                  </m:r>
                </m:e>
                <m:sup>
                  <m:r>
                    <m:rPr>
                      <m:sty m:val="p"/>
                    </m:rPr>
                    <m:t>∘</m:t>
                  </m:r>
                </m:sup>
              </m:sSup>
            </m:oMath>
            <w:r>
              <w:rPr>
                <w:sz w:val="20"/>
                <w:szCs w:val="20"/>
              </w:rPr>
              <w:t xml:space="preserve">C):</w:t>
            </w:r>
          </w:p>
        </w:tc>
      </w:tr>
      <w:tr>
        <w:tc>
          <w:tcPr>
            <w:tcW w:w="666" w:type="dxa"/>
          </w:tcPr>
          <w:p>
            <w:pPr>
              <w:pStyle w:val="CeldaAPA"/>
              <w:jc w:val="left"/>
            </w:pPr>
            <w:r>
              <w:rPr>
                <w:sz w:val="20"/>
                <w:szCs w:val="20"/>
              </w:rPr>
              <w:t xml:space="preserve">E8</w:t>
            </w:r>
          </w:p>
        </w:tc>
        <w:tc>
          <w:tcPr>
            <w:tcW w:w="1955" w:type="dxa"/>
          </w:tcPr>
          <w:p>
            <w:pPr>
              <w:pStyle w:val="CeldaAPA"/>
              <w:jc w:val="left"/>
            </w:pPr>
            <w:r>
              <w:rPr>
                <w:sz w:val="20"/>
                <w:szCs w:val="20"/>
              </w:rPr>
              <w:t xml:space="preserve">Colocación</w:t>
            </w:r>
          </w:p>
        </w:tc>
        <w:tc>
          <w:tcPr>
            <w:tcW w:w="2779" w:type="dxa"/>
          </w:tcPr>
          <w:p>
            <w:pPr>
              <w:pStyle w:val="CeldaAPA"/>
              <w:jc w:val="left"/>
            </w:pPr>
            <w:r>
              <w:rPr>
                <w:sz w:val="20"/>
                <w:szCs w:val="20"/>
              </w:rPr>
              <w:t xml:space="preserve">Por franjas, continua, sin juntas frías; vibrado; tránsito sobre pasarelas sin pisar la parrilla</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pPr>
          </w:p>
        </w:tc>
      </w:tr>
      <w:tr>
        <w:tc>
          <w:tcPr>
            <w:tcW w:w="666" w:type="dxa"/>
          </w:tcPr>
          <w:p>
            <w:pPr>
              <w:pStyle w:val="CeldaAPA"/>
              <w:jc w:val="left"/>
            </w:pPr>
            <w:r>
              <w:rPr>
                <w:sz w:val="20"/>
                <w:szCs w:val="20"/>
              </w:rPr>
              <w:t xml:space="preserve">E9</w:t>
            </w:r>
          </w:p>
        </w:tc>
        <w:tc>
          <w:tcPr>
            <w:tcW w:w="1955" w:type="dxa"/>
          </w:tcPr>
          <w:p>
            <w:pPr>
              <w:pStyle w:val="CeldaAPA"/>
              <w:jc w:val="left"/>
            </w:pPr>
            <w:r>
              <w:rPr>
                <w:sz w:val="20"/>
                <w:szCs w:val="20"/>
              </w:rPr>
              <w:t xml:space="preserve">Registro del vaciado</w:t>
            </w:r>
          </w:p>
        </w:tc>
        <w:tc>
          <w:tcPr>
            <w:tcW w:w="2779" w:type="dxa"/>
          </w:tcPr>
          <w:p>
            <w:pPr>
              <w:pStyle w:val="CeldaAPA"/>
              <w:jc w:val="left"/>
            </w:pPr>
            <w:r>
              <w:rPr>
                <w:sz w:val="20"/>
                <w:szCs w:val="20"/>
              </w:rPr>
              <w:t xml:space="preserve">Hora de inicio y fin; volumen; pastones; bolsas de cemento; fotografía fechada de la toma de muestras</w:t>
            </w:r>
          </w:p>
        </w:tc>
        <w:tc>
          <w:tcPr>
            <w:tcW w:w="461" w:type="dxa"/>
          </w:tcPr>
          <w:p>
            <w:pPr>
              <w:pStyle w:val="CeldaAPA"/>
            </w:pPr>
          </w:p>
        </w:tc>
        <w:tc>
          <w:tcPr>
            <w:tcW w:w="650" w:type="dxa"/>
          </w:tcPr>
          <w:p>
            <w:pPr>
              <w:pStyle w:val="CeldaAPA"/>
            </w:pPr>
          </w:p>
        </w:tc>
        <w:tc>
          <w:tcPr>
            <w:tcW w:w="650" w:type="dxa"/>
          </w:tcPr>
          <w:p>
            <w:pPr>
              <w:pStyle w:val="CeldaAPA"/>
            </w:pPr>
          </w:p>
        </w:tc>
        <w:tc>
          <w:tcPr>
            <w:tcW w:w="2201" w:type="dxa"/>
          </w:tcPr>
          <w:p>
            <w:pPr>
              <w:pStyle w:val="CeldaAPA"/>
              <w:jc w:val="left"/>
            </w:pPr>
            <w:r>
              <w:rPr>
                <w:sz w:val="20"/>
                <w:szCs w:val="20"/>
              </w:rPr>
              <w:t xml:space="preserve">Inicio / fin / m</w:t>
            </w:r>
            <w:r>
              <w:rPr>
                <w:vertAlign w:val="superscript"/>
                <w:sz w:val="20"/>
                <w:szCs w:val="20"/>
              </w:rPr>
              <w:t xml:space="preserve">3</w:t>
            </w:r>
            <w:r>
              <w:rPr>
                <w:sz w:val="20"/>
                <w:szCs w:val="20"/>
              </w:rPr>
              <w:t xml:space="preserve"> </w:t>
            </w:r>
            <w:r>
              <w:rPr>
                <w:sz w:val="20"/>
                <w:szCs w:val="20"/>
              </w:rPr>
              <w:t xml:space="preserve">/ pastones / bolsas:</w:t>
            </w:r>
          </w:p>
        </w:tc>
      </w:tr>
      <w:tr>
        <w:tc>
          <w:tcPr>
            <w:tcW w:w="9362" w:type="dxa"/>
            <w:gridSpan w:val="7"/>
          </w:tcPr>
          <w:p>
            <w:pPr>
              <w:pStyle w:val="CeldaAPA"/>
              <w:jc w:val="left"/>
            </w:pPr>
            <w:r>
              <w:rPr>
                <w:bCs/>
                <w:b/>
                <w:sz w:val="20"/>
                <w:szCs w:val="20"/>
              </w:rPr>
              <w:t xml:space="preserve">Liberación E (antes de vaciar)</w:t>
            </w:r>
            <w:r>
              <w:rPr>
                <w:sz w:val="20"/>
                <w:szCs w:val="20"/>
              </w:rPr>
              <w:t xml:space="preserve"> </w:t>
            </w:r>
            <w:r>
              <w:rPr>
                <w:sz w:val="20"/>
                <w:szCs w:val="20"/>
              </w:rPr>
              <w:t xml:space="preserve">_________________ _________________ _________________ _________________</w:t>
            </w:r>
          </w:p>
        </w:tc>
      </w:tr>
    </w:tbl>
    <w:p>
      <w:pPr>
        <w:pStyle w:val="BodyText"/>
        <w:spacing w:before="240"/>
      </w:pPr>
      <w:r>
        <w:rPr>
          <w:bCs/>
          <w:b/>
        </w:rPr>
        <w:t xml:space="preserve">F. Registro de curado (W).</w:t>
      </w:r>
      <w:r>
        <w:t xml:space="preserve"> </w:t>
      </w:r>
      <w:r>
        <w:t xml:space="preserve">Curado mínimo de 7 días con el hormigón a 10 </w:t>
      </w:r>
      <m:oMath>
        <m:sSup>
          <m:e>
            <m:r>
              <m:t>​</m:t>
            </m:r>
          </m:e>
          <m:sup>
            <m:r>
              <m:rPr>
                <m:sty m:val="p"/>
              </m:rPr>
              <m:t>∘</m:t>
            </m:r>
          </m:sup>
        </m:sSup>
      </m:oMath>
      <w:r>
        <w:t xml:space="preserve">C o más; si no se cumple la temperatura, se prolonga el curado.</w:t>
      </w:r>
    </w:p>
    <w:tbl>
      <w:tblPr>
        <w:tblStyle w:val="Table"/>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1" w:lastRow="0" w:firstColumn="0" w:lastColumn="0" w:noHBand="0" w:noVBand="0" w:val="0020"/>
      </w:tblPr>
      <w:tblGrid>
        <w:gridCol w:w="756"/>
        <w:gridCol w:w="1261"/>
        <w:gridCol w:w="1612"/>
        <w:gridCol w:w="1341"/>
        <w:gridCol w:w="1521"/>
        <w:gridCol w:w="1655"/>
        <w:gridCol w:w="1214"/>
      </w:tblGrid>
      <w:tr>
        <w:trPr>
          <w:cantSplit/>
          <w:tblHeader w:val="true"/>
        </w:trPr>
        <w:tc>
          <w:tcPr>
            <w:tcW w:w="756" w:type="dxa"/>
          </w:tcPr>
          <w:p>
            <w:pPr>
              <w:pStyle w:val="CeldaAPA"/>
              <w:jc w:val="center"/>
            </w:pPr>
            <w:r>
              <w:rPr>
                <w:bCs/>
                <w:b/>
                <w:sz w:val="20"/>
                <w:szCs w:val="20"/>
              </w:rPr>
              <w:t xml:space="preserve">Día</w:t>
            </w:r>
          </w:p>
        </w:tc>
        <w:tc>
          <w:tcPr>
            <w:tcW w:w="1261" w:type="dxa"/>
          </w:tcPr>
          <w:p>
            <w:pPr>
              <w:pStyle w:val="CeldaAPA"/>
              <w:jc w:val="left"/>
            </w:pPr>
            <w:r>
              <w:rPr>
                <w:bCs/>
                <w:b/>
                <w:sz w:val="20"/>
                <w:szCs w:val="20"/>
              </w:rPr>
              <w:t xml:space="preserve">Fecha</w:t>
            </w:r>
          </w:p>
        </w:tc>
        <w:tc>
          <w:tcPr>
            <w:tcW w:w="1612" w:type="dxa"/>
          </w:tcPr>
          <w:p>
            <w:pPr>
              <w:pStyle w:val="CeldaAPA"/>
              <w:jc w:val="left"/>
            </w:pPr>
            <w:r>
              <w:rPr>
                <w:bCs/>
                <w:b/>
                <w:sz w:val="20"/>
                <w:szCs w:val="20"/>
              </w:rPr>
              <w:t xml:space="preserve">Método (riego, arpillera, plástico)</w:t>
            </w:r>
          </w:p>
        </w:tc>
        <w:tc>
          <w:tcPr>
            <w:tcW w:w="1341" w:type="dxa"/>
          </w:tcPr>
          <w:p>
            <w:pPr>
              <w:pStyle w:val="CeldaAPA"/>
              <w:jc w:val="left"/>
            </w:pPr>
            <w:r>
              <w:rPr>
                <w:bCs/>
                <w:b/>
                <w:sz w:val="20"/>
                <w:szCs w:val="20"/>
              </w:rPr>
              <w:t xml:space="preserve">T mín. ambiente (</w:t>
            </w:r>
            <m:oMath>
              <m:sSup>
                <m:e>
                  <m:r>
                    <m:t>​</m:t>
                  </m:r>
                </m:e>
                <m:sup>
                  <m:r>
                    <m:rPr>
                      <m:sty m:val="p"/>
                    </m:rPr>
                    <m:t>∘</m:t>
                  </m:r>
                </m:sup>
              </m:sSup>
            </m:oMath>
            <w:r>
              <w:rPr>
                <w:bCs/>
                <w:b/>
                <w:sz w:val="20"/>
                <w:szCs w:val="20"/>
              </w:rPr>
              <w:t xml:space="preserve">C)</w:t>
            </w:r>
          </w:p>
        </w:tc>
        <w:tc>
          <w:tcPr>
            <w:tcW w:w="1521" w:type="dxa"/>
          </w:tcPr>
          <w:p>
            <w:pPr>
              <w:pStyle w:val="CeldaAPA"/>
              <w:jc w:val="left"/>
            </w:pPr>
            <w:r>
              <w:rPr>
                <w:bCs/>
                <w:b/>
                <w:sz w:val="20"/>
                <w:szCs w:val="20"/>
              </w:rPr>
              <w:t xml:space="preserve">Protección contra helada</w:t>
            </w:r>
          </w:p>
        </w:tc>
        <w:tc>
          <w:tcPr>
            <w:tcW w:w="1655" w:type="dxa"/>
          </w:tcPr>
          <w:p>
            <w:pPr>
              <w:pStyle w:val="CeldaAPA"/>
              <w:jc w:val="left"/>
            </w:pPr>
            <w:r>
              <w:rPr>
                <w:bCs/>
                <w:b/>
                <w:sz w:val="20"/>
                <w:szCs w:val="20"/>
              </w:rPr>
              <w:t xml:space="preserve">Responsable</w:t>
            </w:r>
          </w:p>
        </w:tc>
        <w:tc>
          <w:tcPr>
            <w:tcW w:w="1214" w:type="dxa"/>
          </w:tcPr>
          <w:p>
            <w:pPr>
              <w:pStyle w:val="CeldaAPA"/>
              <w:jc w:val="left"/>
            </w:pPr>
            <w:r>
              <w:rPr>
                <w:bCs/>
                <w:b/>
                <w:sz w:val="20"/>
                <w:szCs w:val="20"/>
              </w:rPr>
              <w:t xml:space="preserve">Foto N.</w:t>
            </w:r>
            <w:r>
              <w:rPr>
                <w:vertAlign w:val="superscript"/>
                <w:bCs/>
                <w:b/>
                <w:sz w:val="20"/>
                <w:szCs w:val="20"/>
              </w:rPr>
              <w:t xml:space="preserve">o</w:t>
            </w:r>
          </w:p>
        </w:tc>
      </w:tr>
      <w:tr>
        <w:tc>
          <w:tcPr>
            <w:tcW w:w="756" w:type="dxa"/>
          </w:tcPr>
          <w:p>
            <w:pPr>
              <w:pStyle w:val="CeldaAPA"/>
              <w:jc w:val="center"/>
            </w:pPr>
            <w:r>
              <w:rPr>
                <w:sz w:val="20"/>
                <w:szCs w:val="20"/>
              </w:rPr>
              <w:t xml:space="preserve">1</w:t>
            </w:r>
          </w:p>
        </w:tc>
        <w:tc>
          <w:tcPr>
            <w:tcW w:w="1261" w:type="dxa"/>
          </w:tcPr>
          <w:p>
            <w:pPr>
              <w:pStyle w:val="CeldaAPA"/>
            </w:pPr>
          </w:p>
        </w:tc>
        <w:tc>
          <w:tcPr>
            <w:tcW w:w="1612" w:type="dxa"/>
          </w:tcPr>
          <w:p>
            <w:pPr>
              <w:pStyle w:val="CeldaAPA"/>
            </w:pPr>
          </w:p>
        </w:tc>
        <w:tc>
          <w:tcPr>
            <w:tcW w:w="1341" w:type="dxa"/>
          </w:tcPr>
          <w:p>
            <w:pPr>
              <w:pStyle w:val="CeldaAPA"/>
            </w:pPr>
          </w:p>
        </w:tc>
        <w:tc>
          <w:tcPr>
            <w:tcW w:w="1521" w:type="dxa"/>
          </w:tcPr>
          <w:p>
            <w:pPr>
              <w:pStyle w:val="CeldaAPA"/>
            </w:pPr>
          </w:p>
        </w:tc>
        <w:tc>
          <w:tcPr>
            <w:tcW w:w="1655" w:type="dxa"/>
          </w:tcPr>
          <w:p>
            <w:pPr>
              <w:pStyle w:val="CeldaAPA"/>
            </w:pPr>
          </w:p>
        </w:tc>
        <w:tc>
          <w:tcPr>
            <w:tcW w:w="1214" w:type="dxa"/>
          </w:tcPr>
          <w:p>
            <w:pPr>
              <w:pStyle w:val="CeldaAPA"/>
            </w:pPr>
          </w:p>
        </w:tc>
      </w:tr>
      <w:tr>
        <w:tc>
          <w:tcPr>
            <w:tcW w:w="756" w:type="dxa"/>
          </w:tcPr>
          <w:p>
            <w:pPr>
              <w:pStyle w:val="CeldaAPA"/>
              <w:jc w:val="center"/>
            </w:pPr>
            <w:r>
              <w:rPr>
                <w:sz w:val="20"/>
                <w:szCs w:val="20"/>
              </w:rPr>
              <w:t xml:space="preserve">2</w:t>
            </w:r>
          </w:p>
        </w:tc>
        <w:tc>
          <w:tcPr>
            <w:tcW w:w="1261" w:type="dxa"/>
          </w:tcPr>
          <w:p>
            <w:pPr>
              <w:pStyle w:val="CeldaAPA"/>
            </w:pPr>
          </w:p>
        </w:tc>
        <w:tc>
          <w:tcPr>
            <w:tcW w:w="1612" w:type="dxa"/>
          </w:tcPr>
          <w:p>
            <w:pPr>
              <w:pStyle w:val="CeldaAPA"/>
            </w:pPr>
          </w:p>
        </w:tc>
        <w:tc>
          <w:tcPr>
            <w:tcW w:w="1341" w:type="dxa"/>
          </w:tcPr>
          <w:p>
            <w:pPr>
              <w:pStyle w:val="CeldaAPA"/>
            </w:pPr>
          </w:p>
        </w:tc>
        <w:tc>
          <w:tcPr>
            <w:tcW w:w="1521" w:type="dxa"/>
          </w:tcPr>
          <w:p>
            <w:pPr>
              <w:pStyle w:val="CeldaAPA"/>
            </w:pPr>
          </w:p>
        </w:tc>
        <w:tc>
          <w:tcPr>
            <w:tcW w:w="1655" w:type="dxa"/>
          </w:tcPr>
          <w:p>
            <w:pPr>
              <w:pStyle w:val="CeldaAPA"/>
            </w:pPr>
          </w:p>
        </w:tc>
        <w:tc>
          <w:tcPr>
            <w:tcW w:w="1214" w:type="dxa"/>
          </w:tcPr>
          <w:p>
            <w:pPr>
              <w:pStyle w:val="CeldaAPA"/>
            </w:pPr>
          </w:p>
        </w:tc>
      </w:tr>
      <w:tr>
        <w:tc>
          <w:tcPr>
            <w:tcW w:w="756" w:type="dxa"/>
          </w:tcPr>
          <w:p>
            <w:pPr>
              <w:pStyle w:val="CeldaAPA"/>
              <w:jc w:val="center"/>
            </w:pPr>
            <w:r>
              <w:rPr>
                <w:sz w:val="20"/>
                <w:szCs w:val="20"/>
              </w:rPr>
              <w:t xml:space="preserve">3</w:t>
            </w:r>
          </w:p>
        </w:tc>
        <w:tc>
          <w:tcPr>
            <w:tcW w:w="1261" w:type="dxa"/>
          </w:tcPr>
          <w:p>
            <w:pPr>
              <w:pStyle w:val="CeldaAPA"/>
            </w:pPr>
          </w:p>
        </w:tc>
        <w:tc>
          <w:tcPr>
            <w:tcW w:w="1612" w:type="dxa"/>
          </w:tcPr>
          <w:p>
            <w:pPr>
              <w:pStyle w:val="CeldaAPA"/>
            </w:pPr>
          </w:p>
        </w:tc>
        <w:tc>
          <w:tcPr>
            <w:tcW w:w="1341" w:type="dxa"/>
          </w:tcPr>
          <w:p>
            <w:pPr>
              <w:pStyle w:val="CeldaAPA"/>
            </w:pPr>
          </w:p>
        </w:tc>
        <w:tc>
          <w:tcPr>
            <w:tcW w:w="1521" w:type="dxa"/>
          </w:tcPr>
          <w:p>
            <w:pPr>
              <w:pStyle w:val="CeldaAPA"/>
            </w:pPr>
          </w:p>
        </w:tc>
        <w:tc>
          <w:tcPr>
            <w:tcW w:w="1655" w:type="dxa"/>
          </w:tcPr>
          <w:p>
            <w:pPr>
              <w:pStyle w:val="CeldaAPA"/>
            </w:pPr>
          </w:p>
        </w:tc>
        <w:tc>
          <w:tcPr>
            <w:tcW w:w="1214" w:type="dxa"/>
          </w:tcPr>
          <w:p>
            <w:pPr>
              <w:pStyle w:val="CeldaAPA"/>
            </w:pPr>
          </w:p>
        </w:tc>
      </w:tr>
      <w:tr>
        <w:tc>
          <w:tcPr>
            <w:tcW w:w="756" w:type="dxa"/>
          </w:tcPr>
          <w:p>
            <w:pPr>
              <w:pStyle w:val="CeldaAPA"/>
              <w:jc w:val="center"/>
            </w:pPr>
            <w:r>
              <w:rPr>
                <w:sz w:val="20"/>
                <w:szCs w:val="20"/>
              </w:rPr>
              <w:t xml:space="preserve">4</w:t>
            </w:r>
          </w:p>
        </w:tc>
        <w:tc>
          <w:tcPr>
            <w:tcW w:w="1261" w:type="dxa"/>
          </w:tcPr>
          <w:p>
            <w:pPr>
              <w:pStyle w:val="CeldaAPA"/>
            </w:pPr>
          </w:p>
        </w:tc>
        <w:tc>
          <w:tcPr>
            <w:tcW w:w="1612" w:type="dxa"/>
          </w:tcPr>
          <w:p>
            <w:pPr>
              <w:pStyle w:val="CeldaAPA"/>
            </w:pPr>
          </w:p>
        </w:tc>
        <w:tc>
          <w:tcPr>
            <w:tcW w:w="1341" w:type="dxa"/>
          </w:tcPr>
          <w:p>
            <w:pPr>
              <w:pStyle w:val="CeldaAPA"/>
            </w:pPr>
          </w:p>
        </w:tc>
        <w:tc>
          <w:tcPr>
            <w:tcW w:w="1521" w:type="dxa"/>
          </w:tcPr>
          <w:p>
            <w:pPr>
              <w:pStyle w:val="CeldaAPA"/>
            </w:pPr>
          </w:p>
        </w:tc>
        <w:tc>
          <w:tcPr>
            <w:tcW w:w="1655" w:type="dxa"/>
          </w:tcPr>
          <w:p>
            <w:pPr>
              <w:pStyle w:val="CeldaAPA"/>
            </w:pPr>
          </w:p>
        </w:tc>
        <w:tc>
          <w:tcPr>
            <w:tcW w:w="1214" w:type="dxa"/>
          </w:tcPr>
          <w:p>
            <w:pPr>
              <w:pStyle w:val="CeldaAPA"/>
            </w:pPr>
          </w:p>
        </w:tc>
      </w:tr>
      <w:tr>
        <w:tc>
          <w:tcPr>
            <w:tcW w:w="756" w:type="dxa"/>
          </w:tcPr>
          <w:p>
            <w:pPr>
              <w:pStyle w:val="CeldaAPA"/>
              <w:jc w:val="center"/>
            </w:pPr>
            <w:r>
              <w:rPr>
                <w:sz w:val="20"/>
                <w:szCs w:val="20"/>
              </w:rPr>
              <w:t xml:space="preserve">5</w:t>
            </w:r>
          </w:p>
        </w:tc>
        <w:tc>
          <w:tcPr>
            <w:tcW w:w="1261" w:type="dxa"/>
          </w:tcPr>
          <w:p>
            <w:pPr>
              <w:pStyle w:val="CeldaAPA"/>
            </w:pPr>
          </w:p>
        </w:tc>
        <w:tc>
          <w:tcPr>
            <w:tcW w:w="1612" w:type="dxa"/>
          </w:tcPr>
          <w:p>
            <w:pPr>
              <w:pStyle w:val="CeldaAPA"/>
            </w:pPr>
          </w:p>
        </w:tc>
        <w:tc>
          <w:tcPr>
            <w:tcW w:w="1341" w:type="dxa"/>
          </w:tcPr>
          <w:p>
            <w:pPr>
              <w:pStyle w:val="CeldaAPA"/>
            </w:pPr>
          </w:p>
        </w:tc>
        <w:tc>
          <w:tcPr>
            <w:tcW w:w="1521" w:type="dxa"/>
          </w:tcPr>
          <w:p>
            <w:pPr>
              <w:pStyle w:val="CeldaAPA"/>
            </w:pPr>
          </w:p>
        </w:tc>
        <w:tc>
          <w:tcPr>
            <w:tcW w:w="1655" w:type="dxa"/>
          </w:tcPr>
          <w:p>
            <w:pPr>
              <w:pStyle w:val="CeldaAPA"/>
            </w:pPr>
          </w:p>
        </w:tc>
        <w:tc>
          <w:tcPr>
            <w:tcW w:w="1214" w:type="dxa"/>
          </w:tcPr>
          <w:p>
            <w:pPr>
              <w:pStyle w:val="CeldaAPA"/>
            </w:pPr>
          </w:p>
        </w:tc>
      </w:tr>
      <w:tr>
        <w:tc>
          <w:tcPr>
            <w:tcW w:w="756" w:type="dxa"/>
          </w:tcPr>
          <w:p>
            <w:pPr>
              <w:pStyle w:val="CeldaAPA"/>
              <w:jc w:val="center"/>
            </w:pPr>
            <w:r>
              <w:rPr>
                <w:sz w:val="20"/>
                <w:szCs w:val="20"/>
              </w:rPr>
              <w:t xml:space="preserve">6</w:t>
            </w:r>
          </w:p>
        </w:tc>
        <w:tc>
          <w:tcPr>
            <w:tcW w:w="1261" w:type="dxa"/>
          </w:tcPr>
          <w:p>
            <w:pPr>
              <w:pStyle w:val="CeldaAPA"/>
            </w:pPr>
          </w:p>
        </w:tc>
        <w:tc>
          <w:tcPr>
            <w:tcW w:w="1612" w:type="dxa"/>
          </w:tcPr>
          <w:p>
            <w:pPr>
              <w:pStyle w:val="CeldaAPA"/>
            </w:pPr>
          </w:p>
        </w:tc>
        <w:tc>
          <w:tcPr>
            <w:tcW w:w="1341" w:type="dxa"/>
          </w:tcPr>
          <w:p>
            <w:pPr>
              <w:pStyle w:val="CeldaAPA"/>
            </w:pPr>
          </w:p>
        </w:tc>
        <w:tc>
          <w:tcPr>
            <w:tcW w:w="1521" w:type="dxa"/>
          </w:tcPr>
          <w:p>
            <w:pPr>
              <w:pStyle w:val="CeldaAPA"/>
            </w:pPr>
          </w:p>
        </w:tc>
        <w:tc>
          <w:tcPr>
            <w:tcW w:w="1655" w:type="dxa"/>
          </w:tcPr>
          <w:p>
            <w:pPr>
              <w:pStyle w:val="CeldaAPA"/>
            </w:pPr>
          </w:p>
        </w:tc>
        <w:tc>
          <w:tcPr>
            <w:tcW w:w="1214" w:type="dxa"/>
          </w:tcPr>
          <w:p>
            <w:pPr>
              <w:pStyle w:val="CeldaAPA"/>
            </w:pPr>
          </w:p>
        </w:tc>
      </w:tr>
      <w:tr>
        <w:tc>
          <w:tcPr>
            <w:tcW w:w="756" w:type="dxa"/>
          </w:tcPr>
          <w:p>
            <w:pPr>
              <w:pStyle w:val="CeldaAPA"/>
              <w:jc w:val="center"/>
            </w:pPr>
            <w:r>
              <w:rPr>
                <w:sz w:val="20"/>
                <w:szCs w:val="20"/>
              </w:rPr>
              <w:t xml:space="preserve">7</w:t>
            </w:r>
          </w:p>
        </w:tc>
        <w:tc>
          <w:tcPr>
            <w:tcW w:w="1261" w:type="dxa"/>
          </w:tcPr>
          <w:p>
            <w:pPr>
              <w:pStyle w:val="CeldaAPA"/>
            </w:pPr>
          </w:p>
        </w:tc>
        <w:tc>
          <w:tcPr>
            <w:tcW w:w="1612" w:type="dxa"/>
          </w:tcPr>
          <w:p>
            <w:pPr>
              <w:pStyle w:val="CeldaAPA"/>
            </w:pPr>
          </w:p>
        </w:tc>
        <w:tc>
          <w:tcPr>
            <w:tcW w:w="1341" w:type="dxa"/>
          </w:tcPr>
          <w:p>
            <w:pPr>
              <w:pStyle w:val="CeldaAPA"/>
            </w:pPr>
          </w:p>
        </w:tc>
        <w:tc>
          <w:tcPr>
            <w:tcW w:w="1521" w:type="dxa"/>
          </w:tcPr>
          <w:p>
            <w:pPr>
              <w:pStyle w:val="CeldaAPA"/>
            </w:pPr>
          </w:p>
        </w:tc>
        <w:tc>
          <w:tcPr>
            <w:tcW w:w="1655" w:type="dxa"/>
          </w:tcPr>
          <w:p>
            <w:pPr>
              <w:pStyle w:val="CeldaAPA"/>
            </w:pPr>
          </w:p>
        </w:tc>
        <w:tc>
          <w:tcPr>
            <w:tcW w:w="1214" w:type="dxa"/>
          </w:tcPr>
          <w:p>
            <w:pPr>
              <w:pStyle w:val="CeldaAPA"/>
            </w:pPr>
          </w:p>
        </w:tc>
      </w:tr>
      <w:tr>
        <w:tc>
          <w:tcPr>
            <w:tcW w:w="756" w:type="dxa"/>
          </w:tcPr>
          <w:p>
            <w:pPr>
              <w:pStyle w:val="CeldaAPA"/>
            </w:pPr>
          </w:p>
        </w:tc>
        <w:tc>
          <w:tcPr>
            <w:tcW w:w="1261" w:type="dxa"/>
          </w:tcPr>
          <w:p>
            <w:pPr>
              <w:pStyle w:val="CeldaAPA"/>
            </w:pPr>
          </w:p>
        </w:tc>
        <w:tc>
          <w:tcPr>
            <w:tcW w:w="1612" w:type="dxa"/>
          </w:tcPr>
          <w:p>
            <w:pPr>
              <w:pStyle w:val="CeldaAPA"/>
            </w:pPr>
          </w:p>
        </w:tc>
        <w:tc>
          <w:tcPr>
            <w:tcW w:w="1341" w:type="dxa"/>
          </w:tcPr>
          <w:p>
            <w:pPr>
              <w:pStyle w:val="CeldaAPA"/>
            </w:pPr>
          </w:p>
        </w:tc>
        <w:tc>
          <w:tcPr>
            <w:tcW w:w="1521" w:type="dxa"/>
          </w:tcPr>
          <w:p>
            <w:pPr>
              <w:pStyle w:val="CeldaAPA"/>
            </w:pPr>
          </w:p>
        </w:tc>
        <w:tc>
          <w:tcPr>
            <w:tcW w:w="1655" w:type="dxa"/>
          </w:tcPr>
          <w:p>
            <w:pPr>
              <w:pStyle w:val="CeldaAPA"/>
            </w:pPr>
          </w:p>
        </w:tc>
        <w:tc>
          <w:tcPr>
            <w:tcW w:w="1214" w:type="dxa"/>
          </w:tcPr>
          <w:p>
            <w:pPr>
              <w:pStyle w:val="CeldaAPA"/>
            </w:pPr>
          </w:p>
        </w:tc>
      </w:tr>
    </w:tbl>
    <w:p>
      <w:pPr>
        <w:pStyle w:val="BodyText"/>
        <w:spacing w:before="240"/>
      </w:pPr>
      <w:r>
        <w:rPr>
          <w:bCs/>
          <w:b/>
        </w:rPr>
        <w:t xml:space="preserve">G. Desapuntalamiento (H) y aceptación del paño.</w:t>
      </w:r>
    </w:p>
    <w:tbl>
      <w:tblPr>
        <w:tblStyle w:val="Table"/>
        <w:tblW w:w="9361"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1" w:lastRow="0" w:firstColumn="0" w:lastColumn="0" w:noHBand="0" w:noVBand="0" w:val="0020"/>
      </w:tblPr>
      <w:tblGrid>
        <w:gridCol w:w="666"/>
        <w:gridCol w:w="2441"/>
        <w:gridCol w:w="3032"/>
        <w:gridCol w:w="470"/>
        <w:gridCol w:w="650"/>
        <w:gridCol w:w="2102"/>
      </w:tblGrid>
      <w:tr>
        <w:trPr>
          <w:cantSplit/>
          <w:tblHeader w:val="true"/>
        </w:trPr>
        <w:tc>
          <w:tcPr>
            <w:tcW w:w="666" w:type="dxa"/>
          </w:tcPr>
          <w:p>
            <w:pPr>
              <w:pStyle w:val="CeldaAPA"/>
              <w:jc w:val="left"/>
            </w:pPr>
            <w:r>
              <w:rPr>
                <w:bCs/>
                <w:b/>
                <w:sz w:val="20"/>
                <w:szCs w:val="20"/>
              </w:rPr>
              <w:t xml:space="preserve">N.</w:t>
            </w:r>
            <w:r>
              <w:rPr>
                <w:vertAlign w:val="superscript"/>
                <w:bCs/>
                <w:b/>
                <w:sz w:val="20"/>
                <w:szCs w:val="20"/>
              </w:rPr>
              <w:t xml:space="preserve">o</w:t>
            </w:r>
          </w:p>
        </w:tc>
        <w:tc>
          <w:tcPr>
            <w:tcW w:w="2441" w:type="dxa"/>
          </w:tcPr>
          <w:p>
            <w:pPr>
              <w:pStyle w:val="CeldaAPA"/>
              <w:jc w:val="left"/>
            </w:pPr>
            <w:r>
              <w:rPr>
                <w:bCs/>
                <w:b/>
                <w:sz w:val="20"/>
                <w:szCs w:val="20"/>
              </w:rPr>
              <w:t xml:space="preserve">Punto de control</w:t>
            </w:r>
          </w:p>
        </w:tc>
        <w:tc>
          <w:tcPr>
            <w:tcW w:w="3032" w:type="dxa"/>
          </w:tcPr>
          <w:p>
            <w:pPr>
              <w:pStyle w:val="CeldaAPA"/>
              <w:jc w:val="left"/>
            </w:pPr>
            <w:r>
              <w:rPr>
                <w:bCs/>
                <w:b/>
                <w:sz w:val="20"/>
                <w:szCs w:val="20"/>
              </w:rPr>
              <w:t xml:space="preserve">Criterio de aceptación</w:t>
            </w:r>
          </w:p>
        </w:tc>
        <w:tc>
          <w:tcPr>
            <w:tcW w:w="470" w:type="dxa"/>
          </w:tcPr>
          <w:p>
            <w:pPr>
              <w:pStyle w:val="CeldaAPA"/>
              <w:jc w:val="center"/>
            </w:pPr>
            <w:r>
              <w:rPr>
                <w:bCs/>
                <w:b/>
                <w:sz w:val="20"/>
                <w:szCs w:val="20"/>
              </w:rPr>
              <w:t xml:space="preserve">C</w:t>
            </w:r>
          </w:p>
        </w:tc>
        <w:tc>
          <w:tcPr>
            <w:tcW w:w="650" w:type="dxa"/>
          </w:tcPr>
          <w:p>
            <w:pPr>
              <w:pStyle w:val="CeldaAPA"/>
              <w:jc w:val="center"/>
            </w:pPr>
            <w:r>
              <w:rPr>
                <w:bCs/>
                <w:b/>
                <w:sz w:val="20"/>
                <w:szCs w:val="20"/>
              </w:rPr>
              <w:t xml:space="preserve">NC</w:t>
            </w:r>
          </w:p>
        </w:tc>
        <w:tc>
          <w:tcPr>
            <w:tcW w:w="2102" w:type="dxa"/>
          </w:tcPr>
          <w:p>
            <w:pPr>
              <w:pStyle w:val="CeldaAPA"/>
              <w:jc w:val="left"/>
            </w:pPr>
            <w:r>
              <w:rPr>
                <w:bCs/>
                <w:b/>
                <w:sz w:val="20"/>
                <w:szCs w:val="20"/>
              </w:rPr>
              <w:t xml:space="preserve">Valor</w:t>
            </w:r>
          </w:p>
        </w:tc>
      </w:tr>
      <w:tr>
        <w:tc>
          <w:tcPr>
            <w:tcW w:w="666" w:type="dxa"/>
          </w:tcPr>
          <w:p>
            <w:pPr>
              <w:pStyle w:val="CeldaAPA"/>
              <w:jc w:val="left"/>
            </w:pPr>
            <w:r>
              <w:rPr>
                <w:sz w:val="20"/>
                <w:szCs w:val="20"/>
              </w:rPr>
              <w:t xml:space="preserve">G1</w:t>
            </w:r>
          </w:p>
        </w:tc>
        <w:tc>
          <w:tcPr>
            <w:tcW w:w="2441" w:type="dxa"/>
          </w:tcPr>
          <w:p>
            <w:pPr>
              <w:pStyle w:val="CeldaAPA"/>
              <w:jc w:val="left"/>
            </w:pPr>
            <w:r>
              <w:rPr>
                <w:sz w:val="20"/>
                <w:szCs w:val="20"/>
              </w:rPr>
              <w:t xml:space="preserve">Plazo desde el vaciado</w:t>
            </w:r>
          </w:p>
        </w:tc>
        <w:tc>
          <w:tcPr>
            <w:tcW w:w="3032" w:type="dxa"/>
          </w:tcPr>
          <w:p>
            <w:pPr>
              <w:pStyle w:val="CeldaAPA"/>
              <w:jc w:val="left"/>
            </w:pPr>
            <m:oMath>
              <m:r>
                <m:rPr>
                  <m:sty m:val="p"/>
                </m:rPr>
                <m:t>≥</m:t>
              </m:r>
              <m:r>
                <m:t>15</m:t>
              </m:r>
            </m:oMath>
            <w:r>
              <w:rPr>
                <w:sz w:val="20"/>
                <w:szCs w:val="20"/>
              </w:rPr>
              <w:t xml:space="preserve"> </w:t>
            </w:r>
            <w:r>
              <w:rPr>
                <w:sz w:val="20"/>
                <w:szCs w:val="20"/>
              </w:rPr>
              <w:t xml:space="preserve">días (luz</w:t>
            </w:r>
            <w:r>
              <w:rPr>
                <w:sz w:val="20"/>
                <w:szCs w:val="20"/>
              </w:rPr>
              <w:t xml:space="preserve"> </w:t>
            </w:r>
            <m:oMath>
              <m:r>
                <m:rPr>
                  <m:sty m:val="p"/>
                </m:rPr>
                <m:t>&lt;</m:t>
              </m:r>
              <m:r>
                <m:t>5</m:t>
              </m:r>
            </m:oMath>
            <w:r>
              <w:rPr>
                <w:sz w:val="20"/>
                <w:szCs w:val="20"/>
              </w:rPr>
              <w:t xml:space="preserve"> m) o</w:t>
            </w:r>
            <w:r>
              <w:rPr>
                <w:sz w:val="20"/>
                <w:szCs w:val="20"/>
              </w:rPr>
              <w:t xml:space="preserve"> </w:t>
            </w:r>
            <m:oMath>
              <m:r>
                <m:rPr>
                  <m:sty m:val="p"/>
                </m:rPr>
                <m:t>≥</m:t>
              </m:r>
              <m:r>
                <m:t>21</m:t>
              </m:r>
            </m:oMath>
            <w:r>
              <w:rPr>
                <w:sz w:val="20"/>
                <w:szCs w:val="20"/>
              </w:rPr>
              <w:t xml:space="preserve"> </w:t>
            </w:r>
            <w:r>
              <w:rPr>
                <w:sz w:val="20"/>
                <w:szCs w:val="20"/>
              </w:rPr>
              <w:t xml:space="preserve">días (luz</w:t>
            </w:r>
            <w:r>
              <w:rPr>
                <w:sz w:val="20"/>
                <w:szCs w:val="20"/>
              </w:rPr>
              <w:t xml:space="preserve"> </w:t>
            </w:r>
            <m:oMath>
              <m:r>
                <m:rPr>
                  <m:sty m:val="p"/>
                </m:rPr>
                <m:t>&gt;</m:t>
              </m:r>
              <m:r>
                <m:t>5</m:t>
              </m:r>
            </m:oMath>
            <w:r>
              <w:rPr>
                <w:sz w:val="20"/>
                <w:szCs w:val="20"/>
              </w:rPr>
              <w:t xml:space="preserve"> m)</w:t>
            </w:r>
          </w:p>
        </w:tc>
        <w:tc>
          <w:tcPr>
            <w:tcW w:w="470" w:type="dxa"/>
          </w:tcPr>
          <w:p>
            <w:pPr>
              <w:pStyle w:val="CeldaAPA"/>
            </w:pPr>
          </w:p>
        </w:tc>
        <w:tc>
          <w:tcPr>
            <w:tcW w:w="650" w:type="dxa"/>
          </w:tcPr>
          <w:p>
            <w:pPr>
              <w:pStyle w:val="CeldaAPA"/>
            </w:pPr>
          </w:p>
        </w:tc>
        <w:tc>
          <w:tcPr>
            <w:tcW w:w="2102" w:type="dxa"/>
          </w:tcPr>
          <w:p>
            <w:pPr>
              <w:pStyle w:val="CeldaAPA"/>
              <w:jc w:val="left"/>
            </w:pPr>
            <w:r>
              <w:rPr>
                <w:sz w:val="20"/>
                <w:szCs w:val="20"/>
              </w:rPr>
              <w:t xml:space="preserve">Días:</w:t>
            </w:r>
          </w:p>
        </w:tc>
      </w:tr>
      <w:tr>
        <w:tc>
          <w:tcPr>
            <w:tcW w:w="666" w:type="dxa"/>
          </w:tcPr>
          <w:p>
            <w:pPr>
              <w:pStyle w:val="CeldaAPA"/>
              <w:jc w:val="left"/>
            </w:pPr>
            <w:r>
              <w:rPr>
                <w:sz w:val="20"/>
                <w:szCs w:val="20"/>
              </w:rPr>
              <w:t xml:space="preserve">G2</w:t>
            </w:r>
          </w:p>
        </w:tc>
        <w:tc>
          <w:tcPr>
            <w:tcW w:w="2441" w:type="dxa"/>
          </w:tcPr>
          <w:p>
            <w:pPr>
              <w:pStyle w:val="CeldaAPA"/>
              <w:jc w:val="left"/>
            </w:pPr>
            <w:r>
              <w:rPr>
                <w:sz w:val="20"/>
                <w:szCs w:val="20"/>
              </w:rPr>
              <w:t xml:space="preserve">Cilindros curados en obra</w:t>
            </w:r>
          </w:p>
        </w:tc>
        <w:tc>
          <w:tcPr>
            <w:tcW w:w="3032" w:type="dxa"/>
          </w:tcPr>
          <w:p>
            <w:pPr>
              <w:pStyle w:val="CeldaAPA"/>
              <w:jc w:val="left"/>
            </w:pPr>
            <w:r>
              <w:rPr>
                <w:sz w:val="20"/>
                <w:szCs w:val="20"/>
              </w:rPr>
              <w:t xml:space="preserve">Si la Supervisión los exige: todos</w:t>
            </w:r>
            <w:r>
              <w:rPr>
                <w:sz w:val="20"/>
                <w:szCs w:val="20"/>
              </w:rPr>
              <w:t xml:space="preserve"> </w:t>
            </w:r>
            <m:oMath>
              <m:r>
                <m:rPr>
                  <m:sty m:val="p"/>
                </m:rPr>
                <m:t>≥</m:t>
              </m:r>
            </m:oMath>
            <w:r>
              <w:rPr>
                <w:sz w:val="20"/>
                <w:szCs w:val="20"/>
              </w:rPr>
              <w:t xml:space="preserve"> </w:t>
            </w:r>
            <w:r>
              <w:rPr>
                <w:sz w:val="20"/>
                <w:szCs w:val="20"/>
              </w:rPr>
              <w:t xml:space="preserve">la resistencia requerida para la etapa</w:t>
            </w:r>
          </w:p>
        </w:tc>
        <w:tc>
          <w:tcPr>
            <w:tcW w:w="470" w:type="dxa"/>
          </w:tcPr>
          <w:p>
            <w:pPr>
              <w:pStyle w:val="CeldaAPA"/>
            </w:pPr>
          </w:p>
        </w:tc>
        <w:tc>
          <w:tcPr>
            <w:tcW w:w="650" w:type="dxa"/>
          </w:tcPr>
          <w:p>
            <w:pPr>
              <w:pStyle w:val="CeldaAPA"/>
            </w:pPr>
          </w:p>
        </w:tc>
        <w:tc>
          <w:tcPr>
            <w:tcW w:w="2102" w:type="dxa"/>
          </w:tcPr>
          <w:p>
            <w:pPr>
              <w:pStyle w:val="CeldaAPA"/>
              <w:jc w:val="left"/>
            </w:pPr>
            <w:r>
              <w:rPr>
                <w:sz w:val="20"/>
                <w:szCs w:val="20"/>
              </w:rPr>
              <w:t xml:space="preserve">kg/cm</w:t>
            </w:r>
            <w:r>
              <w:rPr>
                <w:vertAlign w:val="superscript"/>
                <w:sz w:val="20"/>
                <w:szCs w:val="20"/>
              </w:rPr>
              <w:t xml:space="preserve">2</w:t>
            </w:r>
            <w:r>
              <w:rPr>
                <w:sz w:val="20"/>
                <w:szCs w:val="20"/>
              </w:rPr>
              <w:t xml:space="preserve">:</w:t>
            </w:r>
          </w:p>
        </w:tc>
      </w:tr>
      <w:tr>
        <w:tc>
          <w:tcPr>
            <w:tcW w:w="666" w:type="dxa"/>
          </w:tcPr>
          <w:p>
            <w:pPr>
              <w:pStyle w:val="CeldaAPA"/>
              <w:jc w:val="left"/>
            </w:pPr>
            <w:r>
              <w:rPr>
                <w:sz w:val="20"/>
                <w:szCs w:val="20"/>
              </w:rPr>
              <w:t xml:space="preserve">G3</w:t>
            </w:r>
          </w:p>
        </w:tc>
        <w:tc>
          <w:tcPr>
            <w:tcW w:w="2441" w:type="dxa"/>
          </w:tcPr>
          <w:p>
            <w:pPr>
              <w:pStyle w:val="CeldaAPA"/>
              <w:jc w:val="left"/>
            </w:pPr>
            <w:r>
              <w:rPr>
                <w:sz w:val="20"/>
                <w:szCs w:val="20"/>
              </w:rPr>
              <w:t xml:space="preserve">Cargas y estado</w:t>
            </w:r>
          </w:p>
        </w:tc>
        <w:tc>
          <w:tcPr>
            <w:tcW w:w="3032" w:type="dxa"/>
          </w:tcPr>
          <w:p>
            <w:pPr>
              <w:pStyle w:val="CeldaAPA"/>
              <w:jc w:val="left"/>
            </w:pPr>
            <w:r>
              <w:rPr>
                <w:sz w:val="20"/>
                <w:szCs w:val="20"/>
              </w:rPr>
              <w:t xml:space="preserve">Sin cargas de construcción excesivas; sin fisuras ni flechas visibles después del retiro</w:t>
            </w:r>
          </w:p>
        </w:tc>
        <w:tc>
          <w:tcPr>
            <w:tcW w:w="470" w:type="dxa"/>
          </w:tcPr>
          <w:p>
            <w:pPr>
              <w:pStyle w:val="CeldaAPA"/>
            </w:pPr>
          </w:p>
        </w:tc>
        <w:tc>
          <w:tcPr>
            <w:tcW w:w="650" w:type="dxa"/>
          </w:tcPr>
          <w:p>
            <w:pPr>
              <w:pStyle w:val="CeldaAPA"/>
            </w:pPr>
          </w:p>
        </w:tc>
        <w:tc>
          <w:tcPr>
            <w:tcW w:w="2102" w:type="dxa"/>
          </w:tcPr>
          <w:p>
            <w:pPr>
              <w:pStyle w:val="CeldaAPA"/>
            </w:pPr>
          </w:p>
        </w:tc>
      </w:tr>
      <w:tr>
        <w:tc>
          <w:tcPr>
            <w:tcW w:w="666" w:type="dxa"/>
          </w:tcPr>
          <w:p>
            <w:pPr>
              <w:pStyle w:val="CeldaAPA"/>
              <w:jc w:val="left"/>
            </w:pPr>
            <w:r>
              <w:rPr>
                <w:sz w:val="20"/>
                <w:szCs w:val="20"/>
              </w:rPr>
              <w:t xml:space="preserve">G4</w:t>
            </w:r>
          </w:p>
        </w:tc>
        <w:tc>
          <w:tcPr>
            <w:tcW w:w="2441" w:type="dxa"/>
          </w:tcPr>
          <w:p>
            <w:pPr>
              <w:pStyle w:val="CeldaAPA"/>
              <w:jc w:val="left"/>
            </w:pPr>
            <w:r>
              <w:rPr>
                <w:sz w:val="20"/>
                <w:szCs w:val="20"/>
              </w:rPr>
              <w:t xml:space="preserve">Aceptación para pago</w:t>
            </w:r>
          </w:p>
        </w:tc>
        <w:tc>
          <w:tcPr>
            <w:tcW w:w="3032" w:type="dxa"/>
          </w:tcPr>
          <w:p>
            <w:pPr>
              <w:pStyle w:val="CeldaAPA"/>
              <w:jc w:val="left"/>
            </w:pPr>
            <w:r>
              <w:rPr>
                <w:sz w:val="20"/>
                <w:szCs w:val="20"/>
              </w:rPr>
              <w:t xml:space="preserve">Ensayos de aceptación del vaciado conformes; conciliación C.4 cerrada; ninguna NC abierta</w:t>
            </w:r>
          </w:p>
        </w:tc>
        <w:tc>
          <w:tcPr>
            <w:tcW w:w="470" w:type="dxa"/>
          </w:tcPr>
          <w:p>
            <w:pPr>
              <w:pStyle w:val="CeldaAPA"/>
            </w:pPr>
          </w:p>
        </w:tc>
        <w:tc>
          <w:tcPr>
            <w:tcW w:w="650" w:type="dxa"/>
          </w:tcPr>
          <w:p>
            <w:pPr>
              <w:pStyle w:val="CeldaAPA"/>
            </w:pPr>
          </w:p>
        </w:tc>
        <w:tc>
          <w:tcPr>
            <w:tcW w:w="2102" w:type="dxa"/>
          </w:tcPr>
          <w:p>
            <w:pPr>
              <w:pStyle w:val="CeldaAPA"/>
              <w:jc w:val="left"/>
            </w:pPr>
            <w:r>
              <w:rPr>
                <w:sz w:val="20"/>
                <w:szCs w:val="20"/>
              </w:rPr>
              <w:t xml:space="preserve">Ensayos N.</w:t>
            </w:r>
            <w:r>
              <w:rPr>
                <w:vertAlign w:val="superscript"/>
                <w:sz w:val="20"/>
                <w:szCs w:val="20"/>
              </w:rPr>
              <w:t xml:space="preserve">o</w:t>
            </w:r>
            <w:r>
              <w:rPr>
                <w:sz w:val="20"/>
                <w:szCs w:val="20"/>
              </w:rPr>
              <w:t xml:space="preserve">:</w:t>
            </w:r>
          </w:p>
        </w:tc>
      </w:tr>
      <w:tr>
        <w:tc>
          <w:tcPr>
            <w:tcW w:w="9361" w:type="dxa"/>
            <w:gridSpan w:val="6"/>
          </w:tcPr>
          <w:p>
            <w:pPr>
              <w:pStyle w:val="CeldaAPA"/>
              <w:jc w:val="left"/>
            </w:pPr>
            <w:r>
              <w:rPr>
                <w:bCs/>
                <w:b/>
                <w:sz w:val="20"/>
                <w:szCs w:val="20"/>
              </w:rPr>
              <w:t xml:space="preserve">Liberación G</w:t>
            </w:r>
            <w:r>
              <w:rPr>
                <w:sz w:val="20"/>
                <w:szCs w:val="20"/>
              </w:rPr>
              <w:t xml:space="preserve"> </w:t>
            </w:r>
            <w:r>
              <w:rPr>
                <w:sz w:val="20"/>
                <w:szCs w:val="20"/>
              </w:rPr>
              <w:t xml:space="preserve">_________________ _________________ _________________</w:t>
            </w:r>
          </w:p>
        </w:tc>
      </w:tr>
    </w:tbl>
    <w:p>
      <w:pPr>
        <w:pStyle w:val="Heading2"/>
        <w:spacing w:before="240"/>
      </w:pPr>
      <w:bookmarkStart w:id="331" w:name="tit156"/>
      <w:r>
        <w:t xml:space="preserve">C.3. Ficha de recepción de materiales</w:t>
      </w:r>
      <w:bookmarkEnd w:id="331"/>
    </w:p>
    <w:p>
      <w:pPr>
        <w:pStyle w:val="FirstParagraph"/>
      </w:pPr>
      <w:r>
        <w:rPr>
          <w:bCs/>
          <w:b/>
        </w:rPr>
        <w:t xml:space="preserve">Uso.</w:t>
      </w:r>
      <w:r>
        <w:t xml:space="preserve"> </w:t>
      </w:r>
      <w:r>
        <w:t xml:space="preserve">Una ficha por entrega y por material, llenada</w:t>
      </w:r>
      <w:r>
        <w:t xml:space="preserve"> </w:t>
      </w:r>
      <w:r>
        <w:rPr>
          <w:iCs/>
          <w:i/>
        </w:rPr>
        <w:t xml:space="preserve">antes</w:t>
      </w:r>
      <w:r>
        <w:t xml:space="preserve"> </w:t>
      </w:r>
      <w:r>
        <w:t xml:space="preserve">de colocar el material (PCM-01). Ningún material se coloca sin esta ficha aceptada. Complete solo el bloque del material recibido. Criterios: Tabla 37.</w:t>
      </w:r>
    </w:p>
    <w:tbl>
      <w:tblPr>
        <w:tblStyle w:val="Table"/>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0" w:lastRow="0" w:firstColumn="0" w:lastColumn="0" w:noHBand="0" w:noVBand="0" w:val="0000"/>
      </w:tblPr>
      <w:tblGrid>
        <w:gridCol w:w="2930"/>
        <w:gridCol w:w="4240"/>
        <w:gridCol w:w="1900"/>
      </w:tblGrid>
      <w:tr>
        <w:tc>
          <w:tcPr>
            <w:tcW w:w="2930" w:type="dxa"/>
          </w:tcPr>
          <w:p>
            <w:pPr>
              <w:pStyle w:val="CeldaAPA"/>
              <w:jc w:val="left"/>
            </w:pPr>
            <w:r>
              <w:rPr>
                <w:bCs/>
                <w:b/>
                <w:sz w:val="20"/>
                <w:szCs w:val="20"/>
              </w:rPr>
              <w:t xml:space="preserve">UATF – Edificio de Posgrado</w:t>
            </w:r>
          </w:p>
        </w:tc>
        <w:tc>
          <w:tcPr>
            <w:tcW w:w="4240" w:type="dxa"/>
            <w:vMerge w:val="restart"/>
          </w:tcPr>
          <w:p>
            <w:pPr>
              <w:pStyle w:val="CeldaAPA"/>
              <w:jc w:val="left"/>
            </w:pPr>
            <w:r>
              <w:rPr>
                <w:bCs/>
                <w:b/>
                <w:sz w:val="20"/>
                <w:szCs w:val="20"/>
              </w:rPr>
              <w:t xml:space="preserve">Ficha de recepción de materiales</w:t>
            </w:r>
          </w:p>
        </w:tc>
        <w:tc>
          <w:tcPr>
            <w:tcW w:w="1900" w:type="dxa"/>
          </w:tcPr>
          <w:p>
            <w:pPr>
              <w:pStyle w:val="CeldaAPA"/>
              <w:jc w:val="left"/>
            </w:pPr>
            <w:r>
              <w:rPr>
                <w:bCs/>
                <w:b/>
                <w:sz w:val="20"/>
                <w:szCs w:val="20"/>
              </w:rPr>
              <w:t xml:space="preserve">Código:</w:t>
            </w:r>
            <w:r>
              <w:rPr>
                <w:sz w:val="20"/>
                <w:szCs w:val="20"/>
              </w:rPr>
              <w:t xml:space="preserve"> </w:t>
            </w:r>
            <w:r>
              <w:rPr>
                <w:sz w:val="20"/>
                <w:szCs w:val="20"/>
              </w:rPr>
              <w:t xml:space="preserve">C.3</w:t>
            </w:r>
          </w:p>
        </w:tc>
      </w:tr>
      <w:tr>
        <w:tc>
          <w:tcPr>
            <w:tcW w:w="2930" w:type="dxa"/>
          </w:tcPr>
          <w:p>
            <w:pPr>
              <w:pStyle w:val="CeldaAPA"/>
              <w:jc w:val="left"/>
            </w:pPr>
            <w:r>
              <w:rPr>
                <w:sz w:val="20"/>
                <w:szCs w:val="20"/>
              </w:rPr>
              <w:t xml:space="preserve">Ítem 13: losa alivianada h = 25 cm</w:t>
            </w:r>
          </w:p>
        </w:tc>
        <w:tc>
          <w:tcPr>
            <w:tcW w:w="4240" w:type="dxa"/>
            <w:gridSpan w:val="1"/>
            <w:vMerge w:val="continue"/>
          </w:tcPr>
          <w:p>
            <w:pPr>
              <w:pStyle w:val="CeldaAPA"/>
            </w:pPr>
          </w:p>
        </w:tc>
        <w:tc>
          <w:tcPr>
            <w:tcW w:w="1900" w:type="dxa"/>
          </w:tcPr>
          <w:p>
            <w:pPr>
              <w:pStyle w:val="CeldaAPA"/>
              <w:jc w:val="left"/>
            </w:pPr>
            <w:r>
              <w:rPr>
                <w:sz w:val="20"/>
                <w:szCs w:val="20"/>
              </w:rPr>
              <w:t xml:space="preserve">Versión 0</w:t>
            </w:r>
          </w:p>
        </w:tc>
      </w:tr>
    </w:tbl>
    <w:tbl>
      <w:tblPr>
        <w:tblStyle w:val="Table"/>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0" w:lastRow="0" w:firstColumn="0" w:lastColumn="0" w:noHBand="0" w:noVBand="0" w:val="0000"/>
      </w:tblPr>
      <w:tblGrid>
        <w:gridCol w:w="3120"/>
        <w:gridCol w:w="3120"/>
        <w:gridCol w:w="3120"/>
      </w:tblGrid>
      <w:tr>
        <w:tc>
          <w:tcPr>
            <w:tcW w:w="3120" w:type="dxa"/>
          </w:tcPr>
          <w:p>
            <w:pPr>
              <w:pStyle w:val="CeldaAPA"/>
              <w:jc w:val="left"/>
            </w:pPr>
            <w:r>
              <w:rPr>
                <w:sz w:val="20"/>
                <w:szCs w:val="20"/>
              </w:rPr>
              <w:t xml:space="preserve">Ficha N.</w:t>
            </w:r>
            <w:r>
              <w:rPr>
                <w:vertAlign w:val="superscript"/>
                <w:sz w:val="20"/>
                <w:szCs w:val="20"/>
              </w:rPr>
              <w:t xml:space="preserve">o</w:t>
            </w:r>
            <w:r>
              <w:rPr>
                <w:sz w:val="20"/>
                <w:szCs w:val="20"/>
              </w:rPr>
              <w:t xml:space="preserve"> ______________</w:t>
            </w:r>
          </w:p>
        </w:tc>
        <w:tc>
          <w:tcPr>
            <w:tcW w:w="3120" w:type="dxa"/>
          </w:tcPr>
          <w:p>
            <w:pPr>
              <w:pStyle w:val="CeldaAPA"/>
              <w:jc w:val="left"/>
            </w:pPr>
            <w:r>
              <w:rPr>
                <w:sz w:val="20"/>
                <w:szCs w:val="20"/>
              </w:rPr>
              <w:t xml:space="preserve">Fecha y hora ______________</w:t>
            </w:r>
          </w:p>
        </w:tc>
        <w:tc>
          <w:tcPr>
            <w:tcW w:w="3120" w:type="dxa"/>
          </w:tcPr>
          <w:p>
            <w:pPr>
              <w:pStyle w:val="CeldaAPA"/>
              <w:jc w:val="left"/>
            </w:pPr>
            <w:r>
              <w:rPr>
                <w:sz w:val="20"/>
                <w:szCs w:val="20"/>
              </w:rPr>
              <w:t xml:space="preserve">Proveedor ______________</w:t>
            </w:r>
          </w:p>
        </w:tc>
      </w:tr>
      <w:tr>
        <w:tc>
          <w:tcPr>
            <w:tcW w:w="3120" w:type="dxa"/>
          </w:tcPr>
          <w:p>
            <w:pPr>
              <w:pStyle w:val="CeldaAPA"/>
              <w:jc w:val="left"/>
            </w:pPr>
            <w:r>
              <w:rPr>
                <w:sz w:val="20"/>
                <w:szCs w:val="20"/>
              </w:rPr>
              <w:t xml:space="preserve">Material ______________</w:t>
            </w:r>
          </w:p>
        </w:tc>
        <w:tc>
          <w:tcPr>
            <w:tcW w:w="3120" w:type="dxa"/>
          </w:tcPr>
          <w:p>
            <w:pPr>
              <w:pStyle w:val="CeldaAPA"/>
              <w:jc w:val="left"/>
            </w:pPr>
            <w:r>
              <w:rPr>
                <w:sz w:val="20"/>
                <w:szCs w:val="20"/>
              </w:rPr>
              <w:t xml:space="preserve">Nota de remisión N.</w:t>
            </w:r>
            <w:r>
              <w:rPr>
                <w:vertAlign w:val="superscript"/>
                <w:sz w:val="20"/>
                <w:szCs w:val="20"/>
              </w:rPr>
              <w:t xml:space="preserve">o</w:t>
            </w:r>
            <w:r>
              <w:rPr>
                <w:sz w:val="20"/>
                <w:szCs w:val="20"/>
              </w:rPr>
              <w:t xml:space="preserve"> ______________</w:t>
            </w:r>
          </w:p>
        </w:tc>
        <w:tc>
          <w:tcPr>
            <w:tcW w:w="3120" w:type="dxa"/>
          </w:tcPr>
          <w:p>
            <w:pPr>
              <w:pStyle w:val="CeldaAPA"/>
              <w:jc w:val="left"/>
            </w:pPr>
            <w:r>
              <w:rPr>
                <w:sz w:val="20"/>
                <w:szCs w:val="20"/>
              </w:rPr>
              <w:t xml:space="preserve">Factura N.</w:t>
            </w:r>
            <w:r>
              <w:rPr>
                <w:vertAlign w:val="superscript"/>
                <w:sz w:val="20"/>
                <w:szCs w:val="20"/>
              </w:rPr>
              <w:t xml:space="preserve">o</w:t>
            </w:r>
            <w:r>
              <w:rPr>
                <w:sz w:val="20"/>
                <w:szCs w:val="20"/>
              </w:rPr>
              <w:t xml:space="preserve"> ______________</w:t>
            </w:r>
          </w:p>
        </w:tc>
      </w:tr>
      <w:tr>
        <w:tc>
          <w:tcPr>
            <w:tcW w:w="3120" w:type="dxa"/>
          </w:tcPr>
          <w:p>
            <w:pPr>
              <w:pStyle w:val="CeldaAPA"/>
              <w:jc w:val="left"/>
            </w:pPr>
            <w:r>
              <w:rPr>
                <w:sz w:val="20"/>
                <w:szCs w:val="20"/>
              </w:rPr>
              <w:t xml:space="preserve">Orden de compra N.</w:t>
            </w:r>
            <w:r>
              <w:rPr>
                <w:vertAlign w:val="superscript"/>
                <w:sz w:val="20"/>
                <w:szCs w:val="20"/>
              </w:rPr>
              <w:t xml:space="preserve">o</w:t>
            </w:r>
            <w:r>
              <w:rPr>
                <w:sz w:val="20"/>
                <w:szCs w:val="20"/>
              </w:rPr>
              <w:t xml:space="preserve"> ______________</w:t>
            </w:r>
          </w:p>
        </w:tc>
        <w:tc>
          <w:tcPr>
            <w:tcW w:w="3120" w:type="dxa"/>
          </w:tcPr>
          <w:p>
            <w:pPr>
              <w:pStyle w:val="CeldaAPA"/>
              <w:jc w:val="left"/>
            </w:pPr>
            <w:r>
              <w:rPr>
                <w:sz w:val="20"/>
                <w:szCs w:val="20"/>
              </w:rPr>
              <w:t xml:space="preserve">Lote o colada ______________</w:t>
            </w:r>
          </w:p>
        </w:tc>
        <w:tc>
          <w:tcPr>
            <w:tcW w:w="3120" w:type="dxa"/>
          </w:tcPr>
          <w:p>
            <w:pPr>
              <w:pStyle w:val="CeldaAPA"/>
              <w:jc w:val="left"/>
            </w:pPr>
            <w:r>
              <w:rPr>
                <w:sz w:val="20"/>
                <w:szCs w:val="20"/>
              </w:rPr>
              <w:t xml:space="preserve">Destino (losa y paños) ______________</w:t>
            </w:r>
          </w:p>
        </w:tc>
      </w:tr>
      <w:tr>
        <w:tc>
          <w:tcPr>
            <w:tcW w:w="3120" w:type="dxa"/>
          </w:tcPr>
          <w:p>
            <w:pPr>
              <w:pStyle w:val="CeldaAPA"/>
              <w:jc w:val="left"/>
            </w:pPr>
            <w:r>
              <w:rPr>
                <w:sz w:val="20"/>
                <w:szCs w:val="20"/>
              </w:rPr>
              <w:t xml:space="preserve">Cantidad remitida ______________</w:t>
            </w:r>
          </w:p>
        </w:tc>
        <w:tc>
          <w:tcPr>
            <w:tcW w:w="3120" w:type="dxa"/>
          </w:tcPr>
          <w:p>
            <w:pPr>
              <w:pStyle w:val="CeldaAPA"/>
              <w:jc w:val="left"/>
            </w:pPr>
            <w:r>
              <w:rPr>
                <w:sz w:val="20"/>
                <w:szCs w:val="20"/>
              </w:rPr>
              <w:t xml:space="preserve">Cantidad recibida (conteo) ______________</w:t>
            </w:r>
          </w:p>
        </w:tc>
        <w:tc>
          <w:tcPr>
            <w:tcW w:w="3120" w:type="dxa"/>
          </w:tcPr>
          <w:p>
            <w:pPr>
              <w:pStyle w:val="CeldaAPA"/>
              <w:jc w:val="left"/>
            </w:pPr>
            <w:r>
              <w:rPr>
                <w:sz w:val="20"/>
                <w:szCs w:val="20"/>
              </w:rPr>
              <w:t xml:space="preserve">Unidad ______________</w:t>
            </w:r>
          </w:p>
        </w:tc>
      </w:tr>
    </w:tbl>
    <w:p>
      <w:pPr>
        <w:pStyle w:val="BodyText"/>
        <w:spacing w:before="240"/>
      </w:pPr>
      <w:r>
        <w:rPr>
          <w:bCs/>
          <w:b/>
        </w:rPr>
        <w:t xml:space="preserve">1. Verificación documental</w:t>
      </w:r>
    </w:p>
    <w:tbl>
      <w:tblPr>
        <w:tblStyle w:val="Table"/>
        <w:tblW w:w="9359"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1" w:lastRow="0" w:firstColumn="0" w:lastColumn="0" w:noHBand="0" w:noVBand="0" w:val="0020"/>
      </w:tblPr>
      <w:tblGrid>
        <w:gridCol w:w="4416"/>
        <w:gridCol w:w="782"/>
        <w:gridCol w:w="782"/>
        <w:gridCol w:w="782"/>
        <w:gridCol w:w="2597"/>
      </w:tblGrid>
      <w:tr>
        <w:trPr>
          <w:cantSplit/>
          <w:tblHeader w:val="true"/>
        </w:trPr>
        <w:tc>
          <w:tcPr>
            <w:tcW w:w="4416" w:type="dxa"/>
          </w:tcPr>
          <w:p>
            <w:pPr>
              <w:pStyle w:val="CeldaAPA"/>
              <w:jc w:val="left"/>
            </w:pPr>
            <w:r>
              <w:rPr>
                <w:bCs/>
                <w:b/>
                <w:sz w:val="20"/>
                <w:szCs w:val="20"/>
              </w:rPr>
              <w:t xml:space="preserve">Documento</w:t>
            </w:r>
          </w:p>
        </w:tc>
        <w:tc>
          <w:tcPr>
            <w:tcW w:w="782" w:type="dxa"/>
          </w:tcPr>
          <w:p>
            <w:pPr>
              <w:pStyle w:val="CeldaAPA"/>
              <w:jc w:val="center"/>
            </w:pPr>
            <w:r>
              <w:rPr>
                <w:bCs/>
                <w:b/>
                <w:sz w:val="20"/>
                <w:szCs w:val="20"/>
              </w:rPr>
              <w:t xml:space="preserve">Sí</w:t>
            </w:r>
          </w:p>
        </w:tc>
        <w:tc>
          <w:tcPr>
            <w:tcW w:w="782" w:type="dxa"/>
          </w:tcPr>
          <w:p>
            <w:pPr>
              <w:pStyle w:val="CeldaAPA"/>
              <w:jc w:val="center"/>
            </w:pPr>
            <w:r>
              <w:rPr>
                <w:bCs/>
                <w:b/>
                <w:sz w:val="20"/>
                <w:szCs w:val="20"/>
              </w:rPr>
              <w:t xml:space="preserve">No</w:t>
            </w:r>
          </w:p>
        </w:tc>
        <w:tc>
          <w:tcPr>
            <w:tcW w:w="782" w:type="dxa"/>
          </w:tcPr>
          <w:p>
            <w:pPr>
              <w:pStyle w:val="CeldaAPA"/>
              <w:jc w:val="center"/>
            </w:pPr>
            <w:r>
              <w:rPr>
                <w:bCs/>
                <w:b/>
                <w:sz w:val="20"/>
                <w:szCs w:val="20"/>
              </w:rPr>
              <w:t xml:space="preserve">NA</w:t>
            </w:r>
          </w:p>
        </w:tc>
        <w:tc>
          <w:tcPr>
            <w:tcW w:w="2597" w:type="dxa"/>
          </w:tcPr>
          <w:p>
            <w:pPr>
              <w:pStyle w:val="CeldaAPA"/>
              <w:jc w:val="left"/>
            </w:pPr>
            <w:r>
              <w:rPr>
                <w:bCs/>
                <w:b/>
                <w:sz w:val="20"/>
                <w:szCs w:val="20"/>
              </w:rPr>
              <w:t xml:space="preserve">Observación</w:t>
            </w:r>
          </w:p>
        </w:tc>
      </w:tr>
      <w:tr>
        <w:tc>
          <w:tcPr>
            <w:tcW w:w="4416" w:type="dxa"/>
          </w:tcPr>
          <w:p>
            <w:pPr>
              <w:pStyle w:val="CeldaAPA"/>
              <w:jc w:val="left"/>
            </w:pPr>
            <w:r>
              <w:rPr>
                <w:sz w:val="20"/>
                <w:szCs w:val="20"/>
              </w:rPr>
              <w:t xml:space="preserve">Certificado de calidad firmado, con lote y cantidad</w:t>
            </w:r>
          </w:p>
        </w:tc>
        <w:tc>
          <w:tcPr>
            <w:tcW w:w="782" w:type="dxa"/>
          </w:tcPr>
          <w:p>
            <w:pPr>
              <w:pStyle w:val="CeldaAPA"/>
            </w:pPr>
          </w:p>
        </w:tc>
        <w:tc>
          <w:tcPr>
            <w:tcW w:w="782" w:type="dxa"/>
          </w:tcPr>
          <w:p>
            <w:pPr>
              <w:pStyle w:val="CeldaAPA"/>
            </w:pPr>
          </w:p>
        </w:tc>
        <w:tc>
          <w:tcPr>
            <w:tcW w:w="782" w:type="dxa"/>
          </w:tcPr>
          <w:p>
            <w:pPr>
              <w:pStyle w:val="CeldaAPA"/>
            </w:pPr>
          </w:p>
        </w:tc>
        <w:tc>
          <w:tcPr>
            <w:tcW w:w="2597" w:type="dxa"/>
          </w:tcPr>
          <w:p>
            <w:pPr>
              <w:pStyle w:val="CeldaAPA"/>
            </w:pPr>
          </w:p>
        </w:tc>
      </w:tr>
      <w:tr>
        <w:tc>
          <w:tcPr>
            <w:tcW w:w="4416" w:type="dxa"/>
          </w:tcPr>
          <w:p>
            <w:pPr>
              <w:pStyle w:val="CeldaAPA"/>
              <w:jc w:val="left"/>
            </w:pPr>
            <w:r>
              <w:rPr>
                <w:sz w:val="20"/>
                <w:szCs w:val="20"/>
              </w:rPr>
              <w:t xml:space="preserve">Fecha del certificado anterior a la colocación</w:t>
            </w:r>
          </w:p>
        </w:tc>
        <w:tc>
          <w:tcPr>
            <w:tcW w:w="782" w:type="dxa"/>
          </w:tcPr>
          <w:p>
            <w:pPr>
              <w:pStyle w:val="CeldaAPA"/>
            </w:pPr>
          </w:p>
        </w:tc>
        <w:tc>
          <w:tcPr>
            <w:tcW w:w="782" w:type="dxa"/>
          </w:tcPr>
          <w:p>
            <w:pPr>
              <w:pStyle w:val="CeldaAPA"/>
            </w:pPr>
          </w:p>
        </w:tc>
        <w:tc>
          <w:tcPr>
            <w:tcW w:w="782" w:type="dxa"/>
          </w:tcPr>
          <w:p>
            <w:pPr>
              <w:pStyle w:val="CeldaAPA"/>
            </w:pPr>
          </w:p>
        </w:tc>
        <w:tc>
          <w:tcPr>
            <w:tcW w:w="2597" w:type="dxa"/>
          </w:tcPr>
          <w:p>
            <w:pPr>
              <w:pStyle w:val="CeldaAPA"/>
            </w:pPr>
          </w:p>
        </w:tc>
      </w:tr>
      <w:tr>
        <w:tc>
          <w:tcPr>
            <w:tcW w:w="4416" w:type="dxa"/>
          </w:tcPr>
          <w:p>
            <w:pPr>
              <w:pStyle w:val="CeldaAPA"/>
              <w:jc w:val="left"/>
            </w:pPr>
            <w:r>
              <w:rPr>
                <w:sz w:val="20"/>
                <w:szCs w:val="20"/>
              </w:rPr>
              <w:t xml:space="preserve">Viguetas: conformidad con la NB 997 declarada en el certificado</w:t>
            </w:r>
          </w:p>
        </w:tc>
        <w:tc>
          <w:tcPr>
            <w:tcW w:w="782" w:type="dxa"/>
          </w:tcPr>
          <w:p>
            <w:pPr>
              <w:pStyle w:val="CeldaAPA"/>
            </w:pPr>
          </w:p>
        </w:tc>
        <w:tc>
          <w:tcPr>
            <w:tcW w:w="782" w:type="dxa"/>
          </w:tcPr>
          <w:p>
            <w:pPr>
              <w:pStyle w:val="CeldaAPA"/>
            </w:pPr>
          </w:p>
        </w:tc>
        <w:tc>
          <w:tcPr>
            <w:tcW w:w="782" w:type="dxa"/>
          </w:tcPr>
          <w:p>
            <w:pPr>
              <w:pStyle w:val="CeldaAPA"/>
            </w:pPr>
          </w:p>
        </w:tc>
        <w:tc>
          <w:tcPr>
            <w:tcW w:w="2597" w:type="dxa"/>
          </w:tcPr>
          <w:p>
            <w:pPr>
              <w:pStyle w:val="CeldaAPA"/>
            </w:pPr>
          </w:p>
        </w:tc>
      </w:tr>
      <w:tr>
        <w:tc>
          <w:tcPr>
            <w:tcW w:w="4416" w:type="dxa"/>
          </w:tcPr>
          <w:p>
            <w:pPr>
              <w:pStyle w:val="CeldaAPA"/>
              <w:jc w:val="left"/>
            </w:pPr>
            <w:r>
              <w:rPr>
                <w:sz w:val="20"/>
                <w:szCs w:val="20"/>
              </w:rPr>
              <w:t xml:space="preserve">Acero: certificado por colada para cada diámetro entregado (</w:t>
            </w:r>
            <m:oMath>
              <m:r>
                <m:t>ϕ</m:t>
              </m:r>
            </m:oMath>
            <w:r>
              <w:rPr>
                <w:sz w:val="20"/>
                <w:szCs w:val="20"/>
              </w:rPr>
              <w:t xml:space="preserve">6,</w:t>
            </w:r>
            <w:r>
              <w:rPr>
                <w:sz w:val="20"/>
                <w:szCs w:val="20"/>
              </w:rPr>
              <w:t xml:space="preserve"> </w:t>
            </w:r>
            <m:oMath>
              <m:r>
                <m:t>ϕ</m:t>
              </m:r>
            </m:oMath>
            <w:r>
              <w:rPr>
                <w:sz w:val="20"/>
                <w:szCs w:val="20"/>
              </w:rPr>
              <w:t xml:space="preserve">8,</w:t>
            </w:r>
            <w:r>
              <w:rPr>
                <w:sz w:val="20"/>
                <w:szCs w:val="20"/>
              </w:rPr>
              <w:t xml:space="preserve"> </w:t>
            </w:r>
            <m:oMath>
              <m:r>
                <m:t>ϕ</m:t>
              </m:r>
            </m:oMath>
            <w:r>
              <w:rPr>
                <w:sz w:val="20"/>
                <w:szCs w:val="20"/>
              </w:rPr>
              <w:t xml:space="preserve">10,</w:t>
            </w:r>
            <w:r>
              <w:rPr>
                <w:sz w:val="20"/>
                <w:szCs w:val="20"/>
              </w:rPr>
              <w:t xml:space="preserve"> </w:t>
            </w:r>
            <m:oMath>
              <m:r>
                <m:t>ϕ</m:t>
              </m:r>
            </m:oMath>
            <w:r>
              <w:rPr>
                <w:sz w:val="20"/>
                <w:szCs w:val="20"/>
              </w:rPr>
              <w:t xml:space="preserve">12…)</w:t>
            </w:r>
          </w:p>
        </w:tc>
        <w:tc>
          <w:tcPr>
            <w:tcW w:w="782" w:type="dxa"/>
          </w:tcPr>
          <w:p>
            <w:pPr>
              <w:pStyle w:val="CeldaAPA"/>
            </w:pPr>
          </w:p>
        </w:tc>
        <w:tc>
          <w:tcPr>
            <w:tcW w:w="782" w:type="dxa"/>
          </w:tcPr>
          <w:p>
            <w:pPr>
              <w:pStyle w:val="CeldaAPA"/>
            </w:pPr>
          </w:p>
        </w:tc>
        <w:tc>
          <w:tcPr>
            <w:tcW w:w="782" w:type="dxa"/>
          </w:tcPr>
          <w:p>
            <w:pPr>
              <w:pStyle w:val="CeldaAPA"/>
            </w:pPr>
          </w:p>
        </w:tc>
        <w:tc>
          <w:tcPr>
            <w:tcW w:w="2597" w:type="dxa"/>
          </w:tcPr>
          <w:p>
            <w:pPr>
              <w:pStyle w:val="CeldaAPA"/>
            </w:pPr>
          </w:p>
        </w:tc>
      </w:tr>
      <w:tr>
        <w:tc>
          <w:tcPr>
            <w:tcW w:w="4416" w:type="dxa"/>
          </w:tcPr>
          <w:p>
            <w:pPr>
              <w:pStyle w:val="CeldaAPA"/>
              <w:jc w:val="left"/>
            </w:pPr>
            <w:r>
              <w:rPr>
                <w:sz w:val="20"/>
                <w:szCs w:val="20"/>
              </w:rPr>
              <w:t xml:space="preserve">Cemento: sello IBNORCA, tipo, clase y fecha de fabricación</w:t>
            </w:r>
          </w:p>
        </w:tc>
        <w:tc>
          <w:tcPr>
            <w:tcW w:w="782" w:type="dxa"/>
          </w:tcPr>
          <w:p>
            <w:pPr>
              <w:pStyle w:val="CeldaAPA"/>
            </w:pPr>
          </w:p>
        </w:tc>
        <w:tc>
          <w:tcPr>
            <w:tcW w:w="782" w:type="dxa"/>
          </w:tcPr>
          <w:p>
            <w:pPr>
              <w:pStyle w:val="CeldaAPA"/>
            </w:pPr>
          </w:p>
        </w:tc>
        <w:tc>
          <w:tcPr>
            <w:tcW w:w="782" w:type="dxa"/>
          </w:tcPr>
          <w:p>
            <w:pPr>
              <w:pStyle w:val="CeldaAPA"/>
            </w:pPr>
          </w:p>
        </w:tc>
        <w:tc>
          <w:tcPr>
            <w:tcW w:w="2597" w:type="dxa"/>
          </w:tcPr>
          <w:p>
            <w:pPr>
              <w:pStyle w:val="CeldaAPA"/>
            </w:pPr>
          </w:p>
        </w:tc>
      </w:tr>
      <w:tr>
        <w:tc>
          <w:tcPr>
            <w:tcW w:w="4416" w:type="dxa"/>
          </w:tcPr>
          <w:p>
            <w:pPr>
              <w:pStyle w:val="CeldaAPA"/>
              <w:jc w:val="left"/>
            </w:pPr>
            <w:r>
              <w:rPr>
                <w:sz w:val="20"/>
                <w:szCs w:val="20"/>
              </w:rPr>
              <w:t xml:space="preserve">Remisión, factura y orden de compra coinciden en material y cantidad</w:t>
            </w:r>
          </w:p>
        </w:tc>
        <w:tc>
          <w:tcPr>
            <w:tcW w:w="782" w:type="dxa"/>
          </w:tcPr>
          <w:p>
            <w:pPr>
              <w:pStyle w:val="CeldaAPA"/>
            </w:pPr>
          </w:p>
        </w:tc>
        <w:tc>
          <w:tcPr>
            <w:tcW w:w="782" w:type="dxa"/>
          </w:tcPr>
          <w:p>
            <w:pPr>
              <w:pStyle w:val="CeldaAPA"/>
            </w:pPr>
          </w:p>
        </w:tc>
        <w:tc>
          <w:tcPr>
            <w:tcW w:w="782" w:type="dxa"/>
          </w:tcPr>
          <w:p>
            <w:pPr>
              <w:pStyle w:val="CeldaAPA"/>
            </w:pPr>
          </w:p>
        </w:tc>
        <w:tc>
          <w:tcPr>
            <w:tcW w:w="2597" w:type="dxa"/>
          </w:tcPr>
          <w:p>
            <w:pPr>
              <w:pStyle w:val="CeldaAPA"/>
            </w:pPr>
          </w:p>
        </w:tc>
      </w:tr>
    </w:tbl>
    <w:p>
      <w:pPr>
        <w:pStyle w:val="BodyText"/>
        <w:spacing w:before="240"/>
      </w:pPr>
      <w:r>
        <w:rPr>
          <w:bCs/>
          <w:b/>
        </w:rPr>
        <w:t xml:space="preserve">2. Inspección física por material</w:t>
      </w:r>
    </w:p>
    <w:p>
      <w:pPr>
        <w:pStyle w:val="BodyText"/>
      </w:pPr>
      <w:r>
        <w:rPr>
          <w:bCs/>
          <w:b/>
        </w:rPr>
        <w:t xml:space="preserve">a) Viguetas pretensadas</w:t>
      </w:r>
      <w:r>
        <w:t xml:space="preserve"> </w:t>
      </w:r>
      <w:r>
        <w:t xml:space="preserve">(muestra: cinco viguetas por entrega y tipo; inspección visual de todas)</w:t>
      </w:r>
    </w:p>
    <w:tbl>
      <w:tblPr>
        <w:tblStyle w:val="Table"/>
        <w:tblW w:w="10303"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1" w:lastRow="0" w:firstColumn="0" w:lastColumn="0" w:noHBand="0" w:noVBand="0" w:val="0020"/>
      </w:tblPr>
      <w:tblGrid>
        <w:gridCol w:w="666"/>
        <w:gridCol w:w="814"/>
        <w:gridCol w:w="1062"/>
        <w:gridCol w:w="1097"/>
        <w:gridCol w:w="1553"/>
        <w:gridCol w:w="1218"/>
        <w:gridCol w:w="1739"/>
        <w:gridCol w:w="1504"/>
        <w:gridCol w:w="650"/>
      </w:tblGrid>
      <w:tr>
        <w:trPr>
          <w:cantSplit/>
          <w:tblHeader w:val="true"/>
        </w:trPr>
        <w:tc>
          <w:tcPr>
            <w:tcW w:w="666" w:type="dxa"/>
          </w:tcPr>
          <w:p>
            <w:pPr>
              <w:pStyle w:val="CeldaAPA"/>
              <w:jc w:val="center"/>
            </w:pPr>
            <w:r>
              <w:rPr>
                <w:bCs/>
                <w:b/>
                <w:sz w:val="20"/>
                <w:szCs w:val="20"/>
              </w:rPr>
              <w:t xml:space="preserve">N.</w:t>
            </w:r>
            <w:r>
              <w:rPr>
                <w:vertAlign w:val="superscript"/>
                <w:bCs/>
                <w:b/>
                <w:sz w:val="20"/>
                <w:szCs w:val="20"/>
              </w:rPr>
              <w:t xml:space="preserve">o</w:t>
            </w:r>
          </w:p>
        </w:tc>
        <w:tc>
          <w:tcPr>
            <w:tcW w:w="814" w:type="dxa"/>
          </w:tcPr>
          <w:p>
            <w:pPr>
              <w:pStyle w:val="CeldaAPA"/>
              <w:jc w:val="center"/>
            </w:pPr>
            <w:r>
              <w:rPr>
                <w:bCs/>
                <w:b/>
                <w:sz w:val="20"/>
                <w:szCs w:val="20"/>
              </w:rPr>
              <w:t xml:space="preserve">Tipo</w:t>
            </w:r>
          </w:p>
        </w:tc>
        <w:tc>
          <w:tcPr>
            <w:tcW w:w="1062" w:type="dxa"/>
          </w:tcPr>
          <w:p>
            <w:pPr>
              <w:pStyle w:val="CeldaAPA"/>
              <w:jc w:val="center"/>
            </w:pPr>
            <w:r>
              <w:rPr>
                <w:bCs/>
                <w:b/>
                <w:sz w:val="20"/>
                <w:szCs w:val="20"/>
              </w:rPr>
              <w:t xml:space="preserve">L teórica (mm)</w:t>
            </w:r>
          </w:p>
        </w:tc>
        <w:tc>
          <w:tcPr>
            <w:tcW w:w="1097" w:type="dxa"/>
          </w:tcPr>
          <w:p>
            <w:pPr>
              <w:pStyle w:val="CeldaAPA"/>
              <w:jc w:val="center"/>
            </w:pPr>
            <w:r>
              <w:rPr>
                <w:bCs/>
                <w:b/>
                <w:sz w:val="20"/>
                <w:szCs w:val="20"/>
              </w:rPr>
              <w:t xml:space="preserve">L medida (mm)</w:t>
            </w:r>
          </w:p>
        </w:tc>
        <w:tc>
          <w:tcPr>
            <w:tcW w:w="1553" w:type="dxa"/>
          </w:tcPr>
          <w:p>
            <w:pPr>
              <w:pStyle w:val="CeldaAPA"/>
              <w:jc w:val="center"/>
            </w:pPr>
            <m:oMath>
              <m:r>
                <m:t>Δ</m:t>
              </m:r>
              <m:r>
                <m:t>L</m:t>
              </m:r>
            </m:oMath>
            <w:r>
              <w:rPr>
                <w:bCs/>
                <w:b/>
                <w:sz w:val="20"/>
                <w:szCs w:val="20"/>
              </w:rPr>
              <w:t xml:space="preserve"> </w:t>
            </w:r>
            <w:r>
              <w:rPr>
                <w:bCs/>
                <w:b/>
                <w:sz w:val="20"/>
                <w:szCs w:val="20"/>
              </w:rPr>
              <w:t xml:space="preserve">(+30/</w:t>
            </w:r>
            <m:oMath>
              <m:r>
                <m:rPr>
                  <m:sty m:val="p"/>
                </m:rPr>
                <m:t>−</m:t>
              </m:r>
            </m:oMath>
            <w:r>
              <w:rPr>
                <w:bCs/>
                <w:b/>
                <w:sz w:val="20"/>
                <w:szCs w:val="20"/>
              </w:rPr>
              <w:t xml:space="preserve">20)</w:t>
            </w:r>
          </w:p>
        </w:tc>
        <w:tc>
          <w:tcPr>
            <w:tcW w:w="1218" w:type="dxa"/>
          </w:tcPr>
          <w:p>
            <w:pPr>
              <w:pStyle w:val="CeldaAPA"/>
              <w:jc w:val="center"/>
            </w:pPr>
            <w:r>
              <w:rPr>
                <w:bCs/>
                <w:b/>
                <w:sz w:val="20"/>
                <w:szCs w:val="20"/>
              </w:rPr>
              <w:t xml:space="preserve">Sección</w:t>
            </w:r>
            <w:r>
              <w:rPr>
                <w:bCs/>
                <w:b/>
                <w:sz w:val="20"/>
                <w:szCs w:val="20"/>
              </w:rPr>
              <w:t xml:space="preserve"> </w:t>
            </w:r>
            <m:oMath>
              <m:r>
                <m:t>a</m:t>
              </m:r>
            </m:oMath>
            <w:r>
              <w:rPr>
                <w:bCs/>
                <w:b/>
                <w:sz w:val="20"/>
                <w:szCs w:val="20"/>
              </w:rPr>
              <w:t xml:space="preserve">,</w:t>
            </w:r>
            <w:r>
              <w:rPr>
                <w:bCs/>
                <w:b/>
                <w:sz w:val="20"/>
                <w:szCs w:val="20"/>
              </w:rPr>
              <w:t xml:space="preserve"> </w:t>
            </w:r>
            <m:oMath>
              <m:r>
                <m:t>b</m:t>
              </m:r>
            </m:oMath>
            <w:r>
              <w:rPr>
                <w:bCs/>
                <w:b/>
                <w:sz w:val="20"/>
                <w:szCs w:val="20"/>
              </w:rPr>
              <w:t xml:space="preserve">,</w:t>
            </w:r>
            <w:r>
              <w:rPr>
                <w:bCs/>
                <w:b/>
                <w:sz w:val="20"/>
                <w:szCs w:val="20"/>
              </w:rPr>
              <w:t xml:space="preserve"> </w:t>
            </w:r>
            <m:oMath>
              <m:r>
                <m:t>h</m:t>
              </m:r>
            </m:oMath>
            <w:r>
              <w:rPr>
                <w:bCs/>
                <w:b/>
                <w:sz w:val="20"/>
                <w:szCs w:val="20"/>
              </w:rPr>
              <w:t xml:space="preserve"> </w:t>
            </w:r>
            <w:r>
              <w:rPr>
                <w:bCs/>
                <w:b/>
                <w:sz w:val="20"/>
                <w:szCs w:val="20"/>
              </w:rPr>
              <w:t xml:space="preserve">(+5/</w:t>
            </w:r>
            <m:oMath>
              <m:r>
                <m:rPr>
                  <m:sty m:val="p"/>
                </m:rPr>
                <m:t>−</m:t>
              </m:r>
            </m:oMath>
            <w:r>
              <w:rPr>
                <w:bCs/>
                <w:b/>
                <w:sz w:val="20"/>
                <w:szCs w:val="20"/>
              </w:rPr>
              <w:t xml:space="preserve">2 mm)</w:t>
            </w:r>
          </w:p>
        </w:tc>
        <w:tc>
          <w:tcPr>
            <w:tcW w:w="1739" w:type="dxa"/>
          </w:tcPr>
          <w:p>
            <w:pPr>
              <w:pStyle w:val="CeldaAPA"/>
              <w:jc w:val="center"/>
            </w:pPr>
            <w:r>
              <w:rPr>
                <w:bCs/>
                <w:b/>
                <w:sz w:val="20"/>
                <w:szCs w:val="20"/>
              </w:rPr>
              <w:t xml:space="preserve">Contraflecha y flecha lateral (</w:t>
            </w:r>
            <m:oMath>
              <m:r>
                <m:rPr>
                  <m:sty m:val="p"/>
                </m:rPr>
                <m:t>≤</m:t>
              </m:r>
              <m:r>
                <m:t>L</m:t>
              </m:r>
              <m:r>
                <m:rPr>
                  <m:sty m:val="p"/>
                </m:rPr>
                <m:t>/</m:t>
              </m:r>
              <m:r>
                <m:t>300</m:t>
              </m:r>
            </m:oMath>
            <w:r>
              <w:rPr>
                <w:bCs/>
                <w:b/>
                <w:sz w:val="20"/>
                <w:szCs w:val="20"/>
              </w:rPr>
              <w:t xml:space="preserve">)</w:t>
            </w:r>
          </w:p>
        </w:tc>
        <w:tc>
          <w:tcPr>
            <w:tcW w:w="1504" w:type="dxa"/>
          </w:tcPr>
          <w:p>
            <w:pPr>
              <w:pStyle w:val="CeldaAPA"/>
              <w:jc w:val="left"/>
            </w:pPr>
            <w:r>
              <w:rPr>
                <w:bCs/>
                <w:b/>
                <w:sz w:val="20"/>
                <w:szCs w:val="20"/>
              </w:rPr>
              <w:t xml:space="preserve">Fisuras, oquedades, armadura visible</w:t>
            </w:r>
          </w:p>
        </w:tc>
        <w:tc>
          <w:tcPr>
            <w:tcW w:w="650" w:type="dxa"/>
          </w:tcPr>
          <w:p>
            <w:pPr>
              <w:pStyle w:val="CeldaAPA"/>
              <w:jc w:val="center"/>
            </w:pPr>
            <w:r>
              <w:rPr>
                <w:bCs/>
                <w:b/>
                <w:sz w:val="20"/>
                <w:szCs w:val="20"/>
              </w:rPr>
              <w:t xml:space="preserve">C / NC</w:t>
            </w:r>
          </w:p>
        </w:tc>
      </w:tr>
      <w:tr>
        <w:tc>
          <w:tcPr>
            <w:tcW w:w="666" w:type="dxa"/>
          </w:tcPr>
          <w:p>
            <w:pPr>
              <w:pStyle w:val="CeldaAPA"/>
              <w:jc w:val="center"/>
            </w:pPr>
            <w:r>
              <w:rPr>
                <w:sz w:val="20"/>
                <w:szCs w:val="20"/>
              </w:rPr>
              <w:t xml:space="preserve">1</w:t>
            </w:r>
          </w:p>
        </w:tc>
        <w:tc>
          <w:tcPr>
            <w:tcW w:w="814" w:type="dxa"/>
          </w:tcPr>
          <w:p>
            <w:pPr>
              <w:pStyle w:val="CeldaAPA"/>
            </w:pPr>
          </w:p>
        </w:tc>
        <w:tc>
          <w:tcPr>
            <w:tcW w:w="1062" w:type="dxa"/>
          </w:tcPr>
          <w:p>
            <w:pPr>
              <w:pStyle w:val="CeldaAPA"/>
            </w:pPr>
          </w:p>
        </w:tc>
        <w:tc>
          <w:tcPr>
            <w:tcW w:w="1097" w:type="dxa"/>
          </w:tcPr>
          <w:p>
            <w:pPr>
              <w:pStyle w:val="CeldaAPA"/>
            </w:pPr>
          </w:p>
        </w:tc>
        <w:tc>
          <w:tcPr>
            <w:tcW w:w="1553" w:type="dxa"/>
          </w:tcPr>
          <w:p>
            <w:pPr>
              <w:pStyle w:val="CeldaAPA"/>
            </w:pPr>
          </w:p>
        </w:tc>
        <w:tc>
          <w:tcPr>
            <w:tcW w:w="1218" w:type="dxa"/>
          </w:tcPr>
          <w:p>
            <w:pPr>
              <w:pStyle w:val="CeldaAPA"/>
            </w:pPr>
          </w:p>
        </w:tc>
        <w:tc>
          <w:tcPr>
            <w:tcW w:w="1739" w:type="dxa"/>
          </w:tcPr>
          <w:p>
            <w:pPr>
              <w:pStyle w:val="CeldaAPA"/>
            </w:pPr>
          </w:p>
        </w:tc>
        <w:tc>
          <w:tcPr>
            <w:tcW w:w="1504" w:type="dxa"/>
          </w:tcPr>
          <w:p>
            <w:pPr>
              <w:pStyle w:val="CeldaAPA"/>
            </w:pPr>
          </w:p>
        </w:tc>
        <w:tc>
          <w:tcPr>
            <w:tcW w:w="650" w:type="dxa"/>
          </w:tcPr>
          <w:p>
            <w:pPr>
              <w:pStyle w:val="CeldaAPA"/>
            </w:pPr>
          </w:p>
        </w:tc>
      </w:tr>
      <w:tr>
        <w:tc>
          <w:tcPr>
            <w:tcW w:w="666" w:type="dxa"/>
          </w:tcPr>
          <w:p>
            <w:pPr>
              <w:pStyle w:val="CeldaAPA"/>
              <w:jc w:val="center"/>
            </w:pPr>
            <w:r>
              <w:rPr>
                <w:sz w:val="20"/>
                <w:szCs w:val="20"/>
              </w:rPr>
              <w:t xml:space="preserve">2</w:t>
            </w:r>
          </w:p>
        </w:tc>
        <w:tc>
          <w:tcPr>
            <w:tcW w:w="814" w:type="dxa"/>
          </w:tcPr>
          <w:p>
            <w:pPr>
              <w:pStyle w:val="CeldaAPA"/>
            </w:pPr>
          </w:p>
        </w:tc>
        <w:tc>
          <w:tcPr>
            <w:tcW w:w="1062" w:type="dxa"/>
          </w:tcPr>
          <w:p>
            <w:pPr>
              <w:pStyle w:val="CeldaAPA"/>
            </w:pPr>
          </w:p>
        </w:tc>
        <w:tc>
          <w:tcPr>
            <w:tcW w:w="1097" w:type="dxa"/>
          </w:tcPr>
          <w:p>
            <w:pPr>
              <w:pStyle w:val="CeldaAPA"/>
            </w:pPr>
          </w:p>
        </w:tc>
        <w:tc>
          <w:tcPr>
            <w:tcW w:w="1553" w:type="dxa"/>
          </w:tcPr>
          <w:p>
            <w:pPr>
              <w:pStyle w:val="CeldaAPA"/>
            </w:pPr>
          </w:p>
        </w:tc>
        <w:tc>
          <w:tcPr>
            <w:tcW w:w="1218" w:type="dxa"/>
          </w:tcPr>
          <w:p>
            <w:pPr>
              <w:pStyle w:val="CeldaAPA"/>
            </w:pPr>
          </w:p>
        </w:tc>
        <w:tc>
          <w:tcPr>
            <w:tcW w:w="1739" w:type="dxa"/>
          </w:tcPr>
          <w:p>
            <w:pPr>
              <w:pStyle w:val="CeldaAPA"/>
            </w:pPr>
          </w:p>
        </w:tc>
        <w:tc>
          <w:tcPr>
            <w:tcW w:w="1504" w:type="dxa"/>
          </w:tcPr>
          <w:p>
            <w:pPr>
              <w:pStyle w:val="CeldaAPA"/>
            </w:pPr>
          </w:p>
        </w:tc>
        <w:tc>
          <w:tcPr>
            <w:tcW w:w="650" w:type="dxa"/>
          </w:tcPr>
          <w:p>
            <w:pPr>
              <w:pStyle w:val="CeldaAPA"/>
            </w:pPr>
          </w:p>
        </w:tc>
      </w:tr>
      <w:tr>
        <w:tc>
          <w:tcPr>
            <w:tcW w:w="666" w:type="dxa"/>
          </w:tcPr>
          <w:p>
            <w:pPr>
              <w:pStyle w:val="CeldaAPA"/>
              <w:jc w:val="center"/>
            </w:pPr>
            <w:r>
              <w:rPr>
                <w:sz w:val="20"/>
                <w:szCs w:val="20"/>
              </w:rPr>
              <w:t xml:space="preserve">3</w:t>
            </w:r>
          </w:p>
        </w:tc>
        <w:tc>
          <w:tcPr>
            <w:tcW w:w="814" w:type="dxa"/>
          </w:tcPr>
          <w:p>
            <w:pPr>
              <w:pStyle w:val="CeldaAPA"/>
            </w:pPr>
          </w:p>
        </w:tc>
        <w:tc>
          <w:tcPr>
            <w:tcW w:w="1062" w:type="dxa"/>
          </w:tcPr>
          <w:p>
            <w:pPr>
              <w:pStyle w:val="CeldaAPA"/>
            </w:pPr>
          </w:p>
        </w:tc>
        <w:tc>
          <w:tcPr>
            <w:tcW w:w="1097" w:type="dxa"/>
          </w:tcPr>
          <w:p>
            <w:pPr>
              <w:pStyle w:val="CeldaAPA"/>
            </w:pPr>
          </w:p>
        </w:tc>
        <w:tc>
          <w:tcPr>
            <w:tcW w:w="1553" w:type="dxa"/>
          </w:tcPr>
          <w:p>
            <w:pPr>
              <w:pStyle w:val="CeldaAPA"/>
            </w:pPr>
          </w:p>
        </w:tc>
        <w:tc>
          <w:tcPr>
            <w:tcW w:w="1218" w:type="dxa"/>
          </w:tcPr>
          <w:p>
            <w:pPr>
              <w:pStyle w:val="CeldaAPA"/>
            </w:pPr>
          </w:p>
        </w:tc>
        <w:tc>
          <w:tcPr>
            <w:tcW w:w="1739" w:type="dxa"/>
          </w:tcPr>
          <w:p>
            <w:pPr>
              <w:pStyle w:val="CeldaAPA"/>
            </w:pPr>
          </w:p>
        </w:tc>
        <w:tc>
          <w:tcPr>
            <w:tcW w:w="1504" w:type="dxa"/>
          </w:tcPr>
          <w:p>
            <w:pPr>
              <w:pStyle w:val="CeldaAPA"/>
            </w:pPr>
          </w:p>
        </w:tc>
        <w:tc>
          <w:tcPr>
            <w:tcW w:w="650" w:type="dxa"/>
          </w:tcPr>
          <w:p>
            <w:pPr>
              <w:pStyle w:val="CeldaAPA"/>
            </w:pPr>
          </w:p>
        </w:tc>
      </w:tr>
      <w:tr>
        <w:tc>
          <w:tcPr>
            <w:tcW w:w="666" w:type="dxa"/>
          </w:tcPr>
          <w:p>
            <w:pPr>
              <w:pStyle w:val="CeldaAPA"/>
              <w:jc w:val="center"/>
            </w:pPr>
            <w:r>
              <w:rPr>
                <w:sz w:val="20"/>
                <w:szCs w:val="20"/>
              </w:rPr>
              <w:t xml:space="preserve">4</w:t>
            </w:r>
          </w:p>
        </w:tc>
        <w:tc>
          <w:tcPr>
            <w:tcW w:w="814" w:type="dxa"/>
          </w:tcPr>
          <w:p>
            <w:pPr>
              <w:pStyle w:val="CeldaAPA"/>
            </w:pPr>
          </w:p>
        </w:tc>
        <w:tc>
          <w:tcPr>
            <w:tcW w:w="1062" w:type="dxa"/>
          </w:tcPr>
          <w:p>
            <w:pPr>
              <w:pStyle w:val="CeldaAPA"/>
            </w:pPr>
          </w:p>
        </w:tc>
        <w:tc>
          <w:tcPr>
            <w:tcW w:w="1097" w:type="dxa"/>
          </w:tcPr>
          <w:p>
            <w:pPr>
              <w:pStyle w:val="CeldaAPA"/>
            </w:pPr>
          </w:p>
        </w:tc>
        <w:tc>
          <w:tcPr>
            <w:tcW w:w="1553" w:type="dxa"/>
          </w:tcPr>
          <w:p>
            <w:pPr>
              <w:pStyle w:val="CeldaAPA"/>
            </w:pPr>
          </w:p>
        </w:tc>
        <w:tc>
          <w:tcPr>
            <w:tcW w:w="1218" w:type="dxa"/>
          </w:tcPr>
          <w:p>
            <w:pPr>
              <w:pStyle w:val="CeldaAPA"/>
            </w:pPr>
          </w:p>
        </w:tc>
        <w:tc>
          <w:tcPr>
            <w:tcW w:w="1739" w:type="dxa"/>
          </w:tcPr>
          <w:p>
            <w:pPr>
              <w:pStyle w:val="CeldaAPA"/>
            </w:pPr>
          </w:p>
        </w:tc>
        <w:tc>
          <w:tcPr>
            <w:tcW w:w="1504" w:type="dxa"/>
          </w:tcPr>
          <w:p>
            <w:pPr>
              <w:pStyle w:val="CeldaAPA"/>
            </w:pPr>
          </w:p>
        </w:tc>
        <w:tc>
          <w:tcPr>
            <w:tcW w:w="650" w:type="dxa"/>
          </w:tcPr>
          <w:p>
            <w:pPr>
              <w:pStyle w:val="CeldaAPA"/>
            </w:pPr>
          </w:p>
        </w:tc>
      </w:tr>
      <w:tr>
        <w:tc>
          <w:tcPr>
            <w:tcW w:w="666" w:type="dxa"/>
          </w:tcPr>
          <w:p>
            <w:pPr>
              <w:pStyle w:val="CeldaAPA"/>
              <w:jc w:val="center"/>
            </w:pPr>
            <w:r>
              <w:rPr>
                <w:sz w:val="20"/>
                <w:szCs w:val="20"/>
              </w:rPr>
              <w:t xml:space="preserve">5</w:t>
            </w:r>
          </w:p>
        </w:tc>
        <w:tc>
          <w:tcPr>
            <w:tcW w:w="814" w:type="dxa"/>
          </w:tcPr>
          <w:p>
            <w:pPr>
              <w:pStyle w:val="CeldaAPA"/>
            </w:pPr>
          </w:p>
        </w:tc>
        <w:tc>
          <w:tcPr>
            <w:tcW w:w="1062" w:type="dxa"/>
          </w:tcPr>
          <w:p>
            <w:pPr>
              <w:pStyle w:val="CeldaAPA"/>
            </w:pPr>
          </w:p>
        </w:tc>
        <w:tc>
          <w:tcPr>
            <w:tcW w:w="1097" w:type="dxa"/>
          </w:tcPr>
          <w:p>
            <w:pPr>
              <w:pStyle w:val="CeldaAPA"/>
            </w:pPr>
          </w:p>
        </w:tc>
        <w:tc>
          <w:tcPr>
            <w:tcW w:w="1553" w:type="dxa"/>
          </w:tcPr>
          <w:p>
            <w:pPr>
              <w:pStyle w:val="CeldaAPA"/>
            </w:pPr>
          </w:p>
        </w:tc>
        <w:tc>
          <w:tcPr>
            <w:tcW w:w="1218" w:type="dxa"/>
          </w:tcPr>
          <w:p>
            <w:pPr>
              <w:pStyle w:val="CeldaAPA"/>
            </w:pPr>
          </w:p>
        </w:tc>
        <w:tc>
          <w:tcPr>
            <w:tcW w:w="1739" w:type="dxa"/>
          </w:tcPr>
          <w:p>
            <w:pPr>
              <w:pStyle w:val="CeldaAPA"/>
            </w:pPr>
          </w:p>
        </w:tc>
        <w:tc>
          <w:tcPr>
            <w:tcW w:w="1504" w:type="dxa"/>
          </w:tcPr>
          <w:p>
            <w:pPr>
              <w:pStyle w:val="CeldaAPA"/>
            </w:pPr>
          </w:p>
        </w:tc>
        <w:tc>
          <w:tcPr>
            <w:tcW w:w="650" w:type="dxa"/>
          </w:tcPr>
          <w:p>
            <w:pPr>
              <w:pStyle w:val="CeldaAPA"/>
            </w:pPr>
          </w:p>
        </w:tc>
      </w:tr>
      <w:tr>
        <w:tc>
          <w:tcPr>
            <w:tcW w:w="10303" w:type="dxa"/>
            <w:gridSpan w:val="9"/>
          </w:tcPr>
          <w:p>
            <w:pPr>
              <w:pStyle w:val="CeldaAPA"/>
              <w:jc w:val="left"/>
            </w:pPr>
            <w:r>
              <w:rPr>
                <w:sz w:val="20"/>
                <w:szCs w:val="20"/>
              </w:rPr>
              <w:t xml:space="preserve">Defectos principales:</w:t>
            </w:r>
            <w:r>
              <w:rPr>
                <w:sz w:val="20"/>
                <w:szCs w:val="20"/>
              </w:rPr>
              <w:t xml:space="preserve"> </w:t>
            </w:r>
            <w:r>
              <w:rPr>
                <w:u w:val="single"/>
                <w:sz w:val="20"/>
                <w:szCs w:val="20"/>
              </w:rPr>
              <w:t xml:space="preserve"> </w:t>
            </w:r>
            <w:r>
              <w:rPr>
                <w:sz w:val="20"/>
                <w:szCs w:val="20"/>
              </w:rPr>
              <w:t xml:space="preserve"> </w:t>
            </w:r>
            <w:r>
              <w:rPr>
                <w:sz w:val="20"/>
                <w:szCs w:val="20"/>
              </w:rPr>
              <w:t xml:space="preserve">(rechazo del lote si</w:t>
            </w:r>
            <w:r>
              <w:rPr>
                <w:sz w:val="20"/>
                <w:szCs w:val="20"/>
              </w:rPr>
              <w:t xml:space="preserve"> </w:t>
            </w:r>
            <m:oMath>
              <m:r>
                <m:rPr>
                  <m:sty m:val="p"/>
                </m:rPr>
                <m:t>&gt;</m:t>
              </m:r>
              <m:r>
                <m:t>2</m:t>
              </m:r>
            </m:oMath>
            <w:r>
              <w:rPr>
                <w:sz w:val="20"/>
                <w:szCs w:val="20"/>
              </w:rPr>
              <w:t xml:space="preserve">) Defectos secundarios:</w:t>
            </w:r>
            <w:r>
              <w:rPr>
                <w:sz w:val="20"/>
                <w:szCs w:val="20"/>
              </w:rPr>
              <w:t xml:space="preserve"> </w:t>
            </w:r>
            <w:r>
              <w:rPr>
                <w:u w:val="single"/>
                <w:sz w:val="20"/>
                <w:szCs w:val="20"/>
              </w:rPr>
              <w:t xml:space="preserve"> </w:t>
            </w:r>
            <w:r>
              <w:rPr>
                <w:sz w:val="20"/>
                <w:szCs w:val="20"/>
              </w:rPr>
              <w:t xml:space="preserve"> </w:t>
            </w:r>
            <w:r>
              <w:rPr>
                <w:sz w:val="20"/>
                <w:szCs w:val="20"/>
              </w:rPr>
              <w:t xml:space="preserve">(rechazo del lote si</w:t>
            </w:r>
            <w:r>
              <w:rPr>
                <w:sz w:val="20"/>
                <w:szCs w:val="20"/>
              </w:rPr>
              <w:t xml:space="preserve"> </w:t>
            </w:r>
            <m:oMath>
              <m:r>
                <m:rPr>
                  <m:sty m:val="p"/>
                </m:rPr>
                <m:t>&gt;</m:t>
              </m:r>
              <m:r>
                <m:t>4</m:t>
              </m:r>
            </m:oMath>
            <w:r>
              <w:rPr>
                <w:sz w:val="20"/>
                <w:szCs w:val="20"/>
              </w:rPr>
              <w:t xml:space="preserve">)</w:t>
            </w:r>
          </w:p>
        </w:tc>
      </w:tr>
    </w:tbl>
    <w:p>
      <w:pPr>
        <w:pStyle w:val="BodyText"/>
        <w:spacing w:before="240"/>
      </w:pPr>
      <w:r>
        <w:rPr>
          <w:bCs/>
          <w:b/>
        </w:rPr>
        <w:t xml:space="preserve">b) Complementos EPS</w:t>
      </w:r>
      <w:r>
        <w:t xml:space="preserve"> </w:t>
      </w:r>
      <w:r>
        <w:t xml:space="preserve">(muestra: cinco piezas; densidad = masa / volumen; declarada: 10 kg/m</w:t>
      </w:r>
      <w:r>
        <w:rPr>
          <w:vertAlign w:val="superscript"/>
        </w:rPr>
        <w:t xml:space="preserve">3</w:t>
      </w:r>
      <w:r>
        <w:t xml:space="preserve">)</w:t>
      </w:r>
    </w:p>
    <w:tbl>
      <w:tblPr>
        <w:tblStyle w:val="Table"/>
        <w:tblW w:w="946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1" w:lastRow="0" w:firstColumn="0" w:lastColumn="0" w:noHBand="0" w:noVBand="0" w:val="0020"/>
      </w:tblPr>
      <w:tblGrid>
        <w:gridCol w:w="666"/>
        <w:gridCol w:w="948"/>
        <w:gridCol w:w="1000"/>
        <w:gridCol w:w="905"/>
        <w:gridCol w:w="873"/>
        <w:gridCol w:w="1286"/>
        <w:gridCol w:w="1323"/>
        <w:gridCol w:w="1817"/>
        <w:gridCol w:w="650"/>
      </w:tblGrid>
      <w:tr>
        <w:trPr>
          <w:cantSplit/>
          <w:tblHeader w:val="true"/>
        </w:trPr>
        <w:tc>
          <w:tcPr>
            <w:tcW w:w="666" w:type="dxa"/>
          </w:tcPr>
          <w:p>
            <w:pPr>
              <w:pStyle w:val="CeldaAPA"/>
              <w:jc w:val="center"/>
            </w:pPr>
            <w:r>
              <w:rPr>
                <w:bCs/>
                <w:b/>
                <w:sz w:val="20"/>
                <w:szCs w:val="20"/>
              </w:rPr>
              <w:t xml:space="preserve">N.</w:t>
            </w:r>
            <w:r>
              <w:rPr>
                <w:vertAlign w:val="superscript"/>
                <w:bCs/>
                <w:b/>
                <w:sz w:val="20"/>
                <w:szCs w:val="20"/>
              </w:rPr>
              <w:t xml:space="preserve">o</w:t>
            </w:r>
          </w:p>
        </w:tc>
        <w:tc>
          <w:tcPr>
            <w:tcW w:w="948" w:type="dxa"/>
          </w:tcPr>
          <w:p>
            <w:pPr>
              <w:pStyle w:val="CeldaAPA"/>
              <w:jc w:val="center"/>
            </w:pPr>
            <w:r>
              <w:rPr>
                <w:bCs/>
                <w:b/>
                <w:sz w:val="20"/>
                <w:szCs w:val="20"/>
              </w:rPr>
              <w:t xml:space="preserve">Largo (cm)</w:t>
            </w:r>
          </w:p>
        </w:tc>
        <w:tc>
          <w:tcPr>
            <w:tcW w:w="1000" w:type="dxa"/>
          </w:tcPr>
          <w:p>
            <w:pPr>
              <w:pStyle w:val="CeldaAPA"/>
              <w:jc w:val="center"/>
            </w:pPr>
            <w:r>
              <w:rPr>
                <w:bCs/>
                <w:b/>
                <w:sz w:val="20"/>
                <w:szCs w:val="20"/>
              </w:rPr>
              <w:t xml:space="preserve">Ancho (cm)</w:t>
            </w:r>
          </w:p>
        </w:tc>
        <w:tc>
          <w:tcPr>
            <w:tcW w:w="905" w:type="dxa"/>
          </w:tcPr>
          <w:p>
            <w:pPr>
              <w:pStyle w:val="CeldaAPA"/>
              <w:jc w:val="center"/>
            </w:pPr>
            <w:r>
              <w:rPr>
                <w:bCs/>
                <w:b/>
                <w:sz w:val="20"/>
                <w:szCs w:val="20"/>
              </w:rPr>
              <w:t xml:space="preserve">Alto (cm)</w:t>
            </w:r>
          </w:p>
        </w:tc>
        <w:tc>
          <w:tcPr>
            <w:tcW w:w="873" w:type="dxa"/>
          </w:tcPr>
          <w:p>
            <w:pPr>
              <w:pStyle w:val="CeldaAPA"/>
              <w:jc w:val="center"/>
            </w:pPr>
            <w:r>
              <w:rPr>
                <w:bCs/>
                <w:b/>
                <w:sz w:val="20"/>
                <w:szCs w:val="20"/>
              </w:rPr>
              <w:t xml:space="preserve">Masa (kg)</w:t>
            </w:r>
          </w:p>
        </w:tc>
        <w:tc>
          <w:tcPr>
            <w:tcW w:w="1286" w:type="dxa"/>
          </w:tcPr>
          <w:p>
            <w:pPr>
              <w:pStyle w:val="CeldaAPA"/>
              <w:jc w:val="center"/>
            </w:pPr>
            <w:r>
              <w:rPr>
                <w:bCs/>
                <w:b/>
                <w:sz w:val="20"/>
                <w:szCs w:val="20"/>
              </w:rPr>
              <w:t xml:space="preserve">Volumen (m</w:t>
            </w:r>
            <w:r>
              <w:rPr>
                <w:vertAlign w:val="superscript"/>
                <w:bCs/>
                <w:b/>
                <w:sz w:val="20"/>
                <w:szCs w:val="20"/>
              </w:rPr>
              <w:t xml:space="preserve">3</w:t>
            </w:r>
            <w:r>
              <w:rPr>
                <w:bCs/>
                <w:b/>
                <w:sz w:val="20"/>
                <w:szCs w:val="20"/>
              </w:rPr>
              <w:t xml:space="preserve">)</w:t>
            </w:r>
          </w:p>
        </w:tc>
        <w:tc>
          <w:tcPr>
            <w:tcW w:w="1323" w:type="dxa"/>
          </w:tcPr>
          <w:p>
            <w:pPr>
              <w:pStyle w:val="CeldaAPA"/>
              <w:jc w:val="center"/>
            </w:pPr>
            <w:r>
              <w:rPr>
                <w:bCs/>
                <w:b/>
                <w:sz w:val="20"/>
                <w:szCs w:val="20"/>
              </w:rPr>
              <w:t xml:space="preserve">Densidad (kg/m</w:t>
            </w:r>
            <w:r>
              <w:rPr>
                <w:vertAlign w:val="superscript"/>
                <w:bCs/>
                <w:b/>
                <w:sz w:val="20"/>
                <w:szCs w:val="20"/>
              </w:rPr>
              <w:t xml:space="preserve">3</w:t>
            </w:r>
            <w:r>
              <w:rPr>
                <w:bCs/>
                <w:b/>
                <w:sz w:val="20"/>
                <w:szCs w:val="20"/>
              </w:rPr>
              <w:t xml:space="preserve">)</w:t>
            </w:r>
          </w:p>
        </w:tc>
        <w:tc>
          <w:tcPr>
            <w:tcW w:w="1817" w:type="dxa"/>
          </w:tcPr>
          <w:p>
            <w:pPr>
              <w:pStyle w:val="CeldaAPA"/>
              <w:jc w:val="left"/>
            </w:pPr>
            <w:r>
              <w:rPr>
                <w:bCs/>
                <w:b/>
                <w:sz w:val="20"/>
                <w:szCs w:val="20"/>
              </w:rPr>
              <w:t xml:space="preserve">Estado (roturas, deformación)</w:t>
            </w:r>
          </w:p>
        </w:tc>
        <w:tc>
          <w:tcPr>
            <w:tcW w:w="650" w:type="dxa"/>
          </w:tcPr>
          <w:p>
            <w:pPr>
              <w:pStyle w:val="CeldaAPA"/>
              <w:jc w:val="center"/>
            </w:pPr>
            <w:r>
              <w:rPr>
                <w:bCs/>
                <w:b/>
                <w:sz w:val="20"/>
                <w:szCs w:val="20"/>
              </w:rPr>
              <w:t xml:space="preserve">C / NC</w:t>
            </w:r>
          </w:p>
        </w:tc>
      </w:tr>
      <w:tr>
        <w:tc>
          <w:tcPr>
            <w:tcW w:w="666" w:type="dxa"/>
          </w:tcPr>
          <w:p>
            <w:pPr>
              <w:pStyle w:val="CeldaAPA"/>
              <w:jc w:val="center"/>
            </w:pPr>
            <w:r>
              <w:rPr>
                <w:sz w:val="20"/>
                <w:szCs w:val="20"/>
              </w:rPr>
              <w:t xml:space="preserve">1</w:t>
            </w:r>
          </w:p>
        </w:tc>
        <w:tc>
          <w:tcPr>
            <w:tcW w:w="948" w:type="dxa"/>
          </w:tcPr>
          <w:p>
            <w:pPr>
              <w:pStyle w:val="CeldaAPA"/>
            </w:pPr>
          </w:p>
        </w:tc>
        <w:tc>
          <w:tcPr>
            <w:tcW w:w="1000" w:type="dxa"/>
          </w:tcPr>
          <w:p>
            <w:pPr>
              <w:pStyle w:val="CeldaAPA"/>
            </w:pPr>
          </w:p>
        </w:tc>
        <w:tc>
          <w:tcPr>
            <w:tcW w:w="905" w:type="dxa"/>
          </w:tcPr>
          <w:p>
            <w:pPr>
              <w:pStyle w:val="CeldaAPA"/>
            </w:pPr>
          </w:p>
        </w:tc>
        <w:tc>
          <w:tcPr>
            <w:tcW w:w="873" w:type="dxa"/>
          </w:tcPr>
          <w:p>
            <w:pPr>
              <w:pStyle w:val="CeldaAPA"/>
            </w:pPr>
          </w:p>
        </w:tc>
        <w:tc>
          <w:tcPr>
            <w:tcW w:w="1286" w:type="dxa"/>
          </w:tcPr>
          <w:p>
            <w:pPr>
              <w:pStyle w:val="CeldaAPA"/>
            </w:pPr>
          </w:p>
        </w:tc>
        <w:tc>
          <w:tcPr>
            <w:tcW w:w="1323" w:type="dxa"/>
          </w:tcPr>
          <w:p>
            <w:pPr>
              <w:pStyle w:val="CeldaAPA"/>
            </w:pPr>
          </w:p>
        </w:tc>
        <w:tc>
          <w:tcPr>
            <w:tcW w:w="1817" w:type="dxa"/>
          </w:tcPr>
          <w:p>
            <w:pPr>
              <w:pStyle w:val="CeldaAPA"/>
            </w:pPr>
          </w:p>
        </w:tc>
        <w:tc>
          <w:tcPr>
            <w:tcW w:w="650" w:type="dxa"/>
          </w:tcPr>
          <w:p>
            <w:pPr>
              <w:pStyle w:val="CeldaAPA"/>
            </w:pPr>
          </w:p>
        </w:tc>
      </w:tr>
      <w:tr>
        <w:tc>
          <w:tcPr>
            <w:tcW w:w="666" w:type="dxa"/>
          </w:tcPr>
          <w:p>
            <w:pPr>
              <w:pStyle w:val="CeldaAPA"/>
              <w:jc w:val="center"/>
            </w:pPr>
            <w:r>
              <w:rPr>
                <w:sz w:val="20"/>
                <w:szCs w:val="20"/>
              </w:rPr>
              <w:t xml:space="preserve">2</w:t>
            </w:r>
          </w:p>
        </w:tc>
        <w:tc>
          <w:tcPr>
            <w:tcW w:w="948" w:type="dxa"/>
          </w:tcPr>
          <w:p>
            <w:pPr>
              <w:pStyle w:val="CeldaAPA"/>
            </w:pPr>
          </w:p>
        </w:tc>
        <w:tc>
          <w:tcPr>
            <w:tcW w:w="1000" w:type="dxa"/>
          </w:tcPr>
          <w:p>
            <w:pPr>
              <w:pStyle w:val="CeldaAPA"/>
            </w:pPr>
          </w:p>
        </w:tc>
        <w:tc>
          <w:tcPr>
            <w:tcW w:w="905" w:type="dxa"/>
          </w:tcPr>
          <w:p>
            <w:pPr>
              <w:pStyle w:val="CeldaAPA"/>
            </w:pPr>
          </w:p>
        </w:tc>
        <w:tc>
          <w:tcPr>
            <w:tcW w:w="873" w:type="dxa"/>
          </w:tcPr>
          <w:p>
            <w:pPr>
              <w:pStyle w:val="CeldaAPA"/>
            </w:pPr>
          </w:p>
        </w:tc>
        <w:tc>
          <w:tcPr>
            <w:tcW w:w="1286" w:type="dxa"/>
          </w:tcPr>
          <w:p>
            <w:pPr>
              <w:pStyle w:val="CeldaAPA"/>
            </w:pPr>
          </w:p>
        </w:tc>
        <w:tc>
          <w:tcPr>
            <w:tcW w:w="1323" w:type="dxa"/>
          </w:tcPr>
          <w:p>
            <w:pPr>
              <w:pStyle w:val="CeldaAPA"/>
            </w:pPr>
          </w:p>
        </w:tc>
        <w:tc>
          <w:tcPr>
            <w:tcW w:w="1817" w:type="dxa"/>
          </w:tcPr>
          <w:p>
            <w:pPr>
              <w:pStyle w:val="CeldaAPA"/>
            </w:pPr>
          </w:p>
        </w:tc>
        <w:tc>
          <w:tcPr>
            <w:tcW w:w="650" w:type="dxa"/>
          </w:tcPr>
          <w:p>
            <w:pPr>
              <w:pStyle w:val="CeldaAPA"/>
            </w:pPr>
          </w:p>
        </w:tc>
      </w:tr>
      <w:tr>
        <w:tc>
          <w:tcPr>
            <w:tcW w:w="666" w:type="dxa"/>
          </w:tcPr>
          <w:p>
            <w:pPr>
              <w:pStyle w:val="CeldaAPA"/>
              <w:jc w:val="center"/>
            </w:pPr>
            <w:r>
              <w:rPr>
                <w:sz w:val="20"/>
                <w:szCs w:val="20"/>
              </w:rPr>
              <w:t xml:space="preserve">3</w:t>
            </w:r>
          </w:p>
        </w:tc>
        <w:tc>
          <w:tcPr>
            <w:tcW w:w="948" w:type="dxa"/>
          </w:tcPr>
          <w:p>
            <w:pPr>
              <w:pStyle w:val="CeldaAPA"/>
            </w:pPr>
          </w:p>
        </w:tc>
        <w:tc>
          <w:tcPr>
            <w:tcW w:w="1000" w:type="dxa"/>
          </w:tcPr>
          <w:p>
            <w:pPr>
              <w:pStyle w:val="CeldaAPA"/>
            </w:pPr>
          </w:p>
        </w:tc>
        <w:tc>
          <w:tcPr>
            <w:tcW w:w="905" w:type="dxa"/>
          </w:tcPr>
          <w:p>
            <w:pPr>
              <w:pStyle w:val="CeldaAPA"/>
            </w:pPr>
          </w:p>
        </w:tc>
        <w:tc>
          <w:tcPr>
            <w:tcW w:w="873" w:type="dxa"/>
          </w:tcPr>
          <w:p>
            <w:pPr>
              <w:pStyle w:val="CeldaAPA"/>
            </w:pPr>
          </w:p>
        </w:tc>
        <w:tc>
          <w:tcPr>
            <w:tcW w:w="1286" w:type="dxa"/>
          </w:tcPr>
          <w:p>
            <w:pPr>
              <w:pStyle w:val="CeldaAPA"/>
            </w:pPr>
          </w:p>
        </w:tc>
        <w:tc>
          <w:tcPr>
            <w:tcW w:w="1323" w:type="dxa"/>
          </w:tcPr>
          <w:p>
            <w:pPr>
              <w:pStyle w:val="CeldaAPA"/>
            </w:pPr>
          </w:p>
        </w:tc>
        <w:tc>
          <w:tcPr>
            <w:tcW w:w="1817" w:type="dxa"/>
          </w:tcPr>
          <w:p>
            <w:pPr>
              <w:pStyle w:val="CeldaAPA"/>
            </w:pPr>
          </w:p>
        </w:tc>
        <w:tc>
          <w:tcPr>
            <w:tcW w:w="650" w:type="dxa"/>
          </w:tcPr>
          <w:p>
            <w:pPr>
              <w:pStyle w:val="CeldaAPA"/>
            </w:pPr>
          </w:p>
        </w:tc>
      </w:tr>
      <w:tr>
        <w:tc>
          <w:tcPr>
            <w:tcW w:w="666" w:type="dxa"/>
          </w:tcPr>
          <w:p>
            <w:pPr>
              <w:pStyle w:val="CeldaAPA"/>
              <w:jc w:val="center"/>
            </w:pPr>
            <w:r>
              <w:rPr>
                <w:sz w:val="20"/>
                <w:szCs w:val="20"/>
              </w:rPr>
              <w:t xml:space="preserve">4</w:t>
            </w:r>
          </w:p>
        </w:tc>
        <w:tc>
          <w:tcPr>
            <w:tcW w:w="948" w:type="dxa"/>
          </w:tcPr>
          <w:p>
            <w:pPr>
              <w:pStyle w:val="CeldaAPA"/>
            </w:pPr>
          </w:p>
        </w:tc>
        <w:tc>
          <w:tcPr>
            <w:tcW w:w="1000" w:type="dxa"/>
          </w:tcPr>
          <w:p>
            <w:pPr>
              <w:pStyle w:val="CeldaAPA"/>
            </w:pPr>
          </w:p>
        </w:tc>
        <w:tc>
          <w:tcPr>
            <w:tcW w:w="905" w:type="dxa"/>
          </w:tcPr>
          <w:p>
            <w:pPr>
              <w:pStyle w:val="CeldaAPA"/>
            </w:pPr>
          </w:p>
        </w:tc>
        <w:tc>
          <w:tcPr>
            <w:tcW w:w="873" w:type="dxa"/>
          </w:tcPr>
          <w:p>
            <w:pPr>
              <w:pStyle w:val="CeldaAPA"/>
            </w:pPr>
          </w:p>
        </w:tc>
        <w:tc>
          <w:tcPr>
            <w:tcW w:w="1286" w:type="dxa"/>
          </w:tcPr>
          <w:p>
            <w:pPr>
              <w:pStyle w:val="CeldaAPA"/>
            </w:pPr>
          </w:p>
        </w:tc>
        <w:tc>
          <w:tcPr>
            <w:tcW w:w="1323" w:type="dxa"/>
          </w:tcPr>
          <w:p>
            <w:pPr>
              <w:pStyle w:val="CeldaAPA"/>
            </w:pPr>
          </w:p>
        </w:tc>
        <w:tc>
          <w:tcPr>
            <w:tcW w:w="1817" w:type="dxa"/>
          </w:tcPr>
          <w:p>
            <w:pPr>
              <w:pStyle w:val="CeldaAPA"/>
            </w:pPr>
          </w:p>
        </w:tc>
        <w:tc>
          <w:tcPr>
            <w:tcW w:w="650" w:type="dxa"/>
          </w:tcPr>
          <w:p>
            <w:pPr>
              <w:pStyle w:val="CeldaAPA"/>
            </w:pPr>
          </w:p>
        </w:tc>
      </w:tr>
      <w:tr>
        <w:tc>
          <w:tcPr>
            <w:tcW w:w="666" w:type="dxa"/>
          </w:tcPr>
          <w:p>
            <w:pPr>
              <w:pStyle w:val="CeldaAPA"/>
              <w:jc w:val="center"/>
            </w:pPr>
            <w:r>
              <w:rPr>
                <w:sz w:val="20"/>
                <w:szCs w:val="20"/>
              </w:rPr>
              <w:t xml:space="preserve">5</w:t>
            </w:r>
          </w:p>
        </w:tc>
        <w:tc>
          <w:tcPr>
            <w:tcW w:w="948" w:type="dxa"/>
          </w:tcPr>
          <w:p>
            <w:pPr>
              <w:pStyle w:val="CeldaAPA"/>
            </w:pPr>
          </w:p>
        </w:tc>
        <w:tc>
          <w:tcPr>
            <w:tcW w:w="1000" w:type="dxa"/>
          </w:tcPr>
          <w:p>
            <w:pPr>
              <w:pStyle w:val="CeldaAPA"/>
            </w:pPr>
          </w:p>
        </w:tc>
        <w:tc>
          <w:tcPr>
            <w:tcW w:w="905" w:type="dxa"/>
          </w:tcPr>
          <w:p>
            <w:pPr>
              <w:pStyle w:val="CeldaAPA"/>
            </w:pPr>
          </w:p>
        </w:tc>
        <w:tc>
          <w:tcPr>
            <w:tcW w:w="873" w:type="dxa"/>
          </w:tcPr>
          <w:p>
            <w:pPr>
              <w:pStyle w:val="CeldaAPA"/>
            </w:pPr>
          </w:p>
        </w:tc>
        <w:tc>
          <w:tcPr>
            <w:tcW w:w="1286" w:type="dxa"/>
          </w:tcPr>
          <w:p>
            <w:pPr>
              <w:pStyle w:val="CeldaAPA"/>
            </w:pPr>
          </w:p>
        </w:tc>
        <w:tc>
          <w:tcPr>
            <w:tcW w:w="1323" w:type="dxa"/>
          </w:tcPr>
          <w:p>
            <w:pPr>
              <w:pStyle w:val="CeldaAPA"/>
            </w:pPr>
          </w:p>
        </w:tc>
        <w:tc>
          <w:tcPr>
            <w:tcW w:w="1817" w:type="dxa"/>
          </w:tcPr>
          <w:p>
            <w:pPr>
              <w:pStyle w:val="CeldaAPA"/>
            </w:pPr>
          </w:p>
        </w:tc>
        <w:tc>
          <w:tcPr>
            <w:tcW w:w="650" w:type="dxa"/>
          </w:tcPr>
          <w:p>
            <w:pPr>
              <w:pStyle w:val="CeldaAPA"/>
            </w:pPr>
          </w:p>
        </w:tc>
      </w:tr>
    </w:tbl>
    <w:p>
      <w:pPr>
        <w:pStyle w:val="BodyText"/>
        <w:spacing w:before="240"/>
      </w:pPr>
      <w:r>
        <w:rPr>
          <w:bCs/>
          <w:b/>
        </w:rPr>
        <w:t xml:space="preserve">c) Acero de refuerzo</w:t>
      </w:r>
      <w:r>
        <w:t xml:space="preserve"> </w:t>
      </w:r>
      <w:r>
        <w:t xml:space="preserve">(pesaje de tres barras por diámetro y colada; masa medida</w:t>
      </w:r>
      <w:r>
        <w:t xml:space="preserve"> </w:t>
      </w:r>
      <m:oMath>
        <m:r>
          <m:rPr>
            <m:sty m:val="p"/>
          </m:rPr>
          <m:t>≥</m:t>
        </m:r>
        <m:r>
          <m:t>94</m:t>
        </m:r>
      </m:oMath>
      <w:r>
        <w:t xml:space="preserve"> % de la nominal)</w:t>
      </w:r>
    </w:p>
    <w:tbl>
      <w:tblPr>
        <w:tblStyle w:val="Table"/>
        <w:tblW w:w="10972"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1" w:lastRow="0" w:firstColumn="0" w:lastColumn="0" w:noHBand="0" w:noVBand="0" w:val="0020"/>
      </w:tblPr>
      <w:tblGrid>
        <w:gridCol w:w="973"/>
        <w:gridCol w:w="1083"/>
        <w:gridCol w:w="927"/>
        <w:gridCol w:w="927"/>
        <w:gridCol w:w="1302"/>
        <w:gridCol w:w="1189"/>
        <w:gridCol w:w="1234"/>
        <w:gridCol w:w="1180"/>
        <w:gridCol w:w="1507"/>
        <w:gridCol w:w="650"/>
      </w:tblGrid>
      <w:tr>
        <w:trPr>
          <w:cantSplit/>
          <w:tblHeader w:val="true"/>
        </w:trPr>
        <w:tc>
          <w:tcPr>
            <w:tcW w:w="973" w:type="dxa"/>
          </w:tcPr>
          <w:p>
            <w:pPr>
              <w:pStyle w:val="CeldaAPA"/>
              <w:jc w:val="center"/>
            </w:pPr>
            <m:oMath>
              <m:r>
                <m:t>ϕ</m:t>
              </m:r>
            </m:oMath>
            <w:r>
              <w:rPr>
                <w:bCs/>
                <w:b/>
                <w:sz w:val="20"/>
                <w:szCs w:val="20"/>
              </w:rPr>
              <w:t xml:space="preserve"> </w:t>
            </w:r>
            <w:r>
              <w:rPr>
                <w:bCs/>
                <w:b/>
                <w:sz w:val="20"/>
                <w:szCs w:val="20"/>
              </w:rPr>
              <w:t xml:space="preserve">(mm)</w:t>
            </w:r>
          </w:p>
        </w:tc>
        <w:tc>
          <w:tcPr>
            <w:tcW w:w="1083" w:type="dxa"/>
          </w:tcPr>
          <w:p>
            <w:pPr>
              <w:pStyle w:val="CeldaAPA"/>
              <w:jc w:val="center"/>
            </w:pPr>
            <w:r>
              <w:rPr>
                <w:bCs/>
                <w:b/>
                <w:sz w:val="20"/>
                <w:szCs w:val="20"/>
              </w:rPr>
              <w:t xml:space="preserve">Colada</w:t>
            </w:r>
          </w:p>
        </w:tc>
        <w:tc>
          <w:tcPr>
            <w:tcW w:w="927" w:type="dxa"/>
          </w:tcPr>
          <w:p>
            <w:pPr>
              <w:pStyle w:val="CeldaAPA"/>
              <w:jc w:val="center"/>
            </w:pPr>
            <w:r>
              <w:rPr>
                <w:bCs/>
                <w:b/>
                <w:sz w:val="20"/>
                <w:szCs w:val="20"/>
              </w:rPr>
              <w:t xml:space="preserve">N.</w:t>
            </w:r>
            <w:r>
              <w:rPr>
                <w:vertAlign w:val="superscript"/>
                <w:bCs/>
                <w:b/>
                <w:sz w:val="20"/>
                <w:szCs w:val="20"/>
              </w:rPr>
              <w:t xml:space="preserve">o</w:t>
            </w:r>
            <w:r>
              <w:rPr>
                <w:bCs/>
                <w:b/>
                <w:sz w:val="20"/>
                <w:szCs w:val="20"/>
              </w:rPr>
              <w:t xml:space="preserve"> </w:t>
            </w:r>
            <w:r>
              <w:rPr>
                <w:bCs/>
                <w:b/>
                <w:sz w:val="20"/>
                <w:szCs w:val="20"/>
              </w:rPr>
              <w:t xml:space="preserve">de barras</w:t>
            </w:r>
          </w:p>
        </w:tc>
        <w:tc>
          <w:tcPr>
            <w:tcW w:w="927" w:type="dxa"/>
          </w:tcPr>
          <w:p>
            <w:pPr>
              <w:pStyle w:val="CeldaAPA"/>
              <w:jc w:val="center"/>
            </w:pPr>
            <w:r>
              <w:rPr>
                <w:bCs/>
                <w:b/>
                <w:sz w:val="20"/>
                <w:szCs w:val="20"/>
              </w:rPr>
              <w:t xml:space="preserve">Masa de 3 barras (kg)</w:t>
            </w:r>
          </w:p>
        </w:tc>
        <w:tc>
          <w:tcPr>
            <w:tcW w:w="1302" w:type="dxa"/>
          </w:tcPr>
          <w:p>
            <w:pPr>
              <w:pStyle w:val="CeldaAPA"/>
              <w:jc w:val="center"/>
            </w:pPr>
            <w:r>
              <w:rPr>
                <w:bCs/>
                <w:b/>
                <w:sz w:val="20"/>
                <w:szCs w:val="20"/>
              </w:rPr>
              <w:t xml:space="preserve">Longitud total (m)</w:t>
            </w:r>
          </w:p>
        </w:tc>
        <w:tc>
          <w:tcPr>
            <w:tcW w:w="1189" w:type="dxa"/>
          </w:tcPr>
          <w:p>
            <w:pPr>
              <w:pStyle w:val="CeldaAPA"/>
              <w:jc w:val="center"/>
            </w:pPr>
            <w:r>
              <w:rPr>
                <w:bCs/>
                <w:b/>
                <w:sz w:val="20"/>
                <w:szCs w:val="20"/>
              </w:rPr>
              <w:t xml:space="preserve">Masa por metro (kg/m)</w:t>
            </w:r>
          </w:p>
        </w:tc>
        <w:tc>
          <w:tcPr>
            <w:tcW w:w="1234" w:type="dxa"/>
          </w:tcPr>
          <w:p>
            <w:pPr>
              <w:pStyle w:val="CeldaAPA"/>
              <w:jc w:val="center"/>
            </w:pPr>
            <w:r>
              <w:rPr>
                <w:bCs/>
                <w:b/>
                <w:sz w:val="20"/>
                <w:szCs w:val="20"/>
              </w:rPr>
              <w:t xml:space="preserve">Nominal (kg/m)</w:t>
            </w:r>
          </w:p>
        </w:tc>
        <w:tc>
          <w:tcPr>
            <w:tcW w:w="1180" w:type="dxa"/>
          </w:tcPr>
          <w:p>
            <w:pPr>
              <w:pStyle w:val="CeldaAPA"/>
              <w:jc w:val="center"/>
            </w:pPr>
            <w:r>
              <w:rPr>
                <w:bCs/>
                <w:b/>
                <w:sz w:val="20"/>
                <w:szCs w:val="20"/>
              </w:rPr>
              <w:t xml:space="preserve">% de la nominal</w:t>
            </w:r>
          </w:p>
        </w:tc>
        <w:tc>
          <w:tcPr>
            <w:tcW w:w="1507" w:type="dxa"/>
          </w:tcPr>
          <w:p>
            <w:pPr>
              <w:pStyle w:val="CeldaAPA"/>
              <w:jc w:val="left"/>
            </w:pPr>
            <w:r>
              <w:rPr>
                <w:bCs/>
                <w:b/>
                <w:sz w:val="20"/>
                <w:szCs w:val="20"/>
              </w:rPr>
              <w:t xml:space="preserve">Corrugado, óxido, aceite</w:t>
            </w:r>
          </w:p>
        </w:tc>
        <w:tc>
          <w:tcPr>
            <w:tcW w:w="650" w:type="dxa"/>
          </w:tcPr>
          <w:p>
            <w:pPr>
              <w:pStyle w:val="CeldaAPA"/>
              <w:jc w:val="center"/>
            </w:pPr>
            <w:r>
              <w:rPr>
                <w:bCs/>
                <w:b/>
                <w:sz w:val="20"/>
                <w:szCs w:val="20"/>
              </w:rPr>
              <w:t xml:space="preserve">C / NC</w:t>
            </w:r>
          </w:p>
        </w:tc>
      </w:tr>
      <w:tr>
        <w:tc>
          <w:tcPr>
            <w:tcW w:w="973" w:type="dxa"/>
          </w:tcPr>
          <w:p>
            <w:pPr>
              <w:pStyle w:val="CeldaAPA"/>
            </w:pPr>
          </w:p>
        </w:tc>
        <w:tc>
          <w:tcPr>
            <w:tcW w:w="1083" w:type="dxa"/>
          </w:tcPr>
          <w:p>
            <w:pPr>
              <w:pStyle w:val="CeldaAPA"/>
            </w:pPr>
          </w:p>
        </w:tc>
        <w:tc>
          <w:tcPr>
            <w:tcW w:w="927" w:type="dxa"/>
          </w:tcPr>
          <w:p>
            <w:pPr>
              <w:pStyle w:val="CeldaAPA"/>
            </w:pPr>
          </w:p>
        </w:tc>
        <w:tc>
          <w:tcPr>
            <w:tcW w:w="927" w:type="dxa"/>
          </w:tcPr>
          <w:p>
            <w:pPr>
              <w:pStyle w:val="CeldaAPA"/>
            </w:pPr>
          </w:p>
        </w:tc>
        <w:tc>
          <w:tcPr>
            <w:tcW w:w="1302" w:type="dxa"/>
          </w:tcPr>
          <w:p>
            <w:pPr>
              <w:pStyle w:val="CeldaAPA"/>
            </w:pPr>
          </w:p>
        </w:tc>
        <w:tc>
          <w:tcPr>
            <w:tcW w:w="1189" w:type="dxa"/>
          </w:tcPr>
          <w:p>
            <w:pPr>
              <w:pStyle w:val="CeldaAPA"/>
            </w:pPr>
          </w:p>
        </w:tc>
        <w:tc>
          <w:tcPr>
            <w:tcW w:w="1234" w:type="dxa"/>
          </w:tcPr>
          <w:p>
            <w:pPr>
              <w:pStyle w:val="CeldaAPA"/>
            </w:pPr>
          </w:p>
        </w:tc>
        <w:tc>
          <w:tcPr>
            <w:tcW w:w="1180" w:type="dxa"/>
          </w:tcPr>
          <w:p>
            <w:pPr>
              <w:pStyle w:val="CeldaAPA"/>
            </w:pPr>
          </w:p>
        </w:tc>
        <w:tc>
          <w:tcPr>
            <w:tcW w:w="1507" w:type="dxa"/>
          </w:tcPr>
          <w:p>
            <w:pPr>
              <w:pStyle w:val="CeldaAPA"/>
            </w:pPr>
          </w:p>
        </w:tc>
        <w:tc>
          <w:tcPr>
            <w:tcW w:w="650" w:type="dxa"/>
          </w:tcPr>
          <w:p>
            <w:pPr>
              <w:pStyle w:val="CeldaAPA"/>
            </w:pPr>
          </w:p>
        </w:tc>
      </w:tr>
      <w:tr>
        <w:tc>
          <w:tcPr>
            <w:tcW w:w="973" w:type="dxa"/>
          </w:tcPr>
          <w:p>
            <w:pPr>
              <w:pStyle w:val="CeldaAPA"/>
            </w:pPr>
          </w:p>
        </w:tc>
        <w:tc>
          <w:tcPr>
            <w:tcW w:w="1083" w:type="dxa"/>
          </w:tcPr>
          <w:p>
            <w:pPr>
              <w:pStyle w:val="CeldaAPA"/>
            </w:pPr>
          </w:p>
        </w:tc>
        <w:tc>
          <w:tcPr>
            <w:tcW w:w="927" w:type="dxa"/>
          </w:tcPr>
          <w:p>
            <w:pPr>
              <w:pStyle w:val="CeldaAPA"/>
            </w:pPr>
          </w:p>
        </w:tc>
        <w:tc>
          <w:tcPr>
            <w:tcW w:w="927" w:type="dxa"/>
          </w:tcPr>
          <w:p>
            <w:pPr>
              <w:pStyle w:val="CeldaAPA"/>
            </w:pPr>
          </w:p>
        </w:tc>
        <w:tc>
          <w:tcPr>
            <w:tcW w:w="1302" w:type="dxa"/>
          </w:tcPr>
          <w:p>
            <w:pPr>
              <w:pStyle w:val="CeldaAPA"/>
            </w:pPr>
          </w:p>
        </w:tc>
        <w:tc>
          <w:tcPr>
            <w:tcW w:w="1189" w:type="dxa"/>
          </w:tcPr>
          <w:p>
            <w:pPr>
              <w:pStyle w:val="CeldaAPA"/>
            </w:pPr>
          </w:p>
        </w:tc>
        <w:tc>
          <w:tcPr>
            <w:tcW w:w="1234" w:type="dxa"/>
          </w:tcPr>
          <w:p>
            <w:pPr>
              <w:pStyle w:val="CeldaAPA"/>
            </w:pPr>
          </w:p>
        </w:tc>
        <w:tc>
          <w:tcPr>
            <w:tcW w:w="1180" w:type="dxa"/>
          </w:tcPr>
          <w:p>
            <w:pPr>
              <w:pStyle w:val="CeldaAPA"/>
            </w:pPr>
          </w:p>
        </w:tc>
        <w:tc>
          <w:tcPr>
            <w:tcW w:w="1507" w:type="dxa"/>
          </w:tcPr>
          <w:p>
            <w:pPr>
              <w:pStyle w:val="CeldaAPA"/>
            </w:pPr>
          </w:p>
        </w:tc>
        <w:tc>
          <w:tcPr>
            <w:tcW w:w="650" w:type="dxa"/>
          </w:tcPr>
          <w:p>
            <w:pPr>
              <w:pStyle w:val="CeldaAPA"/>
            </w:pPr>
          </w:p>
        </w:tc>
      </w:tr>
      <w:tr>
        <w:tc>
          <w:tcPr>
            <w:tcW w:w="973" w:type="dxa"/>
          </w:tcPr>
          <w:p>
            <w:pPr>
              <w:pStyle w:val="CeldaAPA"/>
            </w:pPr>
          </w:p>
        </w:tc>
        <w:tc>
          <w:tcPr>
            <w:tcW w:w="1083" w:type="dxa"/>
          </w:tcPr>
          <w:p>
            <w:pPr>
              <w:pStyle w:val="CeldaAPA"/>
            </w:pPr>
          </w:p>
        </w:tc>
        <w:tc>
          <w:tcPr>
            <w:tcW w:w="927" w:type="dxa"/>
          </w:tcPr>
          <w:p>
            <w:pPr>
              <w:pStyle w:val="CeldaAPA"/>
            </w:pPr>
          </w:p>
        </w:tc>
        <w:tc>
          <w:tcPr>
            <w:tcW w:w="927" w:type="dxa"/>
          </w:tcPr>
          <w:p>
            <w:pPr>
              <w:pStyle w:val="CeldaAPA"/>
            </w:pPr>
          </w:p>
        </w:tc>
        <w:tc>
          <w:tcPr>
            <w:tcW w:w="1302" w:type="dxa"/>
          </w:tcPr>
          <w:p>
            <w:pPr>
              <w:pStyle w:val="CeldaAPA"/>
            </w:pPr>
          </w:p>
        </w:tc>
        <w:tc>
          <w:tcPr>
            <w:tcW w:w="1189" w:type="dxa"/>
          </w:tcPr>
          <w:p>
            <w:pPr>
              <w:pStyle w:val="CeldaAPA"/>
            </w:pPr>
          </w:p>
        </w:tc>
        <w:tc>
          <w:tcPr>
            <w:tcW w:w="1234" w:type="dxa"/>
          </w:tcPr>
          <w:p>
            <w:pPr>
              <w:pStyle w:val="CeldaAPA"/>
            </w:pPr>
          </w:p>
        </w:tc>
        <w:tc>
          <w:tcPr>
            <w:tcW w:w="1180" w:type="dxa"/>
          </w:tcPr>
          <w:p>
            <w:pPr>
              <w:pStyle w:val="CeldaAPA"/>
            </w:pPr>
          </w:p>
        </w:tc>
        <w:tc>
          <w:tcPr>
            <w:tcW w:w="1507" w:type="dxa"/>
          </w:tcPr>
          <w:p>
            <w:pPr>
              <w:pStyle w:val="CeldaAPA"/>
            </w:pPr>
          </w:p>
        </w:tc>
        <w:tc>
          <w:tcPr>
            <w:tcW w:w="650" w:type="dxa"/>
          </w:tcPr>
          <w:p>
            <w:pPr>
              <w:pStyle w:val="CeldaAPA"/>
            </w:pPr>
          </w:p>
        </w:tc>
      </w:tr>
      <w:tr>
        <w:tc>
          <w:tcPr>
            <w:tcW w:w="973" w:type="dxa"/>
          </w:tcPr>
          <w:p>
            <w:pPr>
              <w:pStyle w:val="CeldaAPA"/>
            </w:pPr>
          </w:p>
        </w:tc>
        <w:tc>
          <w:tcPr>
            <w:tcW w:w="1083" w:type="dxa"/>
          </w:tcPr>
          <w:p>
            <w:pPr>
              <w:pStyle w:val="CeldaAPA"/>
            </w:pPr>
          </w:p>
        </w:tc>
        <w:tc>
          <w:tcPr>
            <w:tcW w:w="927" w:type="dxa"/>
          </w:tcPr>
          <w:p>
            <w:pPr>
              <w:pStyle w:val="CeldaAPA"/>
            </w:pPr>
          </w:p>
        </w:tc>
        <w:tc>
          <w:tcPr>
            <w:tcW w:w="927" w:type="dxa"/>
          </w:tcPr>
          <w:p>
            <w:pPr>
              <w:pStyle w:val="CeldaAPA"/>
            </w:pPr>
          </w:p>
        </w:tc>
        <w:tc>
          <w:tcPr>
            <w:tcW w:w="1302" w:type="dxa"/>
          </w:tcPr>
          <w:p>
            <w:pPr>
              <w:pStyle w:val="CeldaAPA"/>
            </w:pPr>
          </w:p>
        </w:tc>
        <w:tc>
          <w:tcPr>
            <w:tcW w:w="1189" w:type="dxa"/>
          </w:tcPr>
          <w:p>
            <w:pPr>
              <w:pStyle w:val="CeldaAPA"/>
            </w:pPr>
          </w:p>
        </w:tc>
        <w:tc>
          <w:tcPr>
            <w:tcW w:w="1234" w:type="dxa"/>
          </w:tcPr>
          <w:p>
            <w:pPr>
              <w:pStyle w:val="CeldaAPA"/>
            </w:pPr>
          </w:p>
        </w:tc>
        <w:tc>
          <w:tcPr>
            <w:tcW w:w="1180" w:type="dxa"/>
          </w:tcPr>
          <w:p>
            <w:pPr>
              <w:pStyle w:val="CeldaAPA"/>
            </w:pPr>
          </w:p>
        </w:tc>
        <w:tc>
          <w:tcPr>
            <w:tcW w:w="1507" w:type="dxa"/>
          </w:tcPr>
          <w:p>
            <w:pPr>
              <w:pStyle w:val="CeldaAPA"/>
            </w:pPr>
          </w:p>
        </w:tc>
        <w:tc>
          <w:tcPr>
            <w:tcW w:w="650" w:type="dxa"/>
          </w:tcPr>
          <w:p>
            <w:pPr>
              <w:pStyle w:val="CeldaAPA"/>
            </w:pPr>
          </w:p>
        </w:tc>
      </w:tr>
    </w:tbl>
    <w:p>
      <w:pPr>
        <w:pStyle w:val="BodyText"/>
        <w:spacing w:before="240"/>
      </w:pPr>
      <w:r>
        <w:rPr>
          <w:bCs/>
          <w:b/>
        </w:rPr>
        <w:t xml:space="preserve">d) Cemento, áridos y agua</w:t>
      </w:r>
    </w:p>
    <w:tbl>
      <w:tblPr>
        <w:tblStyle w:val="Table"/>
        <w:tblW w:w="9361"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1" w:lastRow="0" w:firstColumn="0" w:lastColumn="0" w:noHBand="0" w:noVBand="0" w:val="0020"/>
      </w:tblPr>
      <w:tblGrid>
        <w:gridCol w:w="1463"/>
        <w:gridCol w:w="3586"/>
        <w:gridCol w:w="3586"/>
        <w:gridCol w:w="726"/>
      </w:tblGrid>
      <w:tr>
        <w:trPr>
          <w:cantSplit/>
          <w:tblHeader w:val="true"/>
        </w:trPr>
        <w:tc>
          <w:tcPr>
            <w:tcW w:w="1463" w:type="dxa"/>
          </w:tcPr>
          <w:p>
            <w:pPr>
              <w:pStyle w:val="CeldaAPA"/>
              <w:jc w:val="left"/>
            </w:pPr>
            <w:r>
              <w:rPr>
                <w:bCs/>
                <w:b/>
                <w:sz w:val="20"/>
                <w:szCs w:val="20"/>
              </w:rPr>
              <w:t xml:space="preserve">Material</w:t>
            </w:r>
          </w:p>
        </w:tc>
        <w:tc>
          <w:tcPr>
            <w:tcW w:w="3586" w:type="dxa"/>
          </w:tcPr>
          <w:p>
            <w:pPr>
              <w:pStyle w:val="CeldaAPA"/>
              <w:jc w:val="left"/>
            </w:pPr>
            <w:r>
              <w:rPr>
                <w:bCs/>
                <w:b/>
                <w:sz w:val="20"/>
                <w:szCs w:val="20"/>
              </w:rPr>
              <w:t xml:space="preserve">Verificación</w:t>
            </w:r>
          </w:p>
        </w:tc>
        <w:tc>
          <w:tcPr>
            <w:tcW w:w="3586" w:type="dxa"/>
          </w:tcPr>
          <w:p>
            <w:pPr>
              <w:pStyle w:val="CeldaAPA"/>
              <w:jc w:val="left"/>
            </w:pPr>
            <w:r>
              <w:rPr>
                <w:bCs/>
                <w:b/>
                <w:sz w:val="20"/>
                <w:szCs w:val="20"/>
              </w:rPr>
              <w:t xml:space="preserve">Resultado</w:t>
            </w:r>
          </w:p>
        </w:tc>
        <w:tc>
          <w:tcPr>
            <w:tcW w:w="726" w:type="dxa"/>
          </w:tcPr>
          <w:p>
            <w:pPr>
              <w:pStyle w:val="CeldaAPA"/>
              <w:jc w:val="center"/>
            </w:pPr>
            <w:r>
              <w:rPr>
                <w:bCs/>
                <w:b/>
                <w:sz w:val="20"/>
                <w:szCs w:val="20"/>
              </w:rPr>
              <w:t xml:space="preserve">C / NC</w:t>
            </w:r>
          </w:p>
        </w:tc>
      </w:tr>
      <w:tr>
        <w:tc>
          <w:tcPr>
            <w:tcW w:w="1463" w:type="dxa"/>
          </w:tcPr>
          <w:p>
            <w:pPr>
              <w:pStyle w:val="CeldaAPA"/>
              <w:jc w:val="left"/>
            </w:pPr>
            <w:r>
              <w:rPr>
                <w:sz w:val="20"/>
                <w:szCs w:val="20"/>
              </w:rPr>
              <w:t xml:space="preserve">Cemento</w:t>
            </w:r>
          </w:p>
        </w:tc>
        <w:tc>
          <w:tcPr>
            <w:tcW w:w="3586" w:type="dxa"/>
          </w:tcPr>
          <w:p>
            <w:pPr>
              <w:pStyle w:val="CeldaAPA"/>
              <w:jc w:val="left"/>
            </w:pPr>
            <w:r>
              <w:rPr>
                <w:sz w:val="20"/>
                <w:szCs w:val="20"/>
              </w:rPr>
              <w:t xml:space="preserve">Bolsas recibidas; bolsas rotas o con grumos, terrones o costras; fecha de fabricación</w:t>
            </w:r>
          </w:p>
        </w:tc>
        <w:tc>
          <w:tcPr>
            <w:tcW w:w="3586" w:type="dxa"/>
          </w:tcPr>
          <w:p>
            <w:pPr>
              <w:pStyle w:val="CeldaAPA"/>
            </w:pPr>
          </w:p>
        </w:tc>
        <w:tc>
          <w:tcPr>
            <w:tcW w:w="726" w:type="dxa"/>
          </w:tcPr>
          <w:p>
            <w:pPr>
              <w:pStyle w:val="CeldaAPA"/>
            </w:pPr>
          </w:p>
        </w:tc>
      </w:tr>
      <w:tr>
        <w:tc>
          <w:tcPr>
            <w:tcW w:w="1463" w:type="dxa"/>
          </w:tcPr>
          <w:p>
            <w:pPr>
              <w:pStyle w:val="CeldaAPA"/>
              <w:jc w:val="left"/>
            </w:pPr>
            <w:r>
              <w:rPr>
                <w:sz w:val="20"/>
                <w:szCs w:val="20"/>
              </w:rPr>
              <w:t xml:space="preserve">Arena y grava</w:t>
            </w:r>
          </w:p>
        </w:tc>
        <w:tc>
          <w:tcPr>
            <w:tcW w:w="3586" w:type="dxa"/>
          </w:tcPr>
          <w:p>
            <w:pPr>
              <w:pStyle w:val="CeldaAPA"/>
              <w:jc w:val="left"/>
            </w:pPr>
            <w:r>
              <w:rPr>
                <w:sz w:val="20"/>
                <w:szCs w:val="20"/>
              </w:rPr>
              <w:t xml:space="preserve">Volquete N.</w:t>
            </w:r>
            <w:r>
              <w:rPr>
                <w:vertAlign w:val="superscript"/>
                <w:sz w:val="20"/>
                <w:szCs w:val="20"/>
              </w:rPr>
              <w:t xml:space="preserve">o</w:t>
            </w:r>
            <w:r>
              <w:rPr>
                <w:sz w:val="20"/>
                <w:szCs w:val="20"/>
              </w:rPr>
              <w:t xml:space="preserve">; volumen cubicado (m</w:t>
            </w:r>
            <w:r>
              <w:rPr>
                <w:vertAlign w:val="superscript"/>
                <w:sz w:val="20"/>
                <w:szCs w:val="20"/>
              </w:rPr>
              <w:t xml:space="preserve">3</w:t>
            </w:r>
            <w:r>
              <w:rPr>
                <w:sz w:val="20"/>
                <w:szCs w:val="20"/>
              </w:rPr>
              <w:t xml:space="preserve">); limpieza (sin arcilla ni materia orgánica); tamaño máximo</w:t>
            </w:r>
            <w:r>
              <w:rPr>
                <w:sz w:val="20"/>
                <w:szCs w:val="20"/>
              </w:rPr>
              <w:t xml:space="preserve"> </w:t>
            </w:r>
            <m:oMath>
              <m:r>
                <m:rPr>
                  <m:sty m:val="p"/>
                </m:rPr>
                <m:t>≤</m:t>
              </m:r>
            </m:oMath>
            <w:r>
              <w:rPr>
                <w:sz w:val="20"/>
                <w:szCs w:val="20"/>
              </w:rPr>
              <w:t xml:space="preserve"> </w:t>
            </w:r>
            <w:r>
              <w:rPr>
                <w:sz w:val="20"/>
                <w:szCs w:val="20"/>
              </w:rPr>
              <w:t xml:space="preserve">mitad del espesor de la carpeta</w:t>
            </w:r>
          </w:p>
        </w:tc>
        <w:tc>
          <w:tcPr>
            <w:tcW w:w="3586" w:type="dxa"/>
          </w:tcPr>
          <w:p>
            <w:pPr>
              <w:pStyle w:val="CeldaAPA"/>
            </w:pPr>
          </w:p>
        </w:tc>
        <w:tc>
          <w:tcPr>
            <w:tcW w:w="726" w:type="dxa"/>
          </w:tcPr>
          <w:p>
            <w:pPr>
              <w:pStyle w:val="CeldaAPA"/>
            </w:pPr>
          </w:p>
        </w:tc>
      </w:tr>
      <w:tr>
        <w:tc>
          <w:tcPr>
            <w:tcW w:w="1463" w:type="dxa"/>
          </w:tcPr>
          <w:p>
            <w:pPr>
              <w:pStyle w:val="CeldaAPA"/>
              <w:jc w:val="left"/>
            </w:pPr>
            <w:r>
              <w:rPr>
                <w:sz w:val="20"/>
                <w:szCs w:val="20"/>
              </w:rPr>
              <w:t xml:space="preserve">Agua</w:t>
            </w:r>
          </w:p>
        </w:tc>
        <w:tc>
          <w:tcPr>
            <w:tcW w:w="3586" w:type="dxa"/>
          </w:tcPr>
          <w:p>
            <w:pPr>
              <w:pStyle w:val="CeldaAPA"/>
              <w:jc w:val="left"/>
            </w:pPr>
            <w:r>
              <w:rPr>
                <w:sz w:val="20"/>
                <w:szCs w:val="20"/>
              </w:rPr>
              <w:t xml:space="preserve">Fuente aprobada; limpieza; temperatura al amasar</w:t>
            </w:r>
            <w:r>
              <w:rPr>
                <w:sz w:val="20"/>
                <w:szCs w:val="20"/>
              </w:rPr>
              <w:t xml:space="preserve"> </w:t>
            </w:r>
            <m:oMath>
              <m:r>
                <m:rPr>
                  <m:sty m:val="p"/>
                </m:rPr>
                <m:t>&gt;</m:t>
              </m:r>
              <m:r>
                <m:t>5</m:t>
              </m:r>
            </m:oMath>
            <w:r>
              <w:rPr>
                <w:sz w:val="20"/>
                <w:szCs w:val="20"/>
              </w:rPr>
              <w:t xml:space="preserve"> </w:t>
            </w:r>
            <m:oMath>
              <m:sSup>
                <m:e>
                  <m:r>
                    <m:t>​</m:t>
                  </m:r>
                </m:e>
                <m:sup>
                  <m:r>
                    <m:rPr>
                      <m:sty m:val="p"/>
                    </m:rPr>
                    <m:t>∘</m:t>
                  </m:r>
                </m:sup>
              </m:sSup>
            </m:oMath>
            <w:r>
              <w:rPr>
                <w:sz w:val="20"/>
                <w:szCs w:val="20"/>
              </w:rPr>
              <w:t xml:space="preserve">C</w:t>
            </w:r>
          </w:p>
        </w:tc>
        <w:tc>
          <w:tcPr>
            <w:tcW w:w="3586" w:type="dxa"/>
          </w:tcPr>
          <w:p>
            <w:pPr>
              <w:pStyle w:val="CeldaAPA"/>
            </w:pPr>
          </w:p>
        </w:tc>
        <w:tc>
          <w:tcPr>
            <w:tcW w:w="726" w:type="dxa"/>
          </w:tcPr>
          <w:p>
            <w:pPr>
              <w:pStyle w:val="CeldaAPA"/>
            </w:pPr>
          </w:p>
        </w:tc>
      </w:tr>
    </w:tbl>
    <w:p>
      <w:pPr>
        <w:pStyle w:val="BodyText"/>
        <w:spacing w:before="240"/>
      </w:pPr>
      <w:r>
        <w:rPr>
          <w:bCs/>
          <w:b/>
        </w:rPr>
        <w:t xml:space="preserve">3. Decisión</w:t>
      </w:r>
    </w:p>
    <w:tbl>
      <w:tblPr>
        <w:tblStyle w:val="Table"/>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0" w:lastRow="0" w:firstColumn="0" w:lastColumn="0" w:noHBand="0" w:noVBand="0" w:val="0000"/>
      </w:tblPr>
      <w:tblGrid>
        <w:gridCol w:w="9360"/>
      </w:tblGrid>
      <w:tr>
        <w:tc>
          <w:tcPr>
            <w:tcW w:w="9360" w:type="dxa"/>
          </w:tcPr>
          <w:p>
            <w:pPr>
              <w:pStyle w:val="CeldaAPA"/>
              <w:jc w:val="left"/>
            </w:pPr>
            <w:r>
              <w:rPr>
                <w:sz w:val="20"/>
                <w:szCs w:val="20"/>
              </w:rPr>
              <w:t xml:space="preserve">☐ Aceptado ☐ Aceptado bajo concesión (autorización escrita de la Supervisión N.</w:t>
            </w:r>
            <w:r>
              <w:rPr>
                <w:vertAlign w:val="superscript"/>
                <w:sz w:val="20"/>
                <w:szCs w:val="20"/>
              </w:rPr>
              <w:t xml:space="preserve">o</w:t>
            </w:r>
            <w:r>
              <w:rPr>
                <w:sz w:val="20"/>
                <w:szCs w:val="20"/>
              </w:rPr>
              <w:t xml:space="preserve"> </w:t>
            </w:r>
            <w:r>
              <w:rPr>
                <w:u w:val="single"/>
                <w:sz w:val="20"/>
                <w:szCs w:val="20"/>
              </w:rPr>
              <w:t xml:space="preserve"> </w:t>
            </w:r>
            <w:r>
              <w:rPr>
                <w:sz w:val="20"/>
                <w:szCs w:val="20"/>
              </w:rPr>
              <w:t xml:space="preserve">) ☐ Rechazado</w:t>
            </w:r>
            <w:r>
              <w:rPr>
                <w:sz w:val="20"/>
                <w:szCs w:val="20"/>
              </w:rPr>
              <w:t xml:space="preserve"> </w:t>
            </w:r>
            <m:oMath>
              <m:r>
                <m:rPr>
                  <m:sty m:val="p"/>
                </m:rPr>
                <m:t>→</m:t>
              </m:r>
            </m:oMath>
            <w:r>
              <w:rPr>
                <w:sz w:val="20"/>
                <w:szCs w:val="20"/>
              </w:rPr>
              <w:t xml:space="preserve"> </w:t>
            </w:r>
            <w:r>
              <w:rPr>
                <w:sz w:val="20"/>
                <w:szCs w:val="20"/>
              </w:rPr>
              <w:t xml:space="preserve">NC N.</w:t>
            </w:r>
            <w:r>
              <w:rPr>
                <w:vertAlign w:val="superscript"/>
                <w:sz w:val="20"/>
                <w:szCs w:val="20"/>
              </w:rPr>
              <w:t xml:space="preserve">o</w:t>
            </w:r>
            <w:r>
              <w:rPr>
                <w:sz w:val="20"/>
                <w:szCs w:val="20"/>
              </w:rPr>
              <w:t xml:space="preserve"> </w:t>
            </w:r>
            <w:r>
              <w:rPr>
                <w:u w:val="single"/>
                <w:sz w:val="20"/>
                <w:szCs w:val="20"/>
              </w:rPr>
              <w:t xml:space="preserve"> </w:t>
            </w:r>
            <w:r>
              <w:rPr>
                <w:sz w:val="20"/>
                <w:szCs w:val="20"/>
              </w:rPr>
              <w:t xml:space="preserve"> </w:t>
            </w:r>
            <w:r>
              <w:rPr>
                <w:sz w:val="20"/>
                <w:szCs w:val="20"/>
              </w:rPr>
              <w:t xml:space="preserve">(formato C.5)</w:t>
            </w:r>
          </w:p>
        </w:tc>
      </w:tr>
      <w:tr>
        <w:tc>
          <w:tcPr>
            <w:tcW w:w="9360" w:type="dxa"/>
          </w:tcPr>
          <w:p>
            <w:pPr>
              <w:pStyle w:val="CeldaAPA"/>
              <w:jc w:val="left"/>
            </w:pPr>
            <w:r>
              <w:rPr>
                <w:sz w:val="20"/>
                <w:szCs w:val="20"/>
              </w:rPr>
              <w:t xml:space="preserve">Identificación del lote aceptado (tarjeta verde) con el código</w:t>
            </w:r>
            <w:r>
              <w:rPr>
                <w:sz w:val="20"/>
                <w:szCs w:val="20"/>
              </w:rPr>
              <w:t xml:space="preserve"> </w:t>
            </w:r>
            <w:r>
              <w:rPr>
                <w:u w:val="single"/>
                <w:sz w:val="20"/>
                <w:szCs w:val="20"/>
              </w:rPr>
              <w:t xml:space="preserve"> </w:t>
            </w:r>
            <w:r>
              <w:rPr>
                <w:sz w:val="20"/>
                <w:szCs w:val="20"/>
              </w:rPr>
              <w:t xml:space="preserve"> </w:t>
            </w:r>
            <w:r>
              <w:rPr>
                <w:sz w:val="20"/>
                <w:szCs w:val="20"/>
              </w:rPr>
              <w:t xml:space="preserve">Ingreso al kardex: fecha</w:t>
            </w:r>
            <w:r>
              <w:rPr>
                <w:sz w:val="20"/>
                <w:szCs w:val="20"/>
              </w:rPr>
              <w:t xml:space="preserve"> </w:t>
            </w:r>
            <w:r>
              <w:rPr>
                <w:u w:val="single"/>
                <w:sz w:val="20"/>
                <w:szCs w:val="20"/>
              </w:rPr>
              <w:t xml:space="preserve"> </w:t>
            </w:r>
          </w:p>
        </w:tc>
      </w:tr>
      <w:tr>
        <w:tc>
          <w:tcPr>
            <w:tcW w:w="9360" w:type="dxa"/>
          </w:tcPr>
          <w:p>
            <w:pPr>
              <w:pStyle w:val="CeldaAPA"/>
              <w:jc w:val="left"/>
            </w:pPr>
            <w:r>
              <w:rPr>
                <w:sz w:val="20"/>
                <w:szCs w:val="20"/>
              </w:rPr>
              <w:t xml:space="preserve">_________________ _________________ _________________ _________________</w:t>
            </w:r>
          </w:p>
        </w:tc>
      </w:tr>
    </w:tbl>
    <w:p>
      <w:pPr>
        <w:pStyle w:val="Heading2"/>
        <w:spacing w:before="240"/>
      </w:pPr>
      <w:bookmarkStart w:id="332" w:name="tit157"/>
      <w:r>
        <w:t xml:space="preserve">C.4. Ficha de control de materiales y conciliación por paño</w:t>
      </w:r>
      <w:bookmarkEnd w:id="332"/>
    </w:p>
    <w:p>
      <w:pPr>
        <w:pStyle w:val="FirstParagraph"/>
      </w:pPr>
      <w:r>
        <w:rPr>
          <w:bCs/>
          <w:b/>
        </w:rPr>
        <w:t xml:space="preserve">Uso.</w:t>
      </w:r>
      <w:r>
        <w:t xml:space="preserve"> </w:t>
      </w:r>
      <w:r>
        <w:t xml:space="preserve">La parte (a) se emite por cada despacho o devolución; la parte (b) se lleva por material en el almacén; la parte (c) se cierra al terminar cada paño y la parte (d) antes de cada planilla de avance (PCM-03 y PCM-04). Fórmulas:</w:t>
      </w:r>
      <w:r>
        <w:t xml:space="preserve"> </w:t>
      </w:r>
      <m:oMath>
        <m:sSub>
          <m:e>
            <m:r>
              <m:t>Q</m:t>
            </m:r>
          </m:e>
          <m:sub>
            <m:r>
              <m:t>C</m:t>
            </m:r>
          </m:sub>
        </m:sSub>
        <m:r>
          <m:rPr>
            <m:sty m:val="p"/>
          </m:rPr>
          <m:t>=</m:t>
        </m:r>
        <m:sSub>
          <m:e>
            <m:r>
              <m:t>Q</m:t>
            </m:r>
          </m:e>
          <m:sub>
            <m:r>
              <m:t>D</m:t>
            </m:r>
          </m:sub>
        </m:sSub>
        <m:r>
          <m:rPr>
            <m:sty m:val="p"/>
          </m:rPr>
          <m:t>−</m:t>
        </m:r>
        <m:sSub>
          <m:e>
            <m:r>
              <m:t>Q</m:t>
            </m:r>
          </m:e>
          <m:sub>
            <m:r>
              <m:t>V</m:t>
            </m:r>
          </m:sub>
        </m:sSub>
      </m:oMath>
      <w:r>
        <w:t xml:space="preserve">;</w:t>
      </w:r>
      <w:r>
        <w:t xml:space="preserve"> </w:t>
      </w:r>
      <m:oMath>
        <m:r>
          <m:t>I</m:t>
        </m:r>
        <m:r>
          <m:t>D</m:t>
        </m:r>
        <m:r>
          <m:t>M</m:t>
        </m:r>
        <m:r>
          <m:rPr>
            <m:sty m:val="p"/>
          </m:rPr>
          <m:t>=</m:t>
        </m:r>
        <m:d>
          <m:dPr>
            <m:begChr m:val="("/>
            <m:endChr m:val=")"/>
            <m:sepChr m:val=""/>
            <m:grow/>
          </m:dPr>
          <m:e>
            <m:sSub>
              <m:e>
                <m:r>
                  <m:t>Q</m:t>
                </m:r>
              </m:e>
              <m:sub>
                <m:r>
                  <m:t>C</m:t>
                </m:r>
              </m:sub>
            </m:sSub>
            <m:r>
              <m:rPr>
                <m:sty m:val="p"/>
              </m:rPr>
              <m:t>−</m:t>
            </m:r>
            <m:sSub>
              <m:e>
                <m:r>
                  <m:t>Q</m:t>
                </m:r>
              </m:e>
              <m:sub>
                <m:r>
                  <m:t>T</m:t>
                </m:r>
              </m:sub>
            </m:sSub>
          </m:e>
        </m:d>
        <m:r>
          <m:rPr>
            <m:sty m:val="p"/>
          </m:rPr>
          <m:t>/</m:t>
        </m:r>
        <m:sSub>
          <m:e>
            <m:r>
              <m:t>Q</m:t>
            </m:r>
          </m:e>
          <m:sub>
            <m:r>
              <m:t>T</m:t>
            </m:r>
          </m:sub>
        </m:sSub>
        <m:r>
          <m:rPr>
            <m:sty m:val="p"/>
          </m:rPr>
          <m:t>×</m:t>
        </m:r>
        <m:r>
          <m:t>100</m:t>
        </m:r>
      </m:oMath>
      <w:r>
        <w:t xml:space="preserve">;</w:t>
      </w:r>
      <w:r>
        <w:t xml:space="preserve"> </w:t>
      </w:r>
      <m:oMath>
        <m:sSub>
          <m:e>
            <m:r>
              <m:t>δ</m:t>
            </m:r>
          </m:e>
          <m:sub>
            <m:r>
              <m:t>X</m:t>
            </m:r>
            <m:r>
              <m:rPr>
                <m:sty m:val="p"/>
              </m:rPr>
              <m:t>/</m:t>
            </m:r>
            <m:r>
              <m:t>Y</m:t>
            </m:r>
          </m:sub>
        </m:sSub>
        <m:r>
          <m:rPr>
            <m:sty m:val="p"/>
          </m:rPr>
          <m:t>=</m:t>
        </m:r>
        <m:d>
          <m:dPr>
            <m:begChr m:val="("/>
            <m:endChr m:val=")"/>
            <m:sepChr m:val=""/>
            <m:grow/>
          </m:dPr>
          <m:e>
            <m:sSub>
              <m:e>
                <m:r>
                  <m:t>Q</m:t>
                </m:r>
              </m:e>
              <m:sub>
                <m:r>
                  <m:t>X</m:t>
                </m:r>
              </m:sub>
            </m:sSub>
            <m:r>
              <m:rPr>
                <m:sty m:val="p"/>
              </m:rPr>
              <m:t>−</m:t>
            </m:r>
            <m:sSub>
              <m:e>
                <m:r>
                  <m:t>Q</m:t>
                </m:r>
              </m:e>
              <m:sub>
                <m:r>
                  <m:t>Y</m:t>
                </m:r>
              </m:sub>
            </m:sSub>
          </m:e>
        </m:d>
        <m:r>
          <m:rPr>
            <m:sty m:val="p"/>
          </m:rPr>
          <m:t>/</m:t>
        </m:r>
        <m:sSub>
          <m:e>
            <m:r>
              <m:t>Q</m:t>
            </m:r>
          </m:e>
          <m:sub>
            <m:r>
              <m:t>Y</m:t>
            </m:r>
          </m:sub>
        </m:sSub>
        <m:r>
          <m:rPr>
            <m:sty m:val="p"/>
          </m:rPr>
          <m:t>×</m:t>
        </m:r>
        <m:r>
          <m:t>100</m:t>
        </m:r>
      </m:oMath>
      <w:r>
        <w:t xml:space="preserve">; umbrales de alerta de la Tabla 38.</w:t>
      </w:r>
    </w:p>
    <w:tbl>
      <w:tblPr>
        <w:tblStyle w:val="Table"/>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0" w:lastRow="0" w:firstColumn="0" w:lastColumn="0" w:noHBand="0" w:noVBand="0" w:val="0000"/>
      </w:tblPr>
      <w:tblGrid>
        <w:gridCol w:w="2930"/>
        <w:gridCol w:w="4240"/>
        <w:gridCol w:w="1900"/>
      </w:tblGrid>
      <w:tr>
        <w:tc>
          <w:tcPr>
            <w:tcW w:w="2930" w:type="dxa"/>
          </w:tcPr>
          <w:p>
            <w:pPr>
              <w:pStyle w:val="CeldaAPA"/>
              <w:jc w:val="left"/>
            </w:pPr>
            <w:r>
              <w:rPr>
                <w:bCs/>
                <w:b/>
                <w:sz w:val="20"/>
                <w:szCs w:val="20"/>
              </w:rPr>
              <w:t xml:space="preserve">UATF – Edificio de Posgrado</w:t>
            </w:r>
          </w:p>
        </w:tc>
        <w:tc>
          <w:tcPr>
            <w:tcW w:w="4240" w:type="dxa"/>
            <w:vMerge w:val="restart"/>
          </w:tcPr>
          <w:p>
            <w:pPr>
              <w:pStyle w:val="CeldaAPA"/>
              <w:jc w:val="left"/>
            </w:pPr>
            <w:r>
              <w:rPr>
                <w:bCs/>
                <w:b/>
                <w:sz w:val="20"/>
                <w:szCs w:val="20"/>
              </w:rPr>
              <w:t xml:space="preserve">Control de materiales y conciliación por paño</w:t>
            </w:r>
          </w:p>
        </w:tc>
        <w:tc>
          <w:tcPr>
            <w:tcW w:w="1900" w:type="dxa"/>
          </w:tcPr>
          <w:p>
            <w:pPr>
              <w:pStyle w:val="CeldaAPA"/>
              <w:jc w:val="left"/>
            </w:pPr>
            <w:r>
              <w:rPr>
                <w:bCs/>
                <w:b/>
                <w:sz w:val="20"/>
                <w:szCs w:val="20"/>
              </w:rPr>
              <w:t xml:space="preserve">Código:</w:t>
            </w:r>
            <w:r>
              <w:rPr>
                <w:sz w:val="20"/>
                <w:szCs w:val="20"/>
              </w:rPr>
              <w:t xml:space="preserve"> </w:t>
            </w:r>
            <w:r>
              <w:rPr>
                <w:sz w:val="20"/>
                <w:szCs w:val="20"/>
              </w:rPr>
              <w:t xml:space="preserve">C.4</w:t>
            </w:r>
          </w:p>
        </w:tc>
      </w:tr>
      <w:tr>
        <w:tc>
          <w:tcPr>
            <w:tcW w:w="2930" w:type="dxa"/>
          </w:tcPr>
          <w:p>
            <w:pPr>
              <w:pStyle w:val="CeldaAPA"/>
              <w:jc w:val="left"/>
            </w:pPr>
            <w:r>
              <w:rPr>
                <w:sz w:val="20"/>
                <w:szCs w:val="20"/>
              </w:rPr>
              <w:t xml:space="preserve">Ítem 13: losa alivianada h = 25 cm</w:t>
            </w:r>
          </w:p>
        </w:tc>
        <w:tc>
          <w:tcPr>
            <w:tcW w:w="4240" w:type="dxa"/>
            <w:gridSpan w:val="1"/>
            <w:vMerge w:val="continue"/>
          </w:tcPr>
          <w:p>
            <w:pPr>
              <w:pStyle w:val="CeldaAPA"/>
            </w:pPr>
          </w:p>
        </w:tc>
        <w:tc>
          <w:tcPr>
            <w:tcW w:w="1900" w:type="dxa"/>
          </w:tcPr>
          <w:p>
            <w:pPr>
              <w:pStyle w:val="CeldaAPA"/>
              <w:jc w:val="left"/>
            </w:pPr>
            <w:r>
              <w:rPr>
                <w:sz w:val="20"/>
                <w:szCs w:val="20"/>
              </w:rPr>
              <w:t xml:space="preserve">Versión 0</w:t>
            </w:r>
          </w:p>
        </w:tc>
      </w:tr>
    </w:tbl>
    <w:p>
      <w:pPr>
        <w:pStyle w:val="BodyText"/>
        <w:spacing w:before="240"/>
      </w:pPr>
      <w:r>
        <w:rPr>
          <w:bCs/>
          <w:b/>
        </w:rPr>
        <w:t xml:space="preserve">(a) Vale de salida o de devolución</w:t>
      </w:r>
    </w:p>
    <w:tbl>
      <w:tblPr>
        <w:tblStyle w:val="Table"/>
        <w:tblW w:w="10261"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1" w:lastRow="0" w:firstColumn="0" w:lastColumn="0" w:noHBand="0" w:noVBand="0" w:val="0020"/>
      </w:tblPr>
      <w:tblGrid>
        <w:gridCol w:w="814"/>
        <w:gridCol w:w="1000"/>
        <w:gridCol w:w="865"/>
        <w:gridCol w:w="1345"/>
        <w:gridCol w:w="1083"/>
        <w:gridCol w:w="1302"/>
        <w:gridCol w:w="1518"/>
        <w:gridCol w:w="1167"/>
        <w:gridCol w:w="1167"/>
      </w:tblGrid>
      <w:tr>
        <w:trPr>
          <w:cantSplit/>
          <w:tblHeader w:val="true"/>
        </w:trPr>
        <w:tc>
          <w:tcPr>
            <w:tcW w:w="814" w:type="dxa"/>
          </w:tcPr>
          <w:p>
            <w:pPr>
              <w:pStyle w:val="CeldaAPA"/>
              <w:jc w:val="center"/>
            </w:pPr>
            <w:r>
              <w:rPr>
                <w:bCs/>
                <w:b/>
                <w:sz w:val="20"/>
                <w:szCs w:val="20"/>
              </w:rPr>
              <w:t xml:space="preserve">Vale N.</w:t>
            </w:r>
            <w:r>
              <w:rPr>
                <w:vertAlign w:val="superscript"/>
                <w:bCs/>
                <w:b/>
                <w:sz w:val="20"/>
                <w:szCs w:val="20"/>
              </w:rPr>
              <w:t xml:space="preserve">o</w:t>
            </w:r>
          </w:p>
        </w:tc>
        <w:tc>
          <w:tcPr>
            <w:tcW w:w="1000" w:type="dxa"/>
          </w:tcPr>
          <w:p>
            <w:pPr>
              <w:pStyle w:val="CeldaAPA"/>
              <w:jc w:val="center"/>
            </w:pPr>
            <w:r>
              <w:rPr>
                <w:bCs/>
                <w:b/>
                <w:sz w:val="20"/>
                <w:szCs w:val="20"/>
              </w:rPr>
              <w:t xml:space="preserve">Fecha</w:t>
            </w:r>
          </w:p>
        </w:tc>
        <w:tc>
          <w:tcPr>
            <w:tcW w:w="865" w:type="dxa"/>
          </w:tcPr>
          <w:p>
            <w:pPr>
              <w:pStyle w:val="CeldaAPA"/>
              <w:jc w:val="center"/>
            </w:pPr>
            <w:r>
              <w:rPr>
                <w:bCs/>
                <w:b/>
                <w:sz w:val="20"/>
                <w:szCs w:val="20"/>
              </w:rPr>
              <w:t xml:space="preserve">Paño</w:t>
            </w:r>
          </w:p>
        </w:tc>
        <w:tc>
          <w:tcPr>
            <w:tcW w:w="1345" w:type="dxa"/>
          </w:tcPr>
          <w:p>
            <w:pPr>
              <w:pStyle w:val="CeldaAPA"/>
              <w:jc w:val="left"/>
            </w:pPr>
            <w:r>
              <w:rPr>
                <w:bCs/>
                <w:b/>
                <w:sz w:val="20"/>
                <w:szCs w:val="20"/>
              </w:rPr>
              <w:t xml:space="preserve">Material (tipo,</w:t>
            </w:r>
            <w:r>
              <w:rPr>
                <w:bCs/>
                <w:b/>
                <w:sz w:val="20"/>
                <w:szCs w:val="20"/>
              </w:rPr>
              <w:t xml:space="preserve"> </w:t>
            </w:r>
            <m:oMath>
              <m:r>
                <m:t>ϕ</m:t>
              </m:r>
            </m:oMath>
            <w:r>
              <w:rPr>
                <w:bCs/>
                <w:b/>
                <w:sz w:val="20"/>
                <w:szCs w:val="20"/>
              </w:rPr>
              <w:t xml:space="preserve">, longitud)</w:t>
            </w:r>
          </w:p>
        </w:tc>
        <w:tc>
          <w:tcPr>
            <w:tcW w:w="1083" w:type="dxa"/>
          </w:tcPr>
          <w:p>
            <w:pPr>
              <w:pStyle w:val="CeldaAPA"/>
              <w:jc w:val="center"/>
            </w:pPr>
            <w:r>
              <w:rPr>
                <w:bCs/>
                <w:b/>
                <w:sz w:val="20"/>
                <w:szCs w:val="20"/>
              </w:rPr>
              <w:t xml:space="preserve">Unidad</w:t>
            </w:r>
          </w:p>
        </w:tc>
        <w:tc>
          <w:tcPr>
            <w:tcW w:w="1302" w:type="dxa"/>
          </w:tcPr>
          <w:p>
            <w:pPr>
              <w:pStyle w:val="CeldaAPA"/>
              <w:jc w:val="center"/>
            </w:pPr>
            <w:r>
              <w:rPr>
                <w:bCs/>
                <w:b/>
                <w:sz w:val="20"/>
                <w:szCs w:val="20"/>
              </w:rPr>
              <w:t xml:space="preserve">Cantidad</w:t>
            </w:r>
          </w:p>
        </w:tc>
        <w:tc>
          <w:tcPr>
            <w:tcW w:w="1518" w:type="dxa"/>
          </w:tcPr>
          <w:p>
            <w:pPr>
              <w:pStyle w:val="CeldaAPA"/>
              <w:jc w:val="center"/>
            </w:pPr>
            <w:r>
              <w:rPr>
                <w:bCs/>
                <w:b/>
                <w:sz w:val="20"/>
                <w:szCs w:val="20"/>
              </w:rPr>
              <w:t xml:space="preserve">Salida o devolución</w:t>
            </w:r>
          </w:p>
        </w:tc>
        <w:tc>
          <w:tcPr>
            <w:tcW w:w="1167" w:type="dxa"/>
          </w:tcPr>
          <w:p>
            <w:pPr>
              <w:pStyle w:val="CeldaAPA"/>
              <w:jc w:val="left"/>
            </w:pPr>
            <w:r>
              <w:rPr>
                <w:bCs/>
                <w:b/>
                <w:sz w:val="20"/>
                <w:szCs w:val="20"/>
              </w:rPr>
              <w:t xml:space="preserve">Entregó (firma)</w:t>
            </w:r>
          </w:p>
        </w:tc>
        <w:tc>
          <w:tcPr>
            <w:tcW w:w="1167" w:type="dxa"/>
          </w:tcPr>
          <w:p>
            <w:pPr>
              <w:pStyle w:val="CeldaAPA"/>
              <w:jc w:val="left"/>
            </w:pPr>
            <w:r>
              <w:rPr>
                <w:bCs/>
                <w:b/>
                <w:sz w:val="20"/>
                <w:szCs w:val="20"/>
              </w:rPr>
              <w:t xml:space="preserve">Recibió (firma)</w:t>
            </w:r>
          </w:p>
        </w:tc>
      </w:tr>
      <w:tr>
        <w:tc>
          <w:tcPr>
            <w:tcW w:w="814" w:type="dxa"/>
          </w:tcPr>
          <w:p>
            <w:pPr>
              <w:pStyle w:val="CeldaAPA"/>
            </w:pPr>
          </w:p>
        </w:tc>
        <w:tc>
          <w:tcPr>
            <w:tcW w:w="1000" w:type="dxa"/>
          </w:tcPr>
          <w:p>
            <w:pPr>
              <w:pStyle w:val="CeldaAPA"/>
            </w:pPr>
          </w:p>
        </w:tc>
        <w:tc>
          <w:tcPr>
            <w:tcW w:w="865" w:type="dxa"/>
          </w:tcPr>
          <w:p>
            <w:pPr>
              <w:pStyle w:val="CeldaAPA"/>
            </w:pPr>
          </w:p>
        </w:tc>
        <w:tc>
          <w:tcPr>
            <w:tcW w:w="1345" w:type="dxa"/>
          </w:tcPr>
          <w:p>
            <w:pPr>
              <w:pStyle w:val="CeldaAPA"/>
            </w:pPr>
          </w:p>
        </w:tc>
        <w:tc>
          <w:tcPr>
            <w:tcW w:w="1083" w:type="dxa"/>
          </w:tcPr>
          <w:p>
            <w:pPr>
              <w:pStyle w:val="CeldaAPA"/>
            </w:pPr>
          </w:p>
        </w:tc>
        <w:tc>
          <w:tcPr>
            <w:tcW w:w="1302" w:type="dxa"/>
          </w:tcPr>
          <w:p>
            <w:pPr>
              <w:pStyle w:val="CeldaAPA"/>
            </w:pPr>
          </w:p>
        </w:tc>
        <w:tc>
          <w:tcPr>
            <w:tcW w:w="1518" w:type="dxa"/>
          </w:tcPr>
          <w:p>
            <w:pPr>
              <w:pStyle w:val="CeldaAPA"/>
            </w:pPr>
          </w:p>
        </w:tc>
        <w:tc>
          <w:tcPr>
            <w:tcW w:w="1167" w:type="dxa"/>
          </w:tcPr>
          <w:p>
            <w:pPr>
              <w:pStyle w:val="CeldaAPA"/>
            </w:pPr>
          </w:p>
        </w:tc>
        <w:tc>
          <w:tcPr>
            <w:tcW w:w="1167" w:type="dxa"/>
          </w:tcPr>
          <w:p>
            <w:pPr>
              <w:pStyle w:val="CeldaAPA"/>
            </w:pPr>
          </w:p>
        </w:tc>
      </w:tr>
      <w:tr>
        <w:tc>
          <w:tcPr>
            <w:tcW w:w="814" w:type="dxa"/>
          </w:tcPr>
          <w:p>
            <w:pPr>
              <w:pStyle w:val="CeldaAPA"/>
            </w:pPr>
          </w:p>
        </w:tc>
        <w:tc>
          <w:tcPr>
            <w:tcW w:w="1000" w:type="dxa"/>
          </w:tcPr>
          <w:p>
            <w:pPr>
              <w:pStyle w:val="CeldaAPA"/>
            </w:pPr>
          </w:p>
        </w:tc>
        <w:tc>
          <w:tcPr>
            <w:tcW w:w="865" w:type="dxa"/>
          </w:tcPr>
          <w:p>
            <w:pPr>
              <w:pStyle w:val="CeldaAPA"/>
            </w:pPr>
          </w:p>
        </w:tc>
        <w:tc>
          <w:tcPr>
            <w:tcW w:w="1345" w:type="dxa"/>
          </w:tcPr>
          <w:p>
            <w:pPr>
              <w:pStyle w:val="CeldaAPA"/>
            </w:pPr>
          </w:p>
        </w:tc>
        <w:tc>
          <w:tcPr>
            <w:tcW w:w="1083" w:type="dxa"/>
          </w:tcPr>
          <w:p>
            <w:pPr>
              <w:pStyle w:val="CeldaAPA"/>
            </w:pPr>
          </w:p>
        </w:tc>
        <w:tc>
          <w:tcPr>
            <w:tcW w:w="1302" w:type="dxa"/>
          </w:tcPr>
          <w:p>
            <w:pPr>
              <w:pStyle w:val="CeldaAPA"/>
            </w:pPr>
          </w:p>
        </w:tc>
        <w:tc>
          <w:tcPr>
            <w:tcW w:w="1518" w:type="dxa"/>
          </w:tcPr>
          <w:p>
            <w:pPr>
              <w:pStyle w:val="CeldaAPA"/>
            </w:pPr>
          </w:p>
        </w:tc>
        <w:tc>
          <w:tcPr>
            <w:tcW w:w="1167" w:type="dxa"/>
          </w:tcPr>
          <w:p>
            <w:pPr>
              <w:pStyle w:val="CeldaAPA"/>
            </w:pPr>
          </w:p>
        </w:tc>
        <w:tc>
          <w:tcPr>
            <w:tcW w:w="1167" w:type="dxa"/>
          </w:tcPr>
          <w:p>
            <w:pPr>
              <w:pStyle w:val="CeldaAPA"/>
            </w:pPr>
          </w:p>
        </w:tc>
      </w:tr>
      <w:tr>
        <w:tc>
          <w:tcPr>
            <w:tcW w:w="814" w:type="dxa"/>
          </w:tcPr>
          <w:p>
            <w:pPr>
              <w:pStyle w:val="CeldaAPA"/>
            </w:pPr>
          </w:p>
        </w:tc>
        <w:tc>
          <w:tcPr>
            <w:tcW w:w="1000" w:type="dxa"/>
          </w:tcPr>
          <w:p>
            <w:pPr>
              <w:pStyle w:val="CeldaAPA"/>
            </w:pPr>
          </w:p>
        </w:tc>
        <w:tc>
          <w:tcPr>
            <w:tcW w:w="865" w:type="dxa"/>
          </w:tcPr>
          <w:p>
            <w:pPr>
              <w:pStyle w:val="CeldaAPA"/>
            </w:pPr>
          </w:p>
        </w:tc>
        <w:tc>
          <w:tcPr>
            <w:tcW w:w="1345" w:type="dxa"/>
          </w:tcPr>
          <w:p>
            <w:pPr>
              <w:pStyle w:val="CeldaAPA"/>
            </w:pPr>
          </w:p>
        </w:tc>
        <w:tc>
          <w:tcPr>
            <w:tcW w:w="1083" w:type="dxa"/>
          </w:tcPr>
          <w:p>
            <w:pPr>
              <w:pStyle w:val="CeldaAPA"/>
            </w:pPr>
          </w:p>
        </w:tc>
        <w:tc>
          <w:tcPr>
            <w:tcW w:w="1302" w:type="dxa"/>
          </w:tcPr>
          <w:p>
            <w:pPr>
              <w:pStyle w:val="CeldaAPA"/>
            </w:pPr>
          </w:p>
        </w:tc>
        <w:tc>
          <w:tcPr>
            <w:tcW w:w="1518" w:type="dxa"/>
          </w:tcPr>
          <w:p>
            <w:pPr>
              <w:pStyle w:val="CeldaAPA"/>
            </w:pPr>
          </w:p>
        </w:tc>
        <w:tc>
          <w:tcPr>
            <w:tcW w:w="1167" w:type="dxa"/>
          </w:tcPr>
          <w:p>
            <w:pPr>
              <w:pStyle w:val="CeldaAPA"/>
            </w:pPr>
          </w:p>
        </w:tc>
        <w:tc>
          <w:tcPr>
            <w:tcW w:w="1167" w:type="dxa"/>
          </w:tcPr>
          <w:p>
            <w:pPr>
              <w:pStyle w:val="CeldaAPA"/>
            </w:pPr>
          </w:p>
        </w:tc>
      </w:tr>
      <w:tr>
        <w:tc>
          <w:tcPr>
            <w:tcW w:w="814" w:type="dxa"/>
          </w:tcPr>
          <w:p>
            <w:pPr>
              <w:pStyle w:val="CeldaAPA"/>
            </w:pPr>
          </w:p>
        </w:tc>
        <w:tc>
          <w:tcPr>
            <w:tcW w:w="1000" w:type="dxa"/>
          </w:tcPr>
          <w:p>
            <w:pPr>
              <w:pStyle w:val="CeldaAPA"/>
            </w:pPr>
          </w:p>
        </w:tc>
        <w:tc>
          <w:tcPr>
            <w:tcW w:w="865" w:type="dxa"/>
          </w:tcPr>
          <w:p>
            <w:pPr>
              <w:pStyle w:val="CeldaAPA"/>
            </w:pPr>
          </w:p>
        </w:tc>
        <w:tc>
          <w:tcPr>
            <w:tcW w:w="1345" w:type="dxa"/>
          </w:tcPr>
          <w:p>
            <w:pPr>
              <w:pStyle w:val="CeldaAPA"/>
            </w:pPr>
          </w:p>
        </w:tc>
        <w:tc>
          <w:tcPr>
            <w:tcW w:w="1083" w:type="dxa"/>
          </w:tcPr>
          <w:p>
            <w:pPr>
              <w:pStyle w:val="CeldaAPA"/>
            </w:pPr>
          </w:p>
        </w:tc>
        <w:tc>
          <w:tcPr>
            <w:tcW w:w="1302" w:type="dxa"/>
          </w:tcPr>
          <w:p>
            <w:pPr>
              <w:pStyle w:val="CeldaAPA"/>
            </w:pPr>
          </w:p>
        </w:tc>
        <w:tc>
          <w:tcPr>
            <w:tcW w:w="1518" w:type="dxa"/>
          </w:tcPr>
          <w:p>
            <w:pPr>
              <w:pStyle w:val="CeldaAPA"/>
            </w:pPr>
          </w:p>
        </w:tc>
        <w:tc>
          <w:tcPr>
            <w:tcW w:w="1167" w:type="dxa"/>
          </w:tcPr>
          <w:p>
            <w:pPr>
              <w:pStyle w:val="CeldaAPA"/>
            </w:pPr>
          </w:p>
        </w:tc>
        <w:tc>
          <w:tcPr>
            <w:tcW w:w="1167" w:type="dxa"/>
          </w:tcPr>
          <w:p>
            <w:pPr>
              <w:pStyle w:val="CeldaAPA"/>
            </w:pPr>
          </w:p>
        </w:tc>
      </w:tr>
      <w:tr>
        <w:tc>
          <w:tcPr>
            <w:tcW w:w="814" w:type="dxa"/>
          </w:tcPr>
          <w:p>
            <w:pPr>
              <w:pStyle w:val="CeldaAPA"/>
            </w:pPr>
          </w:p>
        </w:tc>
        <w:tc>
          <w:tcPr>
            <w:tcW w:w="1000" w:type="dxa"/>
          </w:tcPr>
          <w:p>
            <w:pPr>
              <w:pStyle w:val="CeldaAPA"/>
            </w:pPr>
          </w:p>
        </w:tc>
        <w:tc>
          <w:tcPr>
            <w:tcW w:w="865" w:type="dxa"/>
          </w:tcPr>
          <w:p>
            <w:pPr>
              <w:pStyle w:val="CeldaAPA"/>
            </w:pPr>
          </w:p>
        </w:tc>
        <w:tc>
          <w:tcPr>
            <w:tcW w:w="1345" w:type="dxa"/>
          </w:tcPr>
          <w:p>
            <w:pPr>
              <w:pStyle w:val="CeldaAPA"/>
            </w:pPr>
          </w:p>
        </w:tc>
        <w:tc>
          <w:tcPr>
            <w:tcW w:w="1083" w:type="dxa"/>
          </w:tcPr>
          <w:p>
            <w:pPr>
              <w:pStyle w:val="CeldaAPA"/>
            </w:pPr>
          </w:p>
        </w:tc>
        <w:tc>
          <w:tcPr>
            <w:tcW w:w="1302" w:type="dxa"/>
          </w:tcPr>
          <w:p>
            <w:pPr>
              <w:pStyle w:val="CeldaAPA"/>
            </w:pPr>
          </w:p>
        </w:tc>
        <w:tc>
          <w:tcPr>
            <w:tcW w:w="1518" w:type="dxa"/>
          </w:tcPr>
          <w:p>
            <w:pPr>
              <w:pStyle w:val="CeldaAPA"/>
            </w:pPr>
          </w:p>
        </w:tc>
        <w:tc>
          <w:tcPr>
            <w:tcW w:w="1167" w:type="dxa"/>
          </w:tcPr>
          <w:p>
            <w:pPr>
              <w:pStyle w:val="CeldaAPA"/>
            </w:pPr>
          </w:p>
        </w:tc>
        <w:tc>
          <w:tcPr>
            <w:tcW w:w="1167" w:type="dxa"/>
          </w:tcPr>
          <w:p>
            <w:pPr>
              <w:pStyle w:val="CeldaAPA"/>
            </w:pPr>
          </w:p>
        </w:tc>
      </w:tr>
    </w:tbl>
    <w:p>
      <w:pPr>
        <w:pStyle w:val="BodyText"/>
        <w:spacing w:before="240"/>
      </w:pPr>
      <w:r>
        <w:rPr>
          <w:bCs/>
          <w:b/>
        </w:rPr>
        <w:t xml:space="preserve">(b) Kardex del material:</w:t>
      </w:r>
      <w:r>
        <w:t xml:space="preserve"> </w:t>
      </w:r>
      <w:r>
        <w:rPr>
          <w:u w:val="single"/>
        </w:rPr>
        <w:t xml:space="preserve"> </w:t>
      </w:r>
      <w:r>
        <w:t xml:space="preserve"> </w:t>
      </w:r>
      <w:r>
        <w:t xml:space="preserve">Unidad:</w:t>
      </w:r>
      <w:r>
        <w:t xml:space="preserve"> </w:t>
      </w:r>
      <w:r>
        <w:rPr>
          <w:u w:val="single"/>
        </w:rPr>
        <w:t xml:space="preserve"> </w:t>
      </w:r>
    </w:p>
    <w:tbl>
      <w:tblPr>
        <w:tblStyle w:val="Table"/>
        <w:tblW w:w="1028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1" w:lastRow="0" w:firstColumn="0" w:lastColumn="0" w:noHBand="0" w:noVBand="0" w:val="0020"/>
      </w:tblPr>
      <w:tblGrid>
        <w:gridCol w:w="1000"/>
        <w:gridCol w:w="1666"/>
        <w:gridCol w:w="1167"/>
        <w:gridCol w:w="1032"/>
        <w:gridCol w:w="1572"/>
        <w:gridCol w:w="948"/>
        <w:gridCol w:w="1434"/>
        <w:gridCol w:w="1469"/>
      </w:tblGrid>
      <w:tr>
        <w:trPr>
          <w:cantSplit/>
          <w:tblHeader w:val="true"/>
        </w:trPr>
        <w:tc>
          <w:tcPr>
            <w:tcW w:w="1000" w:type="dxa"/>
          </w:tcPr>
          <w:p>
            <w:pPr>
              <w:pStyle w:val="CeldaAPA"/>
              <w:jc w:val="center"/>
            </w:pPr>
            <w:r>
              <w:rPr>
                <w:bCs/>
                <w:b/>
                <w:sz w:val="20"/>
                <w:szCs w:val="20"/>
              </w:rPr>
              <w:t xml:space="preserve">Fecha</w:t>
            </w:r>
          </w:p>
        </w:tc>
        <w:tc>
          <w:tcPr>
            <w:tcW w:w="1666" w:type="dxa"/>
          </w:tcPr>
          <w:p>
            <w:pPr>
              <w:pStyle w:val="CeldaAPA"/>
              <w:jc w:val="left"/>
            </w:pPr>
            <w:r>
              <w:rPr>
                <w:bCs/>
                <w:b/>
                <w:sz w:val="20"/>
                <w:szCs w:val="20"/>
              </w:rPr>
              <w:t xml:space="preserve">Documento (C.3, vale, devolución)</w:t>
            </w:r>
          </w:p>
        </w:tc>
        <w:tc>
          <w:tcPr>
            <w:tcW w:w="1167" w:type="dxa"/>
          </w:tcPr>
          <w:p>
            <w:pPr>
              <w:pStyle w:val="CeldaAPA"/>
              <w:jc w:val="center"/>
            </w:pPr>
            <w:r>
              <w:rPr>
                <w:bCs/>
                <w:b/>
                <w:sz w:val="20"/>
                <w:szCs w:val="20"/>
              </w:rPr>
              <w:t xml:space="preserve">Entrada</w:t>
            </w:r>
          </w:p>
        </w:tc>
        <w:tc>
          <w:tcPr>
            <w:tcW w:w="1032" w:type="dxa"/>
          </w:tcPr>
          <w:p>
            <w:pPr>
              <w:pStyle w:val="CeldaAPA"/>
              <w:jc w:val="center"/>
            </w:pPr>
            <w:r>
              <w:rPr>
                <w:bCs/>
                <w:b/>
                <w:sz w:val="20"/>
                <w:szCs w:val="20"/>
              </w:rPr>
              <w:t xml:space="preserve">Salida</w:t>
            </w:r>
          </w:p>
        </w:tc>
        <w:tc>
          <w:tcPr>
            <w:tcW w:w="1572" w:type="dxa"/>
          </w:tcPr>
          <w:p>
            <w:pPr>
              <w:pStyle w:val="CeldaAPA"/>
              <w:jc w:val="center"/>
            </w:pPr>
            <w:r>
              <w:rPr>
                <w:bCs/>
                <w:b/>
                <w:sz w:val="20"/>
                <w:szCs w:val="20"/>
              </w:rPr>
              <w:t xml:space="preserve">Devolución</w:t>
            </w:r>
          </w:p>
        </w:tc>
        <w:tc>
          <w:tcPr>
            <w:tcW w:w="948" w:type="dxa"/>
          </w:tcPr>
          <w:p>
            <w:pPr>
              <w:pStyle w:val="CeldaAPA"/>
              <w:jc w:val="center"/>
            </w:pPr>
            <w:r>
              <w:rPr>
                <w:bCs/>
                <w:b/>
                <w:sz w:val="20"/>
                <w:szCs w:val="20"/>
              </w:rPr>
              <w:t xml:space="preserve">Saldo</w:t>
            </w:r>
          </w:p>
        </w:tc>
        <w:tc>
          <w:tcPr>
            <w:tcW w:w="1434" w:type="dxa"/>
          </w:tcPr>
          <w:p>
            <w:pPr>
              <w:pStyle w:val="CeldaAPA"/>
              <w:jc w:val="center"/>
            </w:pPr>
            <w:r>
              <w:rPr>
                <w:bCs/>
                <w:b/>
                <w:sz w:val="20"/>
                <w:szCs w:val="20"/>
              </w:rPr>
              <w:t xml:space="preserve">Inventario físico</w:t>
            </w:r>
          </w:p>
        </w:tc>
        <w:tc>
          <w:tcPr>
            <w:tcW w:w="1469" w:type="dxa"/>
          </w:tcPr>
          <w:p>
            <w:pPr>
              <w:pStyle w:val="CeldaAPA"/>
              <w:jc w:val="center"/>
            </w:pPr>
            <w:r>
              <w:rPr>
                <w:bCs/>
                <w:b/>
                <w:sz w:val="20"/>
                <w:szCs w:val="20"/>
              </w:rPr>
              <w:t xml:space="preserve">Diferencia</w:t>
            </w:r>
          </w:p>
        </w:tc>
      </w:tr>
      <w:tr>
        <w:tc>
          <w:tcPr>
            <w:tcW w:w="1000" w:type="dxa"/>
          </w:tcPr>
          <w:p>
            <w:pPr>
              <w:pStyle w:val="CeldaAPA"/>
            </w:pPr>
          </w:p>
        </w:tc>
        <w:tc>
          <w:tcPr>
            <w:tcW w:w="1666" w:type="dxa"/>
          </w:tcPr>
          <w:p>
            <w:pPr>
              <w:pStyle w:val="CeldaAPA"/>
            </w:pPr>
          </w:p>
        </w:tc>
        <w:tc>
          <w:tcPr>
            <w:tcW w:w="1167" w:type="dxa"/>
          </w:tcPr>
          <w:p>
            <w:pPr>
              <w:pStyle w:val="CeldaAPA"/>
            </w:pPr>
          </w:p>
        </w:tc>
        <w:tc>
          <w:tcPr>
            <w:tcW w:w="1032" w:type="dxa"/>
          </w:tcPr>
          <w:p>
            <w:pPr>
              <w:pStyle w:val="CeldaAPA"/>
            </w:pPr>
          </w:p>
        </w:tc>
        <w:tc>
          <w:tcPr>
            <w:tcW w:w="1572" w:type="dxa"/>
          </w:tcPr>
          <w:p>
            <w:pPr>
              <w:pStyle w:val="CeldaAPA"/>
            </w:pPr>
          </w:p>
        </w:tc>
        <w:tc>
          <w:tcPr>
            <w:tcW w:w="948" w:type="dxa"/>
          </w:tcPr>
          <w:p>
            <w:pPr>
              <w:pStyle w:val="CeldaAPA"/>
            </w:pPr>
          </w:p>
        </w:tc>
        <w:tc>
          <w:tcPr>
            <w:tcW w:w="1434" w:type="dxa"/>
          </w:tcPr>
          <w:p>
            <w:pPr>
              <w:pStyle w:val="CeldaAPA"/>
            </w:pPr>
          </w:p>
        </w:tc>
        <w:tc>
          <w:tcPr>
            <w:tcW w:w="1469" w:type="dxa"/>
          </w:tcPr>
          <w:p>
            <w:pPr>
              <w:pStyle w:val="CeldaAPA"/>
            </w:pPr>
          </w:p>
        </w:tc>
      </w:tr>
      <w:tr>
        <w:tc>
          <w:tcPr>
            <w:tcW w:w="1000" w:type="dxa"/>
          </w:tcPr>
          <w:p>
            <w:pPr>
              <w:pStyle w:val="CeldaAPA"/>
            </w:pPr>
          </w:p>
        </w:tc>
        <w:tc>
          <w:tcPr>
            <w:tcW w:w="1666" w:type="dxa"/>
          </w:tcPr>
          <w:p>
            <w:pPr>
              <w:pStyle w:val="CeldaAPA"/>
            </w:pPr>
          </w:p>
        </w:tc>
        <w:tc>
          <w:tcPr>
            <w:tcW w:w="1167" w:type="dxa"/>
          </w:tcPr>
          <w:p>
            <w:pPr>
              <w:pStyle w:val="CeldaAPA"/>
            </w:pPr>
          </w:p>
        </w:tc>
        <w:tc>
          <w:tcPr>
            <w:tcW w:w="1032" w:type="dxa"/>
          </w:tcPr>
          <w:p>
            <w:pPr>
              <w:pStyle w:val="CeldaAPA"/>
            </w:pPr>
          </w:p>
        </w:tc>
        <w:tc>
          <w:tcPr>
            <w:tcW w:w="1572" w:type="dxa"/>
          </w:tcPr>
          <w:p>
            <w:pPr>
              <w:pStyle w:val="CeldaAPA"/>
            </w:pPr>
          </w:p>
        </w:tc>
        <w:tc>
          <w:tcPr>
            <w:tcW w:w="948" w:type="dxa"/>
          </w:tcPr>
          <w:p>
            <w:pPr>
              <w:pStyle w:val="CeldaAPA"/>
            </w:pPr>
          </w:p>
        </w:tc>
        <w:tc>
          <w:tcPr>
            <w:tcW w:w="1434" w:type="dxa"/>
          </w:tcPr>
          <w:p>
            <w:pPr>
              <w:pStyle w:val="CeldaAPA"/>
            </w:pPr>
          </w:p>
        </w:tc>
        <w:tc>
          <w:tcPr>
            <w:tcW w:w="1469" w:type="dxa"/>
          </w:tcPr>
          <w:p>
            <w:pPr>
              <w:pStyle w:val="CeldaAPA"/>
            </w:pPr>
          </w:p>
        </w:tc>
      </w:tr>
      <w:tr>
        <w:tc>
          <w:tcPr>
            <w:tcW w:w="1000" w:type="dxa"/>
          </w:tcPr>
          <w:p>
            <w:pPr>
              <w:pStyle w:val="CeldaAPA"/>
            </w:pPr>
          </w:p>
        </w:tc>
        <w:tc>
          <w:tcPr>
            <w:tcW w:w="1666" w:type="dxa"/>
          </w:tcPr>
          <w:p>
            <w:pPr>
              <w:pStyle w:val="CeldaAPA"/>
            </w:pPr>
          </w:p>
        </w:tc>
        <w:tc>
          <w:tcPr>
            <w:tcW w:w="1167" w:type="dxa"/>
          </w:tcPr>
          <w:p>
            <w:pPr>
              <w:pStyle w:val="CeldaAPA"/>
            </w:pPr>
          </w:p>
        </w:tc>
        <w:tc>
          <w:tcPr>
            <w:tcW w:w="1032" w:type="dxa"/>
          </w:tcPr>
          <w:p>
            <w:pPr>
              <w:pStyle w:val="CeldaAPA"/>
            </w:pPr>
          </w:p>
        </w:tc>
        <w:tc>
          <w:tcPr>
            <w:tcW w:w="1572" w:type="dxa"/>
          </w:tcPr>
          <w:p>
            <w:pPr>
              <w:pStyle w:val="CeldaAPA"/>
            </w:pPr>
          </w:p>
        </w:tc>
        <w:tc>
          <w:tcPr>
            <w:tcW w:w="948" w:type="dxa"/>
          </w:tcPr>
          <w:p>
            <w:pPr>
              <w:pStyle w:val="CeldaAPA"/>
            </w:pPr>
          </w:p>
        </w:tc>
        <w:tc>
          <w:tcPr>
            <w:tcW w:w="1434" w:type="dxa"/>
          </w:tcPr>
          <w:p>
            <w:pPr>
              <w:pStyle w:val="CeldaAPA"/>
            </w:pPr>
          </w:p>
        </w:tc>
        <w:tc>
          <w:tcPr>
            <w:tcW w:w="1469" w:type="dxa"/>
          </w:tcPr>
          <w:p>
            <w:pPr>
              <w:pStyle w:val="CeldaAPA"/>
            </w:pPr>
          </w:p>
        </w:tc>
      </w:tr>
      <w:tr>
        <w:tc>
          <w:tcPr>
            <w:tcW w:w="1000" w:type="dxa"/>
          </w:tcPr>
          <w:p>
            <w:pPr>
              <w:pStyle w:val="CeldaAPA"/>
            </w:pPr>
          </w:p>
        </w:tc>
        <w:tc>
          <w:tcPr>
            <w:tcW w:w="1666" w:type="dxa"/>
          </w:tcPr>
          <w:p>
            <w:pPr>
              <w:pStyle w:val="CeldaAPA"/>
            </w:pPr>
          </w:p>
        </w:tc>
        <w:tc>
          <w:tcPr>
            <w:tcW w:w="1167" w:type="dxa"/>
          </w:tcPr>
          <w:p>
            <w:pPr>
              <w:pStyle w:val="CeldaAPA"/>
            </w:pPr>
          </w:p>
        </w:tc>
        <w:tc>
          <w:tcPr>
            <w:tcW w:w="1032" w:type="dxa"/>
          </w:tcPr>
          <w:p>
            <w:pPr>
              <w:pStyle w:val="CeldaAPA"/>
            </w:pPr>
          </w:p>
        </w:tc>
        <w:tc>
          <w:tcPr>
            <w:tcW w:w="1572" w:type="dxa"/>
          </w:tcPr>
          <w:p>
            <w:pPr>
              <w:pStyle w:val="CeldaAPA"/>
            </w:pPr>
          </w:p>
        </w:tc>
        <w:tc>
          <w:tcPr>
            <w:tcW w:w="948" w:type="dxa"/>
          </w:tcPr>
          <w:p>
            <w:pPr>
              <w:pStyle w:val="CeldaAPA"/>
            </w:pPr>
          </w:p>
        </w:tc>
        <w:tc>
          <w:tcPr>
            <w:tcW w:w="1434" w:type="dxa"/>
          </w:tcPr>
          <w:p>
            <w:pPr>
              <w:pStyle w:val="CeldaAPA"/>
            </w:pPr>
          </w:p>
        </w:tc>
        <w:tc>
          <w:tcPr>
            <w:tcW w:w="1469" w:type="dxa"/>
          </w:tcPr>
          <w:p>
            <w:pPr>
              <w:pStyle w:val="CeldaAPA"/>
            </w:pPr>
          </w:p>
        </w:tc>
      </w:tr>
      <w:tr>
        <w:tc>
          <w:tcPr>
            <w:tcW w:w="1000" w:type="dxa"/>
          </w:tcPr>
          <w:p>
            <w:pPr>
              <w:pStyle w:val="CeldaAPA"/>
            </w:pPr>
          </w:p>
        </w:tc>
        <w:tc>
          <w:tcPr>
            <w:tcW w:w="1666" w:type="dxa"/>
          </w:tcPr>
          <w:p>
            <w:pPr>
              <w:pStyle w:val="CeldaAPA"/>
            </w:pPr>
          </w:p>
        </w:tc>
        <w:tc>
          <w:tcPr>
            <w:tcW w:w="1167" w:type="dxa"/>
          </w:tcPr>
          <w:p>
            <w:pPr>
              <w:pStyle w:val="CeldaAPA"/>
            </w:pPr>
          </w:p>
        </w:tc>
        <w:tc>
          <w:tcPr>
            <w:tcW w:w="1032" w:type="dxa"/>
          </w:tcPr>
          <w:p>
            <w:pPr>
              <w:pStyle w:val="CeldaAPA"/>
            </w:pPr>
          </w:p>
        </w:tc>
        <w:tc>
          <w:tcPr>
            <w:tcW w:w="1572" w:type="dxa"/>
          </w:tcPr>
          <w:p>
            <w:pPr>
              <w:pStyle w:val="CeldaAPA"/>
            </w:pPr>
          </w:p>
        </w:tc>
        <w:tc>
          <w:tcPr>
            <w:tcW w:w="948" w:type="dxa"/>
          </w:tcPr>
          <w:p>
            <w:pPr>
              <w:pStyle w:val="CeldaAPA"/>
            </w:pPr>
          </w:p>
        </w:tc>
        <w:tc>
          <w:tcPr>
            <w:tcW w:w="1434" w:type="dxa"/>
          </w:tcPr>
          <w:p>
            <w:pPr>
              <w:pStyle w:val="CeldaAPA"/>
            </w:pPr>
          </w:p>
        </w:tc>
        <w:tc>
          <w:tcPr>
            <w:tcW w:w="1469" w:type="dxa"/>
          </w:tcPr>
          <w:p>
            <w:pPr>
              <w:pStyle w:val="CeldaAPA"/>
            </w:pPr>
          </w:p>
        </w:tc>
      </w:tr>
      <w:tr>
        <w:tc>
          <w:tcPr>
            <w:tcW w:w="1000" w:type="dxa"/>
          </w:tcPr>
          <w:p>
            <w:pPr>
              <w:pStyle w:val="CeldaAPA"/>
            </w:pPr>
          </w:p>
        </w:tc>
        <w:tc>
          <w:tcPr>
            <w:tcW w:w="1666" w:type="dxa"/>
          </w:tcPr>
          <w:p>
            <w:pPr>
              <w:pStyle w:val="CeldaAPA"/>
            </w:pPr>
          </w:p>
        </w:tc>
        <w:tc>
          <w:tcPr>
            <w:tcW w:w="1167" w:type="dxa"/>
          </w:tcPr>
          <w:p>
            <w:pPr>
              <w:pStyle w:val="CeldaAPA"/>
            </w:pPr>
          </w:p>
        </w:tc>
        <w:tc>
          <w:tcPr>
            <w:tcW w:w="1032" w:type="dxa"/>
          </w:tcPr>
          <w:p>
            <w:pPr>
              <w:pStyle w:val="CeldaAPA"/>
            </w:pPr>
          </w:p>
        </w:tc>
        <w:tc>
          <w:tcPr>
            <w:tcW w:w="1572" w:type="dxa"/>
          </w:tcPr>
          <w:p>
            <w:pPr>
              <w:pStyle w:val="CeldaAPA"/>
            </w:pPr>
          </w:p>
        </w:tc>
        <w:tc>
          <w:tcPr>
            <w:tcW w:w="948" w:type="dxa"/>
          </w:tcPr>
          <w:p>
            <w:pPr>
              <w:pStyle w:val="CeldaAPA"/>
            </w:pPr>
          </w:p>
        </w:tc>
        <w:tc>
          <w:tcPr>
            <w:tcW w:w="1434" w:type="dxa"/>
          </w:tcPr>
          <w:p>
            <w:pPr>
              <w:pStyle w:val="CeldaAPA"/>
            </w:pPr>
          </w:p>
        </w:tc>
        <w:tc>
          <w:tcPr>
            <w:tcW w:w="1469" w:type="dxa"/>
          </w:tcPr>
          <w:p>
            <w:pPr>
              <w:pStyle w:val="CeldaAPA"/>
            </w:pPr>
          </w:p>
        </w:tc>
      </w:tr>
    </w:tbl>
    <w:p>
      <w:pPr>
        <w:pStyle w:val="BodyText"/>
        <w:spacing w:before="240"/>
      </w:pPr>
      <w:r>
        <w:rPr>
          <w:bCs/>
          <w:b/>
        </w:rPr>
        <w:t xml:space="preserve">(c) Conciliación del paño</w:t>
      </w:r>
      <w:r>
        <w:t xml:space="preserve"> </w:t>
      </w:r>
      <w:r>
        <w:t xml:space="preserve">Losa N.</w:t>
      </w:r>
      <w:r>
        <w:rPr>
          <w:vertAlign w:val="superscript"/>
        </w:rPr>
        <w:t xml:space="preserve">o</w:t>
      </w:r>
      <w:r>
        <w:t xml:space="preserve"> </w:t>
      </w:r>
      <w:r>
        <w:rPr>
          <w:u w:val="single"/>
        </w:rPr>
        <w:t xml:space="preserve"> </w:t>
      </w:r>
      <w:r>
        <w:t xml:space="preserve"> </w:t>
      </w:r>
      <w:r>
        <w:t xml:space="preserve">Paño N.</w:t>
      </w:r>
      <w:r>
        <w:rPr>
          <w:vertAlign w:val="superscript"/>
        </w:rPr>
        <w:t xml:space="preserve">o</w:t>
      </w:r>
      <w:r>
        <w:t xml:space="preserve"> </w:t>
      </w:r>
      <w:r>
        <w:rPr>
          <w:u w:val="single"/>
        </w:rPr>
        <w:t xml:space="preserve"> </w:t>
      </w:r>
      <w:r>
        <w:t xml:space="preserve"> </w:t>
      </w:r>
      <w:r>
        <w:t xml:space="preserve">Área (m</w:t>
      </w:r>
      <w:r>
        <w:rPr>
          <w:vertAlign w:val="superscript"/>
        </w:rPr>
        <w:t xml:space="preserve">2</w:t>
      </w:r>
      <w:r>
        <w:t xml:space="preserve">)</w:t>
      </w:r>
      <w:r>
        <w:t xml:space="preserve"> </w:t>
      </w:r>
      <w:r>
        <w:rPr>
          <w:u w:val="single"/>
        </w:rPr>
        <w:t xml:space="preserve"> </w:t>
      </w:r>
      <w:r>
        <w:t xml:space="preserve"> </w:t>
      </w:r>
      <w:r>
        <w:t xml:space="preserve">Fechas</w:t>
      </w:r>
      <w:r>
        <w:t xml:space="preserve"> </w:t>
      </w:r>
      <w:r>
        <w:rPr>
          <w:u w:val="single"/>
        </w:rPr>
        <w:t xml:space="preserve"> </w:t>
      </w:r>
    </w:p>
    <w:tbl>
      <w:tblPr>
        <w:tblStyle w:val="Table"/>
        <w:tblW w:w="12163"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1" w:lastRow="0" w:firstColumn="0" w:lastColumn="0" w:noHBand="0" w:noVBand="0" w:val="0020"/>
      </w:tblPr>
      <w:tblGrid>
        <w:gridCol w:w="1725"/>
        <w:gridCol w:w="1083"/>
        <w:gridCol w:w="1275"/>
        <w:gridCol w:w="1140"/>
        <w:gridCol w:w="1261"/>
        <w:gridCol w:w="650"/>
        <w:gridCol w:w="811"/>
        <w:gridCol w:w="873"/>
        <w:gridCol w:w="1394"/>
        <w:gridCol w:w="857"/>
        <w:gridCol w:w="1094"/>
      </w:tblGrid>
      <w:tr>
        <w:trPr>
          <w:cantSplit/>
          <w:tblHeader w:val="true"/>
        </w:trPr>
        <w:tc>
          <w:tcPr>
            <w:tcW w:w="1725" w:type="dxa"/>
          </w:tcPr>
          <w:p>
            <w:pPr>
              <w:pStyle w:val="CeldaAPA"/>
              <w:jc w:val="left"/>
            </w:pPr>
            <w:r>
              <w:rPr>
                <w:bCs/>
                <w:b/>
                <w:sz w:val="20"/>
                <w:szCs w:val="20"/>
              </w:rPr>
              <w:t xml:space="preserve">Material</w:t>
            </w:r>
          </w:p>
        </w:tc>
        <w:tc>
          <w:tcPr>
            <w:tcW w:w="1083" w:type="dxa"/>
          </w:tcPr>
          <w:p>
            <w:pPr>
              <w:pStyle w:val="CeldaAPA"/>
              <w:jc w:val="center"/>
            </w:pPr>
            <w:r>
              <w:rPr>
                <w:bCs/>
                <w:b/>
                <w:sz w:val="20"/>
                <w:szCs w:val="20"/>
              </w:rPr>
              <w:t xml:space="preserve">Unidad</w:t>
            </w:r>
          </w:p>
        </w:tc>
        <w:tc>
          <w:tcPr>
            <w:tcW w:w="1275" w:type="dxa"/>
          </w:tcPr>
          <w:p>
            <w:pPr>
              <w:pStyle w:val="CeldaAPA"/>
              <w:jc w:val="center"/>
            </w:pPr>
            <m:oMath>
              <m:sSub>
                <m:e>
                  <m:r>
                    <m:t>Q</m:t>
                  </m:r>
                </m:e>
                <m:sub>
                  <m:r>
                    <m:t>T</m:t>
                  </m:r>
                </m:sub>
              </m:sSub>
            </m:oMath>
            <w:r>
              <w:rPr>
                <w:bCs/>
                <w:b/>
                <w:sz w:val="20"/>
                <w:szCs w:val="20"/>
              </w:rPr>
              <w:t xml:space="preserve"> </w:t>
            </w:r>
            <w:r>
              <w:rPr>
                <w:bCs/>
                <w:b/>
                <w:sz w:val="20"/>
                <w:szCs w:val="20"/>
              </w:rPr>
              <w:t xml:space="preserve">(planos)</w:t>
            </w:r>
          </w:p>
        </w:tc>
        <w:tc>
          <w:tcPr>
            <w:tcW w:w="1140" w:type="dxa"/>
          </w:tcPr>
          <w:p>
            <w:pPr>
              <w:pStyle w:val="CeldaAPA"/>
              <w:jc w:val="center"/>
            </w:pPr>
            <m:oMath>
              <m:sSub>
                <m:e>
                  <m:r>
                    <m:t>Q</m:t>
                  </m:r>
                </m:e>
                <m:sub>
                  <m:r>
                    <m:t>D</m:t>
                  </m:r>
                </m:sub>
              </m:sSub>
            </m:oMath>
            <w:r>
              <w:rPr>
                <w:bCs/>
                <w:b/>
                <w:sz w:val="20"/>
                <w:szCs w:val="20"/>
              </w:rPr>
              <w:t xml:space="preserve"> </w:t>
            </w:r>
            <w:r>
              <w:rPr>
                <w:bCs/>
                <w:b/>
                <w:sz w:val="20"/>
                <w:szCs w:val="20"/>
              </w:rPr>
              <w:t xml:space="preserve">(vales)</w:t>
            </w:r>
          </w:p>
        </w:tc>
        <w:tc>
          <w:tcPr>
            <w:tcW w:w="1261" w:type="dxa"/>
          </w:tcPr>
          <w:p>
            <w:pPr>
              <w:pStyle w:val="CeldaAPA"/>
              <w:jc w:val="center"/>
            </w:pPr>
            <m:oMath>
              <m:sSub>
                <m:e>
                  <m:r>
                    <m:t>Q</m:t>
                  </m:r>
                </m:e>
                <m:sub>
                  <m:r>
                    <m:t>V</m:t>
                  </m:r>
                </m:sub>
              </m:sSub>
            </m:oMath>
            <w:r>
              <w:rPr>
                <w:bCs/>
                <w:b/>
                <w:sz w:val="20"/>
                <w:szCs w:val="20"/>
              </w:rPr>
              <w:t xml:space="preserve"> </w:t>
            </w:r>
            <w:r>
              <w:rPr>
                <w:bCs/>
                <w:b/>
                <w:sz w:val="20"/>
                <w:szCs w:val="20"/>
              </w:rPr>
              <w:t xml:space="preserve">(devol.)</w:t>
            </w:r>
          </w:p>
        </w:tc>
        <w:tc>
          <w:tcPr>
            <w:tcW w:w="650" w:type="dxa"/>
          </w:tcPr>
          <w:p>
            <w:pPr>
              <w:pStyle w:val="CeldaAPA"/>
              <w:jc w:val="center"/>
            </w:pPr>
            <m:oMath>
              <m:sSub>
                <m:e>
                  <m:r>
                    <m:t>Q</m:t>
                  </m:r>
                </m:e>
                <m:sub>
                  <m:r>
                    <m:t>C</m:t>
                  </m:r>
                </m:sub>
              </m:sSub>
            </m:oMath>
          </w:p>
        </w:tc>
        <w:tc>
          <w:tcPr>
            <w:tcW w:w="811" w:type="dxa"/>
          </w:tcPr>
          <w:p>
            <w:pPr>
              <w:pStyle w:val="CeldaAPA"/>
              <w:jc w:val="center"/>
            </w:pPr>
            <m:oMath>
              <m:r>
                <m:t>I</m:t>
              </m:r>
              <m:r>
                <m:t>D</m:t>
              </m:r>
              <m:r>
                <m:t>M</m:t>
              </m:r>
            </m:oMath>
            <w:r>
              <w:rPr>
                <w:bCs/>
                <w:b/>
                <w:sz w:val="20"/>
                <w:szCs w:val="20"/>
              </w:rPr>
              <w:t xml:space="preserve"> </w:t>
            </w:r>
            <w:r>
              <w:rPr>
                <w:bCs/>
                <w:b/>
                <w:sz w:val="20"/>
                <w:szCs w:val="20"/>
              </w:rPr>
              <w:t xml:space="preserve">(%)</w:t>
            </w:r>
          </w:p>
        </w:tc>
        <w:tc>
          <w:tcPr>
            <w:tcW w:w="873" w:type="dxa"/>
          </w:tcPr>
          <w:p>
            <w:pPr>
              <w:pStyle w:val="CeldaAPA"/>
              <w:jc w:val="center"/>
            </w:pPr>
            <w:r>
              <w:rPr>
                <w:bCs/>
                <w:b/>
                <w:sz w:val="20"/>
                <w:szCs w:val="20"/>
              </w:rPr>
              <w:t xml:space="preserve">Meta (%)</w:t>
            </w:r>
          </w:p>
        </w:tc>
        <w:tc>
          <w:tcPr>
            <w:tcW w:w="1394" w:type="dxa"/>
          </w:tcPr>
          <w:p>
            <w:pPr>
              <w:pStyle w:val="CeldaAPA"/>
              <w:jc w:val="center"/>
            </w:pPr>
            <m:oMath>
              <m:sSub>
                <m:e>
                  <m:r>
                    <m:t>Q</m:t>
                  </m:r>
                </m:e>
                <m:sub>
                  <m:r>
                    <m:t>M</m:t>
                  </m:r>
                </m:sub>
              </m:sSub>
            </m:oMath>
            <w:r>
              <w:rPr>
                <w:bCs/>
                <w:b/>
                <w:sz w:val="20"/>
                <w:szCs w:val="20"/>
              </w:rPr>
              <w:t xml:space="preserve"> </w:t>
            </w:r>
            <w:r>
              <w:rPr>
                <w:bCs/>
                <w:b/>
                <w:sz w:val="20"/>
                <w:szCs w:val="20"/>
              </w:rPr>
              <w:t xml:space="preserve">(medida)</w:t>
            </w:r>
          </w:p>
        </w:tc>
        <w:tc>
          <w:tcPr>
            <w:tcW w:w="857" w:type="dxa"/>
          </w:tcPr>
          <w:p>
            <w:pPr>
              <w:pStyle w:val="CeldaAPA"/>
              <w:jc w:val="center"/>
            </w:pPr>
            <m:oMath>
              <m:sSub>
                <m:e>
                  <m:r>
                    <m:t>δ</m:t>
                  </m:r>
                </m:e>
                <m:sub>
                  <m:r>
                    <m:t>M</m:t>
                  </m:r>
                  <m:r>
                    <m:rPr>
                      <m:sty m:val="p"/>
                    </m:rPr>
                    <m:t>/</m:t>
                  </m:r>
                  <m:r>
                    <m:t>T</m:t>
                  </m:r>
                </m:sub>
              </m:sSub>
            </m:oMath>
            <w:r>
              <w:rPr>
                <w:bCs/>
                <w:b/>
                <w:sz w:val="20"/>
                <w:szCs w:val="20"/>
              </w:rPr>
              <w:t xml:space="preserve"> </w:t>
            </w:r>
            <w:r>
              <w:rPr>
                <w:bCs/>
                <w:b/>
                <w:sz w:val="20"/>
                <w:szCs w:val="20"/>
              </w:rPr>
              <w:t xml:space="preserve">(%)</w:t>
            </w:r>
          </w:p>
        </w:tc>
        <w:tc>
          <w:tcPr>
            <w:tcW w:w="1094" w:type="dxa"/>
          </w:tcPr>
          <w:p>
            <w:pPr>
              <w:pStyle w:val="CeldaAPA"/>
              <w:jc w:val="center"/>
            </w:pPr>
            <w:r>
              <w:rPr>
                <w:bCs/>
                <w:b/>
                <w:sz w:val="20"/>
                <w:szCs w:val="20"/>
              </w:rPr>
              <w:t xml:space="preserve">Alerta (S/N)</w:t>
            </w:r>
          </w:p>
        </w:tc>
      </w:tr>
      <w:tr>
        <w:tc>
          <w:tcPr>
            <w:tcW w:w="1725" w:type="dxa"/>
          </w:tcPr>
          <w:p>
            <w:pPr>
              <w:pStyle w:val="CeldaAPA"/>
              <w:jc w:val="left"/>
            </w:pPr>
            <w:r>
              <w:rPr>
                <w:sz w:val="20"/>
                <w:szCs w:val="20"/>
              </w:rPr>
              <w:t xml:space="preserve">Viguetas tipo</w:t>
            </w:r>
            <w:r>
              <w:rPr>
                <w:sz w:val="20"/>
                <w:szCs w:val="20"/>
              </w:rPr>
              <w:t xml:space="preserve"> </w:t>
            </w:r>
            <w:r>
              <w:rPr>
                <w:u w:val="single"/>
                <w:sz w:val="20"/>
                <w:szCs w:val="20"/>
              </w:rPr>
              <w:t xml:space="preserve"> </w:t>
            </w:r>
          </w:p>
        </w:tc>
        <w:tc>
          <w:tcPr>
            <w:tcW w:w="1083" w:type="dxa"/>
          </w:tcPr>
          <w:p>
            <w:pPr>
              <w:pStyle w:val="CeldaAPA"/>
              <w:jc w:val="center"/>
            </w:pPr>
            <w:r>
              <w:rPr>
                <w:sz w:val="20"/>
                <w:szCs w:val="20"/>
              </w:rPr>
              <w:t xml:space="preserve">m</w:t>
            </w:r>
          </w:p>
        </w:tc>
        <w:tc>
          <w:tcPr>
            <w:tcW w:w="1275" w:type="dxa"/>
          </w:tcPr>
          <w:p>
            <w:pPr>
              <w:pStyle w:val="CeldaAPA"/>
            </w:pPr>
          </w:p>
        </w:tc>
        <w:tc>
          <w:tcPr>
            <w:tcW w:w="1140" w:type="dxa"/>
          </w:tcPr>
          <w:p>
            <w:pPr>
              <w:pStyle w:val="CeldaAPA"/>
            </w:pPr>
          </w:p>
        </w:tc>
        <w:tc>
          <w:tcPr>
            <w:tcW w:w="1261" w:type="dxa"/>
          </w:tcPr>
          <w:p>
            <w:pPr>
              <w:pStyle w:val="CeldaAPA"/>
            </w:pPr>
          </w:p>
        </w:tc>
        <w:tc>
          <w:tcPr>
            <w:tcW w:w="650" w:type="dxa"/>
          </w:tcPr>
          <w:p>
            <w:pPr>
              <w:pStyle w:val="CeldaAPA"/>
            </w:pPr>
          </w:p>
        </w:tc>
        <w:tc>
          <w:tcPr>
            <w:tcW w:w="811" w:type="dxa"/>
          </w:tcPr>
          <w:p>
            <w:pPr>
              <w:pStyle w:val="CeldaAPA"/>
            </w:pPr>
          </w:p>
        </w:tc>
        <w:tc>
          <w:tcPr>
            <w:tcW w:w="873" w:type="dxa"/>
          </w:tcPr>
          <w:p>
            <w:pPr>
              <w:pStyle w:val="CeldaAPA"/>
              <w:jc w:val="center"/>
            </w:pPr>
            <w:r>
              <w:rPr>
                <w:sz w:val="20"/>
                <w:szCs w:val="20"/>
              </w:rPr>
              <w:t xml:space="preserve">1</w:t>
            </w:r>
          </w:p>
        </w:tc>
        <w:tc>
          <w:tcPr>
            <w:tcW w:w="1394" w:type="dxa"/>
          </w:tcPr>
          <w:p>
            <w:pPr>
              <w:pStyle w:val="CeldaAPA"/>
            </w:pPr>
          </w:p>
        </w:tc>
        <w:tc>
          <w:tcPr>
            <w:tcW w:w="857" w:type="dxa"/>
          </w:tcPr>
          <w:p>
            <w:pPr>
              <w:pStyle w:val="CeldaAPA"/>
            </w:pPr>
          </w:p>
        </w:tc>
        <w:tc>
          <w:tcPr>
            <w:tcW w:w="1094" w:type="dxa"/>
          </w:tcPr>
          <w:p>
            <w:pPr>
              <w:pStyle w:val="CeldaAPA"/>
            </w:pPr>
          </w:p>
        </w:tc>
      </w:tr>
      <w:tr>
        <w:tc>
          <w:tcPr>
            <w:tcW w:w="1725" w:type="dxa"/>
          </w:tcPr>
          <w:p>
            <w:pPr>
              <w:pStyle w:val="CeldaAPA"/>
              <w:jc w:val="left"/>
            </w:pPr>
            <w:r>
              <w:rPr>
                <w:sz w:val="20"/>
                <w:szCs w:val="20"/>
              </w:rPr>
              <w:t xml:space="preserve">Viguetas tipo</w:t>
            </w:r>
            <w:r>
              <w:rPr>
                <w:sz w:val="20"/>
                <w:szCs w:val="20"/>
              </w:rPr>
              <w:t xml:space="preserve"> </w:t>
            </w:r>
            <w:r>
              <w:rPr>
                <w:u w:val="single"/>
                <w:sz w:val="20"/>
                <w:szCs w:val="20"/>
              </w:rPr>
              <w:t xml:space="preserve"> </w:t>
            </w:r>
          </w:p>
        </w:tc>
        <w:tc>
          <w:tcPr>
            <w:tcW w:w="1083" w:type="dxa"/>
          </w:tcPr>
          <w:p>
            <w:pPr>
              <w:pStyle w:val="CeldaAPA"/>
              <w:jc w:val="center"/>
            </w:pPr>
            <w:r>
              <w:rPr>
                <w:sz w:val="20"/>
                <w:szCs w:val="20"/>
              </w:rPr>
              <w:t xml:space="preserve">m</w:t>
            </w:r>
          </w:p>
        </w:tc>
        <w:tc>
          <w:tcPr>
            <w:tcW w:w="1275" w:type="dxa"/>
          </w:tcPr>
          <w:p>
            <w:pPr>
              <w:pStyle w:val="CeldaAPA"/>
            </w:pPr>
          </w:p>
        </w:tc>
        <w:tc>
          <w:tcPr>
            <w:tcW w:w="1140" w:type="dxa"/>
          </w:tcPr>
          <w:p>
            <w:pPr>
              <w:pStyle w:val="CeldaAPA"/>
            </w:pPr>
          </w:p>
        </w:tc>
        <w:tc>
          <w:tcPr>
            <w:tcW w:w="1261" w:type="dxa"/>
          </w:tcPr>
          <w:p>
            <w:pPr>
              <w:pStyle w:val="CeldaAPA"/>
            </w:pPr>
          </w:p>
        </w:tc>
        <w:tc>
          <w:tcPr>
            <w:tcW w:w="650" w:type="dxa"/>
          </w:tcPr>
          <w:p>
            <w:pPr>
              <w:pStyle w:val="CeldaAPA"/>
            </w:pPr>
          </w:p>
        </w:tc>
        <w:tc>
          <w:tcPr>
            <w:tcW w:w="811" w:type="dxa"/>
          </w:tcPr>
          <w:p>
            <w:pPr>
              <w:pStyle w:val="CeldaAPA"/>
            </w:pPr>
          </w:p>
        </w:tc>
        <w:tc>
          <w:tcPr>
            <w:tcW w:w="873" w:type="dxa"/>
          </w:tcPr>
          <w:p>
            <w:pPr>
              <w:pStyle w:val="CeldaAPA"/>
              <w:jc w:val="center"/>
            </w:pPr>
            <w:r>
              <w:rPr>
                <w:sz w:val="20"/>
                <w:szCs w:val="20"/>
              </w:rPr>
              <w:t xml:space="preserve">1</w:t>
            </w:r>
          </w:p>
        </w:tc>
        <w:tc>
          <w:tcPr>
            <w:tcW w:w="1394" w:type="dxa"/>
          </w:tcPr>
          <w:p>
            <w:pPr>
              <w:pStyle w:val="CeldaAPA"/>
            </w:pPr>
          </w:p>
        </w:tc>
        <w:tc>
          <w:tcPr>
            <w:tcW w:w="857" w:type="dxa"/>
          </w:tcPr>
          <w:p>
            <w:pPr>
              <w:pStyle w:val="CeldaAPA"/>
            </w:pPr>
          </w:p>
        </w:tc>
        <w:tc>
          <w:tcPr>
            <w:tcW w:w="1094" w:type="dxa"/>
          </w:tcPr>
          <w:p>
            <w:pPr>
              <w:pStyle w:val="CeldaAPA"/>
            </w:pPr>
          </w:p>
        </w:tc>
      </w:tr>
      <w:tr>
        <w:tc>
          <w:tcPr>
            <w:tcW w:w="1725" w:type="dxa"/>
          </w:tcPr>
          <w:p>
            <w:pPr>
              <w:pStyle w:val="CeldaAPA"/>
              <w:jc w:val="left"/>
            </w:pPr>
            <w:r>
              <w:rPr>
                <w:sz w:val="20"/>
                <w:szCs w:val="20"/>
              </w:rPr>
              <w:t xml:space="preserve">Complemento EPS</w:t>
            </w:r>
          </w:p>
        </w:tc>
        <w:tc>
          <w:tcPr>
            <w:tcW w:w="1083" w:type="dxa"/>
          </w:tcPr>
          <w:p>
            <w:pPr>
              <w:pStyle w:val="CeldaAPA"/>
              <w:jc w:val="center"/>
            </w:pPr>
            <w:r>
              <w:rPr>
                <w:sz w:val="20"/>
                <w:szCs w:val="20"/>
              </w:rPr>
              <w:t xml:space="preserve">pza</w:t>
            </w:r>
          </w:p>
        </w:tc>
        <w:tc>
          <w:tcPr>
            <w:tcW w:w="1275" w:type="dxa"/>
          </w:tcPr>
          <w:p>
            <w:pPr>
              <w:pStyle w:val="CeldaAPA"/>
            </w:pPr>
          </w:p>
        </w:tc>
        <w:tc>
          <w:tcPr>
            <w:tcW w:w="1140" w:type="dxa"/>
          </w:tcPr>
          <w:p>
            <w:pPr>
              <w:pStyle w:val="CeldaAPA"/>
            </w:pPr>
          </w:p>
        </w:tc>
        <w:tc>
          <w:tcPr>
            <w:tcW w:w="1261" w:type="dxa"/>
          </w:tcPr>
          <w:p>
            <w:pPr>
              <w:pStyle w:val="CeldaAPA"/>
            </w:pPr>
          </w:p>
        </w:tc>
        <w:tc>
          <w:tcPr>
            <w:tcW w:w="650" w:type="dxa"/>
          </w:tcPr>
          <w:p>
            <w:pPr>
              <w:pStyle w:val="CeldaAPA"/>
            </w:pPr>
          </w:p>
        </w:tc>
        <w:tc>
          <w:tcPr>
            <w:tcW w:w="811" w:type="dxa"/>
          </w:tcPr>
          <w:p>
            <w:pPr>
              <w:pStyle w:val="CeldaAPA"/>
            </w:pPr>
          </w:p>
        </w:tc>
        <w:tc>
          <w:tcPr>
            <w:tcW w:w="873" w:type="dxa"/>
          </w:tcPr>
          <w:p>
            <w:pPr>
              <w:pStyle w:val="CeldaAPA"/>
              <w:jc w:val="center"/>
            </w:pPr>
            <w:r>
              <w:rPr>
                <w:sz w:val="20"/>
                <w:szCs w:val="20"/>
              </w:rPr>
              <w:t xml:space="preserve">3</w:t>
            </w:r>
          </w:p>
        </w:tc>
        <w:tc>
          <w:tcPr>
            <w:tcW w:w="1394" w:type="dxa"/>
          </w:tcPr>
          <w:p>
            <w:pPr>
              <w:pStyle w:val="CeldaAPA"/>
            </w:pPr>
          </w:p>
        </w:tc>
        <w:tc>
          <w:tcPr>
            <w:tcW w:w="857" w:type="dxa"/>
          </w:tcPr>
          <w:p>
            <w:pPr>
              <w:pStyle w:val="CeldaAPA"/>
            </w:pPr>
          </w:p>
        </w:tc>
        <w:tc>
          <w:tcPr>
            <w:tcW w:w="1094" w:type="dxa"/>
          </w:tcPr>
          <w:p>
            <w:pPr>
              <w:pStyle w:val="CeldaAPA"/>
            </w:pPr>
          </w:p>
        </w:tc>
      </w:tr>
      <w:tr>
        <w:tc>
          <w:tcPr>
            <w:tcW w:w="1725" w:type="dxa"/>
          </w:tcPr>
          <w:p>
            <w:pPr>
              <w:pStyle w:val="CeldaAPA"/>
              <w:jc w:val="left"/>
            </w:pPr>
            <w:r>
              <w:rPr>
                <w:sz w:val="20"/>
                <w:szCs w:val="20"/>
              </w:rPr>
              <w:t xml:space="preserve">Acero</w:t>
            </w:r>
            <w:r>
              <w:rPr>
                <w:sz w:val="20"/>
                <w:szCs w:val="20"/>
              </w:rPr>
              <w:t xml:space="preserve"> </w:t>
            </w:r>
            <m:oMath>
              <m:r>
                <m:t>ϕ</m:t>
              </m:r>
            </m:oMath>
            <w:r>
              <w:rPr>
                <w:sz w:val="20"/>
                <w:szCs w:val="20"/>
              </w:rPr>
              <w:t xml:space="preserve">6 (parrilla)</w:t>
            </w:r>
          </w:p>
        </w:tc>
        <w:tc>
          <w:tcPr>
            <w:tcW w:w="1083" w:type="dxa"/>
          </w:tcPr>
          <w:p>
            <w:pPr>
              <w:pStyle w:val="CeldaAPA"/>
              <w:jc w:val="center"/>
            </w:pPr>
            <w:r>
              <w:rPr>
                <w:sz w:val="20"/>
                <w:szCs w:val="20"/>
              </w:rPr>
              <w:t xml:space="preserve">kg</w:t>
            </w:r>
          </w:p>
        </w:tc>
        <w:tc>
          <w:tcPr>
            <w:tcW w:w="1275" w:type="dxa"/>
          </w:tcPr>
          <w:p>
            <w:pPr>
              <w:pStyle w:val="CeldaAPA"/>
            </w:pPr>
          </w:p>
        </w:tc>
        <w:tc>
          <w:tcPr>
            <w:tcW w:w="1140" w:type="dxa"/>
          </w:tcPr>
          <w:p>
            <w:pPr>
              <w:pStyle w:val="CeldaAPA"/>
            </w:pPr>
          </w:p>
        </w:tc>
        <w:tc>
          <w:tcPr>
            <w:tcW w:w="1261" w:type="dxa"/>
          </w:tcPr>
          <w:p>
            <w:pPr>
              <w:pStyle w:val="CeldaAPA"/>
            </w:pPr>
          </w:p>
        </w:tc>
        <w:tc>
          <w:tcPr>
            <w:tcW w:w="650" w:type="dxa"/>
          </w:tcPr>
          <w:p>
            <w:pPr>
              <w:pStyle w:val="CeldaAPA"/>
            </w:pPr>
          </w:p>
        </w:tc>
        <w:tc>
          <w:tcPr>
            <w:tcW w:w="811" w:type="dxa"/>
          </w:tcPr>
          <w:p>
            <w:pPr>
              <w:pStyle w:val="CeldaAPA"/>
            </w:pPr>
          </w:p>
        </w:tc>
        <w:tc>
          <w:tcPr>
            <w:tcW w:w="873" w:type="dxa"/>
          </w:tcPr>
          <w:p>
            <w:pPr>
              <w:pStyle w:val="CeldaAPA"/>
              <w:jc w:val="center"/>
            </w:pPr>
            <w:r>
              <w:rPr>
                <w:sz w:val="20"/>
                <w:szCs w:val="20"/>
              </w:rPr>
              <w:t xml:space="preserve">4</w:t>
            </w:r>
          </w:p>
        </w:tc>
        <w:tc>
          <w:tcPr>
            <w:tcW w:w="1394" w:type="dxa"/>
          </w:tcPr>
          <w:p>
            <w:pPr>
              <w:pStyle w:val="CeldaAPA"/>
            </w:pPr>
          </w:p>
        </w:tc>
        <w:tc>
          <w:tcPr>
            <w:tcW w:w="857" w:type="dxa"/>
          </w:tcPr>
          <w:p>
            <w:pPr>
              <w:pStyle w:val="CeldaAPA"/>
            </w:pPr>
          </w:p>
        </w:tc>
        <w:tc>
          <w:tcPr>
            <w:tcW w:w="1094" w:type="dxa"/>
          </w:tcPr>
          <w:p>
            <w:pPr>
              <w:pStyle w:val="CeldaAPA"/>
            </w:pPr>
          </w:p>
        </w:tc>
      </w:tr>
      <w:tr>
        <w:tc>
          <w:tcPr>
            <w:tcW w:w="1725" w:type="dxa"/>
          </w:tcPr>
          <w:p>
            <w:pPr>
              <w:pStyle w:val="CeldaAPA"/>
              <w:jc w:val="left"/>
            </w:pPr>
            <w:r>
              <w:rPr>
                <w:sz w:val="20"/>
                <w:szCs w:val="20"/>
              </w:rPr>
              <w:t xml:space="preserve">Acero</w:t>
            </w:r>
            <w:r>
              <w:rPr>
                <w:sz w:val="20"/>
                <w:szCs w:val="20"/>
              </w:rPr>
              <w:t xml:space="preserve"> </w:t>
            </w:r>
            <m:oMath>
              <m:r>
                <m:t>ϕ</m:t>
              </m:r>
            </m:oMath>
            <w:r>
              <w:rPr>
                <w:sz w:val="20"/>
                <w:szCs w:val="20"/>
              </w:rPr>
              <w:t xml:space="preserve"> </w:t>
            </w:r>
            <w:r>
              <w:rPr>
                <w:u w:val="single"/>
                <w:sz w:val="20"/>
                <w:szCs w:val="20"/>
              </w:rPr>
              <w:t xml:space="preserve"> </w:t>
            </w:r>
            <w:r>
              <w:rPr>
                <w:sz w:val="20"/>
                <w:szCs w:val="20"/>
              </w:rPr>
              <w:t xml:space="preserve"> </w:t>
            </w:r>
            <w:r>
              <w:rPr>
                <w:sz w:val="20"/>
                <w:szCs w:val="20"/>
              </w:rPr>
              <w:t xml:space="preserve">(nervios)</w:t>
            </w:r>
          </w:p>
        </w:tc>
        <w:tc>
          <w:tcPr>
            <w:tcW w:w="1083" w:type="dxa"/>
          </w:tcPr>
          <w:p>
            <w:pPr>
              <w:pStyle w:val="CeldaAPA"/>
              <w:jc w:val="center"/>
            </w:pPr>
            <w:r>
              <w:rPr>
                <w:sz w:val="20"/>
                <w:szCs w:val="20"/>
              </w:rPr>
              <w:t xml:space="preserve">kg</w:t>
            </w:r>
          </w:p>
        </w:tc>
        <w:tc>
          <w:tcPr>
            <w:tcW w:w="1275" w:type="dxa"/>
          </w:tcPr>
          <w:p>
            <w:pPr>
              <w:pStyle w:val="CeldaAPA"/>
            </w:pPr>
          </w:p>
        </w:tc>
        <w:tc>
          <w:tcPr>
            <w:tcW w:w="1140" w:type="dxa"/>
          </w:tcPr>
          <w:p>
            <w:pPr>
              <w:pStyle w:val="CeldaAPA"/>
            </w:pPr>
          </w:p>
        </w:tc>
        <w:tc>
          <w:tcPr>
            <w:tcW w:w="1261" w:type="dxa"/>
          </w:tcPr>
          <w:p>
            <w:pPr>
              <w:pStyle w:val="CeldaAPA"/>
            </w:pPr>
          </w:p>
        </w:tc>
        <w:tc>
          <w:tcPr>
            <w:tcW w:w="650" w:type="dxa"/>
          </w:tcPr>
          <w:p>
            <w:pPr>
              <w:pStyle w:val="CeldaAPA"/>
            </w:pPr>
          </w:p>
        </w:tc>
        <w:tc>
          <w:tcPr>
            <w:tcW w:w="811" w:type="dxa"/>
          </w:tcPr>
          <w:p>
            <w:pPr>
              <w:pStyle w:val="CeldaAPA"/>
            </w:pPr>
          </w:p>
        </w:tc>
        <w:tc>
          <w:tcPr>
            <w:tcW w:w="873" w:type="dxa"/>
          </w:tcPr>
          <w:p>
            <w:pPr>
              <w:pStyle w:val="CeldaAPA"/>
              <w:jc w:val="center"/>
            </w:pPr>
            <w:r>
              <w:rPr>
                <w:sz w:val="20"/>
                <w:szCs w:val="20"/>
              </w:rPr>
              <w:t xml:space="preserve">4</w:t>
            </w:r>
          </w:p>
        </w:tc>
        <w:tc>
          <w:tcPr>
            <w:tcW w:w="1394" w:type="dxa"/>
          </w:tcPr>
          <w:p>
            <w:pPr>
              <w:pStyle w:val="CeldaAPA"/>
            </w:pPr>
          </w:p>
        </w:tc>
        <w:tc>
          <w:tcPr>
            <w:tcW w:w="857" w:type="dxa"/>
          </w:tcPr>
          <w:p>
            <w:pPr>
              <w:pStyle w:val="CeldaAPA"/>
            </w:pPr>
          </w:p>
        </w:tc>
        <w:tc>
          <w:tcPr>
            <w:tcW w:w="1094" w:type="dxa"/>
          </w:tcPr>
          <w:p>
            <w:pPr>
              <w:pStyle w:val="CeldaAPA"/>
            </w:pPr>
          </w:p>
        </w:tc>
      </w:tr>
      <w:tr>
        <w:tc>
          <w:tcPr>
            <w:tcW w:w="1725" w:type="dxa"/>
          </w:tcPr>
          <w:p>
            <w:pPr>
              <w:pStyle w:val="CeldaAPA"/>
              <w:jc w:val="left"/>
            </w:pPr>
            <w:r>
              <w:rPr>
                <w:sz w:val="20"/>
                <w:szCs w:val="20"/>
              </w:rPr>
              <w:t xml:space="preserve">Acero</w:t>
            </w:r>
            <w:r>
              <w:rPr>
                <w:sz w:val="20"/>
                <w:szCs w:val="20"/>
              </w:rPr>
              <w:t xml:space="preserve"> </w:t>
            </w:r>
            <m:oMath>
              <m:r>
                <m:t>ϕ</m:t>
              </m:r>
            </m:oMath>
            <w:r>
              <w:rPr>
                <w:sz w:val="20"/>
                <w:szCs w:val="20"/>
              </w:rPr>
              <w:t xml:space="preserve"> </w:t>
            </w:r>
            <w:r>
              <w:rPr>
                <w:u w:val="single"/>
                <w:sz w:val="20"/>
                <w:szCs w:val="20"/>
              </w:rPr>
              <w:t xml:space="preserve"> </w:t>
            </w:r>
            <w:r>
              <w:rPr>
                <w:sz w:val="20"/>
                <w:szCs w:val="20"/>
              </w:rPr>
              <w:t xml:space="preserve"> </w:t>
            </w:r>
            <w:r>
              <w:rPr>
                <w:sz w:val="20"/>
                <w:szCs w:val="20"/>
              </w:rPr>
              <w:t xml:space="preserve">(negativos)</w:t>
            </w:r>
          </w:p>
        </w:tc>
        <w:tc>
          <w:tcPr>
            <w:tcW w:w="1083" w:type="dxa"/>
          </w:tcPr>
          <w:p>
            <w:pPr>
              <w:pStyle w:val="CeldaAPA"/>
              <w:jc w:val="center"/>
            </w:pPr>
            <w:r>
              <w:rPr>
                <w:sz w:val="20"/>
                <w:szCs w:val="20"/>
              </w:rPr>
              <w:t xml:space="preserve">kg</w:t>
            </w:r>
          </w:p>
        </w:tc>
        <w:tc>
          <w:tcPr>
            <w:tcW w:w="1275" w:type="dxa"/>
          </w:tcPr>
          <w:p>
            <w:pPr>
              <w:pStyle w:val="CeldaAPA"/>
            </w:pPr>
          </w:p>
        </w:tc>
        <w:tc>
          <w:tcPr>
            <w:tcW w:w="1140" w:type="dxa"/>
          </w:tcPr>
          <w:p>
            <w:pPr>
              <w:pStyle w:val="CeldaAPA"/>
            </w:pPr>
          </w:p>
        </w:tc>
        <w:tc>
          <w:tcPr>
            <w:tcW w:w="1261" w:type="dxa"/>
          </w:tcPr>
          <w:p>
            <w:pPr>
              <w:pStyle w:val="CeldaAPA"/>
            </w:pPr>
          </w:p>
        </w:tc>
        <w:tc>
          <w:tcPr>
            <w:tcW w:w="650" w:type="dxa"/>
          </w:tcPr>
          <w:p>
            <w:pPr>
              <w:pStyle w:val="CeldaAPA"/>
            </w:pPr>
          </w:p>
        </w:tc>
        <w:tc>
          <w:tcPr>
            <w:tcW w:w="811" w:type="dxa"/>
          </w:tcPr>
          <w:p>
            <w:pPr>
              <w:pStyle w:val="CeldaAPA"/>
            </w:pPr>
          </w:p>
        </w:tc>
        <w:tc>
          <w:tcPr>
            <w:tcW w:w="873" w:type="dxa"/>
          </w:tcPr>
          <w:p>
            <w:pPr>
              <w:pStyle w:val="CeldaAPA"/>
              <w:jc w:val="center"/>
            </w:pPr>
            <w:r>
              <w:rPr>
                <w:sz w:val="20"/>
                <w:szCs w:val="20"/>
              </w:rPr>
              <w:t xml:space="preserve">4</w:t>
            </w:r>
          </w:p>
        </w:tc>
        <w:tc>
          <w:tcPr>
            <w:tcW w:w="1394" w:type="dxa"/>
          </w:tcPr>
          <w:p>
            <w:pPr>
              <w:pStyle w:val="CeldaAPA"/>
            </w:pPr>
          </w:p>
        </w:tc>
        <w:tc>
          <w:tcPr>
            <w:tcW w:w="857" w:type="dxa"/>
          </w:tcPr>
          <w:p>
            <w:pPr>
              <w:pStyle w:val="CeldaAPA"/>
            </w:pPr>
          </w:p>
        </w:tc>
        <w:tc>
          <w:tcPr>
            <w:tcW w:w="1094" w:type="dxa"/>
          </w:tcPr>
          <w:p>
            <w:pPr>
              <w:pStyle w:val="CeldaAPA"/>
            </w:pPr>
          </w:p>
        </w:tc>
      </w:tr>
      <w:tr>
        <w:tc>
          <w:tcPr>
            <w:tcW w:w="1725" w:type="dxa"/>
          </w:tcPr>
          <w:p>
            <w:pPr>
              <w:pStyle w:val="CeldaAPA"/>
              <w:jc w:val="left"/>
            </w:pPr>
            <w:r>
              <w:rPr>
                <w:sz w:val="20"/>
                <w:szCs w:val="20"/>
              </w:rPr>
              <w:t xml:space="preserve">Hormigón H25</w:t>
            </w:r>
          </w:p>
        </w:tc>
        <w:tc>
          <w:tcPr>
            <w:tcW w:w="1083" w:type="dxa"/>
          </w:tcPr>
          <w:p>
            <w:pPr>
              <w:pStyle w:val="CeldaAPA"/>
              <w:jc w:val="center"/>
            </w:pPr>
            <w:r>
              <w:rPr>
                <w:sz w:val="20"/>
                <w:szCs w:val="20"/>
              </w:rPr>
              <w:t xml:space="preserve">m</w:t>
            </w:r>
            <w:r>
              <w:rPr>
                <w:vertAlign w:val="superscript"/>
                <w:sz w:val="20"/>
                <w:szCs w:val="20"/>
              </w:rPr>
              <w:t xml:space="preserve">3</w:t>
            </w:r>
          </w:p>
        </w:tc>
        <w:tc>
          <w:tcPr>
            <w:tcW w:w="1275" w:type="dxa"/>
          </w:tcPr>
          <w:p>
            <w:pPr>
              <w:pStyle w:val="CeldaAPA"/>
            </w:pPr>
          </w:p>
        </w:tc>
        <w:tc>
          <w:tcPr>
            <w:tcW w:w="1140" w:type="dxa"/>
          </w:tcPr>
          <w:p>
            <w:pPr>
              <w:pStyle w:val="CeldaAPA"/>
            </w:pPr>
          </w:p>
        </w:tc>
        <w:tc>
          <w:tcPr>
            <w:tcW w:w="1261" w:type="dxa"/>
          </w:tcPr>
          <w:p>
            <w:pPr>
              <w:pStyle w:val="CeldaAPA"/>
            </w:pPr>
          </w:p>
        </w:tc>
        <w:tc>
          <w:tcPr>
            <w:tcW w:w="650" w:type="dxa"/>
          </w:tcPr>
          <w:p>
            <w:pPr>
              <w:pStyle w:val="CeldaAPA"/>
            </w:pPr>
          </w:p>
        </w:tc>
        <w:tc>
          <w:tcPr>
            <w:tcW w:w="811" w:type="dxa"/>
          </w:tcPr>
          <w:p>
            <w:pPr>
              <w:pStyle w:val="CeldaAPA"/>
            </w:pPr>
          </w:p>
        </w:tc>
        <w:tc>
          <w:tcPr>
            <w:tcW w:w="873" w:type="dxa"/>
          </w:tcPr>
          <w:p>
            <w:pPr>
              <w:pStyle w:val="CeldaAPA"/>
              <w:jc w:val="center"/>
            </w:pPr>
            <w:r>
              <w:rPr>
                <w:sz w:val="20"/>
                <w:szCs w:val="20"/>
              </w:rPr>
              <w:t xml:space="preserve">3</w:t>
            </w:r>
          </w:p>
        </w:tc>
        <w:tc>
          <w:tcPr>
            <w:tcW w:w="1394" w:type="dxa"/>
          </w:tcPr>
          <w:p>
            <w:pPr>
              <w:pStyle w:val="CeldaAPA"/>
            </w:pPr>
          </w:p>
        </w:tc>
        <w:tc>
          <w:tcPr>
            <w:tcW w:w="857" w:type="dxa"/>
          </w:tcPr>
          <w:p>
            <w:pPr>
              <w:pStyle w:val="CeldaAPA"/>
            </w:pPr>
          </w:p>
        </w:tc>
        <w:tc>
          <w:tcPr>
            <w:tcW w:w="1094" w:type="dxa"/>
          </w:tcPr>
          <w:p>
            <w:pPr>
              <w:pStyle w:val="CeldaAPA"/>
            </w:pPr>
          </w:p>
        </w:tc>
      </w:tr>
      <w:tr>
        <w:tc>
          <w:tcPr>
            <w:tcW w:w="1725" w:type="dxa"/>
          </w:tcPr>
          <w:p>
            <w:pPr>
              <w:pStyle w:val="CeldaAPA"/>
              <w:jc w:val="left"/>
            </w:pPr>
            <w:r>
              <w:rPr>
                <w:sz w:val="20"/>
                <w:szCs w:val="20"/>
              </w:rPr>
              <w:t xml:space="preserve">Cemento</w:t>
            </w:r>
          </w:p>
        </w:tc>
        <w:tc>
          <w:tcPr>
            <w:tcW w:w="1083" w:type="dxa"/>
          </w:tcPr>
          <w:p>
            <w:pPr>
              <w:pStyle w:val="CeldaAPA"/>
              <w:jc w:val="center"/>
            </w:pPr>
            <w:r>
              <w:rPr>
                <w:sz w:val="20"/>
                <w:szCs w:val="20"/>
              </w:rPr>
              <w:t xml:space="preserve">bolsa</w:t>
            </w:r>
          </w:p>
        </w:tc>
        <w:tc>
          <w:tcPr>
            <w:tcW w:w="1275" w:type="dxa"/>
          </w:tcPr>
          <w:p>
            <w:pPr>
              <w:pStyle w:val="CeldaAPA"/>
            </w:pPr>
          </w:p>
        </w:tc>
        <w:tc>
          <w:tcPr>
            <w:tcW w:w="1140" w:type="dxa"/>
          </w:tcPr>
          <w:p>
            <w:pPr>
              <w:pStyle w:val="CeldaAPA"/>
            </w:pPr>
          </w:p>
        </w:tc>
        <w:tc>
          <w:tcPr>
            <w:tcW w:w="1261" w:type="dxa"/>
          </w:tcPr>
          <w:p>
            <w:pPr>
              <w:pStyle w:val="CeldaAPA"/>
            </w:pPr>
          </w:p>
        </w:tc>
        <w:tc>
          <w:tcPr>
            <w:tcW w:w="650" w:type="dxa"/>
          </w:tcPr>
          <w:p>
            <w:pPr>
              <w:pStyle w:val="CeldaAPA"/>
            </w:pPr>
          </w:p>
        </w:tc>
        <w:tc>
          <w:tcPr>
            <w:tcW w:w="811" w:type="dxa"/>
          </w:tcPr>
          <w:p>
            <w:pPr>
              <w:pStyle w:val="CeldaAPA"/>
            </w:pPr>
          </w:p>
        </w:tc>
        <w:tc>
          <w:tcPr>
            <w:tcW w:w="873" w:type="dxa"/>
          </w:tcPr>
          <w:p>
            <w:pPr>
              <w:pStyle w:val="CeldaAPA"/>
            </w:pPr>
          </w:p>
        </w:tc>
        <w:tc>
          <w:tcPr>
            <w:tcW w:w="1394" w:type="dxa"/>
          </w:tcPr>
          <w:p>
            <w:pPr>
              <w:pStyle w:val="CeldaAPA"/>
            </w:pPr>
          </w:p>
        </w:tc>
        <w:tc>
          <w:tcPr>
            <w:tcW w:w="857" w:type="dxa"/>
          </w:tcPr>
          <w:p>
            <w:pPr>
              <w:pStyle w:val="CeldaAPA"/>
            </w:pPr>
          </w:p>
        </w:tc>
        <w:tc>
          <w:tcPr>
            <w:tcW w:w="1094" w:type="dxa"/>
          </w:tcPr>
          <w:p>
            <w:pPr>
              <w:pStyle w:val="CeldaAPA"/>
            </w:pPr>
          </w:p>
        </w:tc>
      </w:tr>
      <w:tr>
        <w:tc>
          <w:tcPr>
            <w:tcW w:w="1725" w:type="dxa"/>
          </w:tcPr>
          <w:p>
            <w:pPr>
              <w:pStyle w:val="CeldaAPA"/>
              <w:jc w:val="left"/>
            </w:pPr>
            <w:r>
              <w:rPr>
                <w:sz w:val="20"/>
                <w:szCs w:val="20"/>
              </w:rPr>
              <w:t xml:space="preserve">Arena</w:t>
            </w:r>
          </w:p>
        </w:tc>
        <w:tc>
          <w:tcPr>
            <w:tcW w:w="1083" w:type="dxa"/>
          </w:tcPr>
          <w:p>
            <w:pPr>
              <w:pStyle w:val="CeldaAPA"/>
              <w:jc w:val="center"/>
            </w:pPr>
            <w:r>
              <w:rPr>
                <w:sz w:val="20"/>
                <w:szCs w:val="20"/>
              </w:rPr>
              <w:t xml:space="preserve">m</w:t>
            </w:r>
            <w:r>
              <w:rPr>
                <w:vertAlign w:val="superscript"/>
                <w:sz w:val="20"/>
                <w:szCs w:val="20"/>
              </w:rPr>
              <w:t xml:space="preserve">3</w:t>
            </w:r>
          </w:p>
        </w:tc>
        <w:tc>
          <w:tcPr>
            <w:tcW w:w="1275" w:type="dxa"/>
          </w:tcPr>
          <w:p>
            <w:pPr>
              <w:pStyle w:val="CeldaAPA"/>
            </w:pPr>
          </w:p>
        </w:tc>
        <w:tc>
          <w:tcPr>
            <w:tcW w:w="1140" w:type="dxa"/>
          </w:tcPr>
          <w:p>
            <w:pPr>
              <w:pStyle w:val="CeldaAPA"/>
            </w:pPr>
          </w:p>
        </w:tc>
        <w:tc>
          <w:tcPr>
            <w:tcW w:w="1261" w:type="dxa"/>
          </w:tcPr>
          <w:p>
            <w:pPr>
              <w:pStyle w:val="CeldaAPA"/>
            </w:pPr>
          </w:p>
        </w:tc>
        <w:tc>
          <w:tcPr>
            <w:tcW w:w="650" w:type="dxa"/>
          </w:tcPr>
          <w:p>
            <w:pPr>
              <w:pStyle w:val="CeldaAPA"/>
            </w:pPr>
          </w:p>
        </w:tc>
        <w:tc>
          <w:tcPr>
            <w:tcW w:w="811" w:type="dxa"/>
          </w:tcPr>
          <w:p>
            <w:pPr>
              <w:pStyle w:val="CeldaAPA"/>
            </w:pPr>
          </w:p>
        </w:tc>
        <w:tc>
          <w:tcPr>
            <w:tcW w:w="873" w:type="dxa"/>
          </w:tcPr>
          <w:p>
            <w:pPr>
              <w:pStyle w:val="CeldaAPA"/>
            </w:pPr>
          </w:p>
        </w:tc>
        <w:tc>
          <w:tcPr>
            <w:tcW w:w="1394" w:type="dxa"/>
          </w:tcPr>
          <w:p>
            <w:pPr>
              <w:pStyle w:val="CeldaAPA"/>
            </w:pPr>
          </w:p>
        </w:tc>
        <w:tc>
          <w:tcPr>
            <w:tcW w:w="857" w:type="dxa"/>
          </w:tcPr>
          <w:p>
            <w:pPr>
              <w:pStyle w:val="CeldaAPA"/>
            </w:pPr>
          </w:p>
        </w:tc>
        <w:tc>
          <w:tcPr>
            <w:tcW w:w="1094" w:type="dxa"/>
          </w:tcPr>
          <w:p>
            <w:pPr>
              <w:pStyle w:val="CeldaAPA"/>
            </w:pPr>
          </w:p>
        </w:tc>
      </w:tr>
      <w:tr>
        <w:tc>
          <w:tcPr>
            <w:tcW w:w="1725" w:type="dxa"/>
          </w:tcPr>
          <w:p>
            <w:pPr>
              <w:pStyle w:val="CeldaAPA"/>
              <w:jc w:val="left"/>
            </w:pPr>
            <w:r>
              <w:rPr>
                <w:sz w:val="20"/>
                <w:szCs w:val="20"/>
              </w:rPr>
              <w:t xml:space="preserve">Grava</w:t>
            </w:r>
          </w:p>
        </w:tc>
        <w:tc>
          <w:tcPr>
            <w:tcW w:w="1083" w:type="dxa"/>
          </w:tcPr>
          <w:p>
            <w:pPr>
              <w:pStyle w:val="CeldaAPA"/>
              <w:jc w:val="center"/>
            </w:pPr>
            <w:r>
              <w:rPr>
                <w:sz w:val="20"/>
                <w:szCs w:val="20"/>
              </w:rPr>
              <w:t xml:space="preserve">m</w:t>
            </w:r>
            <w:r>
              <w:rPr>
                <w:vertAlign w:val="superscript"/>
                <w:sz w:val="20"/>
                <w:szCs w:val="20"/>
              </w:rPr>
              <w:t xml:space="preserve">3</w:t>
            </w:r>
          </w:p>
        </w:tc>
        <w:tc>
          <w:tcPr>
            <w:tcW w:w="1275" w:type="dxa"/>
          </w:tcPr>
          <w:p>
            <w:pPr>
              <w:pStyle w:val="CeldaAPA"/>
            </w:pPr>
          </w:p>
        </w:tc>
        <w:tc>
          <w:tcPr>
            <w:tcW w:w="1140" w:type="dxa"/>
          </w:tcPr>
          <w:p>
            <w:pPr>
              <w:pStyle w:val="CeldaAPA"/>
            </w:pPr>
          </w:p>
        </w:tc>
        <w:tc>
          <w:tcPr>
            <w:tcW w:w="1261" w:type="dxa"/>
          </w:tcPr>
          <w:p>
            <w:pPr>
              <w:pStyle w:val="CeldaAPA"/>
            </w:pPr>
          </w:p>
        </w:tc>
        <w:tc>
          <w:tcPr>
            <w:tcW w:w="650" w:type="dxa"/>
          </w:tcPr>
          <w:p>
            <w:pPr>
              <w:pStyle w:val="CeldaAPA"/>
            </w:pPr>
          </w:p>
        </w:tc>
        <w:tc>
          <w:tcPr>
            <w:tcW w:w="811" w:type="dxa"/>
          </w:tcPr>
          <w:p>
            <w:pPr>
              <w:pStyle w:val="CeldaAPA"/>
            </w:pPr>
          </w:p>
        </w:tc>
        <w:tc>
          <w:tcPr>
            <w:tcW w:w="873" w:type="dxa"/>
          </w:tcPr>
          <w:p>
            <w:pPr>
              <w:pStyle w:val="CeldaAPA"/>
            </w:pPr>
          </w:p>
        </w:tc>
        <w:tc>
          <w:tcPr>
            <w:tcW w:w="1394" w:type="dxa"/>
          </w:tcPr>
          <w:p>
            <w:pPr>
              <w:pStyle w:val="CeldaAPA"/>
            </w:pPr>
          </w:p>
        </w:tc>
        <w:tc>
          <w:tcPr>
            <w:tcW w:w="857" w:type="dxa"/>
          </w:tcPr>
          <w:p>
            <w:pPr>
              <w:pStyle w:val="CeldaAPA"/>
            </w:pPr>
          </w:p>
        </w:tc>
        <w:tc>
          <w:tcPr>
            <w:tcW w:w="1094" w:type="dxa"/>
          </w:tcPr>
          <w:p>
            <w:pPr>
              <w:pStyle w:val="CeldaAPA"/>
            </w:pPr>
          </w:p>
        </w:tc>
      </w:tr>
      <w:tr>
        <w:tc>
          <w:tcPr>
            <w:tcW w:w="1725" w:type="dxa"/>
          </w:tcPr>
          <w:p>
            <w:pPr>
              <w:pStyle w:val="CeldaAPA"/>
              <w:jc w:val="left"/>
            </w:pPr>
            <w:r>
              <w:rPr>
                <w:sz w:val="20"/>
                <w:szCs w:val="20"/>
              </w:rPr>
              <w:t xml:space="preserve">Alambre de amarre</w:t>
            </w:r>
          </w:p>
        </w:tc>
        <w:tc>
          <w:tcPr>
            <w:tcW w:w="1083" w:type="dxa"/>
          </w:tcPr>
          <w:p>
            <w:pPr>
              <w:pStyle w:val="CeldaAPA"/>
              <w:jc w:val="center"/>
            </w:pPr>
            <w:r>
              <w:rPr>
                <w:sz w:val="20"/>
                <w:szCs w:val="20"/>
              </w:rPr>
              <w:t xml:space="preserve">kg</w:t>
            </w:r>
          </w:p>
        </w:tc>
        <w:tc>
          <w:tcPr>
            <w:tcW w:w="1275" w:type="dxa"/>
          </w:tcPr>
          <w:p>
            <w:pPr>
              <w:pStyle w:val="CeldaAPA"/>
            </w:pPr>
          </w:p>
        </w:tc>
        <w:tc>
          <w:tcPr>
            <w:tcW w:w="1140" w:type="dxa"/>
          </w:tcPr>
          <w:p>
            <w:pPr>
              <w:pStyle w:val="CeldaAPA"/>
            </w:pPr>
          </w:p>
        </w:tc>
        <w:tc>
          <w:tcPr>
            <w:tcW w:w="1261" w:type="dxa"/>
          </w:tcPr>
          <w:p>
            <w:pPr>
              <w:pStyle w:val="CeldaAPA"/>
            </w:pPr>
          </w:p>
        </w:tc>
        <w:tc>
          <w:tcPr>
            <w:tcW w:w="650" w:type="dxa"/>
          </w:tcPr>
          <w:p>
            <w:pPr>
              <w:pStyle w:val="CeldaAPA"/>
            </w:pPr>
          </w:p>
        </w:tc>
        <w:tc>
          <w:tcPr>
            <w:tcW w:w="811" w:type="dxa"/>
          </w:tcPr>
          <w:p>
            <w:pPr>
              <w:pStyle w:val="CeldaAPA"/>
            </w:pPr>
          </w:p>
        </w:tc>
        <w:tc>
          <w:tcPr>
            <w:tcW w:w="873" w:type="dxa"/>
          </w:tcPr>
          <w:p>
            <w:pPr>
              <w:pStyle w:val="CeldaAPA"/>
            </w:pPr>
          </w:p>
        </w:tc>
        <w:tc>
          <w:tcPr>
            <w:tcW w:w="1394" w:type="dxa"/>
          </w:tcPr>
          <w:p>
            <w:pPr>
              <w:pStyle w:val="CeldaAPA"/>
            </w:pPr>
          </w:p>
        </w:tc>
        <w:tc>
          <w:tcPr>
            <w:tcW w:w="857" w:type="dxa"/>
          </w:tcPr>
          <w:p>
            <w:pPr>
              <w:pStyle w:val="CeldaAPA"/>
            </w:pPr>
          </w:p>
        </w:tc>
        <w:tc>
          <w:tcPr>
            <w:tcW w:w="1094" w:type="dxa"/>
          </w:tcPr>
          <w:p>
            <w:pPr>
              <w:pStyle w:val="CeldaAPA"/>
            </w:pPr>
          </w:p>
        </w:tc>
      </w:tr>
    </w:tbl>
    <w:p>
      <w:pPr>
        <w:pStyle w:val="BodyText"/>
        <w:spacing w:before="240"/>
      </w:pPr>
      <w:r>
        <w:rPr>
          <w:bCs/>
          <w:b/>
        </w:rPr>
        <w:t xml:space="preserve">(d) Conciliación acumulada para la planilla de avance N.</w:t>
      </w:r>
      <w:r>
        <w:rPr>
          <w:vertAlign w:val="superscript"/>
          <w:bCs/>
          <w:b/>
        </w:rPr>
        <w:t xml:space="preserve">o</w:t>
      </w:r>
      <w:r>
        <w:t xml:space="preserve"> </w:t>
      </w:r>
      <w:r>
        <w:rPr>
          <w:u w:val="single"/>
        </w:rPr>
        <w:t xml:space="preserve"> </w:t>
      </w:r>
      <w:r>
        <w:t xml:space="preserve"> </w:t>
      </w:r>
      <w:r>
        <w:t xml:space="preserve">Periodo</w:t>
      </w:r>
      <w:r>
        <w:t xml:space="preserve"> </w:t>
      </w:r>
      <w:r>
        <w:rPr>
          <w:u w:val="single"/>
        </w:rPr>
        <w:t xml:space="preserve"> </w:t>
      </w:r>
    </w:p>
    <w:tbl>
      <w:tblPr>
        <w:tblStyle w:val="Table"/>
        <w:tblW w:w="10367"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1" w:lastRow="0" w:firstColumn="0" w:lastColumn="0" w:noHBand="0" w:noVBand="0" w:val="0020"/>
      </w:tblPr>
      <w:tblGrid>
        <w:gridCol w:w="1725"/>
        <w:gridCol w:w="650"/>
        <w:gridCol w:w="1226"/>
        <w:gridCol w:w="1140"/>
        <w:gridCol w:w="684"/>
        <w:gridCol w:w="684"/>
        <w:gridCol w:w="709"/>
        <w:gridCol w:w="684"/>
        <w:gridCol w:w="857"/>
        <w:gridCol w:w="1027"/>
        <w:gridCol w:w="981"/>
      </w:tblGrid>
      <w:tr>
        <w:trPr>
          <w:cantSplit/>
          <w:tblHeader w:val="true"/>
        </w:trPr>
        <w:tc>
          <w:tcPr>
            <w:tcW w:w="1725" w:type="dxa"/>
          </w:tcPr>
          <w:p>
            <w:pPr>
              <w:pStyle w:val="CeldaAPA"/>
              <w:jc w:val="left"/>
            </w:pPr>
            <w:r>
              <w:rPr>
                <w:bCs/>
                <w:b/>
                <w:sz w:val="20"/>
                <w:szCs w:val="20"/>
              </w:rPr>
              <w:t xml:space="preserve">Ítem o material (ítem de pago)</w:t>
            </w:r>
          </w:p>
        </w:tc>
        <w:tc>
          <w:tcPr>
            <w:tcW w:w="650" w:type="dxa"/>
          </w:tcPr>
          <w:p>
            <w:pPr>
              <w:pStyle w:val="CeldaAPA"/>
              <w:jc w:val="center"/>
            </w:pPr>
            <m:oMath>
              <m:sSub>
                <m:e>
                  <m:r>
                    <m:t>Q</m:t>
                  </m:r>
                </m:e>
                <m:sub>
                  <m:r>
                    <m:t>T</m:t>
                  </m:r>
                </m:sub>
              </m:sSub>
            </m:oMath>
          </w:p>
        </w:tc>
        <w:tc>
          <w:tcPr>
            <w:tcW w:w="1226" w:type="dxa"/>
          </w:tcPr>
          <w:p>
            <w:pPr>
              <w:pStyle w:val="CeldaAPA"/>
              <w:jc w:val="center"/>
            </w:pPr>
            <m:oMath>
              <m:sSub>
                <m:e>
                  <m:r>
                    <m:t>Q</m:t>
                  </m:r>
                </m:e>
                <m:sub>
                  <m:r>
                    <m:t>E</m:t>
                  </m:r>
                </m:sub>
              </m:sSub>
            </m:oMath>
            <w:r>
              <w:rPr>
                <w:bCs/>
                <w:b/>
                <w:sz w:val="20"/>
                <w:szCs w:val="20"/>
              </w:rPr>
              <w:t xml:space="preserve"> </w:t>
            </w:r>
            <w:r>
              <w:rPr>
                <w:bCs/>
                <w:b/>
                <w:sz w:val="20"/>
                <w:szCs w:val="20"/>
              </w:rPr>
              <w:t xml:space="preserve">(remis.)</w:t>
            </w:r>
          </w:p>
        </w:tc>
        <w:tc>
          <w:tcPr>
            <w:tcW w:w="1140" w:type="dxa"/>
          </w:tcPr>
          <w:p>
            <w:pPr>
              <w:pStyle w:val="CeldaAPA"/>
              <w:jc w:val="center"/>
            </w:pPr>
            <m:oMath>
              <m:sSub>
                <m:e>
                  <m:r>
                    <m:t>Q</m:t>
                  </m:r>
                </m:e>
                <m:sub>
                  <m:r>
                    <m:t>C</m:t>
                  </m:r>
                </m:sub>
              </m:sSub>
            </m:oMath>
            <w:r>
              <w:rPr>
                <w:bCs/>
                <w:b/>
                <w:sz w:val="20"/>
                <w:szCs w:val="20"/>
              </w:rPr>
              <w:t xml:space="preserve"> </w:t>
            </w:r>
            <w:r>
              <w:rPr>
                <w:bCs/>
                <w:b/>
                <w:sz w:val="20"/>
                <w:szCs w:val="20"/>
              </w:rPr>
              <w:t xml:space="preserve">(vales)</w:t>
            </w:r>
          </w:p>
        </w:tc>
        <w:tc>
          <w:tcPr>
            <w:tcW w:w="684" w:type="dxa"/>
          </w:tcPr>
          <w:p>
            <w:pPr>
              <w:pStyle w:val="CeldaAPA"/>
              <w:jc w:val="center"/>
            </w:pPr>
            <m:oMath>
              <m:sSub>
                <m:e>
                  <m:r>
                    <m:t>I</m:t>
                  </m:r>
                </m:e>
                <m:sub>
                  <m:r>
                    <m:t>F</m:t>
                  </m:r>
                </m:sub>
              </m:sSub>
            </m:oMath>
          </w:p>
        </w:tc>
        <w:tc>
          <w:tcPr>
            <w:tcW w:w="684" w:type="dxa"/>
          </w:tcPr>
          <w:p>
            <w:pPr>
              <w:pStyle w:val="CeldaAPA"/>
              <w:jc w:val="center"/>
            </w:pPr>
            <m:oMath>
              <m:sSub>
                <m:e>
                  <m:r>
                    <m:t>Δ</m:t>
                  </m:r>
                </m:e>
                <m:sub>
                  <m:r>
                    <m:t>I</m:t>
                  </m:r>
                </m:sub>
              </m:sSub>
            </m:oMath>
          </w:p>
        </w:tc>
        <w:tc>
          <w:tcPr>
            <w:tcW w:w="709" w:type="dxa"/>
          </w:tcPr>
          <w:p>
            <w:pPr>
              <w:pStyle w:val="CeldaAPA"/>
              <w:jc w:val="center"/>
            </w:pPr>
            <m:oMath>
              <m:sSub>
                <m:e>
                  <m:r>
                    <m:t>Q</m:t>
                  </m:r>
                </m:e>
                <m:sub>
                  <m:r>
                    <m:t>M</m:t>
                  </m:r>
                </m:sub>
              </m:sSub>
            </m:oMath>
          </w:p>
        </w:tc>
        <w:tc>
          <w:tcPr>
            <w:tcW w:w="684" w:type="dxa"/>
          </w:tcPr>
          <w:p>
            <w:pPr>
              <w:pStyle w:val="CeldaAPA"/>
              <w:jc w:val="center"/>
            </w:pPr>
            <m:oMath>
              <m:sSub>
                <m:e>
                  <m:r>
                    <m:t>Q</m:t>
                  </m:r>
                </m:e>
                <m:sub>
                  <m:r>
                    <m:t>P</m:t>
                  </m:r>
                </m:sub>
              </m:sSub>
            </m:oMath>
          </w:p>
        </w:tc>
        <w:tc>
          <w:tcPr>
            <w:tcW w:w="857" w:type="dxa"/>
          </w:tcPr>
          <w:p>
            <w:pPr>
              <w:pStyle w:val="CeldaAPA"/>
              <w:jc w:val="center"/>
            </w:pPr>
            <m:oMath>
              <m:sSub>
                <m:e>
                  <m:r>
                    <m:t>δ</m:t>
                  </m:r>
                </m:e>
                <m:sub>
                  <m:r>
                    <m:t>P</m:t>
                  </m:r>
                  <m:r>
                    <m:rPr>
                      <m:sty m:val="p"/>
                    </m:rPr>
                    <m:t>/</m:t>
                  </m:r>
                  <m:r>
                    <m:t>M</m:t>
                  </m:r>
                </m:sub>
              </m:sSub>
            </m:oMath>
            <w:r>
              <w:rPr>
                <w:bCs/>
                <w:b/>
                <w:sz w:val="20"/>
                <w:szCs w:val="20"/>
              </w:rPr>
              <w:t xml:space="preserve"> </w:t>
            </w:r>
            <w:r>
              <w:rPr>
                <w:bCs/>
                <w:b/>
                <w:sz w:val="20"/>
                <w:szCs w:val="20"/>
              </w:rPr>
              <w:t xml:space="preserve">(%)</w:t>
            </w:r>
          </w:p>
        </w:tc>
        <w:tc>
          <w:tcPr>
            <w:tcW w:w="1027" w:type="dxa"/>
          </w:tcPr>
          <w:p>
            <w:pPr>
              <w:pStyle w:val="CeldaAPA"/>
              <w:jc w:val="center"/>
            </w:pPr>
            <w:r>
              <w:rPr>
                <w:bCs/>
                <w:b/>
                <w:sz w:val="20"/>
                <w:szCs w:val="20"/>
              </w:rPr>
              <w:t xml:space="preserve">kg/m</w:t>
            </w:r>
            <w:r>
              <w:rPr>
                <w:vertAlign w:val="superscript"/>
                <w:bCs/>
                <w:b/>
                <w:sz w:val="20"/>
                <w:szCs w:val="20"/>
              </w:rPr>
              <w:t xml:space="preserve">2</w:t>
            </w:r>
          </w:p>
        </w:tc>
        <w:tc>
          <w:tcPr>
            <w:tcW w:w="981" w:type="dxa"/>
          </w:tcPr>
          <w:p>
            <w:pPr>
              <w:pStyle w:val="CeldaAPA"/>
              <w:jc w:val="center"/>
            </w:pPr>
            <w:r>
              <w:rPr>
                <w:bCs/>
                <w:b/>
                <w:sz w:val="20"/>
                <w:szCs w:val="20"/>
              </w:rPr>
              <w:t xml:space="preserve">Alerta</w:t>
            </w:r>
          </w:p>
        </w:tc>
      </w:tr>
      <w:tr>
        <w:tc>
          <w:tcPr>
            <w:tcW w:w="1725" w:type="dxa"/>
          </w:tcPr>
          <w:p>
            <w:pPr>
              <w:pStyle w:val="CeldaAPA"/>
              <w:jc w:val="left"/>
            </w:pPr>
            <w:r>
              <w:rPr>
                <w:sz w:val="20"/>
                <w:szCs w:val="20"/>
              </w:rPr>
              <w:t xml:space="preserve">Ítem 13 (m</w:t>
            </w:r>
            <w:r>
              <w:rPr>
                <w:vertAlign w:val="superscript"/>
                <w:sz w:val="20"/>
                <w:szCs w:val="20"/>
              </w:rPr>
              <w:t xml:space="preserve">2</w:t>
            </w:r>
            <w:r>
              <w:rPr>
                <w:sz w:val="20"/>
                <w:szCs w:val="20"/>
              </w:rPr>
              <w:t xml:space="preserve">)</w:t>
            </w:r>
          </w:p>
        </w:tc>
        <w:tc>
          <w:tcPr>
            <w:tcW w:w="650" w:type="dxa"/>
          </w:tcPr>
          <w:p>
            <w:pPr>
              <w:pStyle w:val="CeldaAPA"/>
            </w:pPr>
          </w:p>
        </w:tc>
        <w:tc>
          <w:tcPr>
            <w:tcW w:w="1226" w:type="dxa"/>
          </w:tcPr>
          <w:p>
            <w:pPr>
              <w:pStyle w:val="CeldaAPA"/>
              <w:jc w:val="center"/>
            </w:pPr>
            <w:r>
              <w:rPr>
                <w:sz w:val="20"/>
                <w:szCs w:val="20"/>
              </w:rPr>
              <w:t xml:space="preserve">—</w:t>
            </w:r>
          </w:p>
        </w:tc>
        <w:tc>
          <w:tcPr>
            <w:tcW w:w="1140" w:type="dxa"/>
          </w:tcPr>
          <w:p>
            <w:pPr>
              <w:pStyle w:val="CeldaAPA"/>
              <w:jc w:val="center"/>
            </w:pPr>
            <w:r>
              <w:rPr>
                <w:sz w:val="20"/>
                <w:szCs w:val="20"/>
              </w:rPr>
              <w:t xml:space="preserve">—</w:t>
            </w:r>
          </w:p>
        </w:tc>
        <w:tc>
          <w:tcPr>
            <w:tcW w:w="684" w:type="dxa"/>
          </w:tcPr>
          <w:p>
            <w:pPr>
              <w:pStyle w:val="CeldaAPA"/>
              <w:jc w:val="center"/>
            </w:pPr>
            <w:r>
              <w:rPr>
                <w:sz w:val="20"/>
                <w:szCs w:val="20"/>
              </w:rPr>
              <w:t xml:space="preserve">—</w:t>
            </w:r>
          </w:p>
        </w:tc>
        <w:tc>
          <w:tcPr>
            <w:tcW w:w="684" w:type="dxa"/>
          </w:tcPr>
          <w:p>
            <w:pPr>
              <w:pStyle w:val="CeldaAPA"/>
              <w:jc w:val="center"/>
            </w:pPr>
            <w:r>
              <w:rPr>
                <w:sz w:val="20"/>
                <w:szCs w:val="20"/>
              </w:rPr>
              <w:t xml:space="preserve">—</w:t>
            </w:r>
          </w:p>
        </w:tc>
        <w:tc>
          <w:tcPr>
            <w:tcW w:w="709" w:type="dxa"/>
          </w:tcPr>
          <w:p>
            <w:pPr>
              <w:pStyle w:val="CeldaAPA"/>
            </w:pPr>
          </w:p>
        </w:tc>
        <w:tc>
          <w:tcPr>
            <w:tcW w:w="684" w:type="dxa"/>
          </w:tcPr>
          <w:p>
            <w:pPr>
              <w:pStyle w:val="CeldaAPA"/>
            </w:pPr>
          </w:p>
        </w:tc>
        <w:tc>
          <w:tcPr>
            <w:tcW w:w="857" w:type="dxa"/>
          </w:tcPr>
          <w:p>
            <w:pPr>
              <w:pStyle w:val="CeldaAPA"/>
            </w:pPr>
          </w:p>
        </w:tc>
        <w:tc>
          <w:tcPr>
            <w:tcW w:w="1027" w:type="dxa"/>
          </w:tcPr>
          <w:p>
            <w:pPr>
              <w:pStyle w:val="CeldaAPA"/>
              <w:jc w:val="center"/>
            </w:pPr>
            <w:r>
              <w:rPr>
                <w:sz w:val="20"/>
                <w:szCs w:val="20"/>
              </w:rPr>
              <w:t xml:space="preserve">—</w:t>
            </w:r>
          </w:p>
        </w:tc>
        <w:tc>
          <w:tcPr>
            <w:tcW w:w="981" w:type="dxa"/>
          </w:tcPr>
          <w:p>
            <w:pPr>
              <w:pStyle w:val="CeldaAPA"/>
            </w:pPr>
          </w:p>
        </w:tc>
      </w:tr>
      <w:tr>
        <w:tc>
          <w:tcPr>
            <w:tcW w:w="1725" w:type="dxa"/>
          </w:tcPr>
          <w:p>
            <w:pPr>
              <w:pStyle w:val="CeldaAPA"/>
              <w:jc w:val="left"/>
            </w:pPr>
            <w:r>
              <w:rPr>
                <w:sz w:val="20"/>
                <w:szCs w:val="20"/>
              </w:rPr>
              <w:t xml:space="preserve">Acero de la losa (kg); ítem</w:t>
            </w:r>
            <w:r>
              <w:rPr>
                <w:sz w:val="20"/>
                <w:szCs w:val="20"/>
              </w:rPr>
              <w:t xml:space="preserve"> </w:t>
            </w:r>
            <w:r>
              <w:rPr>
                <w:u w:val="single"/>
                <w:sz w:val="20"/>
                <w:szCs w:val="20"/>
              </w:rPr>
              <w:t xml:space="preserve"> </w:t>
            </w:r>
          </w:p>
        </w:tc>
        <w:tc>
          <w:tcPr>
            <w:tcW w:w="650" w:type="dxa"/>
          </w:tcPr>
          <w:p>
            <w:pPr>
              <w:pStyle w:val="CeldaAPA"/>
            </w:pPr>
          </w:p>
        </w:tc>
        <w:tc>
          <w:tcPr>
            <w:tcW w:w="1226" w:type="dxa"/>
          </w:tcPr>
          <w:p>
            <w:pPr>
              <w:pStyle w:val="CeldaAPA"/>
            </w:pPr>
          </w:p>
        </w:tc>
        <w:tc>
          <w:tcPr>
            <w:tcW w:w="1140" w:type="dxa"/>
          </w:tcPr>
          <w:p>
            <w:pPr>
              <w:pStyle w:val="CeldaAPA"/>
            </w:pPr>
          </w:p>
        </w:tc>
        <w:tc>
          <w:tcPr>
            <w:tcW w:w="684" w:type="dxa"/>
          </w:tcPr>
          <w:p>
            <w:pPr>
              <w:pStyle w:val="CeldaAPA"/>
            </w:pPr>
          </w:p>
        </w:tc>
        <w:tc>
          <w:tcPr>
            <w:tcW w:w="684" w:type="dxa"/>
          </w:tcPr>
          <w:p>
            <w:pPr>
              <w:pStyle w:val="CeldaAPA"/>
            </w:pPr>
          </w:p>
        </w:tc>
        <w:tc>
          <w:tcPr>
            <w:tcW w:w="709" w:type="dxa"/>
          </w:tcPr>
          <w:p>
            <w:pPr>
              <w:pStyle w:val="CeldaAPA"/>
            </w:pPr>
          </w:p>
        </w:tc>
        <w:tc>
          <w:tcPr>
            <w:tcW w:w="684" w:type="dxa"/>
          </w:tcPr>
          <w:p>
            <w:pPr>
              <w:pStyle w:val="CeldaAPA"/>
            </w:pPr>
          </w:p>
        </w:tc>
        <w:tc>
          <w:tcPr>
            <w:tcW w:w="857" w:type="dxa"/>
          </w:tcPr>
          <w:p>
            <w:pPr>
              <w:pStyle w:val="CeldaAPA"/>
            </w:pPr>
          </w:p>
        </w:tc>
        <w:tc>
          <w:tcPr>
            <w:tcW w:w="1027" w:type="dxa"/>
          </w:tcPr>
          <w:p>
            <w:pPr>
              <w:pStyle w:val="CeldaAPA"/>
            </w:pPr>
          </w:p>
        </w:tc>
        <w:tc>
          <w:tcPr>
            <w:tcW w:w="981" w:type="dxa"/>
          </w:tcPr>
          <w:p>
            <w:pPr>
              <w:pStyle w:val="CeldaAPA"/>
            </w:pPr>
          </w:p>
        </w:tc>
      </w:tr>
      <w:tr>
        <w:tc>
          <w:tcPr>
            <w:tcW w:w="1725" w:type="dxa"/>
          </w:tcPr>
          <w:p>
            <w:pPr>
              <w:pStyle w:val="CeldaAPA"/>
              <w:jc w:val="left"/>
            </w:pPr>
            <w:r>
              <w:rPr>
                <w:sz w:val="20"/>
                <w:szCs w:val="20"/>
              </w:rPr>
              <w:t xml:space="preserve">Viguetas (m)</w:t>
            </w:r>
          </w:p>
        </w:tc>
        <w:tc>
          <w:tcPr>
            <w:tcW w:w="650" w:type="dxa"/>
          </w:tcPr>
          <w:p>
            <w:pPr>
              <w:pStyle w:val="CeldaAPA"/>
            </w:pPr>
          </w:p>
        </w:tc>
        <w:tc>
          <w:tcPr>
            <w:tcW w:w="1226" w:type="dxa"/>
          </w:tcPr>
          <w:p>
            <w:pPr>
              <w:pStyle w:val="CeldaAPA"/>
            </w:pPr>
          </w:p>
        </w:tc>
        <w:tc>
          <w:tcPr>
            <w:tcW w:w="1140" w:type="dxa"/>
          </w:tcPr>
          <w:p>
            <w:pPr>
              <w:pStyle w:val="CeldaAPA"/>
            </w:pPr>
          </w:p>
        </w:tc>
        <w:tc>
          <w:tcPr>
            <w:tcW w:w="684" w:type="dxa"/>
          </w:tcPr>
          <w:p>
            <w:pPr>
              <w:pStyle w:val="CeldaAPA"/>
            </w:pPr>
          </w:p>
        </w:tc>
        <w:tc>
          <w:tcPr>
            <w:tcW w:w="684" w:type="dxa"/>
          </w:tcPr>
          <w:p>
            <w:pPr>
              <w:pStyle w:val="CeldaAPA"/>
            </w:pPr>
          </w:p>
        </w:tc>
        <w:tc>
          <w:tcPr>
            <w:tcW w:w="709" w:type="dxa"/>
          </w:tcPr>
          <w:p>
            <w:pPr>
              <w:pStyle w:val="CeldaAPA"/>
              <w:jc w:val="center"/>
            </w:pPr>
            <w:r>
              <w:rPr>
                <w:sz w:val="20"/>
                <w:szCs w:val="20"/>
              </w:rPr>
              <w:t xml:space="preserve">—</w:t>
            </w:r>
          </w:p>
        </w:tc>
        <w:tc>
          <w:tcPr>
            <w:tcW w:w="684" w:type="dxa"/>
          </w:tcPr>
          <w:p>
            <w:pPr>
              <w:pStyle w:val="CeldaAPA"/>
              <w:jc w:val="center"/>
            </w:pPr>
            <w:r>
              <w:rPr>
                <w:sz w:val="20"/>
                <w:szCs w:val="20"/>
              </w:rPr>
              <w:t xml:space="preserve">—</w:t>
            </w:r>
          </w:p>
        </w:tc>
        <w:tc>
          <w:tcPr>
            <w:tcW w:w="857" w:type="dxa"/>
          </w:tcPr>
          <w:p>
            <w:pPr>
              <w:pStyle w:val="CeldaAPA"/>
              <w:jc w:val="center"/>
            </w:pPr>
            <w:r>
              <w:rPr>
                <w:sz w:val="20"/>
                <w:szCs w:val="20"/>
              </w:rPr>
              <w:t xml:space="preserve">—</w:t>
            </w:r>
          </w:p>
        </w:tc>
        <w:tc>
          <w:tcPr>
            <w:tcW w:w="1027" w:type="dxa"/>
          </w:tcPr>
          <w:p>
            <w:pPr>
              <w:pStyle w:val="CeldaAPA"/>
              <w:jc w:val="center"/>
            </w:pPr>
            <w:r>
              <w:rPr>
                <w:sz w:val="20"/>
                <w:szCs w:val="20"/>
              </w:rPr>
              <w:t xml:space="preserve">—</w:t>
            </w:r>
          </w:p>
        </w:tc>
        <w:tc>
          <w:tcPr>
            <w:tcW w:w="981" w:type="dxa"/>
          </w:tcPr>
          <w:p>
            <w:pPr>
              <w:pStyle w:val="CeldaAPA"/>
            </w:pPr>
          </w:p>
        </w:tc>
      </w:tr>
      <w:tr>
        <w:tc>
          <w:tcPr>
            <w:tcW w:w="1725" w:type="dxa"/>
          </w:tcPr>
          <w:p>
            <w:pPr>
              <w:pStyle w:val="CeldaAPA"/>
              <w:jc w:val="left"/>
            </w:pPr>
            <w:r>
              <w:rPr>
                <w:sz w:val="20"/>
                <w:szCs w:val="20"/>
              </w:rPr>
              <w:t xml:space="preserve">Complemento EPS (pza)</w:t>
            </w:r>
          </w:p>
        </w:tc>
        <w:tc>
          <w:tcPr>
            <w:tcW w:w="650" w:type="dxa"/>
          </w:tcPr>
          <w:p>
            <w:pPr>
              <w:pStyle w:val="CeldaAPA"/>
            </w:pPr>
          </w:p>
        </w:tc>
        <w:tc>
          <w:tcPr>
            <w:tcW w:w="1226" w:type="dxa"/>
          </w:tcPr>
          <w:p>
            <w:pPr>
              <w:pStyle w:val="CeldaAPA"/>
            </w:pPr>
          </w:p>
        </w:tc>
        <w:tc>
          <w:tcPr>
            <w:tcW w:w="1140" w:type="dxa"/>
          </w:tcPr>
          <w:p>
            <w:pPr>
              <w:pStyle w:val="CeldaAPA"/>
            </w:pPr>
          </w:p>
        </w:tc>
        <w:tc>
          <w:tcPr>
            <w:tcW w:w="684" w:type="dxa"/>
          </w:tcPr>
          <w:p>
            <w:pPr>
              <w:pStyle w:val="CeldaAPA"/>
            </w:pPr>
          </w:p>
        </w:tc>
        <w:tc>
          <w:tcPr>
            <w:tcW w:w="684" w:type="dxa"/>
          </w:tcPr>
          <w:p>
            <w:pPr>
              <w:pStyle w:val="CeldaAPA"/>
            </w:pPr>
          </w:p>
        </w:tc>
        <w:tc>
          <w:tcPr>
            <w:tcW w:w="709" w:type="dxa"/>
          </w:tcPr>
          <w:p>
            <w:pPr>
              <w:pStyle w:val="CeldaAPA"/>
              <w:jc w:val="center"/>
            </w:pPr>
            <w:r>
              <w:rPr>
                <w:sz w:val="20"/>
                <w:szCs w:val="20"/>
              </w:rPr>
              <w:t xml:space="preserve">—</w:t>
            </w:r>
          </w:p>
        </w:tc>
        <w:tc>
          <w:tcPr>
            <w:tcW w:w="684" w:type="dxa"/>
          </w:tcPr>
          <w:p>
            <w:pPr>
              <w:pStyle w:val="CeldaAPA"/>
              <w:jc w:val="center"/>
            </w:pPr>
            <w:r>
              <w:rPr>
                <w:sz w:val="20"/>
                <w:szCs w:val="20"/>
              </w:rPr>
              <w:t xml:space="preserve">—</w:t>
            </w:r>
          </w:p>
        </w:tc>
        <w:tc>
          <w:tcPr>
            <w:tcW w:w="857" w:type="dxa"/>
          </w:tcPr>
          <w:p>
            <w:pPr>
              <w:pStyle w:val="CeldaAPA"/>
              <w:jc w:val="center"/>
            </w:pPr>
            <w:r>
              <w:rPr>
                <w:sz w:val="20"/>
                <w:szCs w:val="20"/>
              </w:rPr>
              <w:t xml:space="preserve">—</w:t>
            </w:r>
          </w:p>
        </w:tc>
        <w:tc>
          <w:tcPr>
            <w:tcW w:w="1027" w:type="dxa"/>
          </w:tcPr>
          <w:p>
            <w:pPr>
              <w:pStyle w:val="CeldaAPA"/>
              <w:jc w:val="center"/>
            </w:pPr>
            <w:r>
              <w:rPr>
                <w:sz w:val="20"/>
                <w:szCs w:val="20"/>
              </w:rPr>
              <w:t xml:space="preserve">—</w:t>
            </w:r>
          </w:p>
        </w:tc>
        <w:tc>
          <w:tcPr>
            <w:tcW w:w="981" w:type="dxa"/>
          </w:tcPr>
          <w:p>
            <w:pPr>
              <w:pStyle w:val="CeldaAPA"/>
            </w:pPr>
          </w:p>
        </w:tc>
      </w:tr>
      <w:tr>
        <w:tc>
          <w:tcPr>
            <w:tcW w:w="1725" w:type="dxa"/>
          </w:tcPr>
          <w:p>
            <w:pPr>
              <w:pStyle w:val="CeldaAPA"/>
              <w:jc w:val="left"/>
            </w:pPr>
            <w:r>
              <w:rPr>
                <w:sz w:val="20"/>
                <w:szCs w:val="20"/>
              </w:rPr>
              <w:t xml:space="preserve">Cemento (bolsas)</w:t>
            </w:r>
          </w:p>
        </w:tc>
        <w:tc>
          <w:tcPr>
            <w:tcW w:w="650" w:type="dxa"/>
          </w:tcPr>
          <w:p>
            <w:pPr>
              <w:pStyle w:val="CeldaAPA"/>
            </w:pPr>
          </w:p>
        </w:tc>
        <w:tc>
          <w:tcPr>
            <w:tcW w:w="1226" w:type="dxa"/>
          </w:tcPr>
          <w:p>
            <w:pPr>
              <w:pStyle w:val="CeldaAPA"/>
            </w:pPr>
          </w:p>
        </w:tc>
        <w:tc>
          <w:tcPr>
            <w:tcW w:w="1140" w:type="dxa"/>
          </w:tcPr>
          <w:p>
            <w:pPr>
              <w:pStyle w:val="CeldaAPA"/>
            </w:pPr>
          </w:p>
        </w:tc>
        <w:tc>
          <w:tcPr>
            <w:tcW w:w="684" w:type="dxa"/>
          </w:tcPr>
          <w:p>
            <w:pPr>
              <w:pStyle w:val="CeldaAPA"/>
            </w:pPr>
          </w:p>
        </w:tc>
        <w:tc>
          <w:tcPr>
            <w:tcW w:w="684" w:type="dxa"/>
          </w:tcPr>
          <w:p>
            <w:pPr>
              <w:pStyle w:val="CeldaAPA"/>
            </w:pPr>
          </w:p>
        </w:tc>
        <w:tc>
          <w:tcPr>
            <w:tcW w:w="709" w:type="dxa"/>
          </w:tcPr>
          <w:p>
            <w:pPr>
              <w:pStyle w:val="CeldaAPA"/>
              <w:jc w:val="center"/>
            </w:pPr>
            <w:r>
              <w:rPr>
                <w:sz w:val="20"/>
                <w:szCs w:val="20"/>
              </w:rPr>
              <w:t xml:space="preserve">—</w:t>
            </w:r>
          </w:p>
        </w:tc>
        <w:tc>
          <w:tcPr>
            <w:tcW w:w="684" w:type="dxa"/>
          </w:tcPr>
          <w:p>
            <w:pPr>
              <w:pStyle w:val="CeldaAPA"/>
              <w:jc w:val="center"/>
            </w:pPr>
            <w:r>
              <w:rPr>
                <w:sz w:val="20"/>
                <w:szCs w:val="20"/>
              </w:rPr>
              <w:t xml:space="preserve">—</w:t>
            </w:r>
          </w:p>
        </w:tc>
        <w:tc>
          <w:tcPr>
            <w:tcW w:w="857" w:type="dxa"/>
          </w:tcPr>
          <w:p>
            <w:pPr>
              <w:pStyle w:val="CeldaAPA"/>
              <w:jc w:val="center"/>
            </w:pPr>
            <w:r>
              <w:rPr>
                <w:sz w:val="20"/>
                <w:szCs w:val="20"/>
              </w:rPr>
              <w:t xml:space="preserve">—</w:t>
            </w:r>
          </w:p>
        </w:tc>
        <w:tc>
          <w:tcPr>
            <w:tcW w:w="1027" w:type="dxa"/>
          </w:tcPr>
          <w:p>
            <w:pPr>
              <w:pStyle w:val="CeldaAPA"/>
              <w:jc w:val="center"/>
            </w:pPr>
            <w:r>
              <w:rPr>
                <w:sz w:val="20"/>
                <w:szCs w:val="20"/>
              </w:rPr>
              <w:t xml:space="preserve">—</w:t>
            </w:r>
          </w:p>
        </w:tc>
        <w:tc>
          <w:tcPr>
            <w:tcW w:w="981" w:type="dxa"/>
          </w:tcPr>
          <w:p>
            <w:pPr>
              <w:pStyle w:val="CeldaAPA"/>
            </w:pPr>
          </w:p>
        </w:tc>
      </w:tr>
      <w:tr>
        <w:tc>
          <w:tcPr>
            <w:tcW w:w="1725" w:type="dxa"/>
          </w:tcPr>
          <w:p>
            <w:pPr>
              <w:pStyle w:val="CeldaAPA"/>
              <w:jc w:val="left"/>
            </w:pPr>
            <w:r>
              <w:rPr>
                <w:sz w:val="20"/>
                <w:szCs w:val="20"/>
              </w:rPr>
              <w:t xml:space="preserve">Hormigón (m</w:t>
            </w:r>
            <w:r>
              <w:rPr>
                <w:vertAlign w:val="superscript"/>
                <w:sz w:val="20"/>
                <w:szCs w:val="20"/>
              </w:rPr>
              <w:t xml:space="preserve">3</w:t>
            </w:r>
            <w:r>
              <w:rPr>
                <w:sz w:val="20"/>
                <w:szCs w:val="20"/>
              </w:rPr>
              <w:t xml:space="preserve">)</w:t>
            </w:r>
          </w:p>
        </w:tc>
        <w:tc>
          <w:tcPr>
            <w:tcW w:w="650" w:type="dxa"/>
          </w:tcPr>
          <w:p>
            <w:pPr>
              <w:pStyle w:val="CeldaAPA"/>
            </w:pPr>
          </w:p>
        </w:tc>
        <w:tc>
          <w:tcPr>
            <w:tcW w:w="1226" w:type="dxa"/>
          </w:tcPr>
          <w:p>
            <w:pPr>
              <w:pStyle w:val="CeldaAPA"/>
            </w:pPr>
          </w:p>
        </w:tc>
        <w:tc>
          <w:tcPr>
            <w:tcW w:w="1140" w:type="dxa"/>
          </w:tcPr>
          <w:p>
            <w:pPr>
              <w:pStyle w:val="CeldaAPA"/>
            </w:pPr>
          </w:p>
        </w:tc>
        <w:tc>
          <w:tcPr>
            <w:tcW w:w="684" w:type="dxa"/>
          </w:tcPr>
          <w:p>
            <w:pPr>
              <w:pStyle w:val="CeldaAPA"/>
              <w:jc w:val="center"/>
            </w:pPr>
            <w:r>
              <w:rPr>
                <w:sz w:val="20"/>
                <w:szCs w:val="20"/>
              </w:rPr>
              <w:t xml:space="preserve">—</w:t>
            </w:r>
          </w:p>
        </w:tc>
        <w:tc>
          <w:tcPr>
            <w:tcW w:w="684" w:type="dxa"/>
          </w:tcPr>
          <w:p>
            <w:pPr>
              <w:pStyle w:val="CeldaAPA"/>
              <w:jc w:val="center"/>
            </w:pPr>
            <w:r>
              <w:rPr>
                <w:sz w:val="20"/>
                <w:szCs w:val="20"/>
              </w:rPr>
              <w:t xml:space="preserve">—</w:t>
            </w:r>
          </w:p>
        </w:tc>
        <w:tc>
          <w:tcPr>
            <w:tcW w:w="709" w:type="dxa"/>
          </w:tcPr>
          <w:p>
            <w:pPr>
              <w:pStyle w:val="CeldaAPA"/>
            </w:pPr>
          </w:p>
        </w:tc>
        <w:tc>
          <w:tcPr>
            <w:tcW w:w="684" w:type="dxa"/>
          </w:tcPr>
          <w:p>
            <w:pPr>
              <w:pStyle w:val="CeldaAPA"/>
            </w:pPr>
          </w:p>
        </w:tc>
        <w:tc>
          <w:tcPr>
            <w:tcW w:w="857" w:type="dxa"/>
          </w:tcPr>
          <w:p>
            <w:pPr>
              <w:pStyle w:val="CeldaAPA"/>
            </w:pPr>
          </w:p>
        </w:tc>
        <w:tc>
          <w:tcPr>
            <w:tcW w:w="1027" w:type="dxa"/>
          </w:tcPr>
          <w:p>
            <w:pPr>
              <w:pStyle w:val="CeldaAPA"/>
              <w:jc w:val="center"/>
            </w:pPr>
            <w:r>
              <w:rPr>
                <w:sz w:val="20"/>
                <w:szCs w:val="20"/>
              </w:rPr>
              <w:t xml:space="preserve">—</w:t>
            </w:r>
          </w:p>
        </w:tc>
        <w:tc>
          <w:tcPr>
            <w:tcW w:w="981" w:type="dxa"/>
          </w:tcPr>
          <w:p>
            <w:pPr>
              <w:pStyle w:val="CeldaAPA"/>
            </w:pPr>
          </w:p>
        </w:tc>
      </w:tr>
      <w:tr>
        <w:tc>
          <w:tcPr>
            <w:tcW w:w="10367" w:type="dxa"/>
            <w:gridSpan w:val="11"/>
          </w:tcPr>
          <w:p>
            <w:pPr>
              <w:pStyle w:val="CeldaAPA"/>
              <w:jc w:val="left"/>
            </w:pPr>
            <w:r>
              <w:rPr>
                <w:sz w:val="20"/>
                <w:szCs w:val="20"/>
              </w:rPr>
              <w:t xml:space="preserve">Coherencia entre documentos (misma cifra en planilla, cómputo e informes): ☐ Sí ☐ No Acero de la losa pagado en un solo ítem: ☐ Sí ☐ No</w:t>
            </w:r>
          </w:p>
        </w:tc>
      </w:tr>
      <w:tr>
        <w:tc>
          <w:tcPr>
            <w:tcW w:w="10367" w:type="dxa"/>
            <w:gridSpan w:val="11"/>
          </w:tcPr>
          <w:p>
            <w:pPr>
              <w:pStyle w:val="CeldaAPA"/>
              <w:jc w:val="left"/>
            </w:pPr>
            <w:r>
              <w:rPr>
                <w:sz w:val="20"/>
                <w:szCs w:val="20"/>
              </w:rPr>
              <w:t xml:space="preserve">_________________ _________________ _________________ _________________</w:t>
            </w:r>
          </w:p>
        </w:tc>
      </w:tr>
    </w:tbl>
    <w:p>
      <w:pPr>
        <w:pStyle w:val="BodyText"/>
        <w:spacing w:before="240"/>
      </w:pPr>
      <w:r>
        <w:rPr>
          <w:iCs/>
          <w:i/>
        </w:rPr>
        <w:t xml:space="preserve">Nota.</w:t>
      </w:r>
      <w:r>
        <w:t xml:space="preserve"> </w:t>
      </w:r>
      <w:r>
        <w:t xml:space="preserve">Cantidades acumuladas a la fecha de la planilla.</w:t>
      </w:r>
      <w:r>
        <w:t xml:space="preserve"> </w:t>
      </w:r>
      <m:oMath>
        <m:sSub>
          <m:e>
            <m:r>
              <m:t>Q</m:t>
            </m:r>
          </m:e>
          <m:sub>
            <m:r>
              <m:t>T</m:t>
            </m:r>
          </m:sub>
        </m:sSub>
      </m:oMath>
      <w:r>
        <w:t xml:space="preserve">: teórica;</w:t>
      </w:r>
      <w:r>
        <w:t xml:space="preserve"> </w:t>
      </w:r>
      <m:oMath>
        <m:sSub>
          <m:e>
            <m:r>
              <m:t>Q</m:t>
            </m:r>
          </m:e>
          <m:sub>
            <m:r>
              <m:t>E</m:t>
            </m:r>
          </m:sub>
        </m:sSub>
      </m:oMath>
      <w:r>
        <w:t xml:space="preserve">: entregada según remisiones;</w:t>
      </w:r>
      <w:r>
        <w:t xml:space="preserve"> </w:t>
      </w:r>
      <m:oMath>
        <m:sSub>
          <m:e>
            <m:r>
              <m:t>Q</m:t>
            </m:r>
          </m:e>
          <m:sub>
            <m:r>
              <m:t>C</m:t>
            </m:r>
          </m:sub>
        </m:sSub>
      </m:oMath>
      <w:r>
        <w:t xml:space="preserve">: colocada según vales;</w:t>
      </w:r>
      <w:r>
        <w:t xml:space="preserve"> </w:t>
      </w:r>
      <m:oMath>
        <m:sSub>
          <m:e>
            <m:r>
              <m:t>I</m:t>
            </m:r>
          </m:e>
          <m:sub>
            <m:r>
              <m:t>F</m:t>
            </m:r>
          </m:sub>
        </m:sSub>
      </m:oMath>
      <w:r>
        <w:t xml:space="preserve">: existencia física;</w:t>
      </w:r>
      <w:r>
        <w:t xml:space="preserve"> </w:t>
      </w:r>
      <m:oMath>
        <m:sSub>
          <m:e>
            <m:r>
              <m:t>Δ</m:t>
            </m:r>
          </m:e>
          <m:sub>
            <m:r>
              <m:t>I</m:t>
            </m:r>
          </m:sub>
        </m:sSub>
        <m:r>
          <m:rPr>
            <m:sty m:val="p"/>
          </m:rPr>
          <m:t>=</m:t>
        </m:r>
        <m:sSub>
          <m:e>
            <m:r>
              <m:t>Q</m:t>
            </m:r>
          </m:e>
          <m:sub>
            <m:r>
              <m:t>E</m:t>
            </m:r>
          </m:sub>
        </m:sSub>
        <m:r>
          <m:rPr>
            <m:sty m:val="p"/>
          </m:rPr>
          <m:t>−</m:t>
        </m:r>
        <m:sSub>
          <m:e>
            <m:r>
              <m:t>Q</m:t>
            </m:r>
          </m:e>
          <m:sub>
            <m:r>
              <m:t>C</m:t>
            </m:r>
          </m:sub>
        </m:sSub>
        <m:r>
          <m:rPr>
            <m:sty m:val="p"/>
          </m:rPr>
          <m:t>−</m:t>
        </m:r>
        <m:sSub>
          <m:e>
            <m:r>
              <m:t>I</m:t>
            </m:r>
          </m:e>
          <m:sub>
            <m:r>
              <m:t>F</m:t>
            </m:r>
          </m:sub>
        </m:sSub>
      </m:oMath>
      <w:r>
        <w:t xml:space="preserve">;</w:t>
      </w:r>
      <w:r>
        <w:t xml:space="preserve"> </w:t>
      </w:r>
      <m:oMath>
        <m:sSub>
          <m:e>
            <m:r>
              <m:t>Q</m:t>
            </m:r>
          </m:e>
          <m:sub>
            <m:r>
              <m:t>M</m:t>
            </m:r>
          </m:sub>
        </m:sSub>
      </m:oMath>
      <w:r>
        <w:t xml:space="preserve">: medida con la Supervisión;</w:t>
      </w:r>
      <w:r>
        <w:t xml:space="preserve"> </w:t>
      </w:r>
      <m:oMath>
        <m:sSub>
          <m:e>
            <m:r>
              <m:t>Q</m:t>
            </m:r>
          </m:e>
          <m:sub>
            <m:r>
              <m:t>P</m:t>
            </m:r>
          </m:sub>
        </m:sSub>
      </m:oMath>
      <w:r>
        <w:t xml:space="preserve">: pagada;</w:t>
      </w:r>
      <w:r>
        <w:t xml:space="preserve"> </w:t>
      </w:r>
      <m:oMath>
        <m:sSub>
          <m:e>
            <m:r>
              <m:t>δ</m:t>
            </m:r>
          </m:e>
          <m:sub>
            <m:r>
              <m:t>P</m:t>
            </m:r>
            <m:r>
              <m:rPr>
                <m:sty m:val="p"/>
              </m:rPr>
              <m:t>/</m:t>
            </m:r>
            <m:r>
              <m:t>M</m:t>
            </m:r>
          </m:sub>
        </m:sSub>
        <m:r>
          <m:rPr>
            <m:sty m:val="p"/>
          </m:rPr>
          <m:t>=</m:t>
        </m:r>
        <m:d>
          <m:dPr>
            <m:begChr m:val="("/>
            <m:endChr m:val=")"/>
            <m:sepChr m:val=""/>
            <m:grow/>
          </m:dPr>
          <m:e>
            <m:sSub>
              <m:e>
                <m:r>
                  <m:t>Q</m:t>
                </m:r>
              </m:e>
              <m:sub>
                <m:r>
                  <m:t>P</m:t>
                </m:r>
              </m:sub>
            </m:sSub>
            <m:r>
              <m:rPr>
                <m:sty m:val="p"/>
              </m:rPr>
              <m:t>−</m:t>
            </m:r>
            <m:sSub>
              <m:e>
                <m:r>
                  <m:t>Q</m:t>
                </m:r>
              </m:e>
              <m:sub>
                <m:r>
                  <m:t>M</m:t>
                </m:r>
              </m:sub>
            </m:sSub>
          </m:e>
        </m:d>
        <m:r>
          <m:rPr>
            <m:sty m:val="p"/>
          </m:rPr>
          <m:t>/</m:t>
        </m:r>
        <m:sSub>
          <m:e>
            <m:r>
              <m:t>Q</m:t>
            </m:r>
          </m:e>
          <m:sub>
            <m:r>
              <m:t>M</m:t>
            </m:r>
          </m:sub>
        </m:sSub>
        <m:r>
          <m:rPr>
            <m:sty m:val="p"/>
          </m:rPr>
          <m:t>×</m:t>
        </m:r>
        <m:r>
          <m:t>100</m:t>
        </m:r>
      </m:oMath>
      <w:r>
        <w:t xml:space="preserve">; kg/m</w:t>
      </w:r>
      <w:r>
        <w:rPr>
          <w:vertAlign w:val="superscript"/>
        </w:rPr>
        <w:t xml:space="preserve">2</w:t>
      </w:r>
      <w:r>
        <w:t xml:space="preserve">: cuantía de acero de la losa.</w:t>
      </w:r>
    </w:p>
    <w:p>
      <w:pPr>
        <w:pStyle w:val="Heading2"/>
      </w:pPr>
      <w:bookmarkStart w:id="333" w:name="tit158"/>
      <w:r>
        <w:t xml:space="preserve">C.5. Registro de no conformidades y acción correctiva</w:t>
      </w:r>
      <w:bookmarkEnd w:id="333"/>
    </w:p>
    <w:p>
      <w:pPr>
        <w:pStyle w:val="FirstParagraph"/>
      </w:pPr>
      <w:r>
        <w:rPr>
          <w:bCs/>
          <w:b/>
        </w:rPr>
        <w:t xml:space="preserve">Uso.</w:t>
      </w:r>
      <w:r>
        <w:t xml:space="preserve"> </w:t>
      </w:r>
      <w:r>
        <w:t xml:space="preserve">Un registro por no conformidad (NC), abierto dentro de las 24 h de su detección y cerrado en 7 días o menos (objetivo OC9). Procedimiento: Figura 12. El costo se traslada a la planilla C.6.</w:t>
      </w:r>
    </w:p>
    <w:tbl>
      <w:tblPr>
        <w:tblStyle w:val="Table"/>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0" w:lastRow="0" w:firstColumn="0" w:lastColumn="0" w:noHBand="0" w:noVBand="0" w:val="0000"/>
      </w:tblPr>
      <w:tblGrid>
        <w:gridCol w:w="2930"/>
        <w:gridCol w:w="4240"/>
        <w:gridCol w:w="1900"/>
      </w:tblGrid>
      <w:tr>
        <w:tc>
          <w:tcPr>
            <w:tcW w:w="2930" w:type="dxa"/>
          </w:tcPr>
          <w:p>
            <w:pPr>
              <w:pStyle w:val="CeldaAPA"/>
              <w:jc w:val="left"/>
            </w:pPr>
            <w:r>
              <w:rPr>
                <w:bCs/>
                <w:b/>
                <w:sz w:val="20"/>
                <w:szCs w:val="20"/>
              </w:rPr>
              <w:t xml:space="preserve">UATF – Edificio de Posgrado</w:t>
            </w:r>
          </w:p>
        </w:tc>
        <w:tc>
          <w:tcPr>
            <w:tcW w:w="4240" w:type="dxa"/>
            <w:vMerge w:val="restart"/>
          </w:tcPr>
          <w:p>
            <w:pPr>
              <w:pStyle w:val="CeldaAPA"/>
              <w:jc w:val="left"/>
            </w:pPr>
            <w:r>
              <w:rPr>
                <w:bCs/>
                <w:b/>
                <w:sz w:val="20"/>
                <w:szCs w:val="20"/>
              </w:rPr>
              <w:t xml:space="preserve">Registro de no conformidad y acción correctiva</w:t>
            </w:r>
          </w:p>
        </w:tc>
        <w:tc>
          <w:tcPr>
            <w:tcW w:w="1900" w:type="dxa"/>
          </w:tcPr>
          <w:p>
            <w:pPr>
              <w:pStyle w:val="CeldaAPA"/>
              <w:jc w:val="left"/>
            </w:pPr>
            <w:r>
              <w:rPr>
                <w:bCs/>
                <w:b/>
                <w:sz w:val="20"/>
                <w:szCs w:val="20"/>
              </w:rPr>
              <w:t xml:space="preserve">Código:</w:t>
            </w:r>
            <w:r>
              <w:rPr>
                <w:sz w:val="20"/>
                <w:szCs w:val="20"/>
              </w:rPr>
              <w:t xml:space="preserve"> </w:t>
            </w:r>
            <w:r>
              <w:rPr>
                <w:sz w:val="20"/>
                <w:szCs w:val="20"/>
              </w:rPr>
              <w:t xml:space="preserve">C.5</w:t>
            </w:r>
          </w:p>
        </w:tc>
      </w:tr>
      <w:tr>
        <w:tc>
          <w:tcPr>
            <w:tcW w:w="2930" w:type="dxa"/>
          </w:tcPr>
          <w:p>
            <w:pPr>
              <w:pStyle w:val="CeldaAPA"/>
              <w:jc w:val="left"/>
            </w:pPr>
            <w:r>
              <w:rPr>
                <w:sz w:val="20"/>
                <w:szCs w:val="20"/>
              </w:rPr>
              <w:t xml:space="preserve">Ítem 13: losa alivianada h = 25 cm</w:t>
            </w:r>
          </w:p>
        </w:tc>
        <w:tc>
          <w:tcPr>
            <w:tcW w:w="4240" w:type="dxa"/>
            <w:gridSpan w:val="1"/>
            <w:vMerge w:val="continue"/>
          </w:tcPr>
          <w:p>
            <w:pPr>
              <w:pStyle w:val="CeldaAPA"/>
            </w:pPr>
          </w:p>
        </w:tc>
        <w:tc>
          <w:tcPr>
            <w:tcW w:w="1900" w:type="dxa"/>
          </w:tcPr>
          <w:p>
            <w:pPr>
              <w:pStyle w:val="CeldaAPA"/>
              <w:jc w:val="left"/>
            </w:pPr>
            <w:r>
              <w:rPr>
                <w:sz w:val="20"/>
                <w:szCs w:val="20"/>
              </w:rPr>
              <w:t xml:space="preserve">Versión 0</w:t>
            </w:r>
          </w:p>
        </w:tc>
      </w:tr>
    </w:tbl>
    <w:tbl>
      <w:tblPr>
        <w:tblStyle w:val="Table"/>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0" w:lastRow="0" w:firstColumn="0" w:lastColumn="0" w:noHBand="0" w:noVBand="0" w:val="0000"/>
      </w:tblPr>
      <w:tblGrid>
        <w:gridCol w:w="3120"/>
        <w:gridCol w:w="3120"/>
        <w:gridCol w:w="3120"/>
      </w:tblGrid>
      <w:tr>
        <w:tc>
          <w:tcPr>
            <w:tcW w:w="3120" w:type="dxa"/>
          </w:tcPr>
          <w:p>
            <w:pPr>
              <w:pStyle w:val="CeldaAPA"/>
              <w:jc w:val="left"/>
            </w:pPr>
            <w:r>
              <w:rPr>
                <w:sz w:val="20"/>
                <w:szCs w:val="20"/>
              </w:rPr>
              <w:t xml:space="preserve">NC N.</w:t>
            </w:r>
            <w:r>
              <w:rPr>
                <w:vertAlign w:val="superscript"/>
                <w:sz w:val="20"/>
                <w:szCs w:val="20"/>
              </w:rPr>
              <w:t xml:space="preserve">o</w:t>
            </w:r>
            <w:r>
              <w:rPr>
                <w:sz w:val="20"/>
                <w:szCs w:val="20"/>
              </w:rPr>
              <w:t xml:space="preserve"> ______________</w:t>
            </w:r>
          </w:p>
        </w:tc>
        <w:tc>
          <w:tcPr>
            <w:tcW w:w="3120" w:type="dxa"/>
          </w:tcPr>
          <w:p>
            <w:pPr>
              <w:pStyle w:val="CeldaAPA"/>
              <w:jc w:val="left"/>
            </w:pPr>
            <w:r>
              <w:rPr>
                <w:sz w:val="20"/>
                <w:szCs w:val="20"/>
              </w:rPr>
              <w:t xml:space="preserve">Fecha de detección ______________</w:t>
            </w:r>
          </w:p>
        </w:tc>
        <w:tc>
          <w:tcPr>
            <w:tcW w:w="3120" w:type="dxa"/>
          </w:tcPr>
          <w:p>
            <w:pPr>
              <w:pStyle w:val="CeldaAPA"/>
              <w:jc w:val="left"/>
            </w:pPr>
            <w:r>
              <w:rPr>
                <w:sz w:val="20"/>
                <w:szCs w:val="20"/>
              </w:rPr>
              <w:t xml:space="preserve">Detectada por ______________</w:t>
            </w:r>
          </w:p>
        </w:tc>
      </w:tr>
      <w:tr>
        <w:tc>
          <w:tcPr>
            <w:tcW w:w="3120" w:type="dxa"/>
          </w:tcPr>
          <w:p>
            <w:pPr>
              <w:pStyle w:val="CeldaAPA"/>
              <w:jc w:val="left"/>
            </w:pPr>
            <w:r>
              <w:rPr>
                <w:sz w:val="20"/>
                <w:szCs w:val="20"/>
              </w:rPr>
              <w:t xml:space="preserve">Losa / paño / lote ______________</w:t>
            </w:r>
          </w:p>
        </w:tc>
        <w:tc>
          <w:tcPr>
            <w:tcW w:w="3120" w:type="dxa"/>
          </w:tcPr>
          <w:p>
            <w:pPr>
              <w:pStyle w:val="CeldaAPA"/>
              <w:jc w:val="left"/>
            </w:pPr>
            <w:r>
              <w:rPr>
                <w:sz w:val="20"/>
                <w:szCs w:val="20"/>
              </w:rPr>
              <w:t xml:space="preserve">Requisito incumplido (plano, ET, PPI, PCM, contrato) ______________</w:t>
            </w:r>
          </w:p>
        </w:tc>
        <w:tc>
          <w:tcPr>
            <w:tcW w:w="3120" w:type="dxa"/>
          </w:tcPr>
          <w:p>
            <w:pPr>
              <w:pStyle w:val="CeldaAPA"/>
              <w:jc w:val="left"/>
            </w:pPr>
            <w:r>
              <w:rPr>
                <w:sz w:val="20"/>
                <w:szCs w:val="20"/>
              </w:rPr>
              <w:t xml:space="preserve">Referencia ______________</w:t>
            </w:r>
          </w:p>
        </w:tc>
      </w:tr>
      <w:tr>
        <w:tc>
          <w:tcPr>
            <w:tcW w:w="9360" w:type="dxa"/>
            <w:gridSpan w:val="3"/>
          </w:tcPr>
          <w:p>
            <w:pPr>
              <w:pStyle w:val="CeldaAPA"/>
              <w:jc w:val="left"/>
            </w:pPr>
            <w:r>
              <w:rPr>
                <w:sz w:val="20"/>
                <w:szCs w:val="20"/>
              </w:rPr>
              <w:t xml:space="preserve">Proceso: ☐ Recepción ☐ Almacén ☐ Ejecución del paño ☐ Hormigón ☐ Cantidades ☐ Documentos Clasificación: ☐ Crítica ☐ Mayor ☐ Menor</w:t>
            </w:r>
          </w:p>
        </w:tc>
      </w:tr>
    </w:tbl>
    <w:tbl>
      <w:tblPr>
        <w:tblStyle w:val="Table"/>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1" w:lastRow="0" w:firstColumn="0" w:lastColumn="0" w:noHBand="0" w:noVBand="0" w:val="0020"/>
      </w:tblPr>
      <w:tblGrid>
        <w:gridCol w:w="9360"/>
      </w:tblGrid>
      <w:tr>
        <w:trPr>
          <w:cantSplit/>
          <w:tblHeader w:val="true"/>
        </w:trPr>
        <w:tc>
          <w:tcPr>
            <w:tcW w:w="9360" w:type="dxa"/>
          </w:tcPr>
          <w:p>
            <w:pPr>
              <w:pStyle w:val="CeldaAPA"/>
              <w:jc w:val="left"/>
            </w:pPr>
            <w:r>
              <w:rPr>
                <w:bCs/>
                <w:b/>
                <w:sz w:val="20"/>
                <w:szCs w:val="20"/>
              </w:rPr>
              <w:t xml:space="preserve">1. Descripción de la no conformidad</w:t>
            </w:r>
            <w:r>
              <w:rPr>
                <w:sz w:val="20"/>
                <w:szCs w:val="20"/>
              </w:rPr>
              <w:t xml:space="preserve"> </w:t>
            </w:r>
            <w:r>
              <w:rPr>
                <w:sz w:val="20"/>
                <w:szCs w:val="20"/>
              </w:rPr>
              <w:t xml:space="preserve">(qué se encontró, dónde, magnitud; fotografía N.</w:t>
            </w:r>
            <w:r>
              <w:rPr>
                <w:vertAlign w:val="superscript"/>
                <w:sz w:val="20"/>
                <w:szCs w:val="20"/>
              </w:rPr>
              <w:t xml:space="preserve">o</w:t>
            </w:r>
            <w:r>
              <w:rPr>
                <w:sz w:val="20"/>
                <w:szCs w:val="20"/>
              </w:rPr>
              <w:t xml:space="preserve">)</w:t>
            </w:r>
          </w:p>
        </w:tc>
      </w:tr>
      <w:tr>
        <w:tc>
          <w:tcPr>
            <w:tcW w:w="9360" w:type="dxa"/>
          </w:tcPr>
          <w:p>
            <w:pPr>
              <w:pStyle w:val="CeldaAPA"/>
              <w:jc w:val="left"/>
            </w:pPr>
            <w:r>
              <w:rPr>
                <w:bCs/>
                <w:b/>
                <w:sz w:val="20"/>
                <w:szCs w:val="20"/>
              </w:rPr>
              <w:t xml:space="preserve">2. Contención y corrección</w:t>
            </w:r>
            <w:r>
              <w:rPr>
                <w:sz w:val="20"/>
                <w:szCs w:val="20"/>
              </w:rPr>
              <w:t xml:space="preserve"> </w:t>
            </w:r>
            <w:r>
              <w:rPr>
                <w:sz w:val="20"/>
                <w:szCs w:val="20"/>
              </w:rPr>
              <w:t xml:space="preserve">Paño o lote retenido: ☐ Sí ☐ No Acción inmediata, responsable y fecha:</w:t>
            </w:r>
          </w:p>
        </w:tc>
      </w:tr>
      <w:tr>
        <w:tc>
          <w:tcPr>
            <w:tcW w:w="9360" w:type="dxa"/>
          </w:tcPr>
          <w:p>
            <w:pPr>
              <w:pStyle w:val="CeldaAPA"/>
              <w:jc w:val="left"/>
            </w:pPr>
            <w:r>
              <w:rPr>
                <w:bCs/>
                <w:b/>
                <w:sz w:val="20"/>
                <w:szCs w:val="20"/>
              </w:rPr>
              <w:t xml:space="preserve">3. Análisis de causa.</w:t>
            </w:r>
            <w:r>
              <w:rPr>
                <w:sz w:val="20"/>
                <w:szCs w:val="20"/>
              </w:rPr>
              <w:t xml:space="preserve"> </w:t>
            </w:r>
            <w:r>
              <w:rPr>
                <w:iCs/>
                <w:i/>
                <w:sz w:val="20"/>
                <w:szCs w:val="20"/>
              </w:rPr>
              <w:t xml:space="preserve">5 porqués:</w:t>
            </w:r>
          </w:p>
        </w:tc>
      </w:tr>
      <w:tr>
        <w:tc>
          <w:tcPr>
            <w:tcW w:w="9360" w:type="dxa"/>
          </w:tcPr>
          <w:p>
            <w:pPr>
              <w:pStyle w:val="CeldaAPA"/>
              <w:jc w:val="left"/>
            </w:pPr>
            <w:r>
              <w:rPr>
                <w:sz w:val="20"/>
                <w:szCs w:val="20"/>
              </w:rPr>
              <w:t xml:space="preserve">1. ¿Por qué? ______________</w:t>
            </w:r>
          </w:p>
        </w:tc>
      </w:tr>
      <w:tr>
        <w:tc>
          <w:tcPr>
            <w:tcW w:w="9360" w:type="dxa"/>
          </w:tcPr>
          <w:p>
            <w:pPr>
              <w:pStyle w:val="CeldaAPA"/>
              <w:jc w:val="left"/>
            </w:pPr>
            <w:r>
              <w:rPr>
                <w:sz w:val="20"/>
                <w:szCs w:val="20"/>
              </w:rPr>
              <w:t xml:space="preserve">2. ¿Por qué? ______________</w:t>
            </w:r>
          </w:p>
        </w:tc>
      </w:tr>
      <w:tr>
        <w:tc>
          <w:tcPr>
            <w:tcW w:w="9360" w:type="dxa"/>
          </w:tcPr>
          <w:p>
            <w:pPr>
              <w:pStyle w:val="CeldaAPA"/>
              <w:jc w:val="left"/>
            </w:pPr>
            <w:r>
              <w:rPr>
                <w:sz w:val="20"/>
                <w:szCs w:val="20"/>
              </w:rPr>
              <w:t xml:space="preserve">3. ¿Por qué? ______________</w:t>
            </w:r>
          </w:p>
        </w:tc>
      </w:tr>
      <w:tr>
        <w:tc>
          <w:tcPr>
            <w:tcW w:w="9360" w:type="dxa"/>
          </w:tcPr>
          <w:p>
            <w:pPr>
              <w:pStyle w:val="CeldaAPA"/>
              <w:jc w:val="left"/>
            </w:pPr>
            <w:r>
              <w:rPr>
                <w:sz w:val="20"/>
                <w:szCs w:val="20"/>
              </w:rPr>
              <w:t xml:space="preserve">4. ¿Por qué? ______________</w:t>
            </w:r>
          </w:p>
        </w:tc>
      </w:tr>
      <w:tr>
        <w:tc>
          <w:tcPr>
            <w:tcW w:w="9360" w:type="dxa"/>
          </w:tcPr>
          <w:p>
            <w:pPr>
              <w:pStyle w:val="CeldaAPA"/>
              <w:jc w:val="left"/>
            </w:pPr>
            <w:r>
              <w:rPr>
                <w:sz w:val="20"/>
                <w:szCs w:val="20"/>
              </w:rPr>
              <w:t xml:space="preserve">5. ¿Por qué? ______________</w:t>
            </w:r>
          </w:p>
        </w:tc>
      </w:tr>
      <w:tr>
        <w:tc>
          <w:tcPr>
            <w:tcW w:w="9360" w:type="dxa"/>
          </w:tcPr>
          <w:p>
            <w:pPr>
              <w:pStyle w:val="CeldaAPA"/>
              <w:jc w:val="left"/>
            </w:pPr>
            <w:r>
              <w:rPr>
                <w:iCs/>
                <w:i/>
                <w:sz w:val="20"/>
                <w:szCs w:val="20"/>
              </w:rPr>
              <w:t xml:space="preserve">Ishikawa (6M):</w:t>
            </w:r>
            <w:r>
              <w:rPr>
                <w:sz w:val="20"/>
                <w:szCs w:val="20"/>
              </w:rPr>
              <w:t xml:space="preserve"> </w:t>
            </w:r>
            <w:r>
              <w:rPr>
                <w:sz w:val="20"/>
                <w:szCs w:val="20"/>
              </w:rPr>
              <w:t xml:space="preserve">☐ Mano de obra ☐ Método ☐ Materiales ☐ Maquinaria ☐ Medición ☐ Medio ambiente Causa raíz: ______________</w:t>
            </w:r>
          </w:p>
        </w:tc>
      </w:tr>
    </w:tbl>
    <w:tbl>
      <w:tblPr>
        <w:tblStyle w:val="Table"/>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1" w:lastRow="0" w:firstColumn="0" w:lastColumn="0" w:noHBand="0" w:noVBand="0" w:val="0020"/>
      </w:tblPr>
      <w:tblGrid>
        <w:gridCol w:w="666"/>
        <w:gridCol w:w="3419"/>
        <w:gridCol w:w="1913"/>
        <w:gridCol w:w="1455"/>
        <w:gridCol w:w="1907"/>
      </w:tblGrid>
      <w:tr>
        <w:trPr>
          <w:cantSplit/>
          <w:tblHeader w:val="true"/>
        </w:trPr>
        <w:tc>
          <w:tcPr>
            <w:tcW w:w="9360" w:type="dxa"/>
            <w:gridSpan w:val="5"/>
          </w:tcPr>
          <w:p>
            <w:pPr>
              <w:pStyle w:val="CeldaAPA"/>
              <w:jc w:val="left"/>
            </w:pPr>
            <w:r>
              <w:rPr>
                <w:bCs/>
                <w:b/>
                <w:sz w:val="20"/>
                <w:szCs w:val="20"/>
              </w:rPr>
              <w:t xml:space="preserve">4. Acción correctiva</w:t>
            </w:r>
            <w:r>
              <w:rPr>
                <w:sz w:val="20"/>
                <w:szCs w:val="20"/>
              </w:rPr>
              <w:t xml:space="preserve"> </w:t>
            </w:r>
            <w:r>
              <w:rPr>
                <w:sz w:val="20"/>
                <w:szCs w:val="20"/>
              </w:rPr>
              <w:t xml:space="preserve">(elimina la causa; la aprueba el Director de obra)</w:t>
            </w:r>
          </w:p>
        </w:tc>
      </w:tr>
      <w:tr>
        <w:tc>
          <w:tcPr>
            <w:tcW w:w="666" w:type="dxa"/>
          </w:tcPr>
          <w:p>
            <w:pPr>
              <w:pStyle w:val="CeldaAPA"/>
              <w:jc w:val="center"/>
            </w:pPr>
            <w:r>
              <w:rPr>
                <w:bCs/>
                <w:b/>
                <w:sz w:val="20"/>
                <w:szCs w:val="20"/>
              </w:rPr>
              <w:t xml:space="preserve">N.</w:t>
            </w:r>
            <w:r>
              <w:rPr>
                <w:vertAlign w:val="superscript"/>
                <w:bCs/>
                <w:b/>
                <w:sz w:val="20"/>
                <w:szCs w:val="20"/>
              </w:rPr>
              <w:t xml:space="preserve">o</w:t>
            </w:r>
          </w:p>
        </w:tc>
        <w:tc>
          <w:tcPr>
            <w:tcW w:w="3419" w:type="dxa"/>
          </w:tcPr>
          <w:p>
            <w:pPr>
              <w:pStyle w:val="CeldaAPA"/>
              <w:jc w:val="left"/>
            </w:pPr>
            <w:r>
              <w:rPr>
                <w:bCs/>
                <w:b/>
                <w:sz w:val="20"/>
                <w:szCs w:val="20"/>
              </w:rPr>
              <w:t xml:space="preserve">Acción</w:t>
            </w:r>
          </w:p>
        </w:tc>
        <w:tc>
          <w:tcPr>
            <w:tcW w:w="1913" w:type="dxa"/>
          </w:tcPr>
          <w:p>
            <w:pPr>
              <w:pStyle w:val="CeldaAPA"/>
              <w:jc w:val="left"/>
            </w:pPr>
            <w:r>
              <w:rPr>
                <w:bCs/>
                <w:b/>
                <w:sz w:val="20"/>
                <w:szCs w:val="20"/>
              </w:rPr>
              <w:t xml:space="preserve">Responsable</w:t>
            </w:r>
          </w:p>
        </w:tc>
        <w:tc>
          <w:tcPr>
            <w:tcW w:w="1455" w:type="dxa"/>
          </w:tcPr>
          <w:p>
            <w:pPr>
              <w:pStyle w:val="CeldaAPA"/>
              <w:jc w:val="left"/>
            </w:pPr>
            <w:r>
              <w:rPr>
                <w:bCs/>
                <w:b/>
                <w:sz w:val="20"/>
                <w:szCs w:val="20"/>
              </w:rPr>
              <w:t xml:space="preserve">Plazo</w:t>
            </w:r>
          </w:p>
        </w:tc>
        <w:tc>
          <w:tcPr>
            <w:tcW w:w="1907" w:type="dxa"/>
          </w:tcPr>
          <w:p>
            <w:pPr>
              <w:pStyle w:val="CeldaAPA"/>
              <w:jc w:val="left"/>
            </w:pPr>
            <w:r>
              <w:rPr>
                <w:bCs/>
                <w:b/>
                <w:sz w:val="20"/>
                <w:szCs w:val="20"/>
              </w:rPr>
              <w:t xml:space="preserve">Recursos</w:t>
            </w:r>
          </w:p>
        </w:tc>
      </w:tr>
      <w:tr>
        <w:tc>
          <w:tcPr>
            <w:tcW w:w="666" w:type="dxa"/>
          </w:tcPr>
          <w:p>
            <w:pPr>
              <w:pStyle w:val="CeldaAPA"/>
              <w:jc w:val="center"/>
            </w:pPr>
            <w:r>
              <w:rPr>
                <w:sz w:val="20"/>
                <w:szCs w:val="20"/>
              </w:rPr>
              <w:t xml:space="preserve">1</w:t>
            </w:r>
          </w:p>
        </w:tc>
        <w:tc>
          <w:tcPr>
            <w:tcW w:w="3419" w:type="dxa"/>
          </w:tcPr>
          <w:p>
            <w:pPr>
              <w:pStyle w:val="CeldaAPA"/>
            </w:pPr>
          </w:p>
        </w:tc>
        <w:tc>
          <w:tcPr>
            <w:tcW w:w="1913" w:type="dxa"/>
          </w:tcPr>
          <w:p>
            <w:pPr>
              <w:pStyle w:val="CeldaAPA"/>
            </w:pPr>
          </w:p>
        </w:tc>
        <w:tc>
          <w:tcPr>
            <w:tcW w:w="1455" w:type="dxa"/>
          </w:tcPr>
          <w:p>
            <w:pPr>
              <w:pStyle w:val="CeldaAPA"/>
            </w:pPr>
          </w:p>
        </w:tc>
        <w:tc>
          <w:tcPr>
            <w:tcW w:w="1907" w:type="dxa"/>
          </w:tcPr>
          <w:p>
            <w:pPr>
              <w:pStyle w:val="CeldaAPA"/>
            </w:pPr>
          </w:p>
        </w:tc>
      </w:tr>
      <w:tr>
        <w:tc>
          <w:tcPr>
            <w:tcW w:w="666" w:type="dxa"/>
          </w:tcPr>
          <w:p>
            <w:pPr>
              <w:pStyle w:val="CeldaAPA"/>
              <w:jc w:val="center"/>
            </w:pPr>
            <w:r>
              <w:rPr>
                <w:sz w:val="20"/>
                <w:szCs w:val="20"/>
              </w:rPr>
              <w:t xml:space="preserve">2</w:t>
            </w:r>
          </w:p>
        </w:tc>
        <w:tc>
          <w:tcPr>
            <w:tcW w:w="3419" w:type="dxa"/>
          </w:tcPr>
          <w:p>
            <w:pPr>
              <w:pStyle w:val="CeldaAPA"/>
            </w:pPr>
          </w:p>
        </w:tc>
        <w:tc>
          <w:tcPr>
            <w:tcW w:w="1913" w:type="dxa"/>
          </w:tcPr>
          <w:p>
            <w:pPr>
              <w:pStyle w:val="CeldaAPA"/>
            </w:pPr>
          </w:p>
        </w:tc>
        <w:tc>
          <w:tcPr>
            <w:tcW w:w="1455" w:type="dxa"/>
          </w:tcPr>
          <w:p>
            <w:pPr>
              <w:pStyle w:val="CeldaAPA"/>
            </w:pPr>
          </w:p>
        </w:tc>
        <w:tc>
          <w:tcPr>
            <w:tcW w:w="1907" w:type="dxa"/>
          </w:tcPr>
          <w:p>
            <w:pPr>
              <w:pStyle w:val="CeldaAPA"/>
            </w:pPr>
          </w:p>
        </w:tc>
      </w:tr>
      <w:tr>
        <w:tc>
          <w:tcPr>
            <w:tcW w:w="666" w:type="dxa"/>
          </w:tcPr>
          <w:p>
            <w:pPr>
              <w:pStyle w:val="CeldaAPA"/>
              <w:jc w:val="center"/>
            </w:pPr>
            <w:r>
              <w:rPr>
                <w:sz w:val="20"/>
                <w:szCs w:val="20"/>
              </w:rPr>
              <w:t xml:space="preserve">3</w:t>
            </w:r>
          </w:p>
        </w:tc>
        <w:tc>
          <w:tcPr>
            <w:tcW w:w="3419" w:type="dxa"/>
          </w:tcPr>
          <w:p>
            <w:pPr>
              <w:pStyle w:val="CeldaAPA"/>
            </w:pPr>
          </w:p>
        </w:tc>
        <w:tc>
          <w:tcPr>
            <w:tcW w:w="1913" w:type="dxa"/>
          </w:tcPr>
          <w:p>
            <w:pPr>
              <w:pStyle w:val="CeldaAPA"/>
            </w:pPr>
          </w:p>
        </w:tc>
        <w:tc>
          <w:tcPr>
            <w:tcW w:w="1455" w:type="dxa"/>
          </w:tcPr>
          <w:p>
            <w:pPr>
              <w:pStyle w:val="CeldaAPA"/>
            </w:pPr>
          </w:p>
        </w:tc>
        <w:tc>
          <w:tcPr>
            <w:tcW w:w="1907" w:type="dxa"/>
          </w:tcPr>
          <w:p>
            <w:pPr>
              <w:pStyle w:val="CeldaAPA"/>
            </w:pPr>
          </w:p>
        </w:tc>
      </w:tr>
    </w:tbl>
    <w:tbl>
      <w:tblPr>
        <w:tblStyle w:val="Table"/>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1" w:lastRow="0" w:firstColumn="0" w:lastColumn="0" w:noHBand="0" w:noVBand="0" w:val="0020"/>
      </w:tblPr>
      <w:tblGrid>
        <w:gridCol w:w="4680"/>
        <w:gridCol w:w="4680"/>
      </w:tblGrid>
      <w:tr>
        <w:trPr>
          <w:cantSplit/>
          <w:tblHeader w:val="true"/>
        </w:trPr>
        <w:tc>
          <w:tcPr>
            <w:tcW w:w="9360" w:type="dxa"/>
            <w:gridSpan w:val="2"/>
          </w:tcPr>
          <w:p>
            <w:pPr>
              <w:pStyle w:val="CeldaAPA"/>
              <w:jc w:val="left"/>
            </w:pPr>
            <w:r>
              <w:rPr>
                <w:bCs/>
                <w:b/>
                <w:sz w:val="20"/>
                <w:szCs w:val="20"/>
              </w:rPr>
              <w:t xml:space="preserve">5. Verificación de la eficacia</w:t>
            </w:r>
          </w:p>
        </w:tc>
      </w:tr>
      <w:tr>
        <w:tc>
          <w:tcPr>
            <w:tcW w:w="4680" w:type="dxa"/>
          </w:tcPr>
          <w:p>
            <w:pPr>
              <w:pStyle w:val="CeldaAPA"/>
              <w:jc w:val="left"/>
            </w:pPr>
            <w:r>
              <w:rPr>
                <w:sz w:val="20"/>
                <w:szCs w:val="20"/>
              </w:rPr>
              <w:t xml:space="preserve">Fecha de verificación ______________</w:t>
            </w:r>
          </w:p>
        </w:tc>
        <w:tc>
          <w:tcPr>
            <w:tcW w:w="4680" w:type="dxa"/>
          </w:tcPr>
          <w:p>
            <w:pPr>
              <w:pStyle w:val="CeldaAPA"/>
              <w:jc w:val="left"/>
            </w:pPr>
            <w:r>
              <w:rPr>
                <w:sz w:val="20"/>
                <w:szCs w:val="20"/>
              </w:rPr>
              <w:t xml:space="preserve">Evidencia (paños o lotes revisados) ______________</w:t>
            </w:r>
          </w:p>
        </w:tc>
      </w:tr>
      <w:tr>
        <w:tc>
          <w:tcPr>
            <w:tcW w:w="9360" w:type="dxa"/>
            <w:gridSpan w:val="2"/>
          </w:tcPr>
          <w:p>
            <w:pPr>
              <w:pStyle w:val="CeldaAPA"/>
              <w:jc w:val="left"/>
            </w:pPr>
            <w:r>
              <w:rPr>
                <w:sz w:val="20"/>
                <w:szCs w:val="20"/>
              </w:rPr>
              <w:t xml:space="preserve">¿Se repitió la NC? ☐ No (eficaz) ☐ Sí (no eficaz: nuevo análisis de causa, punto 3)</w:t>
            </w:r>
          </w:p>
        </w:tc>
      </w:tr>
      <w:tr>
        <w:tc>
          <w:tcPr>
            <w:tcW w:w="9360" w:type="dxa"/>
            <w:gridSpan w:val="2"/>
          </w:tcPr>
          <w:p>
            <w:pPr>
              <w:pStyle w:val="CeldaAPA"/>
              <w:jc w:val="left"/>
            </w:pPr>
            <w:r>
              <w:rPr>
                <w:bCs/>
                <w:b/>
                <w:sz w:val="20"/>
                <w:szCs w:val="20"/>
              </w:rPr>
              <w:t xml:space="preserve">6. Costo asociado (precios constantes del contrato)</w:t>
            </w:r>
            <w:r>
              <w:rPr>
                <w:sz w:val="20"/>
                <w:szCs w:val="20"/>
              </w:rPr>
              <w:t xml:space="preserve"> </w:t>
            </w:r>
            <w:r>
              <w:rPr>
                <w:sz w:val="20"/>
                <w:szCs w:val="20"/>
              </w:rPr>
              <w:t xml:space="preserve">Categoría: ☐ Falla interna ☐ Falla externa</w:t>
            </w:r>
          </w:p>
        </w:tc>
      </w:tr>
      <w:tr>
        <w:tc>
          <w:tcPr>
            <w:tcW w:w="4680" w:type="dxa"/>
          </w:tcPr>
          <w:p>
            <w:pPr>
              <w:pStyle w:val="CeldaAPA"/>
              <w:jc w:val="left"/>
            </w:pPr>
            <w:r>
              <w:rPr>
                <w:sz w:val="20"/>
                <w:szCs w:val="20"/>
              </w:rPr>
              <w:t xml:space="preserve">Mano de obra: horas-hombre</w:t>
            </w:r>
            <w:r>
              <w:rPr>
                <w:sz w:val="20"/>
                <w:szCs w:val="20"/>
              </w:rPr>
              <w:t xml:space="preserve"> </w:t>
            </w:r>
            <m:oMath>
              <m:r>
                <m:rPr>
                  <m:sty m:val="p"/>
                </m:rPr>
                <m:t>×</m:t>
              </m:r>
            </m:oMath>
            <w:r>
              <w:rPr>
                <w:sz w:val="20"/>
                <w:szCs w:val="20"/>
              </w:rPr>
              <w:t xml:space="preserve"> </w:t>
            </w:r>
            <w:r>
              <w:rPr>
                <w:sz w:val="20"/>
                <w:szCs w:val="20"/>
              </w:rPr>
              <w:t xml:space="preserve">costo horario = Bs ______________</w:t>
            </w:r>
          </w:p>
        </w:tc>
        <w:tc>
          <w:tcPr>
            <w:tcW w:w="4680" w:type="dxa"/>
          </w:tcPr>
          <w:p>
            <w:pPr>
              <w:pStyle w:val="CeldaAPA"/>
              <w:jc w:val="left"/>
            </w:pPr>
            <w:r>
              <w:rPr>
                <w:sz w:val="20"/>
                <w:szCs w:val="20"/>
              </w:rPr>
              <w:t xml:space="preserve">Materiales: cantidad</w:t>
            </w:r>
            <w:r>
              <w:rPr>
                <w:sz w:val="20"/>
                <w:szCs w:val="20"/>
              </w:rPr>
              <w:t xml:space="preserve"> </w:t>
            </w:r>
            <m:oMath>
              <m:r>
                <m:rPr>
                  <m:sty m:val="p"/>
                </m:rPr>
                <m:t>×</m:t>
              </m:r>
            </m:oMath>
            <w:r>
              <w:rPr>
                <w:sz w:val="20"/>
                <w:szCs w:val="20"/>
              </w:rPr>
              <w:t xml:space="preserve"> </w:t>
            </w:r>
            <w:r>
              <w:rPr>
                <w:sz w:val="20"/>
                <w:szCs w:val="20"/>
              </w:rPr>
              <w:t xml:space="preserve">precio = Bs ______________</w:t>
            </w:r>
          </w:p>
        </w:tc>
      </w:tr>
      <w:tr>
        <w:tc>
          <w:tcPr>
            <w:tcW w:w="4680" w:type="dxa"/>
          </w:tcPr>
          <w:p>
            <w:pPr>
              <w:pStyle w:val="CeldaAPA"/>
              <w:jc w:val="left"/>
            </w:pPr>
            <w:r>
              <w:rPr>
                <w:sz w:val="20"/>
                <w:szCs w:val="20"/>
              </w:rPr>
              <w:t xml:space="preserve">Equipo y ensayos = Bs ______________</w:t>
            </w:r>
          </w:p>
        </w:tc>
        <w:tc>
          <w:tcPr>
            <w:tcW w:w="4680" w:type="dxa"/>
          </w:tcPr>
          <w:p>
            <w:pPr>
              <w:pStyle w:val="CeldaAPA"/>
              <w:jc w:val="left"/>
            </w:pPr>
            <w:r>
              <w:rPr>
                <w:bCs/>
                <w:b/>
                <w:sz w:val="20"/>
                <w:szCs w:val="20"/>
              </w:rPr>
              <w:t xml:space="preserve">Total de la NC = Bs</w:t>
            </w:r>
            <w:r>
              <w:rPr>
                <w:sz w:val="20"/>
                <w:szCs w:val="20"/>
              </w:rPr>
              <w:t xml:space="preserve"> ______________</w:t>
            </w:r>
          </w:p>
        </w:tc>
      </w:tr>
      <w:tr>
        <w:tc>
          <w:tcPr>
            <w:tcW w:w="9360" w:type="dxa"/>
            <w:gridSpan w:val="2"/>
          </w:tcPr>
          <w:p>
            <w:pPr>
              <w:pStyle w:val="CeldaAPA"/>
              <w:jc w:val="left"/>
            </w:pPr>
            <w:r>
              <w:rPr>
                <w:bCs/>
                <w:b/>
                <w:sz w:val="20"/>
                <w:szCs w:val="20"/>
              </w:rPr>
              <w:t xml:space="preserve">7. Cierre</w:t>
            </w:r>
            <w:r>
              <w:rPr>
                <w:sz w:val="20"/>
                <w:szCs w:val="20"/>
              </w:rPr>
              <w:t xml:space="preserve"> </w:t>
            </w:r>
            <w:r>
              <w:rPr>
                <w:sz w:val="20"/>
                <w:szCs w:val="20"/>
              </w:rPr>
              <w:t xml:space="preserve">Fecha de cierre</w:t>
            </w:r>
            <w:r>
              <w:rPr>
                <w:sz w:val="20"/>
                <w:szCs w:val="20"/>
              </w:rPr>
              <w:t xml:space="preserve"> </w:t>
            </w:r>
            <w:r>
              <w:rPr>
                <w:u w:val="single"/>
                <w:sz w:val="20"/>
                <w:szCs w:val="20"/>
              </w:rPr>
              <w:t xml:space="preserve"> </w:t>
            </w:r>
            <w:r>
              <w:rPr>
                <w:sz w:val="20"/>
                <w:szCs w:val="20"/>
              </w:rPr>
              <w:t xml:space="preserve"> </w:t>
            </w:r>
            <w:r>
              <w:rPr>
                <w:sz w:val="20"/>
                <w:szCs w:val="20"/>
              </w:rPr>
              <w:t xml:space="preserve">Días desde la detección</w:t>
            </w:r>
            <w:r>
              <w:rPr>
                <w:sz w:val="20"/>
                <w:szCs w:val="20"/>
              </w:rPr>
              <w:t xml:space="preserve"> </w:t>
            </w:r>
            <w:r>
              <w:rPr>
                <w:u w:val="single"/>
                <w:sz w:val="20"/>
                <w:szCs w:val="20"/>
              </w:rPr>
              <w:t xml:space="preserve"> </w:t>
            </w:r>
            <w:r>
              <w:rPr>
                <w:sz w:val="20"/>
                <w:szCs w:val="20"/>
              </w:rPr>
              <w:t xml:space="preserve"> </w:t>
            </w:r>
            <w:r>
              <w:rPr>
                <w:sz w:val="20"/>
                <w:szCs w:val="20"/>
              </w:rPr>
              <w:t xml:space="preserve">(meta:</w:t>
            </w:r>
            <w:r>
              <w:rPr>
                <w:sz w:val="20"/>
                <w:szCs w:val="20"/>
              </w:rPr>
              <w:t xml:space="preserve"> </w:t>
            </w:r>
            <m:oMath>
              <m:r>
                <m:rPr>
                  <m:sty m:val="p"/>
                </m:rPr>
                <m:t>≤</m:t>
              </m:r>
              <m:r>
                <m:t>7</m:t>
              </m:r>
            </m:oMath>
            <w:r>
              <w:rPr>
                <w:sz w:val="20"/>
                <w:szCs w:val="20"/>
              </w:rPr>
              <w:t xml:space="preserve">) Actualizar: ☐ Riesgos ☐ PPI ☐ Procedimiento</w:t>
            </w:r>
          </w:p>
        </w:tc>
      </w:tr>
      <w:tr>
        <w:tc>
          <w:tcPr>
            <w:tcW w:w="9360" w:type="dxa"/>
            <w:gridSpan w:val="2"/>
          </w:tcPr>
          <w:p>
            <w:pPr>
              <w:pStyle w:val="CeldaAPA"/>
              <w:jc w:val="left"/>
            </w:pPr>
            <w:r>
              <w:rPr>
                <w:sz w:val="20"/>
                <w:szCs w:val="20"/>
              </w:rPr>
              <w:t xml:space="preserve">_________________ _________________ _________________ _________________</w:t>
            </w:r>
          </w:p>
        </w:tc>
      </w:tr>
    </w:tbl>
    <w:p>
      <w:pPr>
        <w:pStyle w:val="BodyText"/>
        <w:spacing w:before="240"/>
      </w:pPr>
      <w:r>
        <w:rPr>
          <w:bCs/>
          <w:b/>
        </w:rPr>
        <w:t xml:space="preserve">Registro general de no conformidades de la losa N.</w:t>
      </w:r>
      <w:r>
        <w:rPr>
          <w:vertAlign w:val="superscript"/>
          <w:bCs/>
          <w:b/>
        </w:rPr>
        <w:t xml:space="preserve">o</w:t>
      </w:r>
      <w:r>
        <w:t xml:space="preserve"> </w:t>
      </w:r>
      <w:r>
        <w:rPr>
          <w:u w:val="single"/>
        </w:rPr>
        <w:t xml:space="preserve"> </w:t>
      </w:r>
    </w:p>
    <w:tbl>
      <w:tblPr>
        <w:tblStyle w:val="Table"/>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1" w:lastRow="0" w:firstColumn="0" w:lastColumn="0" w:noHBand="0" w:noVBand="0" w:val="0020"/>
      </w:tblPr>
      <w:tblGrid>
        <w:gridCol w:w="666"/>
        <w:gridCol w:w="1002"/>
        <w:gridCol w:w="867"/>
        <w:gridCol w:w="899"/>
        <w:gridCol w:w="1606"/>
        <w:gridCol w:w="1655"/>
        <w:gridCol w:w="1002"/>
        <w:gridCol w:w="763"/>
        <w:gridCol w:w="900"/>
      </w:tblGrid>
      <w:tr>
        <w:trPr>
          <w:cantSplit/>
          <w:tblHeader w:val="true"/>
        </w:trPr>
        <w:tc>
          <w:tcPr>
            <w:tcW w:w="666" w:type="dxa"/>
          </w:tcPr>
          <w:p>
            <w:pPr>
              <w:pStyle w:val="CeldaAPA"/>
              <w:jc w:val="center"/>
            </w:pPr>
            <w:r>
              <w:rPr>
                <w:bCs/>
                <w:b/>
                <w:sz w:val="20"/>
                <w:szCs w:val="20"/>
              </w:rPr>
              <w:t xml:space="preserve">NC N.</w:t>
            </w:r>
            <w:r>
              <w:rPr>
                <w:vertAlign w:val="superscript"/>
                <w:bCs/>
                <w:b/>
                <w:sz w:val="20"/>
                <w:szCs w:val="20"/>
              </w:rPr>
              <w:t xml:space="preserve">o</w:t>
            </w:r>
          </w:p>
        </w:tc>
        <w:tc>
          <w:tcPr>
            <w:tcW w:w="1002" w:type="dxa"/>
          </w:tcPr>
          <w:p>
            <w:pPr>
              <w:pStyle w:val="CeldaAPA"/>
              <w:jc w:val="center"/>
            </w:pPr>
            <w:r>
              <w:rPr>
                <w:bCs/>
                <w:b/>
                <w:sz w:val="20"/>
                <w:szCs w:val="20"/>
              </w:rPr>
              <w:t xml:space="preserve">Fecha</w:t>
            </w:r>
          </w:p>
        </w:tc>
        <w:tc>
          <w:tcPr>
            <w:tcW w:w="867" w:type="dxa"/>
          </w:tcPr>
          <w:p>
            <w:pPr>
              <w:pStyle w:val="CeldaAPA"/>
              <w:jc w:val="center"/>
            </w:pPr>
            <w:r>
              <w:rPr>
                <w:bCs/>
                <w:b/>
                <w:sz w:val="20"/>
                <w:szCs w:val="20"/>
              </w:rPr>
              <w:t xml:space="preserve">Paño o lote</w:t>
            </w:r>
          </w:p>
        </w:tc>
        <w:tc>
          <w:tcPr>
            <w:tcW w:w="899" w:type="dxa"/>
          </w:tcPr>
          <w:p>
            <w:pPr>
              <w:pStyle w:val="CeldaAPA"/>
              <w:jc w:val="center"/>
            </w:pPr>
            <w:r>
              <w:rPr>
                <w:bCs/>
                <w:b/>
                <w:sz w:val="20"/>
                <w:szCs w:val="20"/>
              </w:rPr>
              <w:t xml:space="preserve">Clase</w:t>
            </w:r>
          </w:p>
        </w:tc>
        <w:tc>
          <w:tcPr>
            <w:tcW w:w="1606" w:type="dxa"/>
          </w:tcPr>
          <w:p>
            <w:pPr>
              <w:pStyle w:val="CeldaAPA"/>
              <w:jc w:val="left"/>
            </w:pPr>
            <w:r>
              <w:rPr>
                <w:bCs/>
                <w:b/>
                <w:sz w:val="20"/>
                <w:szCs w:val="20"/>
              </w:rPr>
              <w:t xml:space="preserve">Descripción breve</w:t>
            </w:r>
          </w:p>
        </w:tc>
        <w:tc>
          <w:tcPr>
            <w:tcW w:w="1655" w:type="dxa"/>
          </w:tcPr>
          <w:p>
            <w:pPr>
              <w:pStyle w:val="CeldaAPA"/>
              <w:jc w:val="center"/>
            </w:pPr>
            <w:r>
              <w:rPr>
                <w:bCs/>
                <w:b/>
                <w:sz w:val="20"/>
                <w:szCs w:val="20"/>
              </w:rPr>
              <w:t xml:space="preserve">Responsable</w:t>
            </w:r>
          </w:p>
        </w:tc>
        <w:tc>
          <w:tcPr>
            <w:tcW w:w="1002" w:type="dxa"/>
          </w:tcPr>
          <w:p>
            <w:pPr>
              <w:pStyle w:val="CeldaAPA"/>
              <w:jc w:val="center"/>
            </w:pPr>
            <w:r>
              <w:rPr>
                <w:bCs/>
                <w:b/>
                <w:sz w:val="20"/>
                <w:szCs w:val="20"/>
              </w:rPr>
              <w:t xml:space="preserve">Fecha de cierre</w:t>
            </w:r>
          </w:p>
        </w:tc>
        <w:tc>
          <w:tcPr>
            <w:tcW w:w="763" w:type="dxa"/>
          </w:tcPr>
          <w:p>
            <w:pPr>
              <w:pStyle w:val="CeldaAPA"/>
              <w:jc w:val="center"/>
            </w:pPr>
            <w:r>
              <w:rPr>
                <w:bCs/>
                <w:b/>
                <w:sz w:val="20"/>
                <w:szCs w:val="20"/>
              </w:rPr>
              <w:t xml:space="preserve">Días</w:t>
            </w:r>
          </w:p>
        </w:tc>
        <w:tc>
          <w:tcPr>
            <w:tcW w:w="900" w:type="dxa"/>
          </w:tcPr>
          <w:p>
            <w:pPr>
              <w:pStyle w:val="CeldaAPA"/>
              <w:jc w:val="center"/>
            </w:pPr>
            <w:r>
              <w:rPr>
                <w:bCs/>
                <w:b/>
                <w:sz w:val="20"/>
                <w:szCs w:val="20"/>
              </w:rPr>
              <w:t xml:space="preserve">Costo (Bs)</w:t>
            </w:r>
          </w:p>
        </w:tc>
      </w:tr>
      <w:tr>
        <w:tc>
          <w:tcPr>
            <w:tcW w:w="666" w:type="dxa"/>
          </w:tcPr>
          <w:p>
            <w:pPr>
              <w:pStyle w:val="CeldaAPA"/>
            </w:pPr>
          </w:p>
        </w:tc>
        <w:tc>
          <w:tcPr>
            <w:tcW w:w="1002" w:type="dxa"/>
          </w:tcPr>
          <w:p>
            <w:pPr>
              <w:pStyle w:val="CeldaAPA"/>
            </w:pPr>
          </w:p>
        </w:tc>
        <w:tc>
          <w:tcPr>
            <w:tcW w:w="867" w:type="dxa"/>
          </w:tcPr>
          <w:p>
            <w:pPr>
              <w:pStyle w:val="CeldaAPA"/>
            </w:pPr>
          </w:p>
        </w:tc>
        <w:tc>
          <w:tcPr>
            <w:tcW w:w="899" w:type="dxa"/>
          </w:tcPr>
          <w:p>
            <w:pPr>
              <w:pStyle w:val="CeldaAPA"/>
            </w:pPr>
          </w:p>
        </w:tc>
        <w:tc>
          <w:tcPr>
            <w:tcW w:w="1606" w:type="dxa"/>
          </w:tcPr>
          <w:p>
            <w:pPr>
              <w:pStyle w:val="CeldaAPA"/>
            </w:pPr>
          </w:p>
        </w:tc>
        <w:tc>
          <w:tcPr>
            <w:tcW w:w="1655" w:type="dxa"/>
          </w:tcPr>
          <w:p>
            <w:pPr>
              <w:pStyle w:val="CeldaAPA"/>
            </w:pPr>
          </w:p>
        </w:tc>
        <w:tc>
          <w:tcPr>
            <w:tcW w:w="1002" w:type="dxa"/>
          </w:tcPr>
          <w:p>
            <w:pPr>
              <w:pStyle w:val="CeldaAPA"/>
            </w:pPr>
          </w:p>
        </w:tc>
        <w:tc>
          <w:tcPr>
            <w:tcW w:w="763" w:type="dxa"/>
          </w:tcPr>
          <w:p>
            <w:pPr>
              <w:pStyle w:val="CeldaAPA"/>
            </w:pPr>
          </w:p>
        </w:tc>
        <w:tc>
          <w:tcPr>
            <w:tcW w:w="900" w:type="dxa"/>
          </w:tcPr>
          <w:p>
            <w:pPr>
              <w:pStyle w:val="CeldaAPA"/>
            </w:pPr>
          </w:p>
        </w:tc>
      </w:tr>
      <w:tr>
        <w:tc>
          <w:tcPr>
            <w:tcW w:w="666" w:type="dxa"/>
          </w:tcPr>
          <w:p>
            <w:pPr>
              <w:pStyle w:val="CeldaAPA"/>
            </w:pPr>
          </w:p>
        </w:tc>
        <w:tc>
          <w:tcPr>
            <w:tcW w:w="1002" w:type="dxa"/>
          </w:tcPr>
          <w:p>
            <w:pPr>
              <w:pStyle w:val="CeldaAPA"/>
            </w:pPr>
          </w:p>
        </w:tc>
        <w:tc>
          <w:tcPr>
            <w:tcW w:w="867" w:type="dxa"/>
          </w:tcPr>
          <w:p>
            <w:pPr>
              <w:pStyle w:val="CeldaAPA"/>
            </w:pPr>
          </w:p>
        </w:tc>
        <w:tc>
          <w:tcPr>
            <w:tcW w:w="899" w:type="dxa"/>
          </w:tcPr>
          <w:p>
            <w:pPr>
              <w:pStyle w:val="CeldaAPA"/>
            </w:pPr>
          </w:p>
        </w:tc>
        <w:tc>
          <w:tcPr>
            <w:tcW w:w="1606" w:type="dxa"/>
          </w:tcPr>
          <w:p>
            <w:pPr>
              <w:pStyle w:val="CeldaAPA"/>
            </w:pPr>
          </w:p>
        </w:tc>
        <w:tc>
          <w:tcPr>
            <w:tcW w:w="1655" w:type="dxa"/>
          </w:tcPr>
          <w:p>
            <w:pPr>
              <w:pStyle w:val="CeldaAPA"/>
            </w:pPr>
          </w:p>
        </w:tc>
        <w:tc>
          <w:tcPr>
            <w:tcW w:w="1002" w:type="dxa"/>
          </w:tcPr>
          <w:p>
            <w:pPr>
              <w:pStyle w:val="CeldaAPA"/>
            </w:pPr>
          </w:p>
        </w:tc>
        <w:tc>
          <w:tcPr>
            <w:tcW w:w="763" w:type="dxa"/>
          </w:tcPr>
          <w:p>
            <w:pPr>
              <w:pStyle w:val="CeldaAPA"/>
            </w:pPr>
          </w:p>
        </w:tc>
        <w:tc>
          <w:tcPr>
            <w:tcW w:w="900" w:type="dxa"/>
          </w:tcPr>
          <w:p>
            <w:pPr>
              <w:pStyle w:val="CeldaAPA"/>
            </w:pPr>
          </w:p>
        </w:tc>
      </w:tr>
      <w:tr>
        <w:tc>
          <w:tcPr>
            <w:tcW w:w="666" w:type="dxa"/>
          </w:tcPr>
          <w:p>
            <w:pPr>
              <w:pStyle w:val="CeldaAPA"/>
            </w:pPr>
          </w:p>
        </w:tc>
        <w:tc>
          <w:tcPr>
            <w:tcW w:w="1002" w:type="dxa"/>
          </w:tcPr>
          <w:p>
            <w:pPr>
              <w:pStyle w:val="CeldaAPA"/>
            </w:pPr>
          </w:p>
        </w:tc>
        <w:tc>
          <w:tcPr>
            <w:tcW w:w="867" w:type="dxa"/>
          </w:tcPr>
          <w:p>
            <w:pPr>
              <w:pStyle w:val="CeldaAPA"/>
            </w:pPr>
          </w:p>
        </w:tc>
        <w:tc>
          <w:tcPr>
            <w:tcW w:w="899" w:type="dxa"/>
          </w:tcPr>
          <w:p>
            <w:pPr>
              <w:pStyle w:val="CeldaAPA"/>
            </w:pPr>
          </w:p>
        </w:tc>
        <w:tc>
          <w:tcPr>
            <w:tcW w:w="1606" w:type="dxa"/>
          </w:tcPr>
          <w:p>
            <w:pPr>
              <w:pStyle w:val="CeldaAPA"/>
            </w:pPr>
          </w:p>
        </w:tc>
        <w:tc>
          <w:tcPr>
            <w:tcW w:w="1655" w:type="dxa"/>
          </w:tcPr>
          <w:p>
            <w:pPr>
              <w:pStyle w:val="CeldaAPA"/>
            </w:pPr>
          </w:p>
        </w:tc>
        <w:tc>
          <w:tcPr>
            <w:tcW w:w="1002" w:type="dxa"/>
          </w:tcPr>
          <w:p>
            <w:pPr>
              <w:pStyle w:val="CeldaAPA"/>
            </w:pPr>
          </w:p>
        </w:tc>
        <w:tc>
          <w:tcPr>
            <w:tcW w:w="763" w:type="dxa"/>
          </w:tcPr>
          <w:p>
            <w:pPr>
              <w:pStyle w:val="CeldaAPA"/>
            </w:pPr>
          </w:p>
        </w:tc>
        <w:tc>
          <w:tcPr>
            <w:tcW w:w="900" w:type="dxa"/>
          </w:tcPr>
          <w:p>
            <w:pPr>
              <w:pStyle w:val="CeldaAPA"/>
            </w:pPr>
          </w:p>
        </w:tc>
      </w:tr>
      <w:tr>
        <w:tc>
          <w:tcPr>
            <w:tcW w:w="666" w:type="dxa"/>
          </w:tcPr>
          <w:p>
            <w:pPr>
              <w:pStyle w:val="CeldaAPA"/>
            </w:pPr>
          </w:p>
        </w:tc>
        <w:tc>
          <w:tcPr>
            <w:tcW w:w="1002" w:type="dxa"/>
          </w:tcPr>
          <w:p>
            <w:pPr>
              <w:pStyle w:val="CeldaAPA"/>
            </w:pPr>
          </w:p>
        </w:tc>
        <w:tc>
          <w:tcPr>
            <w:tcW w:w="867" w:type="dxa"/>
          </w:tcPr>
          <w:p>
            <w:pPr>
              <w:pStyle w:val="CeldaAPA"/>
            </w:pPr>
          </w:p>
        </w:tc>
        <w:tc>
          <w:tcPr>
            <w:tcW w:w="899" w:type="dxa"/>
          </w:tcPr>
          <w:p>
            <w:pPr>
              <w:pStyle w:val="CeldaAPA"/>
            </w:pPr>
          </w:p>
        </w:tc>
        <w:tc>
          <w:tcPr>
            <w:tcW w:w="1606" w:type="dxa"/>
          </w:tcPr>
          <w:p>
            <w:pPr>
              <w:pStyle w:val="CeldaAPA"/>
            </w:pPr>
          </w:p>
        </w:tc>
        <w:tc>
          <w:tcPr>
            <w:tcW w:w="1655" w:type="dxa"/>
          </w:tcPr>
          <w:p>
            <w:pPr>
              <w:pStyle w:val="CeldaAPA"/>
            </w:pPr>
          </w:p>
        </w:tc>
        <w:tc>
          <w:tcPr>
            <w:tcW w:w="1002" w:type="dxa"/>
          </w:tcPr>
          <w:p>
            <w:pPr>
              <w:pStyle w:val="CeldaAPA"/>
            </w:pPr>
          </w:p>
        </w:tc>
        <w:tc>
          <w:tcPr>
            <w:tcW w:w="763" w:type="dxa"/>
          </w:tcPr>
          <w:p>
            <w:pPr>
              <w:pStyle w:val="CeldaAPA"/>
            </w:pPr>
          </w:p>
        </w:tc>
        <w:tc>
          <w:tcPr>
            <w:tcW w:w="900" w:type="dxa"/>
          </w:tcPr>
          <w:p>
            <w:pPr>
              <w:pStyle w:val="CeldaAPA"/>
            </w:pPr>
          </w:p>
        </w:tc>
      </w:tr>
      <w:tr>
        <w:tc>
          <w:tcPr>
            <w:tcW w:w="666" w:type="dxa"/>
          </w:tcPr>
          <w:p>
            <w:pPr>
              <w:pStyle w:val="CeldaAPA"/>
            </w:pPr>
          </w:p>
        </w:tc>
        <w:tc>
          <w:tcPr>
            <w:tcW w:w="1002" w:type="dxa"/>
          </w:tcPr>
          <w:p>
            <w:pPr>
              <w:pStyle w:val="CeldaAPA"/>
            </w:pPr>
          </w:p>
        </w:tc>
        <w:tc>
          <w:tcPr>
            <w:tcW w:w="867" w:type="dxa"/>
          </w:tcPr>
          <w:p>
            <w:pPr>
              <w:pStyle w:val="CeldaAPA"/>
            </w:pPr>
          </w:p>
        </w:tc>
        <w:tc>
          <w:tcPr>
            <w:tcW w:w="899" w:type="dxa"/>
          </w:tcPr>
          <w:p>
            <w:pPr>
              <w:pStyle w:val="CeldaAPA"/>
            </w:pPr>
          </w:p>
        </w:tc>
        <w:tc>
          <w:tcPr>
            <w:tcW w:w="1606" w:type="dxa"/>
          </w:tcPr>
          <w:p>
            <w:pPr>
              <w:pStyle w:val="CeldaAPA"/>
            </w:pPr>
          </w:p>
        </w:tc>
        <w:tc>
          <w:tcPr>
            <w:tcW w:w="1655" w:type="dxa"/>
          </w:tcPr>
          <w:p>
            <w:pPr>
              <w:pStyle w:val="CeldaAPA"/>
            </w:pPr>
          </w:p>
        </w:tc>
        <w:tc>
          <w:tcPr>
            <w:tcW w:w="1002" w:type="dxa"/>
          </w:tcPr>
          <w:p>
            <w:pPr>
              <w:pStyle w:val="CeldaAPA"/>
            </w:pPr>
          </w:p>
        </w:tc>
        <w:tc>
          <w:tcPr>
            <w:tcW w:w="763" w:type="dxa"/>
          </w:tcPr>
          <w:p>
            <w:pPr>
              <w:pStyle w:val="CeldaAPA"/>
            </w:pPr>
          </w:p>
        </w:tc>
        <w:tc>
          <w:tcPr>
            <w:tcW w:w="900" w:type="dxa"/>
          </w:tcPr>
          <w:p>
            <w:pPr>
              <w:pStyle w:val="CeldaAPA"/>
            </w:pPr>
          </w:p>
        </w:tc>
      </w:tr>
    </w:tbl>
    <w:p>
      <w:pPr>
        <w:pStyle w:val="Heading2"/>
        <w:spacing w:before="240"/>
      </w:pPr>
      <w:bookmarkStart w:id="334" w:name="tit159"/>
      <w:r>
        <w:t xml:space="preserve">C.6. Planilla de costos de la calidad (modelo PAF)</w:t>
      </w:r>
      <w:bookmarkEnd w:id="334"/>
    </w:p>
    <w:p>
      <w:pPr>
        <w:pStyle w:val="FirstParagraph"/>
      </w:pPr>
      <w:r>
        <w:rPr>
          <w:bCs/>
          <w:b/>
        </w:rPr>
        <w:t xml:space="preserve">Uso.</w:t>
      </w:r>
      <w:r>
        <w:t xml:space="preserve"> </w:t>
      </w:r>
      <w:r>
        <w:t xml:space="preserve">Una planilla por mes y una consolidada por losa. Todo costo se valora a precios constantes del contrato (precios del APU) y se registra una sola vez. Conceptos: Tabla 42; ecuaciones (10), (15) y (16).</w:t>
      </w:r>
    </w:p>
    <w:tbl>
      <w:tblPr>
        <w:tblStyle w:val="Table"/>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0" w:lastRow="0" w:firstColumn="0" w:lastColumn="0" w:noHBand="0" w:noVBand="0" w:val="0000"/>
      </w:tblPr>
      <w:tblGrid>
        <w:gridCol w:w="2930"/>
        <w:gridCol w:w="4240"/>
        <w:gridCol w:w="1900"/>
      </w:tblGrid>
      <w:tr>
        <w:tc>
          <w:tcPr>
            <w:tcW w:w="2930" w:type="dxa"/>
          </w:tcPr>
          <w:p>
            <w:pPr>
              <w:pStyle w:val="CeldaAPA"/>
              <w:jc w:val="left"/>
            </w:pPr>
            <w:r>
              <w:rPr>
                <w:bCs/>
                <w:b/>
                <w:sz w:val="20"/>
                <w:szCs w:val="20"/>
              </w:rPr>
              <w:t xml:space="preserve">UATF – Edificio de Posgrado</w:t>
            </w:r>
          </w:p>
        </w:tc>
        <w:tc>
          <w:tcPr>
            <w:tcW w:w="4240" w:type="dxa"/>
            <w:vMerge w:val="restart"/>
          </w:tcPr>
          <w:p>
            <w:pPr>
              <w:pStyle w:val="CeldaAPA"/>
              <w:jc w:val="left"/>
            </w:pPr>
            <w:r>
              <w:rPr>
                <w:bCs/>
                <w:b/>
                <w:sz w:val="20"/>
                <w:szCs w:val="20"/>
              </w:rPr>
              <w:t xml:space="preserve">Planilla de costos de la calidad (PAF)</w:t>
            </w:r>
          </w:p>
        </w:tc>
        <w:tc>
          <w:tcPr>
            <w:tcW w:w="1900" w:type="dxa"/>
          </w:tcPr>
          <w:p>
            <w:pPr>
              <w:pStyle w:val="CeldaAPA"/>
              <w:jc w:val="left"/>
            </w:pPr>
            <w:r>
              <w:rPr>
                <w:bCs/>
                <w:b/>
                <w:sz w:val="20"/>
                <w:szCs w:val="20"/>
              </w:rPr>
              <w:t xml:space="preserve">Código:</w:t>
            </w:r>
            <w:r>
              <w:rPr>
                <w:sz w:val="20"/>
                <w:szCs w:val="20"/>
              </w:rPr>
              <w:t xml:space="preserve"> </w:t>
            </w:r>
            <w:r>
              <w:rPr>
                <w:sz w:val="20"/>
                <w:szCs w:val="20"/>
              </w:rPr>
              <w:t xml:space="preserve">C.6</w:t>
            </w:r>
          </w:p>
        </w:tc>
      </w:tr>
      <w:tr>
        <w:tc>
          <w:tcPr>
            <w:tcW w:w="2930" w:type="dxa"/>
          </w:tcPr>
          <w:p>
            <w:pPr>
              <w:pStyle w:val="CeldaAPA"/>
              <w:jc w:val="left"/>
            </w:pPr>
            <w:r>
              <w:rPr>
                <w:sz w:val="20"/>
                <w:szCs w:val="20"/>
              </w:rPr>
              <w:t xml:space="preserve">Ítem 13: losa alivianada h = 25 cm</w:t>
            </w:r>
          </w:p>
        </w:tc>
        <w:tc>
          <w:tcPr>
            <w:tcW w:w="4240" w:type="dxa"/>
            <w:gridSpan w:val="1"/>
            <w:vMerge w:val="continue"/>
          </w:tcPr>
          <w:p>
            <w:pPr>
              <w:pStyle w:val="CeldaAPA"/>
            </w:pPr>
          </w:p>
        </w:tc>
        <w:tc>
          <w:tcPr>
            <w:tcW w:w="1900" w:type="dxa"/>
          </w:tcPr>
          <w:p>
            <w:pPr>
              <w:pStyle w:val="CeldaAPA"/>
              <w:jc w:val="left"/>
            </w:pPr>
            <w:r>
              <w:rPr>
                <w:sz w:val="20"/>
                <w:szCs w:val="20"/>
              </w:rPr>
              <w:t xml:space="preserve">Versión 0</w:t>
            </w:r>
          </w:p>
        </w:tc>
      </w:tr>
    </w:tbl>
    <w:tbl>
      <w:tblPr>
        <w:tblStyle w:val="Table"/>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0" w:lastRow="0" w:firstColumn="0" w:lastColumn="0" w:noHBand="0" w:noVBand="0" w:val="0000"/>
      </w:tblPr>
      <w:tblGrid>
        <w:gridCol w:w="3120"/>
        <w:gridCol w:w="3120"/>
        <w:gridCol w:w="3120"/>
      </w:tblGrid>
      <w:tr>
        <w:tc>
          <w:tcPr>
            <w:tcW w:w="3120" w:type="dxa"/>
          </w:tcPr>
          <w:p>
            <w:pPr>
              <w:pStyle w:val="CeldaAPA"/>
              <w:jc w:val="left"/>
            </w:pPr>
            <w:r>
              <w:rPr>
                <w:sz w:val="20"/>
                <w:szCs w:val="20"/>
              </w:rPr>
              <w:t xml:space="preserve">Losa N.</w:t>
            </w:r>
            <w:r>
              <w:rPr>
                <w:vertAlign w:val="superscript"/>
                <w:sz w:val="20"/>
                <w:szCs w:val="20"/>
              </w:rPr>
              <w:t xml:space="preserve">o</w:t>
            </w:r>
            <w:r>
              <w:rPr>
                <w:sz w:val="20"/>
                <w:szCs w:val="20"/>
              </w:rPr>
              <w:t xml:space="preserve"> ______________</w:t>
            </w:r>
          </w:p>
        </w:tc>
        <w:tc>
          <w:tcPr>
            <w:tcW w:w="3120" w:type="dxa"/>
          </w:tcPr>
          <w:p>
            <w:pPr>
              <w:pStyle w:val="CeldaAPA"/>
              <w:jc w:val="left"/>
            </w:pPr>
            <w:r>
              <w:rPr>
                <w:sz w:val="20"/>
                <w:szCs w:val="20"/>
              </w:rPr>
              <w:t xml:space="preserve">Periodo: del ______________</w:t>
            </w:r>
          </w:p>
        </w:tc>
        <w:tc>
          <w:tcPr>
            <w:tcW w:w="3120" w:type="dxa"/>
          </w:tcPr>
          <w:p>
            <w:pPr>
              <w:pStyle w:val="CeldaAPA"/>
              <w:jc w:val="left"/>
            </w:pPr>
            <w:r>
              <w:rPr>
                <w:sz w:val="20"/>
                <w:szCs w:val="20"/>
              </w:rPr>
              <w:t xml:space="preserve">al ______________</w:t>
            </w:r>
          </w:p>
        </w:tc>
      </w:tr>
      <w:tr>
        <w:tc>
          <w:tcPr>
            <w:tcW w:w="3120" w:type="dxa"/>
          </w:tcPr>
          <w:p>
            <w:pPr>
              <w:pStyle w:val="CeldaAPA"/>
              <w:jc w:val="left"/>
            </w:pPr>
            <w:r>
              <w:rPr>
                <w:sz w:val="20"/>
                <w:szCs w:val="20"/>
              </w:rPr>
              <w:t xml:space="preserve">Área ejecutada en el periodo</w:t>
            </w:r>
            <w:r>
              <w:rPr>
                <w:sz w:val="20"/>
                <w:szCs w:val="20"/>
              </w:rPr>
              <w:t xml:space="preserve"> </w:t>
            </w:r>
            <m:oMath>
              <m:r>
                <m:t>A</m:t>
              </m:r>
            </m:oMath>
            <w:r>
              <w:rPr>
                <w:sz w:val="20"/>
                <w:szCs w:val="20"/>
              </w:rPr>
              <w:t xml:space="preserve"> </w:t>
            </w:r>
            <w:r>
              <w:rPr>
                <w:sz w:val="20"/>
                <w:szCs w:val="20"/>
              </w:rPr>
              <w:t xml:space="preserve">(m</w:t>
            </w:r>
            <w:r>
              <w:rPr>
                <w:vertAlign w:val="superscript"/>
                <w:sz w:val="20"/>
                <w:szCs w:val="20"/>
              </w:rPr>
              <w:t xml:space="preserve">2</w:t>
            </w:r>
            <w:r>
              <w:rPr>
                <w:sz w:val="20"/>
                <w:szCs w:val="20"/>
              </w:rPr>
              <w:t xml:space="preserve">) ______________</w:t>
            </w:r>
          </w:p>
        </w:tc>
        <w:tc>
          <w:tcPr>
            <w:tcW w:w="3120" w:type="dxa"/>
          </w:tcPr>
          <w:p>
            <w:pPr>
              <w:pStyle w:val="CeldaAPA"/>
              <w:jc w:val="left"/>
            </w:pPr>
            <w:r>
              <w:rPr>
                <w:sz w:val="20"/>
                <w:szCs w:val="20"/>
              </w:rPr>
              <w:t xml:space="preserve">Precio unitario del ítem (Bs/m</w:t>
            </w:r>
            <w:r>
              <w:rPr>
                <w:vertAlign w:val="superscript"/>
                <w:sz w:val="20"/>
                <w:szCs w:val="20"/>
              </w:rPr>
              <w:t xml:space="preserve">2</w:t>
            </w:r>
            <w:r>
              <w:rPr>
                <w:sz w:val="20"/>
                <w:szCs w:val="20"/>
              </w:rPr>
              <w:t xml:space="preserve">) ______________</w:t>
            </w:r>
          </w:p>
        </w:tc>
        <w:tc>
          <w:tcPr>
            <w:tcW w:w="3120" w:type="dxa"/>
          </w:tcPr>
          <w:p>
            <w:pPr>
              <w:pStyle w:val="CeldaAPA"/>
              <w:jc w:val="left"/>
            </w:pPr>
            <m:oMath>
              <m:sSub>
                <m:e>
                  <m:r>
                    <m:t>C</m:t>
                  </m:r>
                </m:e>
                <m:sub>
                  <m:r>
                    <m:rPr>
                      <m:nor/>
                      <m:sty m:val="p"/>
                    </m:rPr>
                    <m:t>ítem</m:t>
                  </m:r>
                </m:sub>
              </m:sSub>
              <m:r>
                <m:rPr>
                  <m:sty m:val="p"/>
                </m:rPr>
                <m:t>=</m:t>
              </m:r>
              <m:r>
                <m:t>A</m:t>
              </m:r>
              <m:r>
                <m:rPr>
                  <m:sty m:val="p"/>
                </m:rPr>
                <m:t>×</m:t>
              </m:r>
              <m:r>
                <m:t>P</m:t>
              </m:r>
              <m:r>
                <m:t>U</m:t>
              </m:r>
            </m:oMath>
            <w:r>
              <w:rPr>
                <w:sz w:val="20"/>
                <w:szCs w:val="20"/>
              </w:rPr>
              <w:t xml:space="preserve"> </w:t>
            </w:r>
            <w:r>
              <w:rPr>
                <w:sz w:val="20"/>
                <w:szCs w:val="20"/>
              </w:rPr>
              <w:t xml:space="preserve">(Bs) ______________</w:t>
            </w:r>
          </w:p>
        </w:tc>
      </w:tr>
    </w:tbl>
    <w:tbl>
      <w:tblPr>
        <w:tblStyle w:val="Table"/>
        <w:tblW w:w="9361"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1" w:lastRow="0" w:firstColumn="0" w:lastColumn="0" w:noHBand="0" w:noVBand="0" w:val="0020"/>
      </w:tblPr>
      <w:tblGrid>
        <w:gridCol w:w="801"/>
        <w:gridCol w:w="2328"/>
        <w:gridCol w:w="1302"/>
        <w:gridCol w:w="1083"/>
        <w:gridCol w:w="1166"/>
        <w:gridCol w:w="973"/>
        <w:gridCol w:w="1708"/>
      </w:tblGrid>
      <w:tr>
        <w:trPr>
          <w:cantSplit/>
          <w:tblHeader w:val="true"/>
        </w:trPr>
        <w:tc>
          <w:tcPr>
            <w:tcW w:w="801" w:type="dxa"/>
          </w:tcPr>
          <w:p>
            <w:pPr>
              <w:pStyle w:val="CeldaAPA"/>
              <w:jc w:val="left"/>
            </w:pPr>
            <w:r>
              <w:rPr>
                <w:bCs/>
                <w:b/>
                <w:sz w:val="20"/>
                <w:szCs w:val="20"/>
              </w:rPr>
              <w:t xml:space="preserve">Cód.</w:t>
            </w:r>
          </w:p>
        </w:tc>
        <w:tc>
          <w:tcPr>
            <w:tcW w:w="2328" w:type="dxa"/>
          </w:tcPr>
          <w:p>
            <w:pPr>
              <w:pStyle w:val="CeldaAPA"/>
              <w:jc w:val="left"/>
            </w:pPr>
            <w:r>
              <w:rPr>
                <w:bCs/>
                <w:b/>
                <w:sz w:val="20"/>
                <w:szCs w:val="20"/>
              </w:rPr>
              <w:t xml:space="preserve">Concepto</w:t>
            </w:r>
          </w:p>
        </w:tc>
        <w:tc>
          <w:tcPr>
            <w:tcW w:w="1302" w:type="dxa"/>
          </w:tcPr>
          <w:p>
            <w:pPr>
              <w:pStyle w:val="CeldaAPA"/>
              <w:jc w:val="center"/>
            </w:pPr>
            <w:r>
              <w:rPr>
                <w:bCs/>
                <w:b/>
                <w:sz w:val="20"/>
                <w:szCs w:val="20"/>
              </w:rPr>
              <w:t xml:space="preserve">Cantidad</w:t>
            </w:r>
          </w:p>
        </w:tc>
        <w:tc>
          <w:tcPr>
            <w:tcW w:w="1083" w:type="dxa"/>
          </w:tcPr>
          <w:p>
            <w:pPr>
              <w:pStyle w:val="CeldaAPA"/>
              <w:jc w:val="center"/>
            </w:pPr>
            <w:r>
              <w:rPr>
                <w:bCs/>
                <w:b/>
                <w:sz w:val="20"/>
                <w:szCs w:val="20"/>
              </w:rPr>
              <w:t xml:space="preserve">Unidad</w:t>
            </w:r>
          </w:p>
        </w:tc>
        <w:tc>
          <w:tcPr>
            <w:tcW w:w="1166" w:type="dxa"/>
          </w:tcPr>
          <w:p>
            <w:pPr>
              <w:pStyle w:val="CeldaAPA"/>
              <w:jc w:val="center"/>
            </w:pPr>
            <w:r>
              <w:rPr>
                <w:bCs/>
                <w:b/>
                <w:sz w:val="20"/>
                <w:szCs w:val="20"/>
              </w:rPr>
              <w:t xml:space="preserve">Costo unitario (Bs)</w:t>
            </w:r>
          </w:p>
        </w:tc>
        <w:tc>
          <w:tcPr>
            <w:tcW w:w="973" w:type="dxa"/>
          </w:tcPr>
          <w:p>
            <w:pPr>
              <w:pStyle w:val="CeldaAPA"/>
              <w:jc w:val="center"/>
            </w:pPr>
            <w:r>
              <w:rPr>
                <w:bCs/>
                <w:b/>
                <w:sz w:val="20"/>
                <w:szCs w:val="20"/>
              </w:rPr>
              <w:t xml:space="preserve">Costo (Bs)</w:t>
            </w:r>
          </w:p>
        </w:tc>
        <w:tc>
          <w:tcPr>
            <w:tcW w:w="1708" w:type="dxa"/>
          </w:tcPr>
          <w:p>
            <w:pPr>
              <w:pStyle w:val="CeldaAPA"/>
              <w:jc w:val="left"/>
            </w:pPr>
            <w:r>
              <w:rPr>
                <w:bCs/>
                <w:b/>
                <w:sz w:val="20"/>
                <w:szCs w:val="20"/>
              </w:rPr>
              <w:t xml:space="preserve">Registro de respaldo</w:t>
            </w:r>
          </w:p>
        </w:tc>
      </w:tr>
      <w:tr>
        <w:tc>
          <w:tcPr>
            <w:tcW w:w="9361" w:type="dxa"/>
            <w:gridSpan w:val="7"/>
          </w:tcPr>
          <w:p>
            <w:pPr>
              <w:pStyle w:val="CeldaAPA"/>
              <w:jc w:val="left"/>
            </w:pPr>
            <w:r>
              <w:rPr>
                <w:bCs/>
                <w:b/>
                <w:sz w:val="20"/>
                <w:szCs w:val="20"/>
              </w:rPr>
              <w:t xml:space="preserve">Prevención (</w:t>
            </w:r>
            <m:oMath>
              <m:sSub>
                <m:e>
                  <m:r>
                    <m:t>C</m:t>
                  </m:r>
                </m:e>
                <m:sub>
                  <m:r>
                    <m:t>P</m:t>
                  </m:r>
                </m:sub>
              </m:sSub>
            </m:oMath>
            <w:r>
              <w:rPr>
                <w:bCs/>
                <w:b/>
                <w:sz w:val="20"/>
                <w:szCs w:val="20"/>
              </w:rPr>
              <w:t xml:space="preserve">)</w:t>
            </w:r>
          </w:p>
        </w:tc>
      </w:tr>
      <w:tr>
        <w:tc>
          <w:tcPr>
            <w:tcW w:w="801" w:type="dxa"/>
          </w:tcPr>
          <w:p>
            <w:pPr>
              <w:pStyle w:val="CeldaAPA"/>
              <w:jc w:val="left"/>
            </w:pPr>
            <w:r>
              <w:rPr>
                <w:sz w:val="20"/>
                <w:szCs w:val="20"/>
              </w:rPr>
              <w:t xml:space="preserve">P1</w:t>
            </w:r>
          </w:p>
        </w:tc>
        <w:tc>
          <w:tcPr>
            <w:tcW w:w="2328" w:type="dxa"/>
          </w:tcPr>
          <w:p>
            <w:pPr>
              <w:pStyle w:val="CeldaAPA"/>
              <w:jc w:val="left"/>
            </w:pPr>
            <w:r>
              <w:rPr>
                <w:sz w:val="20"/>
                <w:szCs w:val="20"/>
              </w:rPr>
              <w:t xml:space="preserve">Plan de la calidad, PPI y procedimientos (elaboración y actualización)</w:t>
            </w:r>
          </w:p>
        </w:tc>
        <w:tc>
          <w:tcPr>
            <w:tcW w:w="1302" w:type="dxa"/>
          </w:tcPr>
          <w:p>
            <w:pPr>
              <w:pStyle w:val="CeldaAPA"/>
            </w:pPr>
          </w:p>
        </w:tc>
        <w:tc>
          <w:tcPr>
            <w:tcW w:w="1083" w:type="dxa"/>
          </w:tcPr>
          <w:p>
            <w:pPr>
              <w:pStyle w:val="CeldaAPA"/>
              <w:jc w:val="center"/>
            </w:pPr>
            <w:r>
              <w:rPr>
                <w:sz w:val="20"/>
                <w:szCs w:val="20"/>
              </w:rPr>
              <w:t xml:space="preserve">h</w:t>
            </w:r>
          </w:p>
        </w:tc>
        <w:tc>
          <w:tcPr>
            <w:tcW w:w="1166" w:type="dxa"/>
          </w:tcPr>
          <w:p>
            <w:pPr>
              <w:pStyle w:val="CeldaAPA"/>
            </w:pPr>
          </w:p>
        </w:tc>
        <w:tc>
          <w:tcPr>
            <w:tcW w:w="973" w:type="dxa"/>
          </w:tcPr>
          <w:p>
            <w:pPr>
              <w:pStyle w:val="CeldaAPA"/>
            </w:pPr>
          </w:p>
        </w:tc>
        <w:tc>
          <w:tcPr>
            <w:tcW w:w="1708" w:type="dxa"/>
          </w:tcPr>
          <w:p>
            <w:pPr>
              <w:pStyle w:val="CeldaAPA"/>
              <w:jc w:val="left"/>
            </w:pPr>
            <w:r>
              <w:rPr>
                <w:sz w:val="20"/>
                <w:szCs w:val="20"/>
              </w:rPr>
              <w:t xml:space="preserve">Parte de horas</w:t>
            </w:r>
          </w:p>
        </w:tc>
      </w:tr>
      <w:tr>
        <w:tc>
          <w:tcPr>
            <w:tcW w:w="801" w:type="dxa"/>
          </w:tcPr>
          <w:p>
            <w:pPr>
              <w:pStyle w:val="CeldaAPA"/>
              <w:jc w:val="left"/>
            </w:pPr>
            <w:r>
              <w:rPr>
                <w:sz w:val="20"/>
                <w:szCs w:val="20"/>
              </w:rPr>
              <w:t xml:space="preserve">P2</w:t>
            </w:r>
          </w:p>
        </w:tc>
        <w:tc>
          <w:tcPr>
            <w:tcW w:w="2328" w:type="dxa"/>
          </w:tcPr>
          <w:p>
            <w:pPr>
              <w:pStyle w:val="CeldaAPA"/>
              <w:jc w:val="left"/>
            </w:pPr>
            <w:r>
              <w:rPr>
                <w:sz w:val="20"/>
                <w:szCs w:val="20"/>
              </w:rPr>
              <w:t xml:space="preserve">Capacitación del personal (charlas)</w:t>
            </w:r>
          </w:p>
        </w:tc>
        <w:tc>
          <w:tcPr>
            <w:tcW w:w="1302" w:type="dxa"/>
          </w:tcPr>
          <w:p>
            <w:pPr>
              <w:pStyle w:val="CeldaAPA"/>
            </w:pPr>
          </w:p>
        </w:tc>
        <w:tc>
          <w:tcPr>
            <w:tcW w:w="1083" w:type="dxa"/>
          </w:tcPr>
          <w:p>
            <w:pPr>
              <w:pStyle w:val="CeldaAPA"/>
              <w:jc w:val="center"/>
            </w:pPr>
            <w:r>
              <w:rPr>
                <w:sz w:val="20"/>
                <w:szCs w:val="20"/>
              </w:rPr>
              <w:t xml:space="preserve">h-h</w:t>
            </w:r>
          </w:p>
        </w:tc>
        <w:tc>
          <w:tcPr>
            <w:tcW w:w="1166" w:type="dxa"/>
          </w:tcPr>
          <w:p>
            <w:pPr>
              <w:pStyle w:val="CeldaAPA"/>
            </w:pPr>
          </w:p>
        </w:tc>
        <w:tc>
          <w:tcPr>
            <w:tcW w:w="973" w:type="dxa"/>
          </w:tcPr>
          <w:p>
            <w:pPr>
              <w:pStyle w:val="CeldaAPA"/>
            </w:pPr>
          </w:p>
        </w:tc>
        <w:tc>
          <w:tcPr>
            <w:tcW w:w="1708" w:type="dxa"/>
          </w:tcPr>
          <w:p>
            <w:pPr>
              <w:pStyle w:val="CeldaAPA"/>
              <w:jc w:val="left"/>
            </w:pPr>
            <w:r>
              <w:rPr>
                <w:sz w:val="20"/>
                <w:szCs w:val="20"/>
              </w:rPr>
              <w:t xml:space="preserve">Lista de asistencia</w:t>
            </w:r>
          </w:p>
        </w:tc>
      </w:tr>
      <w:tr>
        <w:tc>
          <w:tcPr>
            <w:tcW w:w="801" w:type="dxa"/>
          </w:tcPr>
          <w:p>
            <w:pPr>
              <w:pStyle w:val="CeldaAPA"/>
              <w:jc w:val="left"/>
            </w:pPr>
            <w:r>
              <w:rPr>
                <w:sz w:val="20"/>
                <w:szCs w:val="20"/>
              </w:rPr>
              <w:t xml:space="preserve">P3</w:t>
            </w:r>
          </w:p>
        </w:tc>
        <w:tc>
          <w:tcPr>
            <w:tcW w:w="2328" w:type="dxa"/>
          </w:tcPr>
          <w:p>
            <w:pPr>
              <w:pStyle w:val="CeldaAPA"/>
              <w:jc w:val="left"/>
            </w:pPr>
            <w:r>
              <w:rPr>
                <w:sz w:val="20"/>
                <w:szCs w:val="20"/>
              </w:rPr>
              <w:t xml:space="preserve">Despiece y planillas de armado previas</w:t>
            </w:r>
          </w:p>
        </w:tc>
        <w:tc>
          <w:tcPr>
            <w:tcW w:w="1302" w:type="dxa"/>
          </w:tcPr>
          <w:p>
            <w:pPr>
              <w:pStyle w:val="CeldaAPA"/>
            </w:pPr>
          </w:p>
        </w:tc>
        <w:tc>
          <w:tcPr>
            <w:tcW w:w="1083" w:type="dxa"/>
          </w:tcPr>
          <w:p>
            <w:pPr>
              <w:pStyle w:val="CeldaAPA"/>
              <w:jc w:val="center"/>
            </w:pPr>
            <w:r>
              <w:rPr>
                <w:sz w:val="20"/>
                <w:szCs w:val="20"/>
              </w:rPr>
              <w:t xml:space="preserve">h</w:t>
            </w:r>
          </w:p>
        </w:tc>
        <w:tc>
          <w:tcPr>
            <w:tcW w:w="1166" w:type="dxa"/>
          </w:tcPr>
          <w:p>
            <w:pPr>
              <w:pStyle w:val="CeldaAPA"/>
            </w:pPr>
          </w:p>
        </w:tc>
        <w:tc>
          <w:tcPr>
            <w:tcW w:w="973" w:type="dxa"/>
          </w:tcPr>
          <w:p>
            <w:pPr>
              <w:pStyle w:val="CeldaAPA"/>
            </w:pPr>
          </w:p>
        </w:tc>
        <w:tc>
          <w:tcPr>
            <w:tcW w:w="1708" w:type="dxa"/>
          </w:tcPr>
          <w:p>
            <w:pPr>
              <w:pStyle w:val="CeldaAPA"/>
              <w:jc w:val="left"/>
            </w:pPr>
            <w:r>
              <w:rPr>
                <w:sz w:val="20"/>
                <w:szCs w:val="20"/>
              </w:rPr>
              <w:t xml:space="preserve">Planillas</w:t>
            </w:r>
          </w:p>
        </w:tc>
      </w:tr>
      <w:tr>
        <w:tc>
          <w:tcPr>
            <w:tcW w:w="801" w:type="dxa"/>
          </w:tcPr>
          <w:p>
            <w:pPr>
              <w:pStyle w:val="CeldaAPA"/>
              <w:jc w:val="left"/>
            </w:pPr>
            <w:r>
              <w:rPr>
                <w:sz w:val="20"/>
                <w:szCs w:val="20"/>
              </w:rPr>
              <w:t xml:space="preserve">P4</w:t>
            </w:r>
          </w:p>
        </w:tc>
        <w:tc>
          <w:tcPr>
            <w:tcW w:w="2328" w:type="dxa"/>
          </w:tcPr>
          <w:p>
            <w:pPr>
              <w:pStyle w:val="CeldaAPA"/>
              <w:jc w:val="left"/>
            </w:pPr>
            <w:r>
              <w:rPr>
                <w:sz w:val="20"/>
                <w:szCs w:val="20"/>
              </w:rPr>
              <w:t xml:space="preserve">Evaluación de proveedores y auditoría interna</w:t>
            </w:r>
          </w:p>
        </w:tc>
        <w:tc>
          <w:tcPr>
            <w:tcW w:w="1302" w:type="dxa"/>
          </w:tcPr>
          <w:p>
            <w:pPr>
              <w:pStyle w:val="CeldaAPA"/>
            </w:pPr>
          </w:p>
        </w:tc>
        <w:tc>
          <w:tcPr>
            <w:tcW w:w="1083" w:type="dxa"/>
          </w:tcPr>
          <w:p>
            <w:pPr>
              <w:pStyle w:val="CeldaAPA"/>
              <w:jc w:val="center"/>
            </w:pPr>
            <w:r>
              <w:rPr>
                <w:sz w:val="20"/>
                <w:szCs w:val="20"/>
              </w:rPr>
              <w:t xml:space="preserve">h</w:t>
            </w:r>
          </w:p>
        </w:tc>
        <w:tc>
          <w:tcPr>
            <w:tcW w:w="1166" w:type="dxa"/>
          </w:tcPr>
          <w:p>
            <w:pPr>
              <w:pStyle w:val="CeldaAPA"/>
            </w:pPr>
          </w:p>
        </w:tc>
        <w:tc>
          <w:tcPr>
            <w:tcW w:w="973" w:type="dxa"/>
          </w:tcPr>
          <w:p>
            <w:pPr>
              <w:pStyle w:val="CeldaAPA"/>
            </w:pPr>
          </w:p>
        </w:tc>
        <w:tc>
          <w:tcPr>
            <w:tcW w:w="1708" w:type="dxa"/>
          </w:tcPr>
          <w:p>
            <w:pPr>
              <w:pStyle w:val="CeldaAPA"/>
              <w:jc w:val="left"/>
            </w:pPr>
            <w:r>
              <w:rPr>
                <w:sz w:val="20"/>
                <w:szCs w:val="20"/>
              </w:rPr>
              <w:t xml:space="preserve">Informe</w:t>
            </w:r>
          </w:p>
        </w:tc>
      </w:tr>
      <w:tr>
        <w:tc>
          <w:tcPr>
            <w:tcW w:w="801" w:type="dxa"/>
          </w:tcPr>
          <w:p>
            <w:pPr>
              <w:pStyle w:val="CeldaAPA"/>
              <w:jc w:val="left"/>
            </w:pPr>
            <w:r>
              <w:rPr>
                <w:sz w:val="20"/>
                <w:szCs w:val="20"/>
              </w:rPr>
              <w:t xml:space="preserve">P5</w:t>
            </w:r>
          </w:p>
        </w:tc>
        <w:tc>
          <w:tcPr>
            <w:tcW w:w="2328" w:type="dxa"/>
          </w:tcPr>
          <w:p>
            <w:pPr>
              <w:pStyle w:val="CeldaAPA"/>
              <w:jc w:val="left"/>
            </w:pPr>
            <w:r>
              <w:rPr>
                <w:sz w:val="20"/>
                <w:szCs w:val="20"/>
              </w:rPr>
              <w:t xml:space="preserve">Materiales de protección (lluvia y tiempo frío)</w:t>
            </w:r>
          </w:p>
        </w:tc>
        <w:tc>
          <w:tcPr>
            <w:tcW w:w="1302" w:type="dxa"/>
          </w:tcPr>
          <w:p>
            <w:pPr>
              <w:pStyle w:val="CeldaAPA"/>
            </w:pPr>
          </w:p>
        </w:tc>
        <w:tc>
          <w:tcPr>
            <w:tcW w:w="1083" w:type="dxa"/>
          </w:tcPr>
          <w:p>
            <w:pPr>
              <w:pStyle w:val="CeldaAPA"/>
              <w:jc w:val="center"/>
            </w:pPr>
            <w:r>
              <w:rPr>
                <w:sz w:val="20"/>
                <w:szCs w:val="20"/>
              </w:rPr>
              <w:t xml:space="preserve">glb</w:t>
            </w:r>
          </w:p>
        </w:tc>
        <w:tc>
          <w:tcPr>
            <w:tcW w:w="1166" w:type="dxa"/>
          </w:tcPr>
          <w:p>
            <w:pPr>
              <w:pStyle w:val="CeldaAPA"/>
            </w:pPr>
          </w:p>
        </w:tc>
        <w:tc>
          <w:tcPr>
            <w:tcW w:w="973" w:type="dxa"/>
          </w:tcPr>
          <w:p>
            <w:pPr>
              <w:pStyle w:val="CeldaAPA"/>
            </w:pPr>
          </w:p>
        </w:tc>
        <w:tc>
          <w:tcPr>
            <w:tcW w:w="1708" w:type="dxa"/>
          </w:tcPr>
          <w:p>
            <w:pPr>
              <w:pStyle w:val="CeldaAPA"/>
              <w:jc w:val="left"/>
            </w:pPr>
            <w:r>
              <w:rPr>
                <w:sz w:val="20"/>
                <w:szCs w:val="20"/>
              </w:rPr>
              <w:t xml:space="preserve">Factura</w:t>
            </w:r>
          </w:p>
        </w:tc>
      </w:tr>
      <w:tr>
        <w:tc>
          <w:tcPr>
            <w:tcW w:w="6680" w:type="dxa"/>
            <w:gridSpan w:val="5"/>
          </w:tcPr>
          <w:p>
            <w:pPr>
              <w:pStyle w:val="CeldaAPA"/>
              <w:jc w:val="right"/>
            </w:pPr>
            <w:r>
              <w:rPr>
                <w:bCs/>
                <w:b/>
                <w:sz w:val="20"/>
                <w:szCs w:val="20"/>
              </w:rPr>
              <w:t xml:space="preserve">Subtotal</w:t>
            </w:r>
            <w:r>
              <w:rPr>
                <w:bCs/>
                <w:b/>
                <w:sz w:val="20"/>
                <w:szCs w:val="20"/>
              </w:rPr>
              <w:t xml:space="preserve"> </w:t>
            </w:r>
            <m:oMath>
              <m:sSub>
                <m:e>
                  <m:r>
                    <m:t>C</m:t>
                  </m:r>
                </m:e>
                <m:sub>
                  <m:r>
                    <m:t>P</m:t>
                  </m:r>
                </m:sub>
              </m:sSub>
            </m:oMath>
          </w:p>
        </w:tc>
        <w:tc>
          <w:tcPr>
            <w:tcW w:w="973" w:type="dxa"/>
          </w:tcPr>
          <w:p>
            <w:pPr>
              <w:pStyle w:val="CeldaAPA"/>
            </w:pPr>
          </w:p>
        </w:tc>
        <w:tc>
          <w:tcPr>
            <w:tcW w:w="1708" w:type="dxa"/>
          </w:tcPr>
          <w:p>
            <w:pPr>
              <w:pStyle w:val="CeldaAPA"/>
            </w:pPr>
          </w:p>
        </w:tc>
      </w:tr>
      <w:tr>
        <w:tc>
          <w:tcPr>
            <w:tcW w:w="9361" w:type="dxa"/>
            <w:gridSpan w:val="7"/>
          </w:tcPr>
          <w:p>
            <w:pPr>
              <w:pStyle w:val="CeldaAPA"/>
              <w:jc w:val="left"/>
            </w:pPr>
            <w:r>
              <w:rPr>
                <w:bCs/>
                <w:b/>
                <w:sz w:val="20"/>
                <w:szCs w:val="20"/>
              </w:rPr>
              <w:t xml:space="preserve">Evaluación (</w:t>
            </w:r>
            <m:oMath>
              <m:sSub>
                <m:e>
                  <m:r>
                    <m:t>C</m:t>
                  </m:r>
                </m:e>
                <m:sub>
                  <m:r>
                    <m:t>E</m:t>
                  </m:r>
                </m:sub>
              </m:sSub>
            </m:oMath>
            <w:r>
              <w:rPr>
                <w:bCs/>
                <w:b/>
                <w:sz w:val="20"/>
                <w:szCs w:val="20"/>
              </w:rPr>
              <w:t xml:space="preserve">)</w:t>
            </w:r>
          </w:p>
        </w:tc>
      </w:tr>
      <w:tr>
        <w:tc>
          <w:tcPr>
            <w:tcW w:w="801" w:type="dxa"/>
          </w:tcPr>
          <w:p>
            <w:pPr>
              <w:pStyle w:val="CeldaAPA"/>
              <w:jc w:val="left"/>
            </w:pPr>
            <w:r>
              <w:rPr>
                <w:sz w:val="20"/>
                <w:szCs w:val="20"/>
              </w:rPr>
              <w:t xml:space="preserve">E1</w:t>
            </w:r>
          </w:p>
        </w:tc>
        <w:tc>
          <w:tcPr>
            <w:tcW w:w="2328" w:type="dxa"/>
          </w:tcPr>
          <w:p>
            <w:pPr>
              <w:pStyle w:val="CeldaAPA"/>
              <w:jc w:val="left"/>
            </w:pPr>
            <w:r>
              <w:rPr>
                <w:sz w:val="20"/>
                <w:szCs w:val="20"/>
              </w:rPr>
              <w:t xml:space="preserve">Ensayos de compresión (cilindros a 7 y 28 días)</w:t>
            </w:r>
          </w:p>
        </w:tc>
        <w:tc>
          <w:tcPr>
            <w:tcW w:w="1302" w:type="dxa"/>
          </w:tcPr>
          <w:p>
            <w:pPr>
              <w:pStyle w:val="CeldaAPA"/>
            </w:pPr>
          </w:p>
        </w:tc>
        <w:tc>
          <w:tcPr>
            <w:tcW w:w="1083" w:type="dxa"/>
          </w:tcPr>
          <w:p>
            <w:pPr>
              <w:pStyle w:val="CeldaAPA"/>
              <w:jc w:val="center"/>
            </w:pPr>
            <w:r>
              <w:rPr>
                <w:sz w:val="20"/>
                <w:szCs w:val="20"/>
              </w:rPr>
              <w:t xml:space="preserve">ensayo</w:t>
            </w:r>
          </w:p>
        </w:tc>
        <w:tc>
          <w:tcPr>
            <w:tcW w:w="1166" w:type="dxa"/>
          </w:tcPr>
          <w:p>
            <w:pPr>
              <w:pStyle w:val="CeldaAPA"/>
            </w:pPr>
          </w:p>
        </w:tc>
        <w:tc>
          <w:tcPr>
            <w:tcW w:w="973" w:type="dxa"/>
          </w:tcPr>
          <w:p>
            <w:pPr>
              <w:pStyle w:val="CeldaAPA"/>
            </w:pPr>
          </w:p>
        </w:tc>
        <w:tc>
          <w:tcPr>
            <w:tcW w:w="1708" w:type="dxa"/>
          </w:tcPr>
          <w:p>
            <w:pPr>
              <w:pStyle w:val="CeldaAPA"/>
              <w:jc w:val="left"/>
            </w:pPr>
            <w:r>
              <w:rPr>
                <w:sz w:val="20"/>
                <w:szCs w:val="20"/>
              </w:rPr>
              <w:t xml:space="preserve">Factura del laboratorio</w:t>
            </w:r>
          </w:p>
        </w:tc>
      </w:tr>
      <w:tr>
        <w:tc>
          <w:tcPr>
            <w:tcW w:w="801" w:type="dxa"/>
          </w:tcPr>
          <w:p>
            <w:pPr>
              <w:pStyle w:val="CeldaAPA"/>
              <w:jc w:val="left"/>
            </w:pPr>
            <w:r>
              <w:rPr>
                <w:sz w:val="20"/>
                <w:szCs w:val="20"/>
              </w:rPr>
              <w:t xml:space="preserve">E2</w:t>
            </w:r>
          </w:p>
        </w:tc>
        <w:tc>
          <w:tcPr>
            <w:tcW w:w="2328" w:type="dxa"/>
          </w:tcPr>
          <w:p>
            <w:pPr>
              <w:pStyle w:val="CeldaAPA"/>
              <w:jc w:val="left"/>
            </w:pPr>
            <w:r>
              <w:rPr>
                <w:sz w:val="20"/>
                <w:szCs w:val="20"/>
              </w:rPr>
              <w:t xml:space="preserve">Ensayos de asentamiento y temperatura</w:t>
            </w:r>
          </w:p>
        </w:tc>
        <w:tc>
          <w:tcPr>
            <w:tcW w:w="1302" w:type="dxa"/>
          </w:tcPr>
          <w:p>
            <w:pPr>
              <w:pStyle w:val="CeldaAPA"/>
            </w:pPr>
          </w:p>
        </w:tc>
        <w:tc>
          <w:tcPr>
            <w:tcW w:w="1083" w:type="dxa"/>
          </w:tcPr>
          <w:p>
            <w:pPr>
              <w:pStyle w:val="CeldaAPA"/>
              <w:jc w:val="center"/>
            </w:pPr>
            <w:r>
              <w:rPr>
                <w:sz w:val="20"/>
                <w:szCs w:val="20"/>
              </w:rPr>
              <w:t xml:space="preserve">h</w:t>
            </w:r>
          </w:p>
        </w:tc>
        <w:tc>
          <w:tcPr>
            <w:tcW w:w="1166" w:type="dxa"/>
          </w:tcPr>
          <w:p>
            <w:pPr>
              <w:pStyle w:val="CeldaAPA"/>
            </w:pPr>
          </w:p>
        </w:tc>
        <w:tc>
          <w:tcPr>
            <w:tcW w:w="973" w:type="dxa"/>
          </w:tcPr>
          <w:p>
            <w:pPr>
              <w:pStyle w:val="CeldaAPA"/>
            </w:pPr>
          </w:p>
        </w:tc>
        <w:tc>
          <w:tcPr>
            <w:tcW w:w="1708" w:type="dxa"/>
          </w:tcPr>
          <w:p>
            <w:pPr>
              <w:pStyle w:val="CeldaAPA"/>
              <w:jc w:val="left"/>
            </w:pPr>
            <w:r>
              <w:rPr>
                <w:sz w:val="20"/>
                <w:szCs w:val="20"/>
              </w:rPr>
              <w:t xml:space="preserve">Planilla de muestreo</w:t>
            </w:r>
          </w:p>
        </w:tc>
      </w:tr>
      <w:tr>
        <w:tc>
          <w:tcPr>
            <w:tcW w:w="801" w:type="dxa"/>
          </w:tcPr>
          <w:p>
            <w:pPr>
              <w:pStyle w:val="CeldaAPA"/>
              <w:jc w:val="left"/>
            </w:pPr>
            <w:r>
              <w:rPr>
                <w:sz w:val="20"/>
                <w:szCs w:val="20"/>
              </w:rPr>
              <w:t xml:space="preserve">E3</w:t>
            </w:r>
          </w:p>
        </w:tc>
        <w:tc>
          <w:tcPr>
            <w:tcW w:w="2328" w:type="dxa"/>
          </w:tcPr>
          <w:p>
            <w:pPr>
              <w:pStyle w:val="CeldaAPA"/>
              <w:jc w:val="left"/>
            </w:pPr>
            <w:r>
              <w:rPr>
                <w:sz w:val="20"/>
                <w:szCs w:val="20"/>
              </w:rPr>
              <w:t xml:space="preserve">Inspecciones del PPI y liberación de paños</w:t>
            </w:r>
          </w:p>
        </w:tc>
        <w:tc>
          <w:tcPr>
            <w:tcW w:w="1302" w:type="dxa"/>
          </w:tcPr>
          <w:p>
            <w:pPr>
              <w:pStyle w:val="CeldaAPA"/>
            </w:pPr>
          </w:p>
        </w:tc>
        <w:tc>
          <w:tcPr>
            <w:tcW w:w="1083" w:type="dxa"/>
          </w:tcPr>
          <w:p>
            <w:pPr>
              <w:pStyle w:val="CeldaAPA"/>
              <w:jc w:val="center"/>
            </w:pPr>
            <w:r>
              <w:rPr>
                <w:sz w:val="20"/>
                <w:szCs w:val="20"/>
              </w:rPr>
              <w:t xml:space="preserve">h</w:t>
            </w:r>
          </w:p>
        </w:tc>
        <w:tc>
          <w:tcPr>
            <w:tcW w:w="1166" w:type="dxa"/>
          </w:tcPr>
          <w:p>
            <w:pPr>
              <w:pStyle w:val="CeldaAPA"/>
            </w:pPr>
          </w:p>
        </w:tc>
        <w:tc>
          <w:tcPr>
            <w:tcW w:w="973" w:type="dxa"/>
          </w:tcPr>
          <w:p>
            <w:pPr>
              <w:pStyle w:val="CeldaAPA"/>
            </w:pPr>
          </w:p>
        </w:tc>
        <w:tc>
          <w:tcPr>
            <w:tcW w:w="1708" w:type="dxa"/>
          </w:tcPr>
          <w:p>
            <w:pPr>
              <w:pStyle w:val="CeldaAPA"/>
              <w:jc w:val="left"/>
            </w:pPr>
            <w:r>
              <w:rPr>
                <w:sz w:val="20"/>
                <w:szCs w:val="20"/>
              </w:rPr>
              <w:t xml:space="preserve">Fichas C.2</w:t>
            </w:r>
          </w:p>
        </w:tc>
      </w:tr>
      <w:tr>
        <w:tc>
          <w:tcPr>
            <w:tcW w:w="801" w:type="dxa"/>
          </w:tcPr>
          <w:p>
            <w:pPr>
              <w:pStyle w:val="CeldaAPA"/>
              <w:jc w:val="left"/>
            </w:pPr>
            <w:r>
              <w:rPr>
                <w:sz w:val="20"/>
                <w:szCs w:val="20"/>
              </w:rPr>
              <w:t xml:space="preserve">E4</w:t>
            </w:r>
          </w:p>
        </w:tc>
        <w:tc>
          <w:tcPr>
            <w:tcW w:w="2328" w:type="dxa"/>
          </w:tcPr>
          <w:p>
            <w:pPr>
              <w:pStyle w:val="CeldaAPA"/>
              <w:jc w:val="left"/>
            </w:pPr>
            <w:r>
              <w:rPr>
                <w:sz w:val="20"/>
                <w:szCs w:val="20"/>
              </w:rPr>
              <w:t xml:space="preserve">Recepción, pesajes, inventarios y conciliación</w:t>
            </w:r>
          </w:p>
        </w:tc>
        <w:tc>
          <w:tcPr>
            <w:tcW w:w="1302" w:type="dxa"/>
          </w:tcPr>
          <w:p>
            <w:pPr>
              <w:pStyle w:val="CeldaAPA"/>
            </w:pPr>
          </w:p>
        </w:tc>
        <w:tc>
          <w:tcPr>
            <w:tcW w:w="1083" w:type="dxa"/>
          </w:tcPr>
          <w:p>
            <w:pPr>
              <w:pStyle w:val="CeldaAPA"/>
              <w:jc w:val="center"/>
            </w:pPr>
            <w:r>
              <w:rPr>
                <w:sz w:val="20"/>
                <w:szCs w:val="20"/>
              </w:rPr>
              <w:t xml:space="preserve">h</w:t>
            </w:r>
          </w:p>
        </w:tc>
        <w:tc>
          <w:tcPr>
            <w:tcW w:w="1166" w:type="dxa"/>
          </w:tcPr>
          <w:p>
            <w:pPr>
              <w:pStyle w:val="CeldaAPA"/>
            </w:pPr>
          </w:p>
        </w:tc>
        <w:tc>
          <w:tcPr>
            <w:tcW w:w="973" w:type="dxa"/>
          </w:tcPr>
          <w:p>
            <w:pPr>
              <w:pStyle w:val="CeldaAPA"/>
            </w:pPr>
          </w:p>
        </w:tc>
        <w:tc>
          <w:tcPr>
            <w:tcW w:w="1708" w:type="dxa"/>
          </w:tcPr>
          <w:p>
            <w:pPr>
              <w:pStyle w:val="CeldaAPA"/>
              <w:jc w:val="left"/>
            </w:pPr>
            <w:r>
              <w:rPr>
                <w:sz w:val="20"/>
                <w:szCs w:val="20"/>
              </w:rPr>
              <w:t xml:space="preserve">Fichas C.3 y C.4</w:t>
            </w:r>
          </w:p>
        </w:tc>
      </w:tr>
      <w:tr>
        <w:tc>
          <w:tcPr>
            <w:tcW w:w="6680" w:type="dxa"/>
            <w:gridSpan w:val="5"/>
          </w:tcPr>
          <w:p>
            <w:pPr>
              <w:pStyle w:val="CeldaAPA"/>
              <w:jc w:val="right"/>
            </w:pPr>
            <w:r>
              <w:rPr>
                <w:bCs/>
                <w:b/>
                <w:sz w:val="20"/>
                <w:szCs w:val="20"/>
              </w:rPr>
              <w:t xml:space="preserve">Subtotal</w:t>
            </w:r>
            <w:r>
              <w:rPr>
                <w:bCs/>
                <w:b/>
                <w:sz w:val="20"/>
                <w:szCs w:val="20"/>
              </w:rPr>
              <w:t xml:space="preserve"> </w:t>
            </w:r>
            <m:oMath>
              <m:sSub>
                <m:e>
                  <m:r>
                    <m:t>C</m:t>
                  </m:r>
                </m:e>
                <m:sub>
                  <m:r>
                    <m:t>E</m:t>
                  </m:r>
                </m:sub>
              </m:sSub>
            </m:oMath>
          </w:p>
        </w:tc>
        <w:tc>
          <w:tcPr>
            <w:tcW w:w="973" w:type="dxa"/>
          </w:tcPr>
          <w:p>
            <w:pPr>
              <w:pStyle w:val="CeldaAPA"/>
            </w:pPr>
          </w:p>
        </w:tc>
        <w:tc>
          <w:tcPr>
            <w:tcW w:w="1708" w:type="dxa"/>
          </w:tcPr>
          <w:p>
            <w:pPr>
              <w:pStyle w:val="CeldaAPA"/>
            </w:pPr>
          </w:p>
        </w:tc>
      </w:tr>
      <w:tr>
        <w:tc>
          <w:tcPr>
            <w:tcW w:w="9361" w:type="dxa"/>
            <w:gridSpan w:val="7"/>
          </w:tcPr>
          <w:p>
            <w:pPr>
              <w:pStyle w:val="CeldaAPA"/>
              <w:jc w:val="left"/>
            </w:pPr>
            <w:r>
              <w:rPr>
                <w:bCs/>
                <w:b/>
                <w:sz w:val="20"/>
                <w:szCs w:val="20"/>
              </w:rPr>
              <w:t xml:space="preserve">Fallas internas (</w:t>
            </w:r>
            <m:oMath>
              <m:sSub>
                <m:e>
                  <m:r>
                    <m:t>C</m:t>
                  </m:r>
                </m:e>
                <m:sub>
                  <m:r>
                    <m:t>F</m:t>
                  </m:r>
                  <m:r>
                    <m:t>I</m:t>
                  </m:r>
                </m:sub>
              </m:sSub>
            </m:oMath>
            <w:r>
              <w:rPr>
                <w:bCs/>
                <w:b/>
                <w:sz w:val="20"/>
                <w:szCs w:val="20"/>
              </w:rPr>
              <w:t xml:space="preserve">)</w:t>
            </w:r>
          </w:p>
        </w:tc>
      </w:tr>
      <w:tr>
        <w:tc>
          <w:tcPr>
            <w:tcW w:w="801" w:type="dxa"/>
          </w:tcPr>
          <w:p>
            <w:pPr>
              <w:pStyle w:val="CeldaAPA"/>
              <w:jc w:val="left"/>
            </w:pPr>
            <w:r>
              <w:rPr>
                <w:sz w:val="20"/>
                <w:szCs w:val="20"/>
              </w:rPr>
              <w:t xml:space="preserve">FI1</w:t>
            </w:r>
          </w:p>
        </w:tc>
        <w:tc>
          <w:tcPr>
            <w:tcW w:w="2328" w:type="dxa"/>
          </w:tcPr>
          <w:p>
            <w:pPr>
              <w:pStyle w:val="CeldaAPA"/>
              <w:jc w:val="left"/>
            </w:pPr>
            <w:r>
              <w:rPr>
                <w:sz w:val="20"/>
                <w:szCs w:val="20"/>
              </w:rPr>
              <w:t xml:space="preserve">Desperdicio de materiales sobre lo teórico,</w:t>
            </w:r>
            <w:r>
              <w:rPr>
                <w:sz w:val="20"/>
                <w:szCs w:val="20"/>
              </w:rPr>
              <w:t xml:space="preserve"> </w:t>
            </w:r>
            <m:oMath>
              <m:sSubSup>
                <m:e>
                  <m:r>
                    <m:t>C</m:t>
                  </m:r>
                </m:e>
                <m:sub>
                  <m:r>
                    <m:t>F</m:t>
                  </m:r>
                  <m:r>
                    <m:t>I</m:t>
                  </m:r>
                </m:sub>
                <m:sup>
                  <m:r>
                    <m:t> </m:t>
                  </m:r>
                  <m:r>
                    <m:t>m</m:t>
                  </m:r>
                  <m:r>
                    <m:t>a</m:t>
                  </m:r>
                  <m:r>
                    <m:t>t</m:t>
                  </m:r>
                </m:sup>
              </m:sSubSup>
            </m:oMath>
            <w:r>
              <w:rPr>
                <w:sz w:val="20"/>
                <w:szCs w:val="20"/>
              </w:rPr>
              <w:t xml:space="preserve"> </w:t>
            </w:r>
            <w:r>
              <w:rPr>
                <w:sz w:val="20"/>
                <w:szCs w:val="20"/>
              </w:rPr>
              <w:t xml:space="preserve">(detalle abajo)</w:t>
            </w:r>
          </w:p>
        </w:tc>
        <w:tc>
          <w:tcPr>
            <w:tcW w:w="1302" w:type="dxa"/>
          </w:tcPr>
          <w:p>
            <w:pPr>
              <w:pStyle w:val="CeldaAPA"/>
            </w:pPr>
          </w:p>
        </w:tc>
        <w:tc>
          <w:tcPr>
            <w:tcW w:w="1083" w:type="dxa"/>
          </w:tcPr>
          <w:p>
            <w:pPr>
              <w:pStyle w:val="CeldaAPA"/>
              <w:jc w:val="center"/>
            </w:pPr>
            <w:r>
              <w:rPr>
                <w:sz w:val="20"/>
                <w:szCs w:val="20"/>
              </w:rPr>
              <w:t xml:space="preserve">Bs</w:t>
            </w:r>
          </w:p>
        </w:tc>
        <w:tc>
          <w:tcPr>
            <w:tcW w:w="1166" w:type="dxa"/>
          </w:tcPr>
          <w:p>
            <w:pPr>
              <w:pStyle w:val="CeldaAPA"/>
            </w:pPr>
          </w:p>
        </w:tc>
        <w:tc>
          <w:tcPr>
            <w:tcW w:w="973" w:type="dxa"/>
          </w:tcPr>
          <w:p>
            <w:pPr>
              <w:pStyle w:val="CeldaAPA"/>
            </w:pPr>
          </w:p>
        </w:tc>
        <w:tc>
          <w:tcPr>
            <w:tcW w:w="1708" w:type="dxa"/>
          </w:tcPr>
          <w:p>
            <w:pPr>
              <w:pStyle w:val="CeldaAPA"/>
              <w:jc w:val="left"/>
            </w:pPr>
            <w:r>
              <w:rPr>
                <w:sz w:val="20"/>
                <w:szCs w:val="20"/>
              </w:rPr>
              <w:t xml:space="preserve">Ficha C.4</w:t>
            </w:r>
          </w:p>
        </w:tc>
      </w:tr>
      <w:tr>
        <w:tc>
          <w:tcPr>
            <w:tcW w:w="801" w:type="dxa"/>
          </w:tcPr>
          <w:p>
            <w:pPr>
              <w:pStyle w:val="CeldaAPA"/>
              <w:jc w:val="left"/>
            </w:pPr>
            <w:r>
              <w:rPr>
                <w:sz w:val="20"/>
                <w:szCs w:val="20"/>
              </w:rPr>
              <w:t xml:space="preserve">FI2</w:t>
            </w:r>
          </w:p>
        </w:tc>
        <w:tc>
          <w:tcPr>
            <w:tcW w:w="2328" w:type="dxa"/>
          </w:tcPr>
          <w:p>
            <w:pPr>
              <w:pStyle w:val="CeldaAPA"/>
              <w:jc w:val="left"/>
            </w:pPr>
            <w:r>
              <w:rPr>
                <w:sz w:val="20"/>
                <w:szCs w:val="20"/>
              </w:rPr>
              <w:t xml:space="preserve">Retrabajos y reparaciones</w:t>
            </w:r>
          </w:p>
        </w:tc>
        <w:tc>
          <w:tcPr>
            <w:tcW w:w="1302" w:type="dxa"/>
          </w:tcPr>
          <w:p>
            <w:pPr>
              <w:pStyle w:val="CeldaAPA"/>
            </w:pPr>
          </w:p>
        </w:tc>
        <w:tc>
          <w:tcPr>
            <w:tcW w:w="1083" w:type="dxa"/>
          </w:tcPr>
          <w:p>
            <w:pPr>
              <w:pStyle w:val="CeldaAPA"/>
              <w:jc w:val="center"/>
            </w:pPr>
            <w:r>
              <w:rPr>
                <w:sz w:val="20"/>
                <w:szCs w:val="20"/>
              </w:rPr>
              <w:t xml:space="preserve">h-h</w:t>
            </w:r>
          </w:p>
        </w:tc>
        <w:tc>
          <w:tcPr>
            <w:tcW w:w="1166" w:type="dxa"/>
          </w:tcPr>
          <w:p>
            <w:pPr>
              <w:pStyle w:val="CeldaAPA"/>
            </w:pPr>
          </w:p>
        </w:tc>
        <w:tc>
          <w:tcPr>
            <w:tcW w:w="973" w:type="dxa"/>
          </w:tcPr>
          <w:p>
            <w:pPr>
              <w:pStyle w:val="CeldaAPA"/>
            </w:pPr>
          </w:p>
        </w:tc>
        <w:tc>
          <w:tcPr>
            <w:tcW w:w="1708" w:type="dxa"/>
          </w:tcPr>
          <w:p>
            <w:pPr>
              <w:pStyle w:val="CeldaAPA"/>
              <w:jc w:val="left"/>
            </w:pPr>
            <w:r>
              <w:rPr>
                <w:sz w:val="20"/>
                <w:szCs w:val="20"/>
              </w:rPr>
              <w:t xml:space="preserve">Registros C.5</w:t>
            </w:r>
          </w:p>
        </w:tc>
      </w:tr>
      <w:tr>
        <w:tc>
          <w:tcPr>
            <w:tcW w:w="801" w:type="dxa"/>
          </w:tcPr>
          <w:p>
            <w:pPr>
              <w:pStyle w:val="CeldaAPA"/>
              <w:jc w:val="left"/>
            </w:pPr>
            <w:r>
              <w:rPr>
                <w:sz w:val="20"/>
                <w:szCs w:val="20"/>
              </w:rPr>
              <w:t xml:space="preserve">FI3</w:t>
            </w:r>
          </w:p>
        </w:tc>
        <w:tc>
          <w:tcPr>
            <w:tcW w:w="2328" w:type="dxa"/>
          </w:tcPr>
          <w:p>
            <w:pPr>
              <w:pStyle w:val="CeldaAPA"/>
              <w:jc w:val="left"/>
            </w:pPr>
            <w:r>
              <w:rPr>
                <w:sz w:val="20"/>
                <w:szCs w:val="20"/>
              </w:rPr>
              <w:t xml:space="preserve">Material no conforme repuesto</w:t>
            </w:r>
          </w:p>
        </w:tc>
        <w:tc>
          <w:tcPr>
            <w:tcW w:w="1302" w:type="dxa"/>
          </w:tcPr>
          <w:p>
            <w:pPr>
              <w:pStyle w:val="CeldaAPA"/>
            </w:pPr>
          </w:p>
        </w:tc>
        <w:tc>
          <w:tcPr>
            <w:tcW w:w="1083" w:type="dxa"/>
          </w:tcPr>
          <w:p>
            <w:pPr>
              <w:pStyle w:val="CeldaAPA"/>
            </w:pPr>
          </w:p>
        </w:tc>
        <w:tc>
          <w:tcPr>
            <w:tcW w:w="1166" w:type="dxa"/>
          </w:tcPr>
          <w:p>
            <w:pPr>
              <w:pStyle w:val="CeldaAPA"/>
            </w:pPr>
          </w:p>
        </w:tc>
        <w:tc>
          <w:tcPr>
            <w:tcW w:w="973" w:type="dxa"/>
          </w:tcPr>
          <w:p>
            <w:pPr>
              <w:pStyle w:val="CeldaAPA"/>
            </w:pPr>
          </w:p>
        </w:tc>
        <w:tc>
          <w:tcPr>
            <w:tcW w:w="1708" w:type="dxa"/>
          </w:tcPr>
          <w:p>
            <w:pPr>
              <w:pStyle w:val="CeldaAPA"/>
              <w:jc w:val="left"/>
            </w:pPr>
            <w:r>
              <w:rPr>
                <w:sz w:val="20"/>
                <w:szCs w:val="20"/>
              </w:rPr>
              <w:t xml:space="preserve">PCM-05; C.5</w:t>
            </w:r>
          </w:p>
        </w:tc>
      </w:tr>
      <w:tr>
        <w:tc>
          <w:tcPr>
            <w:tcW w:w="801" w:type="dxa"/>
          </w:tcPr>
          <w:p>
            <w:pPr>
              <w:pStyle w:val="CeldaAPA"/>
              <w:jc w:val="left"/>
            </w:pPr>
            <w:r>
              <w:rPr>
                <w:sz w:val="20"/>
                <w:szCs w:val="20"/>
              </w:rPr>
              <w:t xml:space="preserve">FI4</w:t>
            </w:r>
          </w:p>
        </w:tc>
        <w:tc>
          <w:tcPr>
            <w:tcW w:w="2328" w:type="dxa"/>
          </w:tcPr>
          <w:p>
            <w:pPr>
              <w:pStyle w:val="CeldaAPA"/>
              <w:jc w:val="left"/>
            </w:pPr>
            <w:r>
              <w:rPr>
                <w:sz w:val="20"/>
                <w:szCs w:val="20"/>
              </w:rPr>
              <w:t xml:space="preserve">Esperas de la cuadrilla por material faltante o no conforme</w:t>
            </w:r>
          </w:p>
        </w:tc>
        <w:tc>
          <w:tcPr>
            <w:tcW w:w="1302" w:type="dxa"/>
          </w:tcPr>
          <w:p>
            <w:pPr>
              <w:pStyle w:val="CeldaAPA"/>
            </w:pPr>
          </w:p>
        </w:tc>
        <w:tc>
          <w:tcPr>
            <w:tcW w:w="1083" w:type="dxa"/>
          </w:tcPr>
          <w:p>
            <w:pPr>
              <w:pStyle w:val="CeldaAPA"/>
              <w:jc w:val="center"/>
            </w:pPr>
            <w:r>
              <w:rPr>
                <w:sz w:val="20"/>
                <w:szCs w:val="20"/>
              </w:rPr>
              <w:t xml:space="preserve">h-h</w:t>
            </w:r>
          </w:p>
        </w:tc>
        <w:tc>
          <w:tcPr>
            <w:tcW w:w="1166" w:type="dxa"/>
          </w:tcPr>
          <w:p>
            <w:pPr>
              <w:pStyle w:val="CeldaAPA"/>
            </w:pPr>
          </w:p>
        </w:tc>
        <w:tc>
          <w:tcPr>
            <w:tcW w:w="973" w:type="dxa"/>
          </w:tcPr>
          <w:p>
            <w:pPr>
              <w:pStyle w:val="CeldaAPA"/>
            </w:pPr>
          </w:p>
        </w:tc>
        <w:tc>
          <w:tcPr>
            <w:tcW w:w="1708" w:type="dxa"/>
          </w:tcPr>
          <w:p>
            <w:pPr>
              <w:pStyle w:val="CeldaAPA"/>
              <w:jc w:val="left"/>
            </w:pPr>
            <w:r>
              <w:rPr>
                <w:sz w:val="20"/>
                <w:szCs w:val="20"/>
              </w:rPr>
              <w:t xml:space="preserve">Parte diario</w:t>
            </w:r>
          </w:p>
        </w:tc>
      </w:tr>
      <w:tr>
        <w:tc>
          <w:tcPr>
            <w:tcW w:w="801" w:type="dxa"/>
          </w:tcPr>
          <w:p>
            <w:pPr>
              <w:pStyle w:val="CeldaAPA"/>
              <w:jc w:val="left"/>
            </w:pPr>
            <w:r>
              <w:rPr>
                <w:sz w:val="20"/>
                <w:szCs w:val="20"/>
              </w:rPr>
              <w:t xml:space="preserve">FI5</w:t>
            </w:r>
          </w:p>
        </w:tc>
        <w:tc>
          <w:tcPr>
            <w:tcW w:w="2328" w:type="dxa"/>
          </w:tcPr>
          <w:p>
            <w:pPr>
              <w:pStyle w:val="CeldaAPA"/>
              <w:jc w:val="left"/>
            </w:pPr>
            <w:r>
              <w:rPr>
                <w:sz w:val="20"/>
                <w:szCs w:val="20"/>
              </w:rPr>
              <w:t xml:space="preserve">Investigación de resistencias bajas (núcleos)</w:t>
            </w:r>
          </w:p>
        </w:tc>
        <w:tc>
          <w:tcPr>
            <w:tcW w:w="1302" w:type="dxa"/>
          </w:tcPr>
          <w:p>
            <w:pPr>
              <w:pStyle w:val="CeldaAPA"/>
            </w:pPr>
          </w:p>
        </w:tc>
        <w:tc>
          <w:tcPr>
            <w:tcW w:w="1083" w:type="dxa"/>
          </w:tcPr>
          <w:p>
            <w:pPr>
              <w:pStyle w:val="CeldaAPA"/>
              <w:jc w:val="center"/>
            </w:pPr>
            <w:r>
              <w:rPr>
                <w:sz w:val="20"/>
                <w:szCs w:val="20"/>
              </w:rPr>
              <w:t xml:space="preserve">núcleo</w:t>
            </w:r>
          </w:p>
        </w:tc>
        <w:tc>
          <w:tcPr>
            <w:tcW w:w="1166" w:type="dxa"/>
          </w:tcPr>
          <w:p>
            <w:pPr>
              <w:pStyle w:val="CeldaAPA"/>
            </w:pPr>
          </w:p>
        </w:tc>
        <w:tc>
          <w:tcPr>
            <w:tcW w:w="973" w:type="dxa"/>
          </w:tcPr>
          <w:p>
            <w:pPr>
              <w:pStyle w:val="CeldaAPA"/>
            </w:pPr>
          </w:p>
        </w:tc>
        <w:tc>
          <w:tcPr>
            <w:tcW w:w="1708" w:type="dxa"/>
          </w:tcPr>
          <w:p>
            <w:pPr>
              <w:pStyle w:val="CeldaAPA"/>
              <w:jc w:val="left"/>
            </w:pPr>
            <w:r>
              <w:rPr>
                <w:sz w:val="20"/>
                <w:szCs w:val="20"/>
              </w:rPr>
              <w:t xml:space="preserve">Informe del laboratorio</w:t>
            </w:r>
          </w:p>
        </w:tc>
      </w:tr>
      <w:tr>
        <w:tc>
          <w:tcPr>
            <w:tcW w:w="6680" w:type="dxa"/>
            <w:gridSpan w:val="5"/>
          </w:tcPr>
          <w:p>
            <w:pPr>
              <w:pStyle w:val="CeldaAPA"/>
              <w:jc w:val="right"/>
            </w:pPr>
            <w:r>
              <w:rPr>
                <w:bCs/>
                <w:b/>
                <w:sz w:val="20"/>
                <w:szCs w:val="20"/>
              </w:rPr>
              <w:t xml:space="preserve">Subtotal</w:t>
            </w:r>
            <w:r>
              <w:rPr>
                <w:bCs/>
                <w:b/>
                <w:sz w:val="20"/>
                <w:szCs w:val="20"/>
              </w:rPr>
              <w:t xml:space="preserve"> </w:t>
            </w:r>
            <m:oMath>
              <m:sSub>
                <m:e>
                  <m:r>
                    <m:t>C</m:t>
                  </m:r>
                </m:e>
                <m:sub>
                  <m:r>
                    <m:t>F</m:t>
                  </m:r>
                  <m:r>
                    <m:t>I</m:t>
                  </m:r>
                </m:sub>
              </m:sSub>
            </m:oMath>
          </w:p>
        </w:tc>
        <w:tc>
          <w:tcPr>
            <w:tcW w:w="973" w:type="dxa"/>
          </w:tcPr>
          <w:p>
            <w:pPr>
              <w:pStyle w:val="CeldaAPA"/>
            </w:pPr>
          </w:p>
        </w:tc>
        <w:tc>
          <w:tcPr>
            <w:tcW w:w="1708" w:type="dxa"/>
          </w:tcPr>
          <w:p>
            <w:pPr>
              <w:pStyle w:val="CeldaAPA"/>
            </w:pPr>
          </w:p>
        </w:tc>
      </w:tr>
      <w:tr>
        <w:tc>
          <w:tcPr>
            <w:tcW w:w="9361" w:type="dxa"/>
            <w:gridSpan w:val="7"/>
          </w:tcPr>
          <w:p>
            <w:pPr>
              <w:pStyle w:val="CeldaAPA"/>
              <w:jc w:val="left"/>
            </w:pPr>
            <w:r>
              <w:rPr>
                <w:bCs/>
                <w:b/>
                <w:sz w:val="20"/>
                <w:szCs w:val="20"/>
              </w:rPr>
              <w:t xml:space="preserve">Fallas externas (</w:t>
            </w:r>
            <m:oMath>
              <m:sSub>
                <m:e>
                  <m:r>
                    <m:t>C</m:t>
                  </m:r>
                </m:e>
                <m:sub>
                  <m:r>
                    <m:t>F</m:t>
                  </m:r>
                  <m:r>
                    <m:t>E</m:t>
                  </m:r>
                </m:sub>
              </m:sSub>
            </m:oMath>
            <w:r>
              <w:rPr>
                <w:bCs/>
                <w:b/>
                <w:sz w:val="20"/>
                <w:szCs w:val="20"/>
              </w:rPr>
              <w:t xml:space="preserve">)</w:t>
            </w:r>
          </w:p>
        </w:tc>
      </w:tr>
      <w:tr>
        <w:tc>
          <w:tcPr>
            <w:tcW w:w="801" w:type="dxa"/>
          </w:tcPr>
          <w:p>
            <w:pPr>
              <w:pStyle w:val="CeldaAPA"/>
              <w:jc w:val="left"/>
            </w:pPr>
            <w:r>
              <w:rPr>
                <w:sz w:val="20"/>
                <w:szCs w:val="20"/>
              </w:rPr>
              <w:t xml:space="preserve">FE1</w:t>
            </w:r>
          </w:p>
        </w:tc>
        <w:tc>
          <w:tcPr>
            <w:tcW w:w="2328" w:type="dxa"/>
          </w:tcPr>
          <w:p>
            <w:pPr>
              <w:pStyle w:val="CeldaAPA"/>
              <w:jc w:val="left"/>
            </w:pPr>
            <w:r>
              <w:rPr>
                <w:sz w:val="20"/>
                <w:szCs w:val="20"/>
              </w:rPr>
              <w:t xml:space="preserve">Sobremediciones corregidas después de pagadas</w:t>
            </w:r>
          </w:p>
        </w:tc>
        <w:tc>
          <w:tcPr>
            <w:tcW w:w="1302" w:type="dxa"/>
          </w:tcPr>
          <w:p>
            <w:pPr>
              <w:pStyle w:val="CeldaAPA"/>
            </w:pPr>
          </w:p>
        </w:tc>
        <w:tc>
          <w:tcPr>
            <w:tcW w:w="1083" w:type="dxa"/>
          </w:tcPr>
          <w:p>
            <w:pPr>
              <w:pStyle w:val="CeldaAPA"/>
              <w:jc w:val="center"/>
            </w:pPr>
            <w:r>
              <w:rPr>
                <w:sz w:val="20"/>
                <w:szCs w:val="20"/>
              </w:rPr>
              <w:t xml:space="preserve">Bs</w:t>
            </w:r>
          </w:p>
        </w:tc>
        <w:tc>
          <w:tcPr>
            <w:tcW w:w="1166" w:type="dxa"/>
          </w:tcPr>
          <w:p>
            <w:pPr>
              <w:pStyle w:val="CeldaAPA"/>
            </w:pPr>
          </w:p>
        </w:tc>
        <w:tc>
          <w:tcPr>
            <w:tcW w:w="973" w:type="dxa"/>
          </w:tcPr>
          <w:p>
            <w:pPr>
              <w:pStyle w:val="CeldaAPA"/>
            </w:pPr>
          </w:p>
        </w:tc>
        <w:tc>
          <w:tcPr>
            <w:tcW w:w="1708" w:type="dxa"/>
          </w:tcPr>
          <w:p>
            <w:pPr>
              <w:pStyle w:val="CeldaAPA"/>
              <w:jc w:val="left"/>
            </w:pPr>
            <w:r>
              <w:rPr>
                <w:sz w:val="20"/>
                <w:szCs w:val="20"/>
              </w:rPr>
              <w:t xml:space="preserve">Planillas de avance</w:t>
            </w:r>
          </w:p>
        </w:tc>
      </w:tr>
      <w:tr>
        <w:tc>
          <w:tcPr>
            <w:tcW w:w="801" w:type="dxa"/>
          </w:tcPr>
          <w:p>
            <w:pPr>
              <w:pStyle w:val="CeldaAPA"/>
              <w:jc w:val="left"/>
            </w:pPr>
            <w:r>
              <w:rPr>
                <w:sz w:val="20"/>
                <w:szCs w:val="20"/>
              </w:rPr>
              <w:t xml:space="preserve">FE2</w:t>
            </w:r>
          </w:p>
        </w:tc>
        <w:tc>
          <w:tcPr>
            <w:tcW w:w="2328" w:type="dxa"/>
          </w:tcPr>
          <w:p>
            <w:pPr>
              <w:pStyle w:val="CeldaAPA"/>
              <w:jc w:val="left"/>
            </w:pPr>
            <w:r>
              <w:rPr>
                <w:sz w:val="20"/>
                <w:szCs w:val="20"/>
              </w:rPr>
              <w:t xml:space="preserve">Reparaciones después de la recepción provisional</w:t>
            </w:r>
          </w:p>
        </w:tc>
        <w:tc>
          <w:tcPr>
            <w:tcW w:w="1302" w:type="dxa"/>
          </w:tcPr>
          <w:p>
            <w:pPr>
              <w:pStyle w:val="CeldaAPA"/>
            </w:pPr>
          </w:p>
        </w:tc>
        <w:tc>
          <w:tcPr>
            <w:tcW w:w="1083" w:type="dxa"/>
          </w:tcPr>
          <w:p>
            <w:pPr>
              <w:pStyle w:val="CeldaAPA"/>
            </w:pPr>
          </w:p>
        </w:tc>
        <w:tc>
          <w:tcPr>
            <w:tcW w:w="1166" w:type="dxa"/>
          </w:tcPr>
          <w:p>
            <w:pPr>
              <w:pStyle w:val="CeldaAPA"/>
            </w:pPr>
          </w:p>
        </w:tc>
        <w:tc>
          <w:tcPr>
            <w:tcW w:w="973" w:type="dxa"/>
          </w:tcPr>
          <w:p>
            <w:pPr>
              <w:pStyle w:val="CeldaAPA"/>
            </w:pPr>
          </w:p>
        </w:tc>
        <w:tc>
          <w:tcPr>
            <w:tcW w:w="1708" w:type="dxa"/>
          </w:tcPr>
          <w:p>
            <w:pPr>
              <w:pStyle w:val="CeldaAPA"/>
              <w:jc w:val="left"/>
            </w:pPr>
            <w:r>
              <w:rPr>
                <w:sz w:val="20"/>
                <w:szCs w:val="20"/>
              </w:rPr>
              <w:t xml:space="preserve">Libro de Órdenes; C.5</w:t>
            </w:r>
          </w:p>
        </w:tc>
      </w:tr>
      <w:tr>
        <w:tc>
          <w:tcPr>
            <w:tcW w:w="801" w:type="dxa"/>
          </w:tcPr>
          <w:p>
            <w:pPr>
              <w:pStyle w:val="CeldaAPA"/>
              <w:jc w:val="left"/>
            </w:pPr>
            <w:r>
              <w:rPr>
                <w:sz w:val="20"/>
                <w:szCs w:val="20"/>
              </w:rPr>
              <w:t xml:space="preserve">FE3</w:t>
            </w:r>
          </w:p>
        </w:tc>
        <w:tc>
          <w:tcPr>
            <w:tcW w:w="2328" w:type="dxa"/>
          </w:tcPr>
          <w:p>
            <w:pPr>
              <w:pStyle w:val="CeldaAPA"/>
              <w:jc w:val="left"/>
            </w:pPr>
            <w:r>
              <w:rPr>
                <w:sz w:val="20"/>
                <w:szCs w:val="20"/>
              </w:rPr>
              <w:t xml:space="preserve">Multas y plazo adicional atribuibles a fallas de calidad</w:t>
            </w:r>
          </w:p>
        </w:tc>
        <w:tc>
          <w:tcPr>
            <w:tcW w:w="1302" w:type="dxa"/>
          </w:tcPr>
          <w:p>
            <w:pPr>
              <w:pStyle w:val="CeldaAPA"/>
            </w:pPr>
          </w:p>
        </w:tc>
        <w:tc>
          <w:tcPr>
            <w:tcW w:w="1083" w:type="dxa"/>
          </w:tcPr>
          <w:p>
            <w:pPr>
              <w:pStyle w:val="CeldaAPA"/>
              <w:jc w:val="center"/>
            </w:pPr>
            <w:r>
              <w:rPr>
                <w:sz w:val="20"/>
                <w:szCs w:val="20"/>
              </w:rPr>
              <w:t xml:space="preserve">Bs</w:t>
            </w:r>
          </w:p>
        </w:tc>
        <w:tc>
          <w:tcPr>
            <w:tcW w:w="1166" w:type="dxa"/>
          </w:tcPr>
          <w:p>
            <w:pPr>
              <w:pStyle w:val="CeldaAPA"/>
            </w:pPr>
          </w:p>
        </w:tc>
        <w:tc>
          <w:tcPr>
            <w:tcW w:w="973" w:type="dxa"/>
          </w:tcPr>
          <w:p>
            <w:pPr>
              <w:pStyle w:val="CeldaAPA"/>
            </w:pPr>
          </w:p>
        </w:tc>
        <w:tc>
          <w:tcPr>
            <w:tcW w:w="1708" w:type="dxa"/>
          </w:tcPr>
          <w:p>
            <w:pPr>
              <w:pStyle w:val="CeldaAPA"/>
              <w:jc w:val="left"/>
            </w:pPr>
            <w:r>
              <w:rPr>
                <w:sz w:val="20"/>
                <w:szCs w:val="20"/>
              </w:rPr>
              <w:t xml:space="preserve">Resolución de la Fiscalización</w:t>
            </w:r>
          </w:p>
        </w:tc>
      </w:tr>
      <w:tr>
        <w:tc>
          <w:tcPr>
            <w:tcW w:w="6680" w:type="dxa"/>
            <w:gridSpan w:val="5"/>
          </w:tcPr>
          <w:p>
            <w:pPr>
              <w:pStyle w:val="CeldaAPA"/>
              <w:jc w:val="right"/>
            </w:pPr>
            <w:r>
              <w:rPr>
                <w:bCs/>
                <w:b/>
                <w:sz w:val="20"/>
                <w:szCs w:val="20"/>
              </w:rPr>
              <w:t xml:space="preserve">Subtotal</w:t>
            </w:r>
            <w:r>
              <w:rPr>
                <w:bCs/>
                <w:b/>
                <w:sz w:val="20"/>
                <w:szCs w:val="20"/>
              </w:rPr>
              <w:t xml:space="preserve"> </w:t>
            </w:r>
            <m:oMath>
              <m:sSub>
                <m:e>
                  <m:r>
                    <m:t>C</m:t>
                  </m:r>
                </m:e>
                <m:sub>
                  <m:r>
                    <m:t>F</m:t>
                  </m:r>
                  <m:r>
                    <m:t>E</m:t>
                  </m:r>
                </m:sub>
              </m:sSub>
            </m:oMath>
          </w:p>
        </w:tc>
        <w:tc>
          <w:tcPr>
            <w:tcW w:w="973" w:type="dxa"/>
          </w:tcPr>
          <w:p>
            <w:pPr>
              <w:pStyle w:val="CeldaAPA"/>
            </w:pPr>
          </w:p>
        </w:tc>
        <w:tc>
          <w:tcPr>
            <w:tcW w:w="1708" w:type="dxa"/>
          </w:tcPr>
          <w:p>
            <w:pPr>
              <w:pStyle w:val="CeldaAPA"/>
            </w:pPr>
          </w:p>
        </w:tc>
      </w:tr>
    </w:tbl>
    <w:p>
      <w:pPr>
        <w:pStyle w:val="BodyText"/>
        <w:spacing w:before="240"/>
      </w:pPr>
      <w:r>
        <w:rPr>
          <w:bCs/>
          <w:b/>
        </w:rPr>
        <w:t xml:space="preserve">Detalle de FI1: desperdicio valorado</w:t>
      </w:r>
      <w:r>
        <w:t xml:space="preserve"> </w:t>
      </w:r>
      <w:r>
        <w:t xml:space="preserve">(</w:t>
      </w:r>
      <m:oMath>
        <m:sSubSup>
          <m:e>
            <m:r>
              <m:t>C</m:t>
            </m:r>
          </m:e>
          <m:sub>
            <m:r>
              <m:t>F</m:t>
            </m:r>
            <m:r>
              <m:t>I</m:t>
            </m:r>
          </m:sub>
          <m:sup>
            <m:r>
              <m:t> </m:t>
            </m:r>
            <m:r>
              <m:t>m</m:t>
            </m:r>
            <m:r>
              <m:t>a</m:t>
            </m:r>
            <m:r>
              <m:t>t</m:t>
            </m:r>
          </m:sup>
        </m:sSubSup>
        <m:r>
          <m:rPr>
            <m:sty m:val="p"/>
          </m:rPr>
          <m:t>=</m:t>
        </m:r>
        <m:nary>
          <m:naryPr>
            <m:chr m:val="∑"/>
            <m:limLoc m:val="undOvr"/>
            <m:subHide m:val="off"/>
            <m:supHide m:val="on"/>
          </m:naryPr>
          <m:sub>
            <m:r>
              <m:t>j</m:t>
            </m:r>
          </m:sub>
          <m:sup>
            <m:r>
              <m:t>​</m:t>
            </m:r>
          </m:sup>
          <m:e>
            <m:d>
              <m:dPr>
                <m:begChr m:val="("/>
                <m:endChr m:val=")"/>
                <m:sepChr m:val=""/>
                <m:grow/>
              </m:dPr>
              <m:e>
                <m:sSub>
                  <m:e>
                    <m:r>
                      <m:t>Q</m:t>
                    </m:r>
                  </m:e>
                  <m:sub>
                    <m:r>
                      <m:t>C</m:t>
                    </m:r>
                    <m:r>
                      <m:rPr>
                        <m:sty m:val="p"/>
                      </m:rPr>
                      <m:t>,</m:t>
                    </m:r>
                    <m:r>
                      <m:t>j</m:t>
                    </m:r>
                  </m:sub>
                </m:sSub>
                <m:r>
                  <m:rPr>
                    <m:sty m:val="p"/>
                  </m:rPr>
                  <m:t>−</m:t>
                </m:r>
                <m:sSub>
                  <m:e>
                    <m:r>
                      <m:t>Q</m:t>
                    </m:r>
                  </m:e>
                  <m:sub>
                    <m:r>
                      <m:t>T</m:t>
                    </m:r>
                    <m:r>
                      <m:rPr>
                        <m:sty m:val="p"/>
                      </m:rPr>
                      <m:t>,</m:t>
                    </m:r>
                    <m:r>
                      <m:t>j</m:t>
                    </m:r>
                  </m:sub>
                </m:sSub>
              </m:e>
            </m:d>
          </m:e>
        </m:nary>
        <m:r>
          <m:t> </m:t>
        </m:r>
        <m:sSub>
          <m:e>
            <m:r>
              <m:t>p</m:t>
            </m:r>
          </m:e>
          <m:sub>
            <m:r>
              <m:t>j</m:t>
            </m:r>
          </m:sub>
        </m:sSub>
      </m:oMath>
      <w:r>
        <w:t xml:space="preserve">; cantidades de la ficha C.4)</w:t>
      </w:r>
    </w:p>
    <w:tbl>
      <w:tblPr>
        <w:tblStyle w:val="Table"/>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1" w:lastRow="0" w:firstColumn="0" w:lastColumn="0" w:noHBand="0" w:noVBand="0" w:val="0020"/>
      </w:tblPr>
      <w:tblGrid>
        <w:gridCol w:w="1725"/>
        <w:gridCol w:w="1083"/>
        <w:gridCol w:w="1235"/>
        <w:gridCol w:w="1235"/>
        <w:gridCol w:w="1235"/>
        <w:gridCol w:w="1478"/>
        <w:gridCol w:w="1369"/>
      </w:tblGrid>
      <w:tr>
        <w:trPr>
          <w:cantSplit/>
          <w:tblHeader w:val="true"/>
        </w:trPr>
        <w:tc>
          <w:tcPr>
            <w:tcW w:w="1725" w:type="dxa"/>
          </w:tcPr>
          <w:p>
            <w:pPr>
              <w:pStyle w:val="CeldaAPA"/>
              <w:jc w:val="left"/>
            </w:pPr>
            <w:r>
              <w:rPr>
                <w:bCs/>
                <w:b/>
                <w:sz w:val="20"/>
                <w:szCs w:val="20"/>
              </w:rPr>
              <w:t xml:space="preserve">Material</w:t>
            </w:r>
          </w:p>
        </w:tc>
        <w:tc>
          <w:tcPr>
            <w:tcW w:w="1083" w:type="dxa"/>
          </w:tcPr>
          <w:p>
            <w:pPr>
              <w:pStyle w:val="CeldaAPA"/>
              <w:jc w:val="center"/>
            </w:pPr>
            <w:r>
              <w:rPr>
                <w:bCs/>
                <w:b/>
                <w:sz w:val="20"/>
                <w:szCs w:val="20"/>
              </w:rPr>
              <w:t xml:space="preserve">Unidad</w:t>
            </w:r>
          </w:p>
        </w:tc>
        <w:tc>
          <w:tcPr>
            <w:tcW w:w="1235" w:type="dxa"/>
          </w:tcPr>
          <w:p>
            <w:pPr>
              <w:pStyle w:val="CeldaAPA"/>
              <w:jc w:val="center"/>
            </w:pPr>
            <m:oMath>
              <m:sSub>
                <m:e>
                  <m:r>
                    <m:t>Q</m:t>
                  </m:r>
                </m:e>
                <m:sub>
                  <m:r>
                    <m:t>T</m:t>
                  </m:r>
                </m:sub>
              </m:sSub>
            </m:oMath>
          </w:p>
        </w:tc>
        <w:tc>
          <w:tcPr>
            <w:tcW w:w="1235" w:type="dxa"/>
          </w:tcPr>
          <w:p>
            <w:pPr>
              <w:pStyle w:val="CeldaAPA"/>
              <w:jc w:val="center"/>
            </w:pPr>
            <m:oMath>
              <m:sSub>
                <m:e>
                  <m:r>
                    <m:t>Q</m:t>
                  </m:r>
                </m:e>
                <m:sub>
                  <m:r>
                    <m:t>C</m:t>
                  </m:r>
                </m:sub>
              </m:sSub>
            </m:oMath>
          </w:p>
        </w:tc>
        <w:tc>
          <w:tcPr>
            <w:tcW w:w="1235" w:type="dxa"/>
          </w:tcPr>
          <w:p>
            <w:pPr>
              <w:pStyle w:val="CeldaAPA"/>
              <w:jc w:val="center"/>
            </w:pPr>
            <m:oMath>
              <m:sSub>
                <m:e>
                  <m:r>
                    <m:t>Q</m:t>
                  </m:r>
                </m:e>
                <m:sub>
                  <m:r>
                    <m:t>C</m:t>
                  </m:r>
                </m:sub>
              </m:sSub>
              <m:r>
                <m:rPr>
                  <m:sty m:val="p"/>
                </m:rPr>
                <m:t>−</m:t>
              </m:r>
              <m:sSub>
                <m:e>
                  <m:r>
                    <m:t>Q</m:t>
                  </m:r>
                </m:e>
                <m:sub>
                  <m:r>
                    <m:t>T</m:t>
                  </m:r>
                </m:sub>
              </m:sSub>
            </m:oMath>
          </w:p>
        </w:tc>
        <w:tc>
          <w:tcPr>
            <w:tcW w:w="1478" w:type="dxa"/>
          </w:tcPr>
          <w:p>
            <w:pPr>
              <w:pStyle w:val="CeldaAPA"/>
              <w:jc w:val="center"/>
            </w:pPr>
            <m:oMath>
              <m:sSub>
                <m:e>
                  <m:r>
                    <m:t>p</m:t>
                  </m:r>
                </m:e>
                <m:sub>
                  <m:r>
                    <m:t>j</m:t>
                  </m:r>
                </m:sub>
              </m:sSub>
            </m:oMath>
            <w:r>
              <w:rPr>
                <w:bCs/>
                <w:b/>
                <w:sz w:val="20"/>
                <w:szCs w:val="20"/>
              </w:rPr>
              <w:t xml:space="preserve"> </w:t>
            </w:r>
            <w:r>
              <w:rPr>
                <w:bCs/>
                <w:b/>
                <w:sz w:val="20"/>
                <w:szCs w:val="20"/>
              </w:rPr>
              <w:t xml:space="preserve">(Bs, APU)</w:t>
            </w:r>
          </w:p>
        </w:tc>
        <w:tc>
          <w:tcPr>
            <w:tcW w:w="1369" w:type="dxa"/>
          </w:tcPr>
          <w:p>
            <w:pPr>
              <w:pStyle w:val="CeldaAPA"/>
              <w:jc w:val="center"/>
            </w:pPr>
            <w:r>
              <w:rPr>
                <w:bCs/>
                <w:b/>
                <w:sz w:val="20"/>
                <w:szCs w:val="20"/>
              </w:rPr>
              <w:t xml:space="preserve">Costo (Bs)</w:t>
            </w:r>
          </w:p>
        </w:tc>
      </w:tr>
      <w:tr>
        <w:tc>
          <w:tcPr>
            <w:tcW w:w="1725" w:type="dxa"/>
          </w:tcPr>
          <w:p>
            <w:pPr>
              <w:pStyle w:val="CeldaAPA"/>
              <w:jc w:val="left"/>
            </w:pPr>
            <w:r>
              <w:rPr>
                <w:sz w:val="20"/>
                <w:szCs w:val="20"/>
              </w:rPr>
              <w:t xml:space="preserve">Viguetas pretensadas</w:t>
            </w:r>
          </w:p>
        </w:tc>
        <w:tc>
          <w:tcPr>
            <w:tcW w:w="1083" w:type="dxa"/>
          </w:tcPr>
          <w:p>
            <w:pPr>
              <w:pStyle w:val="CeldaAPA"/>
              <w:jc w:val="center"/>
            </w:pPr>
            <w:r>
              <w:rPr>
                <w:sz w:val="20"/>
                <w:szCs w:val="20"/>
              </w:rPr>
              <w:t xml:space="preserve">m</w:t>
            </w:r>
          </w:p>
        </w:tc>
        <w:tc>
          <w:tcPr>
            <w:tcW w:w="1235" w:type="dxa"/>
          </w:tcPr>
          <w:p>
            <w:pPr>
              <w:pStyle w:val="CeldaAPA"/>
            </w:pPr>
          </w:p>
        </w:tc>
        <w:tc>
          <w:tcPr>
            <w:tcW w:w="1235" w:type="dxa"/>
          </w:tcPr>
          <w:p>
            <w:pPr>
              <w:pStyle w:val="CeldaAPA"/>
            </w:pPr>
          </w:p>
        </w:tc>
        <w:tc>
          <w:tcPr>
            <w:tcW w:w="1235" w:type="dxa"/>
          </w:tcPr>
          <w:p>
            <w:pPr>
              <w:pStyle w:val="CeldaAPA"/>
            </w:pPr>
          </w:p>
        </w:tc>
        <w:tc>
          <w:tcPr>
            <w:tcW w:w="1478" w:type="dxa"/>
          </w:tcPr>
          <w:p>
            <w:pPr>
              <w:pStyle w:val="CeldaAPA"/>
            </w:pPr>
          </w:p>
        </w:tc>
        <w:tc>
          <w:tcPr>
            <w:tcW w:w="1369" w:type="dxa"/>
          </w:tcPr>
          <w:p>
            <w:pPr>
              <w:pStyle w:val="CeldaAPA"/>
            </w:pPr>
          </w:p>
        </w:tc>
      </w:tr>
      <w:tr>
        <w:tc>
          <w:tcPr>
            <w:tcW w:w="1725" w:type="dxa"/>
          </w:tcPr>
          <w:p>
            <w:pPr>
              <w:pStyle w:val="CeldaAPA"/>
              <w:jc w:val="left"/>
            </w:pPr>
            <w:r>
              <w:rPr>
                <w:sz w:val="20"/>
                <w:szCs w:val="20"/>
              </w:rPr>
              <w:t xml:space="preserve">Complemento EPS</w:t>
            </w:r>
          </w:p>
        </w:tc>
        <w:tc>
          <w:tcPr>
            <w:tcW w:w="1083" w:type="dxa"/>
          </w:tcPr>
          <w:p>
            <w:pPr>
              <w:pStyle w:val="CeldaAPA"/>
              <w:jc w:val="center"/>
            </w:pPr>
            <w:r>
              <w:rPr>
                <w:sz w:val="20"/>
                <w:szCs w:val="20"/>
              </w:rPr>
              <w:t xml:space="preserve">pza</w:t>
            </w:r>
          </w:p>
        </w:tc>
        <w:tc>
          <w:tcPr>
            <w:tcW w:w="1235" w:type="dxa"/>
          </w:tcPr>
          <w:p>
            <w:pPr>
              <w:pStyle w:val="CeldaAPA"/>
            </w:pPr>
          </w:p>
        </w:tc>
        <w:tc>
          <w:tcPr>
            <w:tcW w:w="1235" w:type="dxa"/>
          </w:tcPr>
          <w:p>
            <w:pPr>
              <w:pStyle w:val="CeldaAPA"/>
            </w:pPr>
          </w:p>
        </w:tc>
        <w:tc>
          <w:tcPr>
            <w:tcW w:w="1235" w:type="dxa"/>
          </w:tcPr>
          <w:p>
            <w:pPr>
              <w:pStyle w:val="CeldaAPA"/>
            </w:pPr>
          </w:p>
        </w:tc>
        <w:tc>
          <w:tcPr>
            <w:tcW w:w="1478" w:type="dxa"/>
          </w:tcPr>
          <w:p>
            <w:pPr>
              <w:pStyle w:val="CeldaAPA"/>
            </w:pPr>
          </w:p>
        </w:tc>
        <w:tc>
          <w:tcPr>
            <w:tcW w:w="1369" w:type="dxa"/>
          </w:tcPr>
          <w:p>
            <w:pPr>
              <w:pStyle w:val="CeldaAPA"/>
            </w:pPr>
          </w:p>
        </w:tc>
      </w:tr>
      <w:tr>
        <w:tc>
          <w:tcPr>
            <w:tcW w:w="1725" w:type="dxa"/>
          </w:tcPr>
          <w:p>
            <w:pPr>
              <w:pStyle w:val="CeldaAPA"/>
              <w:jc w:val="left"/>
            </w:pPr>
            <w:r>
              <w:rPr>
                <w:sz w:val="20"/>
                <w:szCs w:val="20"/>
              </w:rPr>
              <w:t xml:space="preserve">Acero de refuerzo</w:t>
            </w:r>
          </w:p>
        </w:tc>
        <w:tc>
          <w:tcPr>
            <w:tcW w:w="1083" w:type="dxa"/>
          </w:tcPr>
          <w:p>
            <w:pPr>
              <w:pStyle w:val="CeldaAPA"/>
              <w:jc w:val="center"/>
            </w:pPr>
            <w:r>
              <w:rPr>
                <w:sz w:val="20"/>
                <w:szCs w:val="20"/>
              </w:rPr>
              <w:t xml:space="preserve">kg</w:t>
            </w:r>
          </w:p>
        </w:tc>
        <w:tc>
          <w:tcPr>
            <w:tcW w:w="1235" w:type="dxa"/>
          </w:tcPr>
          <w:p>
            <w:pPr>
              <w:pStyle w:val="CeldaAPA"/>
            </w:pPr>
          </w:p>
        </w:tc>
        <w:tc>
          <w:tcPr>
            <w:tcW w:w="1235" w:type="dxa"/>
          </w:tcPr>
          <w:p>
            <w:pPr>
              <w:pStyle w:val="CeldaAPA"/>
            </w:pPr>
          </w:p>
        </w:tc>
        <w:tc>
          <w:tcPr>
            <w:tcW w:w="1235" w:type="dxa"/>
          </w:tcPr>
          <w:p>
            <w:pPr>
              <w:pStyle w:val="CeldaAPA"/>
            </w:pPr>
          </w:p>
        </w:tc>
        <w:tc>
          <w:tcPr>
            <w:tcW w:w="1478" w:type="dxa"/>
          </w:tcPr>
          <w:p>
            <w:pPr>
              <w:pStyle w:val="CeldaAPA"/>
            </w:pPr>
          </w:p>
        </w:tc>
        <w:tc>
          <w:tcPr>
            <w:tcW w:w="1369" w:type="dxa"/>
          </w:tcPr>
          <w:p>
            <w:pPr>
              <w:pStyle w:val="CeldaAPA"/>
            </w:pPr>
          </w:p>
        </w:tc>
      </w:tr>
      <w:tr>
        <w:tc>
          <w:tcPr>
            <w:tcW w:w="1725" w:type="dxa"/>
          </w:tcPr>
          <w:p>
            <w:pPr>
              <w:pStyle w:val="CeldaAPA"/>
              <w:jc w:val="left"/>
            </w:pPr>
            <w:r>
              <w:rPr>
                <w:sz w:val="20"/>
                <w:szCs w:val="20"/>
              </w:rPr>
              <w:t xml:space="preserve">Hormigón H25</w:t>
            </w:r>
          </w:p>
        </w:tc>
        <w:tc>
          <w:tcPr>
            <w:tcW w:w="1083" w:type="dxa"/>
          </w:tcPr>
          <w:p>
            <w:pPr>
              <w:pStyle w:val="CeldaAPA"/>
              <w:jc w:val="center"/>
            </w:pPr>
            <w:r>
              <w:rPr>
                <w:sz w:val="20"/>
                <w:szCs w:val="20"/>
              </w:rPr>
              <w:t xml:space="preserve">m</w:t>
            </w:r>
            <w:r>
              <w:rPr>
                <w:vertAlign w:val="superscript"/>
                <w:sz w:val="20"/>
                <w:szCs w:val="20"/>
              </w:rPr>
              <w:t xml:space="preserve">3</w:t>
            </w:r>
          </w:p>
        </w:tc>
        <w:tc>
          <w:tcPr>
            <w:tcW w:w="1235" w:type="dxa"/>
          </w:tcPr>
          <w:p>
            <w:pPr>
              <w:pStyle w:val="CeldaAPA"/>
            </w:pPr>
          </w:p>
        </w:tc>
        <w:tc>
          <w:tcPr>
            <w:tcW w:w="1235" w:type="dxa"/>
          </w:tcPr>
          <w:p>
            <w:pPr>
              <w:pStyle w:val="CeldaAPA"/>
            </w:pPr>
          </w:p>
        </w:tc>
        <w:tc>
          <w:tcPr>
            <w:tcW w:w="1235" w:type="dxa"/>
          </w:tcPr>
          <w:p>
            <w:pPr>
              <w:pStyle w:val="CeldaAPA"/>
            </w:pPr>
          </w:p>
        </w:tc>
        <w:tc>
          <w:tcPr>
            <w:tcW w:w="1478" w:type="dxa"/>
          </w:tcPr>
          <w:p>
            <w:pPr>
              <w:pStyle w:val="CeldaAPA"/>
            </w:pPr>
          </w:p>
        </w:tc>
        <w:tc>
          <w:tcPr>
            <w:tcW w:w="1369" w:type="dxa"/>
          </w:tcPr>
          <w:p>
            <w:pPr>
              <w:pStyle w:val="CeldaAPA"/>
            </w:pPr>
          </w:p>
        </w:tc>
      </w:tr>
      <w:tr>
        <w:tc>
          <w:tcPr>
            <w:tcW w:w="1725" w:type="dxa"/>
          </w:tcPr>
          <w:p>
            <w:pPr>
              <w:pStyle w:val="CeldaAPA"/>
              <w:jc w:val="left"/>
            </w:pPr>
            <w:r>
              <w:rPr>
                <w:sz w:val="20"/>
                <w:szCs w:val="20"/>
              </w:rPr>
              <w:t xml:space="preserve">Alambre de amarre</w:t>
            </w:r>
          </w:p>
        </w:tc>
        <w:tc>
          <w:tcPr>
            <w:tcW w:w="1083" w:type="dxa"/>
          </w:tcPr>
          <w:p>
            <w:pPr>
              <w:pStyle w:val="CeldaAPA"/>
              <w:jc w:val="center"/>
            </w:pPr>
            <w:r>
              <w:rPr>
                <w:sz w:val="20"/>
                <w:szCs w:val="20"/>
              </w:rPr>
              <w:t xml:space="preserve">kg</w:t>
            </w:r>
          </w:p>
        </w:tc>
        <w:tc>
          <w:tcPr>
            <w:tcW w:w="1235" w:type="dxa"/>
          </w:tcPr>
          <w:p>
            <w:pPr>
              <w:pStyle w:val="CeldaAPA"/>
            </w:pPr>
          </w:p>
        </w:tc>
        <w:tc>
          <w:tcPr>
            <w:tcW w:w="1235" w:type="dxa"/>
          </w:tcPr>
          <w:p>
            <w:pPr>
              <w:pStyle w:val="CeldaAPA"/>
            </w:pPr>
          </w:p>
        </w:tc>
        <w:tc>
          <w:tcPr>
            <w:tcW w:w="1235" w:type="dxa"/>
          </w:tcPr>
          <w:p>
            <w:pPr>
              <w:pStyle w:val="CeldaAPA"/>
            </w:pPr>
          </w:p>
        </w:tc>
        <w:tc>
          <w:tcPr>
            <w:tcW w:w="1478" w:type="dxa"/>
          </w:tcPr>
          <w:p>
            <w:pPr>
              <w:pStyle w:val="CeldaAPA"/>
            </w:pPr>
          </w:p>
        </w:tc>
        <w:tc>
          <w:tcPr>
            <w:tcW w:w="1369" w:type="dxa"/>
          </w:tcPr>
          <w:p>
            <w:pPr>
              <w:pStyle w:val="CeldaAPA"/>
            </w:pPr>
          </w:p>
        </w:tc>
      </w:tr>
      <w:tr>
        <w:tc>
          <w:tcPr>
            <w:tcW w:w="7991" w:type="dxa"/>
            <w:gridSpan w:val="6"/>
          </w:tcPr>
          <w:p>
            <w:pPr>
              <w:pStyle w:val="CeldaAPA"/>
              <w:jc w:val="right"/>
            </w:pPr>
            <w:r>
              <w:rPr>
                <w:bCs/>
                <w:b/>
                <w:sz w:val="20"/>
                <w:szCs w:val="20"/>
              </w:rPr>
              <w:t xml:space="preserve">Total</w:t>
            </w:r>
            <w:r>
              <w:rPr>
                <w:bCs/>
                <w:b/>
                <w:sz w:val="20"/>
                <w:szCs w:val="20"/>
              </w:rPr>
              <w:t xml:space="preserve"> </w:t>
            </w:r>
            <m:oMath>
              <m:sSubSup>
                <m:e>
                  <m:r>
                    <m:t>C</m:t>
                  </m:r>
                </m:e>
                <m:sub>
                  <m:r>
                    <m:t>F</m:t>
                  </m:r>
                  <m:r>
                    <m:t>I</m:t>
                  </m:r>
                </m:sub>
                <m:sup>
                  <m:r>
                    <m:t> </m:t>
                  </m:r>
                  <m:r>
                    <m:t>m</m:t>
                  </m:r>
                  <m:r>
                    <m:t>a</m:t>
                  </m:r>
                  <m:r>
                    <m:t>t</m:t>
                  </m:r>
                </m:sup>
              </m:sSubSup>
            </m:oMath>
          </w:p>
        </w:tc>
        <w:tc>
          <w:tcPr>
            <w:tcW w:w="1369" w:type="dxa"/>
          </w:tcPr>
          <w:p>
            <w:pPr>
              <w:pStyle w:val="CeldaAPA"/>
            </w:pPr>
          </w:p>
        </w:tc>
      </w:tr>
    </w:tbl>
    <w:tbl>
      <w:tblPr>
        <w:tblStyle w:val="Table"/>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1" w:lastRow="0" w:firstColumn="0" w:lastColumn="0" w:noHBand="0" w:noVBand="0" w:val="0020"/>
      </w:tblPr>
      <w:tblGrid>
        <w:gridCol w:w="2650"/>
        <w:gridCol w:w="2030"/>
        <w:gridCol w:w="2650"/>
        <w:gridCol w:w="2030"/>
      </w:tblGrid>
      <w:tr>
        <w:trPr>
          <w:cantSplit/>
          <w:tblHeader w:val="true"/>
        </w:trPr>
        <w:tc>
          <w:tcPr>
            <w:tcW w:w="9360" w:type="dxa"/>
            <w:gridSpan w:val="4"/>
          </w:tcPr>
          <w:p>
            <w:pPr>
              <w:pStyle w:val="CeldaAPA"/>
              <w:jc w:val="left"/>
            </w:pPr>
            <w:r>
              <w:rPr>
                <w:bCs/>
                <w:b/>
                <w:sz w:val="20"/>
                <w:szCs w:val="20"/>
              </w:rPr>
              <w:t xml:space="preserve">Resumen e indicadores del periodo</w:t>
            </w:r>
          </w:p>
        </w:tc>
      </w:tr>
      <w:tr>
        <w:tc>
          <w:tcPr>
            <w:tcW w:w="2650" w:type="dxa"/>
          </w:tcPr>
          <w:p>
            <w:pPr>
              <w:pStyle w:val="CeldaAPA"/>
              <w:jc w:val="left"/>
            </w:pPr>
            <w:r>
              <w:rPr>
                <w:sz w:val="20"/>
                <w:szCs w:val="20"/>
              </w:rPr>
              <w:t xml:space="preserve">Costo de la calidad</w:t>
            </w:r>
            <w:r>
              <w:rPr>
                <w:sz w:val="20"/>
                <w:szCs w:val="20"/>
              </w:rPr>
              <w:t xml:space="preserve"> </w:t>
            </w:r>
            <m:oMath>
              <m:r>
                <m:t>C</m:t>
              </m:r>
              <m:r>
                <m:t>C</m:t>
              </m:r>
              <m:r>
                <m:rPr>
                  <m:sty m:val="p"/>
                </m:rPr>
                <m:t>=</m:t>
              </m:r>
              <m:sSub>
                <m:e>
                  <m:r>
                    <m:t>C</m:t>
                  </m:r>
                </m:e>
                <m:sub>
                  <m:r>
                    <m:t>P</m:t>
                  </m:r>
                </m:sub>
              </m:sSub>
              <m:r>
                <m:rPr>
                  <m:sty m:val="p"/>
                </m:rPr>
                <m:t>+</m:t>
              </m:r>
              <m:sSub>
                <m:e>
                  <m:r>
                    <m:t>C</m:t>
                  </m:r>
                </m:e>
                <m:sub>
                  <m:r>
                    <m:t>E</m:t>
                  </m:r>
                </m:sub>
              </m:sSub>
            </m:oMath>
            <w:r>
              <w:rPr>
                <w:sz w:val="20"/>
                <w:szCs w:val="20"/>
              </w:rPr>
              <w:t xml:space="preserve"> </w:t>
            </w:r>
            <w:r>
              <w:rPr>
                <w:sz w:val="20"/>
                <w:szCs w:val="20"/>
              </w:rPr>
              <w:t xml:space="preserve">(Bs)</w:t>
            </w:r>
          </w:p>
        </w:tc>
        <w:tc>
          <w:tcPr>
            <w:tcW w:w="2030" w:type="dxa"/>
          </w:tcPr>
          <w:p>
            <w:pPr>
              <w:pStyle w:val="CeldaAPA"/>
            </w:pPr>
          </w:p>
        </w:tc>
        <w:tc>
          <w:tcPr>
            <w:tcW w:w="2650" w:type="dxa"/>
          </w:tcPr>
          <w:p>
            <w:pPr>
              <w:pStyle w:val="CeldaAPA"/>
              <w:jc w:val="left"/>
            </w:pPr>
            <w:r>
              <w:rPr>
                <w:sz w:val="20"/>
                <w:szCs w:val="20"/>
              </w:rPr>
              <w:t xml:space="preserve">Costo de no calidad</w:t>
            </w:r>
            <w:r>
              <w:rPr>
                <w:sz w:val="20"/>
                <w:szCs w:val="20"/>
              </w:rPr>
              <w:t xml:space="preserve"> </w:t>
            </w:r>
            <m:oMath>
              <m:r>
                <m:t>C</m:t>
              </m:r>
              <m:r>
                <m:t>N</m:t>
              </m:r>
              <m:r>
                <m:t>C</m:t>
              </m:r>
              <m:r>
                <m:rPr>
                  <m:sty m:val="p"/>
                </m:rPr>
                <m:t>=</m:t>
              </m:r>
              <m:sSub>
                <m:e>
                  <m:r>
                    <m:t>C</m:t>
                  </m:r>
                </m:e>
                <m:sub>
                  <m:r>
                    <m:t>F</m:t>
                  </m:r>
                  <m:r>
                    <m:t>I</m:t>
                  </m:r>
                </m:sub>
              </m:sSub>
              <m:r>
                <m:rPr>
                  <m:sty m:val="p"/>
                </m:rPr>
                <m:t>+</m:t>
              </m:r>
              <m:sSub>
                <m:e>
                  <m:r>
                    <m:t>C</m:t>
                  </m:r>
                </m:e>
                <m:sub>
                  <m:r>
                    <m:t>F</m:t>
                  </m:r>
                  <m:r>
                    <m:t>E</m:t>
                  </m:r>
                </m:sub>
              </m:sSub>
            </m:oMath>
            <w:r>
              <w:rPr>
                <w:sz w:val="20"/>
                <w:szCs w:val="20"/>
              </w:rPr>
              <w:t xml:space="preserve"> </w:t>
            </w:r>
            <w:r>
              <w:rPr>
                <w:sz w:val="20"/>
                <w:szCs w:val="20"/>
              </w:rPr>
              <w:t xml:space="preserve">(Bs)</w:t>
            </w:r>
          </w:p>
        </w:tc>
        <w:tc>
          <w:tcPr>
            <w:tcW w:w="2030" w:type="dxa"/>
          </w:tcPr>
          <w:p>
            <w:pPr>
              <w:pStyle w:val="CeldaAPA"/>
            </w:pPr>
          </w:p>
        </w:tc>
      </w:tr>
      <w:tr>
        <w:tc>
          <w:tcPr>
            <w:tcW w:w="2650" w:type="dxa"/>
          </w:tcPr>
          <w:p>
            <w:pPr>
              <w:pStyle w:val="CeldaAPA"/>
              <w:jc w:val="left"/>
            </w:pPr>
            <m:oMath>
              <m:r>
                <m:t>C</m:t>
              </m:r>
              <m:r>
                <m:t>C</m:t>
              </m:r>
            </m:oMath>
            <w:r>
              <w:rPr>
                <w:sz w:val="20"/>
                <w:szCs w:val="20"/>
              </w:rPr>
              <w:t xml:space="preserve"> </w:t>
            </w:r>
            <w:r>
              <w:rPr>
                <w:sz w:val="20"/>
                <w:szCs w:val="20"/>
              </w:rPr>
              <w:t xml:space="preserve">en % de</w:t>
            </w:r>
            <w:r>
              <w:rPr>
                <w:sz w:val="20"/>
                <w:szCs w:val="20"/>
              </w:rPr>
              <w:t xml:space="preserve"> </w:t>
            </w:r>
            <m:oMath>
              <m:sSub>
                <m:e>
                  <m:r>
                    <m:t>C</m:t>
                  </m:r>
                </m:e>
                <m:sub>
                  <m:r>
                    <m:rPr>
                      <m:nor/>
                      <m:sty m:val="p"/>
                    </m:rPr>
                    <m:t>ítem</m:t>
                  </m:r>
                </m:sub>
              </m:sSub>
            </m:oMath>
          </w:p>
        </w:tc>
        <w:tc>
          <w:tcPr>
            <w:tcW w:w="2030" w:type="dxa"/>
          </w:tcPr>
          <w:p>
            <w:pPr>
              <w:pStyle w:val="CeldaAPA"/>
            </w:pPr>
          </w:p>
        </w:tc>
        <w:tc>
          <w:tcPr>
            <w:tcW w:w="2650" w:type="dxa"/>
          </w:tcPr>
          <w:p>
            <w:pPr>
              <w:pStyle w:val="CeldaAPA"/>
              <w:jc w:val="left"/>
            </w:pPr>
            <m:oMath>
              <m:r>
                <m:rPr>
                  <m:sty m:val="p"/>
                </m:rPr>
                <m:t>%</m:t>
              </m:r>
              <m:r>
                <m:t>C</m:t>
              </m:r>
              <m:r>
                <m:t>N</m:t>
              </m:r>
              <m:r>
                <m:t>C</m:t>
              </m:r>
              <m:r>
                <m:rPr>
                  <m:sty m:val="p"/>
                </m:rPr>
                <m:t>=</m:t>
              </m:r>
              <m:r>
                <m:t>C</m:t>
              </m:r>
              <m:r>
                <m:t>N</m:t>
              </m:r>
              <m:r>
                <m:t>C</m:t>
              </m:r>
              <m:r>
                <m:rPr>
                  <m:sty m:val="p"/>
                </m:rPr>
                <m:t>/</m:t>
              </m:r>
              <m:sSub>
                <m:e>
                  <m:r>
                    <m:t>C</m:t>
                  </m:r>
                </m:e>
                <m:sub>
                  <m:r>
                    <m:rPr>
                      <m:nor/>
                      <m:sty m:val="p"/>
                    </m:rPr>
                    <m:t>ítem</m:t>
                  </m:r>
                </m:sub>
              </m:sSub>
              <m:r>
                <m:rPr>
                  <m:sty m:val="p"/>
                </m:rPr>
                <m:t>×</m:t>
              </m:r>
              <m:r>
                <m:t>100</m:t>
              </m:r>
            </m:oMath>
            <w:r>
              <w:rPr>
                <w:sz w:val="20"/>
                <w:szCs w:val="20"/>
              </w:rPr>
              <w:t xml:space="preserve"> </w:t>
            </w:r>
            <w:r>
              <w:rPr>
                <w:sz w:val="20"/>
                <w:szCs w:val="20"/>
              </w:rPr>
              <w:t xml:space="preserve">(meta OC11)</w:t>
            </w:r>
          </w:p>
        </w:tc>
        <w:tc>
          <w:tcPr>
            <w:tcW w:w="2030" w:type="dxa"/>
          </w:tcPr>
          <w:p>
            <w:pPr>
              <w:pStyle w:val="CeldaAPA"/>
            </w:pPr>
          </w:p>
        </w:tc>
      </w:tr>
      <w:tr>
        <w:tc>
          <w:tcPr>
            <w:tcW w:w="2650" w:type="dxa"/>
          </w:tcPr>
          <w:p>
            <w:pPr>
              <w:pStyle w:val="CeldaAPA"/>
              <w:jc w:val="left"/>
            </w:pPr>
            <w:r>
              <w:rPr>
                <w:sz w:val="20"/>
                <w:szCs w:val="20"/>
              </w:rPr>
              <w:t xml:space="preserve">Costo total de la calidad</w:t>
            </w:r>
            <w:r>
              <w:rPr>
                <w:sz w:val="20"/>
                <w:szCs w:val="20"/>
              </w:rPr>
              <w:t xml:space="preserve"> </w:t>
            </w:r>
            <m:oMath>
              <m:r>
                <m:t>C</m:t>
              </m:r>
              <m:r>
                <m:t>C</m:t>
              </m:r>
              <m:r>
                <m:rPr>
                  <m:sty m:val="p"/>
                </m:rPr>
                <m:t>+</m:t>
              </m:r>
              <m:r>
                <m:t>C</m:t>
              </m:r>
              <m:r>
                <m:t>N</m:t>
              </m:r>
              <m:r>
                <m:t>C</m:t>
              </m:r>
            </m:oMath>
            <w:r>
              <w:rPr>
                <w:sz w:val="20"/>
                <w:szCs w:val="20"/>
              </w:rPr>
              <w:t xml:space="preserve"> </w:t>
            </w:r>
            <w:r>
              <w:rPr>
                <w:sz w:val="20"/>
                <w:szCs w:val="20"/>
              </w:rPr>
              <w:t xml:space="preserve">(Bs)</w:t>
            </w:r>
          </w:p>
        </w:tc>
        <w:tc>
          <w:tcPr>
            <w:tcW w:w="2030" w:type="dxa"/>
          </w:tcPr>
          <w:p>
            <w:pPr>
              <w:pStyle w:val="CeldaAPA"/>
            </w:pPr>
          </w:p>
        </w:tc>
        <w:tc>
          <w:tcPr>
            <w:tcW w:w="2650" w:type="dxa"/>
          </w:tcPr>
          <w:p>
            <w:pPr>
              <w:pStyle w:val="CeldaAPA"/>
              <w:jc w:val="left"/>
            </w:pPr>
            <w:r>
              <w:rPr>
                <w:sz w:val="20"/>
                <w:szCs w:val="20"/>
              </w:rPr>
              <w:t xml:space="preserve">Retrabajos (FI2) en % de</w:t>
            </w:r>
            <w:r>
              <w:rPr>
                <w:sz w:val="20"/>
                <w:szCs w:val="20"/>
              </w:rPr>
              <w:t xml:space="preserve"> </w:t>
            </w:r>
            <m:oMath>
              <m:sSub>
                <m:e>
                  <m:r>
                    <m:t>C</m:t>
                  </m:r>
                </m:e>
                <m:sub>
                  <m:r>
                    <m:rPr>
                      <m:nor/>
                      <m:sty m:val="p"/>
                    </m:rPr>
                    <m:t>ítem</m:t>
                  </m:r>
                </m:sub>
              </m:sSub>
            </m:oMath>
            <w:r>
              <w:rPr>
                <w:sz w:val="20"/>
                <w:szCs w:val="20"/>
              </w:rPr>
              <w:t xml:space="preserve"> </w:t>
            </w:r>
            <w:r>
              <w:rPr>
                <w:sz w:val="20"/>
                <w:szCs w:val="20"/>
              </w:rPr>
              <w:t xml:space="preserve">(meta</w:t>
            </w:r>
            <w:r>
              <w:rPr>
                <w:sz w:val="20"/>
                <w:szCs w:val="20"/>
              </w:rPr>
              <w:t xml:space="preserve"> </w:t>
            </w:r>
            <m:oMath>
              <m:r>
                <m:rPr>
                  <m:sty m:val="p"/>
                </m:rPr>
                <m:t>≤</m:t>
              </m:r>
              <m:r>
                <m:t>1</m:t>
              </m:r>
            </m:oMath>
            <w:r>
              <w:rPr>
                <w:sz w:val="20"/>
                <w:szCs w:val="20"/>
              </w:rPr>
              <w:t xml:space="preserve"> %)</w:t>
            </w:r>
          </w:p>
        </w:tc>
        <w:tc>
          <w:tcPr>
            <w:tcW w:w="2030" w:type="dxa"/>
          </w:tcPr>
          <w:p>
            <w:pPr>
              <w:pStyle w:val="CeldaAPA"/>
            </w:pPr>
          </w:p>
        </w:tc>
      </w:tr>
      <w:tr>
        <w:tc>
          <w:tcPr>
            <w:tcW w:w="9360" w:type="dxa"/>
            <w:gridSpan w:val="4"/>
          </w:tcPr>
          <w:p>
            <w:pPr>
              <w:pStyle w:val="CeldaAPA"/>
              <w:jc w:val="left"/>
            </w:pPr>
            <w:r>
              <w:rPr>
                <w:sz w:val="20"/>
                <w:szCs w:val="20"/>
              </w:rPr>
              <w:t xml:space="preserve">_________________ _________________ _________________ _________________</w:t>
            </w:r>
          </w:p>
        </w:tc>
      </w:tr>
    </w:tbl>
    <w:p>
      <w:pPr>
        <w:pStyle w:val="Heading2"/>
        <w:spacing w:before="240"/>
      </w:pPr>
      <w:bookmarkStart w:id="335" w:name="tit160"/>
      <w:r>
        <w:t xml:space="preserve">C.7. Guía de entrevista semiestructurada</w:t>
      </w:r>
      <w:bookmarkEnd w:id="335"/>
    </w:p>
    <w:p>
      <w:pPr>
        <w:pStyle w:val="FirstParagraph"/>
      </w:pPr>
      <w:r>
        <w:rPr>
          <w:bCs/>
          <w:b/>
        </w:rPr>
        <w:t xml:space="preserve">Objetivo.</w:t>
      </w:r>
      <w:r>
        <w:t xml:space="preserve"> </w:t>
      </w:r>
      <w:r>
        <w:t xml:space="preserve">Recoger la experiencia del Residente de obra (R), del Supervisor de obra (S) y del Fiscal de obra (F) sobre la gestión de la calidad y el control de materiales en la primera losa, para completar y contrastar el análisis documental (OE1). La entrevista es semiestructurada: se sigue una guía de preguntas y el entrevistador puede introducir preguntas adicionales para precisar conceptos u obtener más información</w:t>
      </w:r>
      <w:r>
        <w:t xml:space="preserve"> </w:t>
      </w:r>
      <w:r>
        <w:t xml:space="preserve">(Hernández-Sampieri y Mendoza Torres, 2018, p. 449)</w:t>
      </w:r>
      <w:r>
        <w:t xml:space="preserve">. Duración prevista: 40 a 60 minutos.</w:t>
      </w:r>
    </w:p>
    <w:tbl>
      <w:tblPr>
        <w:tblStyle w:val="Table"/>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1" w:lastRow="0" w:firstColumn="0" w:lastColumn="0" w:noHBand="0" w:noVBand="0" w:val="0020"/>
      </w:tblPr>
      <w:tblGrid>
        <w:gridCol w:w="3120"/>
        <w:gridCol w:w="3120"/>
        <w:gridCol w:w="3120"/>
      </w:tblGrid>
      <w:tr>
        <w:trPr>
          <w:cantSplit/>
          <w:tblHeader w:val="true"/>
        </w:trPr>
        <w:tc>
          <w:tcPr>
            <w:tcW w:w="9360" w:type="dxa"/>
            <w:gridSpan w:val="3"/>
          </w:tcPr>
          <w:p>
            <w:pPr>
              <w:pStyle w:val="CeldaAPA"/>
              <w:jc w:val="left"/>
            </w:pPr>
            <w:r>
              <w:rPr>
                <w:bCs/>
                <w:b/>
                <w:sz w:val="20"/>
                <w:szCs w:val="20"/>
              </w:rPr>
              <w:t xml:space="preserve">Datos de la entrevista</w:t>
            </w:r>
          </w:p>
        </w:tc>
      </w:tr>
      <w:tr>
        <w:tc>
          <w:tcPr>
            <w:tcW w:w="3120" w:type="dxa"/>
          </w:tcPr>
          <w:p>
            <w:pPr>
              <w:pStyle w:val="CeldaAPA"/>
              <w:jc w:val="left"/>
            </w:pPr>
            <w:r>
              <w:rPr>
                <w:sz w:val="20"/>
                <w:szCs w:val="20"/>
              </w:rPr>
              <w:t xml:space="preserve">Código de entrevista ______________</w:t>
            </w:r>
          </w:p>
        </w:tc>
        <w:tc>
          <w:tcPr>
            <w:tcW w:w="3120" w:type="dxa"/>
          </w:tcPr>
          <w:p>
            <w:pPr>
              <w:pStyle w:val="CeldaAPA"/>
              <w:jc w:val="left"/>
            </w:pPr>
            <w:r>
              <w:rPr>
                <w:sz w:val="20"/>
                <w:szCs w:val="20"/>
              </w:rPr>
              <w:t xml:space="preserve">Fecha ______________</w:t>
            </w:r>
          </w:p>
        </w:tc>
        <w:tc>
          <w:tcPr>
            <w:tcW w:w="3120" w:type="dxa"/>
          </w:tcPr>
          <w:p>
            <w:pPr>
              <w:pStyle w:val="CeldaAPA"/>
              <w:jc w:val="left"/>
            </w:pPr>
            <w:r>
              <w:rPr>
                <w:sz w:val="20"/>
                <w:szCs w:val="20"/>
              </w:rPr>
              <w:t xml:space="preserve">Lugar ______________</w:t>
            </w:r>
          </w:p>
        </w:tc>
      </w:tr>
      <w:tr>
        <w:tc>
          <w:tcPr>
            <w:tcW w:w="3120" w:type="dxa"/>
          </w:tcPr>
          <w:p>
            <w:pPr>
              <w:pStyle w:val="CeldaAPA"/>
              <w:jc w:val="left"/>
            </w:pPr>
            <w:r>
              <w:rPr>
                <w:sz w:val="20"/>
                <w:szCs w:val="20"/>
              </w:rPr>
              <w:t xml:space="preserve">Cargo: ☐ R ☐ S ☐ F ______________</w:t>
            </w:r>
          </w:p>
        </w:tc>
        <w:tc>
          <w:tcPr>
            <w:tcW w:w="3120" w:type="dxa"/>
          </w:tcPr>
          <w:p>
            <w:pPr>
              <w:pStyle w:val="CeldaAPA"/>
              <w:jc w:val="left"/>
            </w:pPr>
            <w:r>
              <w:rPr>
                <w:sz w:val="20"/>
                <w:szCs w:val="20"/>
              </w:rPr>
              <w:t xml:space="preserve">Institución o empresa ______________</w:t>
            </w:r>
          </w:p>
        </w:tc>
        <w:tc>
          <w:tcPr>
            <w:tcW w:w="3120" w:type="dxa"/>
          </w:tcPr>
          <w:p>
            <w:pPr>
              <w:pStyle w:val="CeldaAPA"/>
              <w:jc w:val="left"/>
            </w:pPr>
            <w:r>
              <w:rPr>
                <w:sz w:val="20"/>
                <w:szCs w:val="20"/>
              </w:rPr>
              <w:t xml:space="preserve">Años de experiencia ______________</w:t>
            </w:r>
          </w:p>
        </w:tc>
      </w:tr>
      <w:tr>
        <w:tc>
          <w:tcPr>
            <w:tcW w:w="3120" w:type="dxa"/>
          </w:tcPr>
          <w:p>
            <w:pPr>
              <w:pStyle w:val="CeldaAPA"/>
              <w:jc w:val="left"/>
            </w:pPr>
            <w:r>
              <w:rPr>
                <w:sz w:val="20"/>
                <w:szCs w:val="20"/>
              </w:rPr>
              <w:t xml:space="preserve">Hora de inicio ______________</w:t>
            </w:r>
          </w:p>
        </w:tc>
        <w:tc>
          <w:tcPr>
            <w:tcW w:w="3120" w:type="dxa"/>
          </w:tcPr>
          <w:p>
            <w:pPr>
              <w:pStyle w:val="CeldaAPA"/>
              <w:jc w:val="left"/>
            </w:pPr>
            <w:r>
              <w:rPr>
                <w:sz w:val="20"/>
                <w:szCs w:val="20"/>
              </w:rPr>
              <w:t xml:space="preserve">Hora de fin ______________</w:t>
            </w:r>
          </w:p>
        </w:tc>
        <w:tc>
          <w:tcPr>
            <w:tcW w:w="3120" w:type="dxa"/>
          </w:tcPr>
          <w:p>
            <w:pPr>
              <w:pStyle w:val="CeldaAPA"/>
              <w:jc w:val="left"/>
            </w:pPr>
            <w:r>
              <w:rPr>
                <w:sz w:val="20"/>
                <w:szCs w:val="20"/>
              </w:rPr>
              <w:t xml:space="preserve">Entrevistador ______________</w:t>
            </w:r>
          </w:p>
        </w:tc>
      </w:tr>
      <w:tr>
        <w:tc>
          <w:tcPr>
            <w:tcW w:w="9360" w:type="dxa"/>
            <w:gridSpan w:val="3"/>
          </w:tcPr>
          <w:p>
            <w:pPr>
              <w:pStyle w:val="CeldaAPA"/>
              <w:jc w:val="left"/>
            </w:pPr>
            <w:r>
              <w:rPr>
                <w:bCs/>
                <w:b/>
                <w:sz w:val="20"/>
                <w:szCs w:val="20"/>
              </w:rPr>
              <w:t xml:space="preserve">Consentimiento informado.</w:t>
            </w:r>
            <w:r>
              <w:rPr>
                <w:sz w:val="20"/>
                <w:szCs w:val="20"/>
              </w:rPr>
              <w:t xml:space="preserve"> </w:t>
            </w:r>
            <w:r>
              <w:rPr>
                <w:sz w:val="20"/>
                <w:szCs w:val="20"/>
              </w:rPr>
              <w:t xml:space="preserve">La participación es voluntaria y puede interrumpirse en cualquier momento. La información se usará solo con fines académicos, de forma confidencial y sin identificar al entrevistado por su nombre. Las preguntas buscan comprender los procesos de la obra y no evaluar a las personas. Autorizo la grabación en audio: ☐ Sí ☐ No _________________ _________________</w:t>
            </w:r>
          </w:p>
        </w:tc>
      </w:tr>
    </w:tbl>
    <w:p>
      <w:pPr>
        <w:pStyle w:val="BodyText"/>
        <w:spacing w:before="240"/>
      </w:pPr>
      <w:r>
        <w:rPr>
          <w:bCs/>
          <w:b/>
        </w:rPr>
        <w:t xml:space="preserve">Indicaciones para el entrevistador.</w:t>
      </w:r>
      <w:r>
        <w:t xml:space="preserve"> </w:t>
      </w:r>
      <w:r>
        <w:t xml:space="preserve">Lea la pregunta tal como está redactada, sin sugerir respuestas; pida ejemplos y documentos de respaldo (fechas, planillas, fotografías); anote las respuestas textuales relevantes; y cierre cada bloque con una repregunta del tipo «¿Hay algún registro de eso?». Los hallazgos sobre cantidades son inconsistencias documentales por verificar y deben tratarse como tales, sin atribuir responsabilidades.</w:t>
      </w:r>
    </w:p>
    <w:tbl>
      <w:tblPr>
        <w:tblStyle w:val="Table"/>
        <w:tblW w:w="9362"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1" w:lastRow="0" w:firstColumn="0" w:lastColumn="0" w:noHBand="0" w:noVBand="0" w:val="0020"/>
      </w:tblPr>
      <w:tblGrid>
        <w:gridCol w:w="666"/>
        <w:gridCol w:w="5788"/>
        <w:gridCol w:w="1200"/>
        <w:gridCol w:w="1708"/>
      </w:tblGrid>
      <w:tr>
        <w:trPr>
          <w:cantSplit/>
          <w:tblHeader w:val="true"/>
        </w:trPr>
        <w:tc>
          <w:tcPr>
            <w:tcW w:w="666" w:type="dxa"/>
          </w:tcPr>
          <w:p>
            <w:pPr>
              <w:pStyle w:val="CeldaAPA"/>
              <w:jc w:val="center"/>
            </w:pPr>
            <w:r>
              <w:rPr>
                <w:bCs/>
                <w:b/>
                <w:sz w:val="20"/>
                <w:szCs w:val="20"/>
              </w:rPr>
              <w:t xml:space="preserve">N.</w:t>
            </w:r>
            <w:r>
              <w:rPr>
                <w:vertAlign w:val="superscript"/>
                <w:bCs/>
                <w:b/>
                <w:sz w:val="20"/>
                <w:szCs w:val="20"/>
              </w:rPr>
              <w:t xml:space="preserve">o</w:t>
            </w:r>
          </w:p>
        </w:tc>
        <w:tc>
          <w:tcPr>
            <w:tcW w:w="5788" w:type="dxa"/>
          </w:tcPr>
          <w:p>
            <w:pPr>
              <w:pStyle w:val="CeldaAPA"/>
              <w:jc w:val="left"/>
            </w:pPr>
            <w:r>
              <w:rPr>
                <w:bCs/>
                <w:b/>
                <w:sz w:val="20"/>
                <w:szCs w:val="20"/>
              </w:rPr>
              <w:t xml:space="preserve">Pregunta guía</w:t>
            </w:r>
          </w:p>
        </w:tc>
        <w:tc>
          <w:tcPr>
            <w:tcW w:w="1200" w:type="dxa"/>
          </w:tcPr>
          <w:p>
            <w:pPr>
              <w:pStyle w:val="CeldaAPA"/>
              <w:jc w:val="center"/>
            </w:pPr>
            <w:r>
              <w:rPr>
                <w:bCs/>
                <w:b/>
                <w:sz w:val="20"/>
                <w:szCs w:val="20"/>
              </w:rPr>
              <w:t xml:space="preserve">Dirigida a</w:t>
            </w:r>
          </w:p>
        </w:tc>
        <w:tc>
          <w:tcPr>
            <w:tcW w:w="1708" w:type="dxa"/>
          </w:tcPr>
          <w:p>
            <w:pPr>
              <w:pStyle w:val="CeldaAPA"/>
              <w:jc w:val="center"/>
            </w:pPr>
            <w:r>
              <w:rPr>
                <w:bCs/>
                <w:b/>
                <w:sz w:val="20"/>
                <w:szCs w:val="20"/>
              </w:rPr>
              <w:t xml:space="preserve">Bloque</w:t>
            </w:r>
          </w:p>
        </w:tc>
      </w:tr>
      <w:tr>
        <w:tc>
          <w:tcPr>
            <w:tcW w:w="666" w:type="dxa"/>
          </w:tcPr>
          <w:p>
            <w:pPr>
              <w:pStyle w:val="CeldaAPA"/>
              <w:jc w:val="center"/>
            </w:pPr>
            <w:r>
              <w:rPr>
                <w:sz w:val="20"/>
                <w:szCs w:val="20"/>
              </w:rPr>
              <w:t xml:space="preserve">1</w:t>
            </w:r>
          </w:p>
        </w:tc>
        <w:tc>
          <w:tcPr>
            <w:tcW w:w="5788" w:type="dxa"/>
          </w:tcPr>
          <w:p>
            <w:pPr>
              <w:pStyle w:val="CeldaAPA"/>
              <w:jc w:val="left"/>
            </w:pPr>
            <w:r>
              <w:rPr>
                <w:sz w:val="20"/>
                <w:szCs w:val="20"/>
              </w:rPr>
              <w:t xml:space="preserve">¿Cómo se planificó la ejecución de la primera losa (programa, pedidos de materiales y controles)? ¿Existió un plan de la calidad o un plan de inspecciones?</w:t>
            </w:r>
          </w:p>
        </w:tc>
        <w:tc>
          <w:tcPr>
            <w:tcW w:w="1200" w:type="dxa"/>
          </w:tcPr>
          <w:p>
            <w:pPr>
              <w:pStyle w:val="CeldaAPA"/>
              <w:jc w:val="center"/>
            </w:pPr>
            <w:r>
              <w:rPr>
                <w:sz w:val="20"/>
                <w:szCs w:val="20"/>
              </w:rPr>
              <w:t xml:space="preserve">R, S, F</w:t>
            </w:r>
          </w:p>
        </w:tc>
        <w:tc>
          <w:tcPr>
            <w:tcW w:w="1708" w:type="dxa"/>
          </w:tcPr>
          <w:p>
            <w:pPr>
              <w:pStyle w:val="CeldaAPA"/>
              <w:jc w:val="center"/>
            </w:pPr>
            <w:r>
              <w:rPr>
                <w:sz w:val="20"/>
                <w:szCs w:val="20"/>
              </w:rPr>
              <w:t xml:space="preserve">Planificación</w:t>
            </w:r>
          </w:p>
        </w:tc>
      </w:tr>
      <w:tr>
        <w:tc>
          <w:tcPr>
            <w:tcW w:w="666" w:type="dxa"/>
          </w:tcPr>
          <w:p>
            <w:pPr>
              <w:pStyle w:val="CeldaAPA"/>
              <w:jc w:val="center"/>
            </w:pPr>
            <w:r>
              <w:rPr>
                <w:sz w:val="20"/>
                <w:szCs w:val="20"/>
              </w:rPr>
              <w:t xml:space="preserve">2</w:t>
            </w:r>
          </w:p>
        </w:tc>
        <w:tc>
          <w:tcPr>
            <w:tcW w:w="5788" w:type="dxa"/>
          </w:tcPr>
          <w:p>
            <w:pPr>
              <w:pStyle w:val="CeldaAPA"/>
              <w:jc w:val="left"/>
            </w:pPr>
            <w:r>
              <w:rPr>
                <w:sz w:val="20"/>
                <w:szCs w:val="20"/>
              </w:rPr>
              <w:t xml:space="preserve">¿Cómo se resolvió la diferencia entre la ET (100 </w:t>
            </w:r>
            <m:oMath>
              <m:r>
                <m:rPr>
                  <m:sty m:val="p"/>
                </m:rPr>
                <m:t>×</m:t>
              </m:r>
            </m:oMath>
            <w:r>
              <w:rPr>
                <w:sz w:val="20"/>
                <w:szCs w:val="20"/>
              </w:rPr>
              <w:t xml:space="preserve"> 50 </w:t>
            </w:r>
            <m:oMath>
              <m:r>
                <m:rPr>
                  <m:sty m:val="p"/>
                </m:rPr>
                <m:t>×</m:t>
              </m:r>
            </m:oMath>
            <w:r>
              <w:rPr>
                <w:sz w:val="20"/>
                <w:szCs w:val="20"/>
              </w:rPr>
              <w:t xml:space="preserve"> 20 cm), el Plano 02 (0,15 m) y el complemento EPS suministrado (20 </w:t>
            </w:r>
            <m:oMath>
              <m:r>
                <m:rPr>
                  <m:sty m:val="p"/>
                </m:rPr>
                <m:t>×</m:t>
              </m:r>
            </m:oMath>
            <w:r>
              <w:rPr>
                <w:sz w:val="20"/>
                <w:szCs w:val="20"/>
              </w:rPr>
              <w:t xml:space="preserve"> 100 </w:t>
            </w:r>
            <m:oMath>
              <m:r>
                <m:rPr>
                  <m:sty m:val="p"/>
                </m:rPr>
                <m:t>×</m:t>
              </m:r>
            </m:oMath>
            <w:r>
              <w:rPr>
                <w:sz w:val="20"/>
                <w:szCs w:val="20"/>
              </w:rPr>
              <w:t xml:space="preserve"> 44 cm)? ¿Quién decidió y dónde consta?</w:t>
            </w:r>
          </w:p>
        </w:tc>
        <w:tc>
          <w:tcPr>
            <w:tcW w:w="1200" w:type="dxa"/>
          </w:tcPr>
          <w:p>
            <w:pPr>
              <w:pStyle w:val="CeldaAPA"/>
              <w:jc w:val="center"/>
            </w:pPr>
            <w:r>
              <w:rPr>
                <w:sz w:val="20"/>
                <w:szCs w:val="20"/>
              </w:rPr>
              <w:t xml:space="preserve">R, S</w:t>
            </w:r>
          </w:p>
        </w:tc>
        <w:tc>
          <w:tcPr>
            <w:tcW w:w="1708" w:type="dxa"/>
          </w:tcPr>
          <w:p>
            <w:pPr>
              <w:pStyle w:val="CeldaAPA"/>
              <w:jc w:val="center"/>
            </w:pPr>
            <w:r>
              <w:rPr>
                <w:sz w:val="20"/>
                <w:szCs w:val="20"/>
              </w:rPr>
              <w:t xml:space="preserve">Documentos</w:t>
            </w:r>
          </w:p>
        </w:tc>
      </w:tr>
      <w:tr>
        <w:tc>
          <w:tcPr>
            <w:tcW w:w="666" w:type="dxa"/>
          </w:tcPr>
          <w:p>
            <w:pPr>
              <w:pStyle w:val="CeldaAPA"/>
              <w:jc w:val="center"/>
            </w:pPr>
            <w:r>
              <w:rPr>
                <w:sz w:val="20"/>
                <w:szCs w:val="20"/>
              </w:rPr>
              <w:t xml:space="preserve">3</w:t>
            </w:r>
          </w:p>
        </w:tc>
        <w:tc>
          <w:tcPr>
            <w:tcW w:w="5788" w:type="dxa"/>
          </w:tcPr>
          <w:p>
            <w:pPr>
              <w:pStyle w:val="CeldaAPA"/>
              <w:jc w:val="left"/>
            </w:pPr>
            <w:r>
              <w:rPr>
                <w:sz w:val="20"/>
                <w:szCs w:val="20"/>
              </w:rPr>
              <w:t xml:space="preserve">¿Qué cambios de diseño o de materiales hubo en la losa (por ejemplo, por falta de viguetas de los tamaños requeridos) y cómo se aprobaron?</w:t>
            </w:r>
          </w:p>
        </w:tc>
        <w:tc>
          <w:tcPr>
            <w:tcW w:w="1200" w:type="dxa"/>
          </w:tcPr>
          <w:p>
            <w:pPr>
              <w:pStyle w:val="CeldaAPA"/>
              <w:jc w:val="center"/>
            </w:pPr>
            <w:r>
              <w:rPr>
                <w:sz w:val="20"/>
                <w:szCs w:val="20"/>
              </w:rPr>
              <w:t xml:space="preserve">R, S, F</w:t>
            </w:r>
          </w:p>
        </w:tc>
        <w:tc>
          <w:tcPr>
            <w:tcW w:w="1708" w:type="dxa"/>
          </w:tcPr>
          <w:p>
            <w:pPr>
              <w:pStyle w:val="CeldaAPA"/>
              <w:jc w:val="center"/>
            </w:pPr>
            <w:r>
              <w:rPr>
                <w:sz w:val="20"/>
                <w:szCs w:val="20"/>
              </w:rPr>
              <w:t xml:space="preserve">Cambios</w:t>
            </w:r>
          </w:p>
        </w:tc>
      </w:tr>
      <w:tr>
        <w:tc>
          <w:tcPr>
            <w:tcW w:w="666" w:type="dxa"/>
          </w:tcPr>
          <w:p>
            <w:pPr>
              <w:pStyle w:val="CeldaAPA"/>
              <w:jc w:val="center"/>
            </w:pPr>
            <w:r>
              <w:rPr>
                <w:sz w:val="20"/>
                <w:szCs w:val="20"/>
              </w:rPr>
              <w:t xml:space="preserve">4</w:t>
            </w:r>
          </w:p>
        </w:tc>
        <w:tc>
          <w:tcPr>
            <w:tcW w:w="5788" w:type="dxa"/>
          </w:tcPr>
          <w:p>
            <w:pPr>
              <w:pStyle w:val="CeldaAPA"/>
              <w:jc w:val="left"/>
            </w:pPr>
            <w:r>
              <w:rPr>
                <w:sz w:val="20"/>
                <w:szCs w:val="20"/>
              </w:rPr>
              <w:t xml:space="preserve">¿Cómo se recibían y aceptaban las viguetas, el EPS, el acero y el cemento? ¿Se exigían certificados antes de colocar el material?</w:t>
            </w:r>
          </w:p>
        </w:tc>
        <w:tc>
          <w:tcPr>
            <w:tcW w:w="1200" w:type="dxa"/>
          </w:tcPr>
          <w:p>
            <w:pPr>
              <w:pStyle w:val="CeldaAPA"/>
              <w:jc w:val="center"/>
            </w:pPr>
            <w:r>
              <w:rPr>
                <w:sz w:val="20"/>
                <w:szCs w:val="20"/>
              </w:rPr>
              <w:t xml:space="preserve">R, S</w:t>
            </w:r>
          </w:p>
        </w:tc>
        <w:tc>
          <w:tcPr>
            <w:tcW w:w="1708" w:type="dxa"/>
          </w:tcPr>
          <w:p>
            <w:pPr>
              <w:pStyle w:val="CeldaAPA"/>
              <w:jc w:val="center"/>
            </w:pPr>
            <w:r>
              <w:rPr>
                <w:sz w:val="20"/>
                <w:szCs w:val="20"/>
              </w:rPr>
              <w:t xml:space="preserve">Materiales</w:t>
            </w:r>
          </w:p>
        </w:tc>
      </w:tr>
      <w:tr>
        <w:tc>
          <w:tcPr>
            <w:tcW w:w="666" w:type="dxa"/>
          </w:tcPr>
          <w:p>
            <w:pPr>
              <w:pStyle w:val="CeldaAPA"/>
              <w:jc w:val="center"/>
            </w:pPr>
            <w:r>
              <w:rPr>
                <w:sz w:val="20"/>
                <w:szCs w:val="20"/>
              </w:rPr>
              <w:t xml:space="preserve">5</w:t>
            </w:r>
          </w:p>
        </w:tc>
        <w:tc>
          <w:tcPr>
            <w:tcW w:w="5788" w:type="dxa"/>
          </w:tcPr>
          <w:p>
            <w:pPr>
              <w:pStyle w:val="CeldaAPA"/>
              <w:jc w:val="left"/>
            </w:pPr>
            <w:r>
              <w:rPr>
                <w:sz w:val="20"/>
                <w:szCs w:val="20"/>
              </w:rPr>
              <w:t xml:space="preserve">¿Cómo se almacenaban los materiales y cómo se controlaban las existencias? ¿Había kardex, vales o notas de remisión por paño?</w:t>
            </w:r>
          </w:p>
        </w:tc>
        <w:tc>
          <w:tcPr>
            <w:tcW w:w="1200" w:type="dxa"/>
          </w:tcPr>
          <w:p>
            <w:pPr>
              <w:pStyle w:val="CeldaAPA"/>
              <w:jc w:val="center"/>
            </w:pPr>
            <w:r>
              <w:rPr>
                <w:sz w:val="20"/>
                <w:szCs w:val="20"/>
              </w:rPr>
              <w:t xml:space="preserve">R</w:t>
            </w:r>
          </w:p>
        </w:tc>
        <w:tc>
          <w:tcPr>
            <w:tcW w:w="1708" w:type="dxa"/>
          </w:tcPr>
          <w:p>
            <w:pPr>
              <w:pStyle w:val="CeldaAPA"/>
              <w:jc w:val="center"/>
            </w:pPr>
            <w:r>
              <w:rPr>
                <w:sz w:val="20"/>
                <w:szCs w:val="20"/>
              </w:rPr>
              <w:t xml:space="preserve">Materiales</w:t>
            </w:r>
          </w:p>
        </w:tc>
      </w:tr>
      <w:tr>
        <w:tc>
          <w:tcPr>
            <w:tcW w:w="666" w:type="dxa"/>
          </w:tcPr>
          <w:p>
            <w:pPr>
              <w:pStyle w:val="CeldaAPA"/>
              <w:jc w:val="center"/>
            </w:pPr>
            <w:r>
              <w:rPr>
                <w:sz w:val="20"/>
                <w:szCs w:val="20"/>
              </w:rPr>
              <w:t xml:space="preserve">6</w:t>
            </w:r>
          </w:p>
        </w:tc>
        <w:tc>
          <w:tcPr>
            <w:tcW w:w="5788" w:type="dxa"/>
          </w:tcPr>
          <w:p>
            <w:pPr>
              <w:pStyle w:val="CeldaAPA"/>
              <w:jc w:val="left"/>
            </w:pPr>
            <w:r>
              <w:rPr>
                <w:sz w:val="20"/>
                <w:szCs w:val="20"/>
              </w:rPr>
              <w:t xml:space="preserve">¿Qué sobrantes, roturas o desperdicios recuerda en viguetas, EPS, acero y hormigón? ¿Qué se hizo con ellos y quién asumió su costo?</w:t>
            </w:r>
          </w:p>
        </w:tc>
        <w:tc>
          <w:tcPr>
            <w:tcW w:w="1200" w:type="dxa"/>
          </w:tcPr>
          <w:p>
            <w:pPr>
              <w:pStyle w:val="CeldaAPA"/>
              <w:jc w:val="center"/>
            </w:pPr>
            <w:r>
              <w:rPr>
                <w:sz w:val="20"/>
                <w:szCs w:val="20"/>
              </w:rPr>
              <w:t xml:space="preserve">R, S</w:t>
            </w:r>
          </w:p>
        </w:tc>
        <w:tc>
          <w:tcPr>
            <w:tcW w:w="1708" w:type="dxa"/>
          </w:tcPr>
          <w:p>
            <w:pPr>
              <w:pStyle w:val="CeldaAPA"/>
              <w:jc w:val="center"/>
            </w:pPr>
            <w:r>
              <w:rPr>
                <w:sz w:val="20"/>
                <w:szCs w:val="20"/>
              </w:rPr>
              <w:t xml:space="preserve">Materiales</w:t>
            </w:r>
          </w:p>
        </w:tc>
      </w:tr>
      <w:tr>
        <w:tc>
          <w:tcPr>
            <w:tcW w:w="666" w:type="dxa"/>
          </w:tcPr>
          <w:p>
            <w:pPr>
              <w:pStyle w:val="CeldaAPA"/>
              <w:jc w:val="center"/>
            </w:pPr>
            <w:r>
              <w:rPr>
                <w:sz w:val="20"/>
                <w:szCs w:val="20"/>
              </w:rPr>
              <w:t xml:space="preserve">7</w:t>
            </w:r>
          </w:p>
        </w:tc>
        <w:tc>
          <w:tcPr>
            <w:tcW w:w="5788" w:type="dxa"/>
          </w:tcPr>
          <w:p>
            <w:pPr>
              <w:pStyle w:val="CeldaAPA"/>
              <w:jc w:val="left"/>
            </w:pPr>
            <w:r>
              <w:rPr>
                <w:sz w:val="20"/>
                <w:szCs w:val="20"/>
              </w:rPr>
              <w:t xml:space="preserve">¿Cómo se verificaba cada paño antes del vaciado (apuntalamiento, armado, separadores, instalaciones)? ¿Quedaba algún registro además del Libro de Órdenes?</w:t>
            </w:r>
          </w:p>
        </w:tc>
        <w:tc>
          <w:tcPr>
            <w:tcW w:w="1200" w:type="dxa"/>
          </w:tcPr>
          <w:p>
            <w:pPr>
              <w:pStyle w:val="CeldaAPA"/>
              <w:jc w:val="center"/>
            </w:pPr>
            <w:r>
              <w:rPr>
                <w:sz w:val="20"/>
                <w:szCs w:val="20"/>
              </w:rPr>
              <w:t xml:space="preserve">R, S</w:t>
            </w:r>
          </w:p>
        </w:tc>
        <w:tc>
          <w:tcPr>
            <w:tcW w:w="1708" w:type="dxa"/>
          </w:tcPr>
          <w:p>
            <w:pPr>
              <w:pStyle w:val="CeldaAPA"/>
              <w:jc w:val="center"/>
            </w:pPr>
            <w:r>
              <w:rPr>
                <w:sz w:val="20"/>
                <w:szCs w:val="20"/>
              </w:rPr>
              <w:t xml:space="preserve">Inspección</w:t>
            </w:r>
          </w:p>
        </w:tc>
      </w:tr>
      <w:tr>
        <w:tc>
          <w:tcPr>
            <w:tcW w:w="666" w:type="dxa"/>
          </w:tcPr>
          <w:p>
            <w:pPr>
              <w:pStyle w:val="CeldaAPA"/>
              <w:jc w:val="center"/>
            </w:pPr>
            <w:r>
              <w:rPr>
                <w:sz w:val="20"/>
                <w:szCs w:val="20"/>
              </w:rPr>
              <w:t xml:space="preserve">8</w:t>
            </w:r>
          </w:p>
        </w:tc>
        <w:tc>
          <w:tcPr>
            <w:tcW w:w="5788" w:type="dxa"/>
          </w:tcPr>
          <w:p>
            <w:pPr>
              <w:pStyle w:val="CeldaAPA"/>
              <w:jc w:val="left"/>
            </w:pPr>
            <w:r>
              <w:rPr>
                <w:sz w:val="20"/>
                <w:szCs w:val="20"/>
              </w:rPr>
              <w:t xml:space="preserve">¿Qué defectos o retrabajos ocurrieron en la losa (fugas, nidos de grava, fisuras, correcciones de armado)? ¿Cómo se corrigieron?</w:t>
            </w:r>
          </w:p>
        </w:tc>
        <w:tc>
          <w:tcPr>
            <w:tcW w:w="1200" w:type="dxa"/>
          </w:tcPr>
          <w:p>
            <w:pPr>
              <w:pStyle w:val="CeldaAPA"/>
              <w:jc w:val="center"/>
            </w:pPr>
            <w:r>
              <w:rPr>
                <w:sz w:val="20"/>
                <w:szCs w:val="20"/>
              </w:rPr>
              <w:t xml:space="preserve">R, S, F</w:t>
            </w:r>
          </w:p>
        </w:tc>
        <w:tc>
          <w:tcPr>
            <w:tcW w:w="1708" w:type="dxa"/>
          </w:tcPr>
          <w:p>
            <w:pPr>
              <w:pStyle w:val="CeldaAPA"/>
              <w:jc w:val="center"/>
            </w:pPr>
            <w:r>
              <w:rPr>
                <w:sz w:val="20"/>
                <w:szCs w:val="20"/>
              </w:rPr>
              <w:t xml:space="preserve">Inspección</w:t>
            </w:r>
          </w:p>
        </w:tc>
      </w:tr>
      <w:tr>
        <w:tc>
          <w:tcPr>
            <w:tcW w:w="666" w:type="dxa"/>
          </w:tcPr>
          <w:p>
            <w:pPr>
              <w:pStyle w:val="CeldaAPA"/>
              <w:jc w:val="center"/>
            </w:pPr>
            <w:r>
              <w:rPr>
                <w:sz w:val="20"/>
                <w:szCs w:val="20"/>
              </w:rPr>
              <w:t xml:space="preserve">9</w:t>
            </w:r>
          </w:p>
        </w:tc>
        <w:tc>
          <w:tcPr>
            <w:tcW w:w="5788" w:type="dxa"/>
          </w:tcPr>
          <w:p>
            <w:pPr>
              <w:pStyle w:val="CeldaAPA"/>
              <w:jc w:val="left"/>
            </w:pPr>
            <w:r>
              <w:rPr>
                <w:sz w:val="20"/>
                <w:szCs w:val="20"/>
              </w:rPr>
              <w:t xml:space="preserve">¿Cómo se dosificó y controló el hormigón de la losa (dosificación, asentamiento, muestreo, probetas y curado)? ¿Se ensayaron probetas de la losa?</w:t>
            </w:r>
          </w:p>
        </w:tc>
        <w:tc>
          <w:tcPr>
            <w:tcW w:w="1200" w:type="dxa"/>
          </w:tcPr>
          <w:p>
            <w:pPr>
              <w:pStyle w:val="CeldaAPA"/>
              <w:jc w:val="center"/>
            </w:pPr>
            <w:r>
              <w:rPr>
                <w:sz w:val="20"/>
                <w:szCs w:val="20"/>
              </w:rPr>
              <w:t xml:space="preserve">R, S</w:t>
            </w:r>
          </w:p>
        </w:tc>
        <w:tc>
          <w:tcPr>
            <w:tcW w:w="1708" w:type="dxa"/>
          </w:tcPr>
          <w:p>
            <w:pPr>
              <w:pStyle w:val="CeldaAPA"/>
              <w:jc w:val="center"/>
            </w:pPr>
            <w:r>
              <w:rPr>
                <w:sz w:val="20"/>
                <w:szCs w:val="20"/>
              </w:rPr>
              <w:t xml:space="preserve">Hormigón</w:t>
            </w:r>
          </w:p>
        </w:tc>
      </w:tr>
      <w:tr>
        <w:tc>
          <w:tcPr>
            <w:tcW w:w="666" w:type="dxa"/>
          </w:tcPr>
          <w:p>
            <w:pPr>
              <w:pStyle w:val="CeldaAPA"/>
              <w:jc w:val="center"/>
            </w:pPr>
            <w:r>
              <w:rPr>
                <w:sz w:val="20"/>
                <w:szCs w:val="20"/>
              </w:rPr>
              <w:t xml:space="preserve">10</w:t>
            </w:r>
          </w:p>
        </w:tc>
        <w:tc>
          <w:tcPr>
            <w:tcW w:w="5788" w:type="dxa"/>
          </w:tcPr>
          <w:p>
            <w:pPr>
              <w:pStyle w:val="CeldaAPA"/>
              <w:jc w:val="left"/>
            </w:pPr>
            <w:r>
              <w:rPr>
                <w:sz w:val="20"/>
                <w:szCs w:val="20"/>
              </w:rPr>
              <w:t xml:space="preserve">¿Qué medidas se tomaron frente a la lluvia y a las bajas temperaturas durante el vaciado y el curado?</w:t>
            </w:r>
          </w:p>
        </w:tc>
        <w:tc>
          <w:tcPr>
            <w:tcW w:w="1200" w:type="dxa"/>
          </w:tcPr>
          <w:p>
            <w:pPr>
              <w:pStyle w:val="CeldaAPA"/>
              <w:jc w:val="center"/>
            </w:pPr>
            <w:r>
              <w:rPr>
                <w:sz w:val="20"/>
                <w:szCs w:val="20"/>
              </w:rPr>
              <w:t xml:space="preserve">R, S</w:t>
            </w:r>
          </w:p>
        </w:tc>
        <w:tc>
          <w:tcPr>
            <w:tcW w:w="1708" w:type="dxa"/>
          </w:tcPr>
          <w:p>
            <w:pPr>
              <w:pStyle w:val="CeldaAPA"/>
              <w:jc w:val="center"/>
            </w:pPr>
            <w:r>
              <w:rPr>
                <w:sz w:val="20"/>
                <w:szCs w:val="20"/>
              </w:rPr>
              <w:t xml:space="preserve">Hormigón</w:t>
            </w:r>
          </w:p>
        </w:tc>
      </w:tr>
      <w:tr>
        <w:tc>
          <w:tcPr>
            <w:tcW w:w="666" w:type="dxa"/>
          </w:tcPr>
          <w:p>
            <w:pPr>
              <w:pStyle w:val="CeldaAPA"/>
              <w:jc w:val="center"/>
            </w:pPr>
            <w:r>
              <w:rPr>
                <w:sz w:val="20"/>
                <w:szCs w:val="20"/>
              </w:rPr>
              <w:t xml:space="preserve">11</w:t>
            </w:r>
          </w:p>
        </w:tc>
        <w:tc>
          <w:tcPr>
            <w:tcW w:w="5788" w:type="dxa"/>
          </w:tcPr>
          <w:p>
            <w:pPr>
              <w:pStyle w:val="CeldaAPA"/>
              <w:jc w:val="left"/>
            </w:pPr>
            <w:r>
              <w:rPr>
                <w:sz w:val="20"/>
                <w:szCs w:val="20"/>
              </w:rPr>
              <w:t xml:space="preserve">¿Cómo se midieron y conciliaron las cantidades de la losa y del acero para las planillas? En el cómputo de cierre, el acero de la losa figura como 3 </w:t>
            </w:r>
            <m:oMath>
              <m:r>
                <m:rPr>
                  <m:sty m:val="p"/>
                </m:rPr>
                <m:t>×</m:t>
              </m:r>
            </m:oMath>
            <w:r>
              <w:rPr>
                <w:sz w:val="20"/>
                <w:szCs w:val="20"/>
              </w:rPr>
              <w:t xml:space="preserve"> 4.171,18 kg: ¿cómo se explica esa cifra?</w:t>
            </w:r>
          </w:p>
        </w:tc>
        <w:tc>
          <w:tcPr>
            <w:tcW w:w="1200" w:type="dxa"/>
          </w:tcPr>
          <w:p>
            <w:pPr>
              <w:pStyle w:val="CeldaAPA"/>
              <w:jc w:val="center"/>
            </w:pPr>
            <w:r>
              <w:rPr>
                <w:sz w:val="20"/>
                <w:szCs w:val="20"/>
              </w:rPr>
              <w:t xml:space="preserve">S, F</w:t>
            </w:r>
          </w:p>
        </w:tc>
        <w:tc>
          <w:tcPr>
            <w:tcW w:w="1708" w:type="dxa"/>
          </w:tcPr>
          <w:p>
            <w:pPr>
              <w:pStyle w:val="CeldaAPA"/>
              <w:jc w:val="center"/>
            </w:pPr>
            <w:r>
              <w:rPr>
                <w:sz w:val="20"/>
                <w:szCs w:val="20"/>
              </w:rPr>
              <w:t xml:space="preserve">Cantidades</w:t>
            </w:r>
          </w:p>
        </w:tc>
      </w:tr>
      <w:tr>
        <w:tc>
          <w:tcPr>
            <w:tcW w:w="666" w:type="dxa"/>
          </w:tcPr>
          <w:p>
            <w:pPr>
              <w:pStyle w:val="CeldaAPA"/>
              <w:jc w:val="center"/>
            </w:pPr>
            <w:r>
              <w:rPr>
                <w:sz w:val="20"/>
                <w:szCs w:val="20"/>
              </w:rPr>
              <w:t xml:space="preserve">12</w:t>
            </w:r>
          </w:p>
        </w:tc>
        <w:tc>
          <w:tcPr>
            <w:tcW w:w="5788" w:type="dxa"/>
          </w:tcPr>
          <w:p>
            <w:pPr>
              <w:pStyle w:val="CeldaAPA"/>
              <w:jc w:val="left"/>
            </w:pPr>
            <w:r>
              <w:rPr>
                <w:sz w:val="20"/>
                <w:szCs w:val="20"/>
              </w:rPr>
              <w:t xml:space="preserve">¿En qué ítem se paga el acero de la parrilla y de los negativos de la losa (ítem 8 o ítem 13) y cómo se decidió?</w:t>
            </w:r>
          </w:p>
        </w:tc>
        <w:tc>
          <w:tcPr>
            <w:tcW w:w="1200" w:type="dxa"/>
          </w:tcPr>
          <w:p>
            <w:pPr>
              <w:pStyle w:val="CeldaAPA"/>
              <w:jc w:val="center"/>
            </w:pPr>
            <w:r>
              <w:rPr>
                <w:sz w:val="20"/>
                <w:szCs w:val="20"/>
              </w:rPr>
              <w:t xml:space="preserve">S, F</w:t>
            </w:r>
          </w:p>
        </w:tc>
        <w:tc>
          <w:tcPr>
            <w:tcW w:w="1708" w:type="dxa"/>
          </w:tcPr>
          <w:p>
            <w:pPr>
              <w:pStyle w:val="CeldaAPA"/>
              <w:jc w:val="center"/>
            </w:pPr>
            <w:r>
              <w:rPr>
                <w:sz w:val="20"/>
                <w:szCs w:val="20"/>
              </w:rPr>
              <w:t xml:space="preserve">Cantidades</w:t>
            </w:r>
          </w:p>
        </w:tc>
      </w:tr>
      <w:tr>
        <w:tc>
          <w:tcPr>
            <w:tcW w:w="666" w:type="dxa"/>
          </w:tcPr>
          <w:p>
            <w:pPr>
              <w:pStyle w:val="CeldaAPA"/>
              <w:jc w:val="center"/>
            </w:pPr>
            <w:r>
              <w:rPr>
                <w:sz w:val="20"/>
                <w:szCs w:val="20"/>
              </w:rPr>
              <w:t xml:space="preserve">13</w:t>
            </w:r>
          </w:p>
        </w:tc>
        <w:tc>
          <w:tcPr>
            <w:tcW w:w="5788" w:type="dxa"/>
          </w:tcPr>
          <w:p>
            <w:pPr>
              <w:pStyle w:val="CeldaAPA"/>
              <w:jc w:val="left"/>
            </w:pPr>
            <w:r>
              <w:rPr>
                <w:sz w:val="20"/>
                <w:szCs w:val="20"/>
              </w:rPr>
              <w:t xml:space="preserve">¿Cómo afectaron la escasez de combustible, el suministro de cemento y de acero y el alza de precios a la ejecución y a la calidad de la losa?</w:t>
            </w:r>
          </w:p>
        </w:tc>
        <w:tc>
          <w:tcPr>
            <w:tcW w:w="1200" w:type="dxa"/>
          </w:tcPr>
          <w:p>
            <w:pPr>
              <w:pStyle w:val="CeldaAPA"/>
              <w:jc w:val="center"/>
            </w:pPr>
            <w:r>
              <w:rPr>
                <w:sz w:val="20"/>
                <w:szCs w:val="20"/>
              </w:rPr>
              <w:t xml:space="preserve">R, S, F</w:t>
            </w:r>
          </w:p>
        </w:tc>
        <w:tc>
          <w:tcPr>
            <w:tcW w:w="1708" w:type="dxa"/>
          </w:tcPr>
          <w:p>
            <w:pPr>
              <w:pStyle w:val="CeldaAPA"/>
              <w:jc w:val="center"/>
            </w:pPr>
            <w:r>
              <w:rPr>
                <w:sz w:val="20"/>
                <w:szCs w:val="20"/>
              </w:rPr>
              <w:t xml:space="preserve">Riesgos</w:t>
            </w:r>
          </w:p>
        </w:tc>
      </w:tr>
      <w:tr>
        <w:tc>
          <w:tcPr>
            <w:tcW w:w="666" w:type="dxa"/>
          </w:tcPr>
          <w:p>
            <w:pPr>
              <w:pStyle w:val="CeldaAPA"/>
              <w:jc w:val="center"/>
            </w:pPr>
            <w:r>
              <w:rPr>
                <w:sz w:val="20"/>
                <w:szCs w:val="20"/>
              </w:rPr>
              <w:t xml:space="preserve">14</w:t>
            </w:r>
          </w:p>
        </w:tc>
        <w:tc>
          <w:tcPr>
            <w:tcW w:w="5788" w:type="dxa"/>
          </w:tcPr>
          <w:p>
            <w:pPr>
              <w:pStyle w:val="CeldaAPA"/>
              <w:jc w:val="left"/>
            </w:pPr>
            <w:r>
              <w:rPr>
                <w:sz w:val="20"/>
                <w:szCs w:val="20"/>
              </w:rPr>
              <w:t xml:space="preserve">¿Qué controles considera indispensables para la segunda y la tercera losa y qué obstáculos ve para aplicarlos (costo, tiempo, personal)?</w:t>
            </w:r>
          </w:p>
        </w:tc>
        <w:tc>
          <w:tcPr>
            <w:tcW w:w="1200" w:type="dxa"/>
          </w:tcPr>
          <w:p>
            <w:pPr>
              <w:pStyle w:val="CeldaAPA"/>
              <w:jc w:val="center"/>
            </w:pPr>
            <w:r>
              <w:rPr>
                <w:sz w:val="20"/>
                <w:szCs w:val="20"/>
              </w:rPr>
              <w:t xml:space="preserve">R, S, F</w:t>
            </w:r>
          </w:p>
        </w:tc>
        <w:tc>
          <w:tcPr>
            <w:tcW w:w="1708" w:type="dxa"/>
          </w:tcPr>
          <w:p>
            <w:pPr>
              <w:pStyle w:val="CeldaAPA"/>
              <w:jc w:val="center"/>
            </w:pPr>
            <w:r>
              <w:rPr>
                <w:sz w:val="20"/>
                <w:szCs w:val="20"/>
              </w:rPr>
              <w:t xml:space="preserve">Mejora</w:t>
            </w:r>
          </w:p>
        </w:tc>
      </w:tr>
      <w:tr>
        <w:tc>
          <w:tcPr>
            <w:tcW w:w="9362" w:type="dxa"/>
            <w:gridSpan w:val="4"/>
          </w:tcPr>
          <w:p>
            <w:pPr>
              <w:pStyle w:val="CeldaAPA"/>
              <w:jc w:val="left"/>
            </w:pPr>
            <w:r>
              <w:rPr>
                <w:bCs/>
                <w:b/>
                <w:sz w:val="20"/>
                <w:szCs w:val="20"/>
              </w:rPr>
              <w:t xml:space="preserve">Cierre:</w:t>
            </w:r>
            <w:r>
              <w:rPr>
                <w:sz w:val="20"/>
                <w:szCs w:val="20"/>
              </w:rPr>
              <w:t xml:space="preserve"> </w:t>
            </w:r>
            <w:r>
              <w:rPr>
                <w:sz w:val="20"/>
                <w:szCs w:val="20"/>
              </w:rPr>
              <w:t xml:space="preserve">¿Desea agregar algo que no se haya preguntado? Agradecimiento al entrevistado.</w:t>
            </w:r>
          </w:p>
        </w:tc>
      </w:tr>
    </w:tbl>
    <w:p>
      <w:pPr>
        <w:pStyle w:val="BodyText"/>
        <w:spacing w:before="240"/>
      </w:pPr>
      <w:r>
        <w:rPr>
          <w:bCs/>
          <w:b/>
        </w:rPr>
        <w:t xml:space="preserve">Procesamiento.</w:t>
      </w:r>
      <w:r>
        <w:t xml:space="preserve"> </w:t>
      </w:r>
      <w:r>
        <w:t xml:space="preserve">Las entrevistas se transcriben y se codifican con las categorías de los bloques (planificación, documentos, cambios, materiales, inspección, hormigón, cantidades, riesgos y mejora). Cada afirmación se contrasta con los documentos de la obra (triangulación) antes de usarla como hallazgo.</w:t>
      </w:r>
      <w:r>
        <w:t xml:space="preserve"> </w:t>
      </w:r>
      <w:r>
        <w:rPr>
          <w:rStyle w:val="Pendiente"/>
          <w:bCs/>
          <w:b/>
        </w:rPr>
        <w:t xml:space="preserve">[Pendiente:</w:t>
      </w:r>
      <w:r>
        <w:rPr>
          <w:rStyle w:val="Pendiente"/>
        </w:rPr>
        <w:t xml:space="preserve"> </w:t>
      </w:r>
      <w:r>
        <w:rPr>
          <w:rStyle w:val="Pendiente"/>
        </w:rPr>
        <w:t xml:space="preserve">aplicar las entrevistas al Residente, al Supervisor y al Fiscal de obra y registrar sus resultados; no se reportan resultados de entrevistas en esta versión.</w:t>
      </w:r>
      <w:r>
        <w:rPr>
          <w:rStyle w:val="Pendiente"/>
          <w:bCs/>
          <w:b/>
        </w:rPr>
        <w:t xml:space="preserve">]</w:t>
      </w:r>
    </w:p>
    <w:p>
      <w:pPr>
        <w:pStyle w:val="Heading2"/>
      </w:pPr>
      <w:bookmarkStart w:id="336" w:name="tit161"/>
      <w:r>
        <w:t xml:space="preserve">C.8. Formato de validación por juicio de expertos</w:t>
      </w:r>
      <w:bookmarkEnd w:id="336"/>
    </w:p>
    <w:p>
      <w:pPr>
        <w:pStyle w:val="FirstParagraph"/>
      </w:pPr>
      <w:r>
        <w:rPr>
          <w:bCs/>
          <w:b/>
        </w:rPr>
        <w:t xml:space="preserve">Objetivo.</w:t>
      </w:r>
      <w:r>
        <w:t xml:space="preserve"> </w:t>
      </w:r>
      <w:r>
        <w:t xml:space="preserve">Obtener evidencia de la validez de contenido del SGC y de sus instrumentos mediante el juicio de profesionales con experiencia en la construcción, la supervisión de obras o la gestión de la calidad. La validez de expertos se refiere al grado en que un instrumento mide la variable de interés de acuerdo con expertos en el tema</w:t>
      </w:r>
      <w:r>
        <w:t xml:space="preserve"> </w:t>
      </w:r>
      <w:r>
        <w:t xml:space="preserve">(Hernández-Sampieri y Mendoza Torres, 2018, p. 235)</w:t>
      </w:r>
      <w:r>
        <w:t xml:space="preserve">. Se recomienda consultar al menos a tres expertos.</w:t>
      </w:r>
    </w:p>
    <w:tbl>
      <w:tblPr>
        <w:tblStyle w:val="Table"/>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1" w:lastRow="0" w:firstColumn="0" w:lastColumn="0" w:noHBand="0" w:noVBand="0" w:val="0020"/>
      </w:tblPr>
      <w:tblGrid>
        <w:gridCol w:w="4680"/>
        <w:gridCol w:w="4680"/>
      </w:tblGrid>
      <w:tr>
        <w:trPr>
          <w:cantSplit/>
          <w:tblHeader w:val="true"/>
        </w:trPr>
        <w:tc>
          <w:tcPr>
            <w:tcW w:w="9360" w:type="dxa"/>
            <w:gridSpan w:val="2"/>
          </w:tcPr>
          <w:p>
            <w:pPr>
              <w:pStyle w:val="CeldaAPA"/>
              <w:jc w:val="left"/>
            </w:pPr>
            <w:r>
              <w:rPr>
                <w:bCs/>
                <w:b/>
                <w:sz w:val="20"/>
                <w:szCs w:val="20"/>
              </w:rPr>
              <w:t xml:space="preserve">1. Datos del experto</w:t>
            </w:r>
          </w:p>
        </w:tc>
      </w:tr>
      <w:tr>
        <w:tc>
          <w:tcPr>
            <w:tcW w:w="4680" w:type="dxa"/>
          </w:tcPr>
          <w:p>
            <w:pPr>
              <w:pStyle w:val="CeldaAPA"/>
              <w:jc w:val="left"/>
            </w:pPr>
            <w:r>
              <w:rPr>
                <w:sz w:val="20"/>
                <w:szCs w:val="20"/>
              </w:rPr>
              <w:t xml:space="preserve">Nombres y apellidos ______________</w:t>
            </w:r>
          </w:p>
        </w:tc>
        <w:tc>
          <w:tcPr>
            <w:tcW w:w="4680" w:type="dxa"/>
          </w:tcPr>
          <w:p>
            <w:pPr>
              <w:pStyle w:val="CeldaAPA"/>
              <w:jc w:val="left"/>
            </w:pPr>
            <w:r>
              <w:rPr>
                <w:sz w:val="20"/>
                <w:szCs w:val="20"/>
              </w:rPr>
              <w:t xml:space="preserve">Profesión ______________</w:t>
            </w:r>
          </w:p>
        </w:tc>
      </w:tr>
      <w:tr>
        <w:tc>
          <w:tcPr>
            <w:tcW w:w="4680" w:type="dxa"/>
          </w:tcPr>
          <w:p>
            <w:pPr>
              <w:pStyle w:val="CeldaAPA"/>
              <w:jc w:val="left"/>
            </w:pPr>
            <w:r>
              <w:rPr>
                <w:sz w:val="20"/>
                <w:szCs w:val="20"/>
              </w:rPr>
              <w:t xml:space="preserve">Grado académico ______________</w:t>
            </w:r>
          </w:p>
        </w:tc>
        <w:tc>
          <w:tcPr>
            <w:tcW w:w="4680" w:type="dxa"/>
          </w:tcPr>
          <w:p>
            <w:pPr>
              <w:pStyle w:val="CeldaAPA"/>
              <w:jc w:val="left"/>
            </w:pPr>
            <w:r>
              <w:rPr>
                <w:sz w:val="20"/>
                <w:szCs w:val="20"/>
              </w:rPr>
              <w:t xml:space="preserve">Especialidad ______________</w:t>
            </w:r>
          </w:p>
        </w:tc>
      </w:tr>
      <w:tr>
        <w:tc>
          <w:tcPr>
            <w:tcW w:w="4680" w:type="dxa"/>
          </w:tcPr>
          <w:p>
            <w:pPr>
              <w:pStyle w:val="CeldaAPA"/>
              <w:jc w:val="left"/>
            </w:pPr>
            <w:r>
              <w:rPr>
                <w:sz w:val="20"/>
                <w:szCs w:val="20"/>
              </w:rPr>
              <w:t xml:space="preserve">Años de experiencia en obras ______________</w:t>
            </w:r>
          </w:p>
        </w:tc>
        <w:tc>
          <w:tcPr>
            <w:tcW w:w="4680" w:type="dxa"/>
          </w:tcPr>
          <w:p>
            <w:pPr>
              <w:pStyle w:val="CeldaAPA"/>
              <w:jc w:val="left"/>
            </w:pPr>
            <w:r>
              <w:rPr>
                <w:sz w:val="20"/>
                <w:szCs w:val="20"/>
              </w:rPr>
              <w:t xml:space="preserve">Años en supervisión o gestión de la calidad ______________</w:t>
            </w:r>
          </w:p>
        </w:tc>
      </w:tr>
      <w:tr>
        <w:tc>
          <w:tcPr>
            <w:tcW w:w="4680" w:type="dxa"/>
          </w:tcPr>
          <w:p>
            <w:pPr>
              <w:pStyle w:val="CeldaAPA"/>
              <w:jc w:val="left"/>
            </w:pPr>
            <w:r>
              <w:rPr>
                <w:sz w:val="20"/>
                <w:szCs w:val="20"/>
              </w:rPr>
              <w:t xml:space="preserve">Institución ______________</w:t>
            </w:r>
          </w:p>
        </w:tc>
        <w:tc>
          <w:tcPr>
            <w:tcW w:w="4680" w:type="dxa"/>
          </w:tcPr>
          <w:p>
            <w:pPr>
              <w:pStyle w:val="CeldaAPA"/>
              <w:jc w:val="left"/>
            </w:pPr>
            <w:r>
              <w:rPr>
                <w:sz w:val="20"/>
                <w:szCs w:val="20"/>
              </w:rPr>
              <w:t xml:space="preserve">Cargo actual ______________</w:t>
            </w:r>
          </w:p>
        </w:tc>
      </w:tr>
      <w:tr>
        <w:tc>
          <w:tcPr>
            <w:tcW w:w="4680" w:type="dxa"/>
          </w:tcPr>
          <w:p>
            <w:pPr>
              <w:pStyle w:val="CeldaAPA"/>
              <w:jc w:val="left"/>
            </w:pPr>
            <w:r>
              <w:rPr>
                <w:sz w:val="20"/>
                <w:szCs w:val="20"/>
              </w:rPr>
              <w:t xml:space="preserve">Correo electrónico o teléfono ______________</w:t>
            </w:r>
          </w:p>
        </w:tc>
        <w:tc>
          <w:tcPr>
            <w:tcW w:w="4680" w:type="dxa"/>
          </w:tcPr>
          <w:p>
            <w:pPr>
              <w:pStyle w:val="CeldaAPA"/>
              <w:jc w:val="left"/>
            </w:pPr>
            <w:r>
              <w:rPr>
                <w:sz w:val="20"/>
                <w:szCs w:val="20"/>
              </w:rPr>
              <w:t xml:space="preserve">Fecha de la evaluación ______________</w:t>
            </w:r>
          </w:p>
        </w:tc>
      </w:tr>
    </w:tbl>
    <w:p>
      <w:pPr>
        <w:pStyle w:val="BodyText"/>
        <w:spacing w:before="240"/>
      </w:pPr>
      <w:r>
        <w:rPr>
          <w:bCs/>
          <w:b/>
        </w:rPr>
        <w:t xml:space="preserve">2. Instrucciones.</w:t>
      </w:r>
      <w:r>
        <w:t xml:space="preserve"> </w:t>
      </w:r>
      <w:r>
        <w:t xml:space="preserve">Lea la Sección 2.6 y los formatos de este anexo. Califique cada componente con la escala siguiente en cuatro criterios y anote sus observaciones.</w:t>
      </w:r>
      <w:r>
        <w:t xml:space="preserve"> </w:t>
      </w:r>
      <w:r>
        <w:rPr>
          <w:iCs/>
          <w:i/>
        </w:rPr>
        <w:t xml:space="preserve">Escala:</w:t>
      </w:r>
      <w:r>
        <w:t xml:space="preserve"> </w:t>
      </w:r>
      <w:r>
        <w:t xml:space="preserve">1 = no cumple el criterio; 2 = nivel bajo; 3 = nivel moderado; 4 = nivel alto.</w:t>
      </w:r>
      <w:r>
        <w:t xml:space="preserve"> </w:t>
      </w:r>
      <w:r>
        <w:rPr>
          <w:iCs/>
          <w:i/>
        </w:rPr>
        <w:t xml:space="preserve">Criterios:</w:t>
      </w:r>
      <w:r>
        <w:t xml:space="preserve"> </w:t>
      </w:r>
      <w:r>
        <w:rPr>
          <w:bCs/>
          <w:b/>
        </w:rPr>
        <w:t xml:space="preserve">pertinencia</w:t>
      </w:r>
      <w:r>
        <w:t xml:space="preserve"> </w:t>
      </w:r>
      <w:r>
        <w:t xml:space="preserve">(el componente responde a una brecha o a un requisito del proceso de la losa);</w:t>
      </w:r>
      <w:r>
        <w:t xml:space="preserve"> </w:t>
      </w:r>
      <w:r>
        <w:rPr>
          <w:bCs/>
          <w:b/>
        </w:rPr>
        <w:t xml:space="preserve">claridad</w:t>
      </w:r>
      <w:r>
        <w:t xml:space="preserve"> </w:t>
      </w:r>
      <w:r>
        <w:t xml:space="preserve">(se comprende sin ambigüedad y sus criterios son precisos);</w:t>
      </w:r>
      <w:r>
        <w:t xml:space="preserve"> </w:t>
      </w:r>
      <w:r>
        <w:rPr>
          <w:bCs/>
          <w:b/>
        </w:rPr>
        <w:t xml:space="preserve">suficiencia</w:t>
      </w:r>
      <w:r>
        <w:t xml:space="preserve"> </w:t>
      </w:r>
      <w:r>
        <w:t xml:space="preserve">(sus ítems o controles bastan para lograr lo que se propone); y</w:t>
      </w:r>
      <w:r>
        <w:t xml:space="preserve"> </w:t>
      </w:r>
      <w:r>
        <w:rPr>
          <w:bCs/>
          <w:b/>
        </w:rPr>
        <w:t xml:space="preserve">aplicabilidad</w:t>
      </w:r>
      <w:r>
        <w:t xml:space="preserve"> </w:t>
      </w:r>
      <w:r>
        <w:t xml:space="preserve">(puede aplicarse en obra con los recursos y el personal disponibles).</w:t>
      </w:r>
    </w:p>
    <w:tbl>
      <w:tblPr>
        <w:tblStyle w:val="Table"/>
        <w:tblW w:w="10989"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0" w:lastRow="0" w:firstColumn="0" w:lastColumn="0" w:noHBand="0" w:noVBand="0" w:val="0000"/>
      </w:tblPr>
      <w:tblGrid>
        <w:gridCol w:w="666"/>
        <w:gridCol w:w="2169"/>
        <w:gridCol w:w="1604"/>
        <w:gridCol w:w="1251"/>
        <w:gridCol w:w="1604"/>
        <w:gridCol w:w="1822"/>
        <w:gridCol w:w="1873"/>
      </w:tblGrid>
      <w:tr>
        <w:trPr>
          <w:cantSplit/>
          <w:tblHeader/>
        </w:trPr>
        <w:tc>
          <w:tcPr>
            <w:tcW w:w="10989" w:type="dxa"/>
            <w:gridSpan w:val="7"/>
          </w:tcPr>
          <w:p>
            <w:pPr>
              <w:pStyle w:val="CeldaAPA"/>
              <w:jc w:val="left"/>
            </w:pPr>
            <w:r>
              <w:rPr>
                <w:bCs/>
                <w:b/>
                <w:sz w:val="20"/>
                <w:szCs w:val="20"/>
              </w:rPr>
              <w:t xml:space="preserve">3. Evaluación (puntaje de 1 a 4)</w:t>
            </w:r>
          </w:p>
        </w:tc>
      </w:tr>
      <w:tr>
        <w:trPr>
          <w:cantSplit/>
          <w:tblHeader/>
        </w:trPr>
        <w:tc>
          <w:tcPr>
            <w:tcW w:w="666" w:type="dxa"/>
          </w:tcPr>
          <w:p>
            <w:pPr>
              <w:pStyle w:val="CeldaAPA"/>
              <w:jc w:val="center"/>
            </w:pPr>
            <w:r>
              <w:rPr>
                <w:bCs/>
                <w:b/>
                <w:sz w:val="20"/>
                <w:szCs w:val="20"/>
              </w:rPr>
              <w:t xml:space="preserve">N.</w:t>
            </w:r>
            <w:r>
              <w:rPr>
                <w:vertAlign w:val="superscript"/>
                <w:bCs/>
                <w:b/>
                <w:sz w:val="20"/>
                <w:szCs w:val="20"/>
              </w:rPr>
              <w:t xml:space="preserve">o</w:t>
            </w:r>
          </w:p>
        </w:tc>
        <w:tc>
          <w:tcPr>
            <w:tcW w:w="2169" w:type="dxa"/>
          </w:tcPr>
          <w:p>
            <w:pPr>
              <w:pStyle w:val="CeldaAPA"/>
              <w:jc w:val="left"/>
            </w:pPr>
            <w:r>
              <w:rPr>
                <w:bCs/>
                <w:b/>
                <w:sz w:val="20"/>
                <w:szCs w:val="20"/>
              </w:rPr>
              <w:t xml:space="preserve">Componente o instrumento</w:t>
            </w:r>
          </w:p>
        </w:tc>
        <w:tc>
          <w:tcPr>
            <w:tcW w:w="1604" w:type="dxa"/>
          </w:tcPr>
          <w:p>
            <w:pPr>
              <w:pStyle w:val="CeldaAPA"/>
              <w:jc w:val="center"/>
            </w:pPr>
            <w:r>
              <w:rPr>
                <w:bCs/>
                <w:b/>
                <w:sz w:val="20"/>
                <w:szCs w:val="20"/>
              </w:rPr>
              <w:t xml:space="preserve">Pertinencia</w:t>
            </w:r>
          </w:p>
        </w:tc>
        <w:tc>
          <w:tcPr>
            <w:tcW w:w="1251" w:type="dxa"/>
          </w:tcPr>
          <w:p>
            <w:pPr>
              <w:pStyle w:val="CeldaAPA"/>
              <w:jc w:val="center"/>
            </w:pPr>
            <w:r>
              <w:rPr>
                <w:bCs/>
                <w:b/>
                <w:sz w:val="20"/>
                <w:szCs w:val="20"/>
              </w:rPr>
              <w:t xml:space="preserve">Claridad</w:t>
            </w:r>
          </w:p>
        </w:tc>
        <w:tc>
          <w:tcPr>
            <w:tcW w:w="1604" w:type="dxa"/>
          </w:tcPr>
          <w:p>
            <w:pPr>
              <w:pStyle w:val="CeldaAPA"/>
              <w:jc w:val="center"/>
            </w:pPr>
            <w:r>
              <w:rPr>
                <w:bCs/>
                <w:b/>
                <w:sz w:val="20"/>
                <w:szCs w:val="20"/>
              </w:rPr>
              <w:t xml:space="preserve">Suficiencia</w:t>
            </w:r>
          </w:p>
        </w:tc>
        <w:tc>
          <w:tcPr>
            <w:tcW w:w="1822" w:type="dxa"/>
          </w:tcPr>
          <w:p>
            <w:pPr>
              <w:pStyle w:val="CeldaAPA"/>
              <w:jc w:val="center"/>
            </w:pPr>
            <w:r>
              <w:rPr>
                <w:bCs/>
                <w:b/>
                <w:sz w:val="20"/>
                <w:szCs w:val="20"/>
              </w:rPr>
              <w:t xml:space="preserve">Aplicabilidad</w:t>
            </w:r>
          </w:p>
        </w:tc>
        <w:tc>
          <w:tcPr>
            <w:tcW w:w="1873" w:type="dxa"/>
          </w:tcPr>
          <w:p>
            <w:pPr>
              <w:pStyle w:val="CeldaAPA"/>
              <w:jc w:val="left"/>
            </w:pPr>
            <w:r>
              <w:rPr>
                <w:bCs/>
                <w:b/>
                <w:sz w:val="20"/>
                <w:szCs w:val="20"/>
              </w:rPr>
              <w:t xml:space="preserve">Observaciones</w:t>
            </w:r>
          </w:p>
        </w:tc>
      </w:tr>
      <w:tr>
        <w:tc>
          <w:tcPr>
            <w:tcW w:w="666" w:type="dxa"/>
          </w:tcPr>
          <w:p>
            <w:pPr>
              <w:pStyle w:val="CeldaAPA"/>
              <w:jc w:val="center"/>
            </w:pPr>
            <w:r>
              <w:rPr>
                <w:sz w:val="20"/>
                <w:szCs w:val="20"/>
              </w:rPr>
              <w:t xml:space="preserve">1</w:t>
            </w:r>
          </w:p>
        </w:tc>
        <w:tc>
          <w:tcPr>
            <w:tcW w:w="2169" w:type="dxa"/>
          </w:tcPr>
          <w:p>
            <w:pPr>
              <w:pStyle w:val="CeldaAPA"/>
              <w:jc w:val="left"/>
            </w:pPr>
            <w:r>
              <w:rPr>
                <w:sz w:val="20"/>
                <w:szCs w:val="20"/>
              </w:rPr>
              <w:t xml:space="preserve">Política de la calidad y objetivos con metas (Tabla 33)</w:t>
            </w:r>
          </w:p>
        </w:tc>
        <w:tc>
          <w:tcPr>
            <w:tcW w:w="1604" w:type="dxa"/>
          </w:tcPr>
          <w:p>
            <w:pPr>
              <w:pStyle w:val="CeldaAPA"/>
            </w:pPr>
          </w:p>
        </w:tc>
        <w:tc>
          <w:tcPr>
            <w:tcW w:w="1251" w:type="dxa"/>
          </w:tcPr>
          <w:p>
            <w:pPr>
              <w:pStyle w:val="CeldaAPA"/>
            </w:pPr>
          </w:p>
        </w:tc>
        <w:tc>
          <w:tcPr>
            <w:tcW w:w="1604" w:type="dxa"/>
          </w:tcPr>
          <w:p>
            <w:pPr>
              <w:pStyle w:val="CeldaAPA"/>
            </w:pPr>
          </w:p>
        </w:tc>
        <w:tc>
          <w:tcPr>
            <w:tcW w:w="1822" w:type="dxa"/>
          </w:tcPr>
          <w:p>
            <w:pPr>
              <w:pStyle w:val="CeldaAPA"/>
            </w:pPr>
          </w:p>
        </w:tc>
        <w:tc>
          <w:tcPr>
            <w:tcW w:w="1873" w:type="dxa"/>
          </w:tcPr>
          <w:p>
            <w:pPr>
              <w:pStyle w:val="CeldaAPA"/>
            </w:pPr>
          </w:p>
        </w:tc>
      </w:tr>
      <w:tr>
        <w:tc>
          <w:tcPr>
            <w:tcW w:w="666" w:type="dxa"/>
          </w:tcPr>
          <w:p>
            <w:pPr>
              <w:pStyle w:val="CeldaAPA"/>
              <w:jc w:val="center"/>
            </w:pPr>
            <w:r>
              <w:rPr>
                <w:sz w:val="20"/>
                <w:szCs w:val="20"/>
              </w:rPr>
              <w:t xml:space="preserve">2</w:t>
            </w:r>
          </w:p>
        </w:tc>
        <w:tc>
          <w:tcPr>
            <w:tcW w:w="2169" w:type="dxa"/>
          </w:tcPr>
          <w:p>
            <w:pPr>
              <w:pStyle w:val="CeldaAPA"/>
              <w:jc w:val="left"/>
            </w:pPr>
            <w:r>
              <w:rPr>
                <w:sz w:val="20"/>
                <w:szCs w:val="20"/>
              </w:rPr>
              <w:t xml:space="preserve">Matriz de riesgos (Tabla 32)</w:t>
            </w:r>
          </w:p>
        </w:tc>
        <w:tc>
          <w:tcPr>
            <w:tcW w:w="1604" w:type="dxa"/>
          </w:tcPr>
          <w:p>
            <w:pPr>
              <w:pStyle w:val="CeldaAPA"/>
            </w:pPr>
          </w:p>
        </w:tc>
        <w:tc>
          <w:tcPr>
            <w:tcW w:w="1251" w:type="dxa"/>
          </w:tcPr>
          <w:p>
            <w:pPr>
              <w:pStyle w:val="CeldaAPA"/>
            </w:pPr>
          </w:p>
        </w:tc>
        <w:tc>
          <w:tcPr>
            <w:tcW w:w="1604" w:type="dxa"/>
          </w:tcPr>
          <w:p>
            <w:pPr>
              <w:pStyle w:val="CeldaAPA"/>
            </w:pPr>
          </w:p>
        </w:tc>
        <w:tc>
          <w:tcPr>
            <w:tcW w:w="1822" w:type="dxa"/>
          </w:tcPr>
          <w:p>
            <w:pPr>
              <w:pStyle w:val="CeldaAPA"/>
            </w:pPr>
          </w:p>
        </w:tc>
        <w:tc>
          <w:tcPr>
            <w:tcW w:w="1873" w:type="dxa"/>
          </w:tcPr>
          <w:p>
            <w:pPr>
              <w:pStyle w:val="CeldaAPA"/>
            </w:pPr>
          </w:p>
        </w:tc>
      </w:tr>
      <w:tr>
        <w:tc>
          <w:tcPr>
            <w:tcW w:w="666" w:type="dxa"/>
          </w:tcPr>
          <w:p>
            <w:pPr>
              <w:pStyle w:val="CeldaAPA"/>
              <w:jc w:val="center"/>
            </w:pPr>
            <w:r>
              <w:rPr>
                <w:sz w:val="20"/>
                <w:szCs w:val="20"/>
              </w:rPr>
              <w:t xml:space="preserve">3</w:t>
            </w:r>
          </w:p>
        </w:tc>
        <w:tc>
          <w:tcPr>
            <w:tcW w:w="2169" w:type="dxa"/>
          </w:tcPr>
          <w:p>
            <w:pPr>
              <w:pStyle w:val="CeldaAPA"/>
              <w:jc w:val="left"/>
            </w:pPr>
            <w:r>
              <w:rPr>
                <w:sz w:val="20"/>
                <w:szCs w:val="20"/>
              </w:rPr>
              <w:t xml:space="preserve">Matriz de responsabilidades RACI (Tabla 31)</w:t>
            </w:r>
          </w:p>
        </w:tc>
        <w:tc>
          <w:tcPr>
            <w:tcW w:w="1604" w:type="dxa"/>
          </w:tcPr>
          <w:p>
            <w:pPr>
              <w:pStyle w:val="CeldaAPA"/>
            </w:pPr>
          </w:p>
        </w:tc>
        <w:tc>
          <w:tcPr>
            <w:tcW w:w="1251" w:type="dxa"/>
          </w:tcPr>
          <w:p>
            <w:pPr>
              <w:pStyle w:val="CeldaAPA"/>
            </w:pPr>
          </w:p>
        </w:tc>
        <w:tc>
          <w:tcPr>
            <w:tcW w:w="1604" w:type="dxa"/>
          </w:tcPr>
          <w:p>
            <w:pPr>
              <w:pStyle w:val="CeldaAPA"/>
            </w:pPr>
          </w:p>
        </w:tc>
        <w:tc>
          <w:tcPr>
            <w:tcW w:w="1822" w:type="dxa"/>
          </w:tcPr>
          <w:p>
            <w:pPr>
              <w:pStyle w:val="CeldaAPA"/>
            </w:pPr>
          </w:p>
        </w:tc>
        <w:tc>
          <w:tcPr>
            <w:tcW w:w="1873" w:type="dxa"/>
          </w:tcPr>
          <w:p>
            <w:pPr>
              <w:pStyle w:val="CeldaAPA"/>
            </w:pPr>
          </w:p>
        </w:tc>
      </w:tr>
      <w:tr>
        <w:tc>
          <w:tcPr>
            <w:tcW w:w="666" w:type="dxa"/>
          </w:tcPr>
          <w:p>
            <w:pPr>
              <w:pStyle w:val="CeldaAPA"/>
              <w:jc w:val="center"/>
            </w:pPr>
            <w:r>
              <w:rPr>
                <w:sz w:val="20"/>
                <w:szCs w:val="20"/>
              </w:rPr>
              <w:t xml:space="preserve">4</w:t>
            </w:r>
          </w:p>
        </w:tc>
        <w:tc>
          <w:tcPr>
            <w:tcW w:w="2169" w:type="dxa"/>
          </w:tcPr>
          <w:p>
            <w:pPr>
              <w:pStyle w:val="CeldaAPA"/>
              <w:jc w:val="left"/>
            </w:pPr>
            <w:r>
              <w:rPr>
                <w:sz w:val="20"/>
                <w:szCs w:val="20"/>
              </w:rPr>
              <w:t xml:space="preserve">Estructura del plan de la calidad (Tabla 35)</w:t>
            </w:r>
          </w:p>
        </w:tc>
        <w:tc>
          <w:tcPr>
            <w:tcW w:w="1604" w:type="dxa"/>
          </w:tcPr>
          <w:p>
            <w:pPr>
              <w:pStyle w:val="CeldaAPA"/>
            </w:pPr>
          </w:p>
        </w:tc>
        <w:tc>
          <w:tcPr>
            <w:tcW w:w="1251" w:type="dxa"/>
          </w:tcPr>
          <w:p>
            <w:pPr>
              <w:pStyle w:val="CeldaAPA"/>
            </w:pPr>
          </w:p>
        </w:tc>
        <w:tc>
          <w:tcPr>
            <w:tcW w:w="1604" w:type="dxa"/>
          </w:tcPr>
          <w:p>
            <w:pPr>
              <w:pStyle w:val="CeldaAPA"/>
            </w:pPr>
          </w:p>
        </w:tc>
        <w:tc>
          <w:tcPr>
            <w:tcW w:w="1822" w:type="dxa"/>
          </w:tcPr>
          <w:p>
            <w:pPr>
              <w:pStyle w:val="CeldaAPA"/>
            </w:pPr>
          </w:p>
        </w:tc>
        <w:tc>
          <w:tcPr>
            <w:tcW w:w="1873" w:type="dxa"/>
          </w:tcPr>
          <w:p>
            <w:pPr>
              <w:pStyle w:val="CeldaAPA"/>
            </w:pPr>
          </w:p>
        </w:tc>
      </w:tr>
      <w:tr>
        <w:tc>
          <w:tcPr>
            <w:tcW w:w="666" w:type="dxa"/>
          </w:tcPr>
          <w:p>
            <w:pPr>
              <w:pStyle w:val="CeldaAPA"/>
              <w:jc w:val="center"/>
            </w:pPr>
            <w:r>
              <w:rPr>
                <w:sz w:val="20"/>
                <w:szCs w:val="20"/>
              </w:rPr>
              <w:t xml:space="preserve">5</w:t>
            </w:r>
          </w:p>
        </w:tc>
        <w:tc>
          <w:tcPr>
            <w:tcW w:w="2169" w:type="dxa"/>
          </w:tcPr>
          <w:p>
            <w:pPr>
              <w:pStyle w:val="CeldaAPA"/>
              <w:jc w:val="left"/>
            </w:pPr>
            <w:r>
              <w:rPr>
                <w:sz w:val="20"/>
                <w:szCs w:val="20"/>
              </w:rPr>
              <w:t xml:space="preserve">PPI y puntos de espera (Tabla 36)</w:t>
            </w:r>
          </w:p>
        </w:tc>
        <w:tc>
          <w:tcPr>
            <w:tcW w:w="1604" w:type="dxa"/>
          </w:tcPr>
          <w:p>
            <w:pPr>
              <w:pStyle w:val="CeldaAPA"/>
            </w:pPr>
          </w:p>
        </w:tc>
        <w:tc>
          <w:tcPr>
            <w:tcW w:w="1251" w:type="dxa"/>
          </w:tcPr>
          <w:p>
            <w:pPr>
              <w:pStyle w:val="CeldaAPA"/>
            </w:pPr>
          </w:p>
        </w:tc>
        <w:tc>
          <w:tcPr>
            <w:tcW w:w="1604" w:type="dxa"/>
          </w:tcPr>
          <w:p>
            <w:pPr>
              <w:pStyle w:val="CeldaAPA"/>
            </w:pPr>
          </w:p>
        </w:tc>
        <w:tc>
          <w:tcPr>
            <w:tcW w:w="1822" w:type="dxa"/>
          </w:tcPr>
          <w:p>
            <w:pPr>
              <w:pStyle w:val="CeldaAPA"/>
            </w:pPr>
          </w:p>
        </w:tc>
        <w:tc>
          <w:tcPr>
            <w:tcW w:w="1873" w:type="dxa"/>
          </w:tcPr>
          <w:p>
            <w:pPr>
              <w:pStyle w:val="CeldaAPA"/>
            </w:pPr>
          </w:p>
        </w:tc>
      </w:tr>
      <w:tr>
        <w:tc>
          <w:tcPr>
            <w:tcW w:w="666" w:type="dxa"/>
          </w:tcPr>
          <w:p>
            <w:pPr>
              <w:pStyle w:val="CeldaAPA"/>
              <w:jc w:val="center"/>
            </w:pPr>
            <w:r>
              <w:rPr>
                <w:sz w:val="20"/>
                <w:szCs w:val="20"/>
              </w:rPr>
              <w:t xml:space="preserve">6</w:t>
            </w:r>
          </w:p>
        </w:tc>
        <w:tc>
          <w:tcPr>
            <w:tcW w:w="2169" w:type="dxa"/>
          </w:tcPr>
          <w:p>
            <w:pPr>
              <w:pStyle w:val="CeldaAPA"/>
              <w:jc w:val="left"/>
            </w:pPr>
            <w:r>
              <w:rPr>
                <w:sz w:val="20"/>
                <w:szCs w:val="20"/>
              </w:rPr>
              <w:t xml:space="preserve">PCM-01: recepción y aceptación de materiales</w:t>
            </w:r>
          </w:p>
        </w:tc>
        <w:tc>
          <w:tcPr>
            <w:tcW w:w="1604" w:type="dxa"/>
          </w:tcPr>
          <w:p>
            <w:pPr>
              <w:pStyle w:val="CeldaAPA"/>
            </w:pPr>
          </w:p>
        </w:tc>
        <w:tc>
          <w:tcPr>
            <w:tcW w:w="1251" w:type="dxa"/>
          </w:tcPr>
          <w:p>
            <w:pPr>
              <w:pStyle w:val="CeldaAPA"/>
            </w:pPr>
          </w:p>
        </w:tc>
        <w:tc>
          <w:tcPr>
            <w:tcW w:w="1604" w:type="dxa"/>
          </w:tcPr>
          <w:p>
            <w:pPr>
              <w:pStyle w:val="CeldaAPA"/>
            </w:pPr>
          </w:p>
        </w:tc>
        <w:tc>
          <w:tcPr>
            <w:tcW w:w="1822" w:type="dxa"/>
          </w:tcPr>
          <w:p>
            <w:pPr>
              <w:pStyle w:val="CeldaAPA"/>
            </w:pPr>
          </w:p>
        </w:tc>
        <w:tc>
          <w:tcPr>
            <w:tcW w:w="1873" w:type="dxa"/>
          </w:tcPr>
          <w:p>
            <w:pPr>
              <w:pStyle w:val="CeldaAPA"/>
            </w:pPr>
          </w:p>
        </w:tc>
      </w:tr>
      <w:tr>
        <w:tc>
          <w:tcPr>
            <w:tcW w:w="666" w:type="dxa"/>
          </w:tcPr>
          <w:p>
            <w:pPr>
              <w:pStyle w:val="CeldaAPA"/>
              <w:jc w:val="center"/>
            </w:pPr>
            <w:r>
              <w:rPr>
                <w:sz w:val="20"/>
                <w:szCs w:val="20"/>
              </w:rPr>
              <w:t xml:space="preserve">7</w:t>
            </w:r>
          </w:p>
        </w:tc>
        <w:tc>
          <w:tcPr>
            <w:tcW w:w="2169" w:type="dxa"/>
          </w:tcPr>
          <w:p>
            <w:pPr>
              <w:pStyle w:val="CeldaAPA"/>
              <w:jc w:val="left"/>
            </w:pPr>
            <w:r>
              <w:rPr>
                <w:sz w:val="20"/>
                <w:szCs w:val="20"/>
              </w:rPr>
              <w:t xml:space="preserve">PCM-02: almacenamiento e identificación</w:t>
            </w:r>
          </w:p>
        </w:tc>
        <w:tc>
          <w:tcPr>
            <w:tcW w:w="1604" w:type="dxa"/>
          </w:tcPr>
          <w:p>
            <w:pPr>
              <w:pStyle w:val="CeldaAPA"/>
            </w:pPr>
          </w:p>
        </w:tc>
        <w:tc>
          <w:tcPr>
            <w:tcW w:w="1251" w:type="dxa"/>
          </w:tcPr>
          <w:p>
            <w:pPr>
              <w:pStyle w:val="CeldaAPA"/>
            </w:pPr>
          </w:p>
        </w:tc>
        <w:tc>
          <w:tcPr>
            <w:tcW w:w="1604" w:type="dxa"/>
          </w:tcPr>
          <w:p>
            <w:pPr>
              <w:pStyle w:val="CeldaAPA"/>
            </w:pPr>
          </w:p>
        </w:tc>
        <w:tc>
          <w:tcPr>
            <w:tcW w:w="1822" w:type="dxa"/>
          </w:tcPr>
          <w:p>
            <w:pPr>
              <w:pStyle w:val="CeldaAPA"/>
            </w:pPr>
          </w:p>
        </w:tc>
        <w:tc>
          <w:tcPr>
            <w:tcW w:w="1873" w:type="dxa"/>
          </w:tcPr>
          <w:p>
            <w:pPr>
              <w:pStyle w:val="CeldaAPA"/>
            </w:pPr>
          </w:p>
        </w:tc>
      </w:tr>
      <w:tr>
        <w:tc>
          <w:tcPr>
            <w:tcW w:w="666" w:type="dxa"/>
          </w:tcPr>
          <w:p>
            <w:pPr>
              <w:pStyle w:val="CeldaAPA"/>
              <w:jc w:val="center"/>
            </w:pPr>
            <w:r>
              <w:rPr>
                <w:sz w:val="20"/>
                <w:szCs w:val="20"/>
              </w:rPr>
              <w:t xml:space="preserve">8</w:t>
            </w:r>
          </w:p>
        </w:tc>
        <w:tc>
          <w:tcPr>
            <w:tcW w:w="2169" w:type="dxa"/>
          </w:tcPr>
          <w:p>
            <w:pPr>
              <w:pStyle w:val="CeldaAPA"/>
              <w:jc w:val="left"/>
            </w:pPr>
            <w:r>
              <w:rPr>
                <w:sz w:val="20"/>
                <w:szCs w:val="20"/>
              </w:rPr>
              <w:t xml:space="preserve">PCM-03: despacho y registro de consumos por paño</w:t>
            </w:r>
          </w:p>
        </w:tc>
        <w:tc>
          <w:tcPr>
            <w:tcW w:w="1604" w:type="dxa"/>
          </w:tcPr>
          <w:p>
            <w:pPr>
              <w:pStyle w:val="CeldaAPA"/>
            </w:pPr>
          </w:p>
        </w:tc>
        <w:tc>
          <w:tcPr>
            <w:tcW w:w="1251" w:type="dxa"/>
          </w:tcPr>
          <w:p>
            <w:pPr>
              <w:pStyle w:val="CeldaAPA"/>
            </w:pPr>
          </w:p>
        </w:tc>
        <w:tc>
          <w:tcPr>
            <w:tcW w:w="1604" w:type="dxa"/>
          </w:tcPr>
          <w:p>
            <w:pPr>
              <w:pStyle w:val="CeldaAPA"/>
            </w:pPr>
          </w:p>
        </w:tc>
        <w:tc>
          <w:tcPr>
            <w:tcW w:w="1822" w:type="dxa"/>
          </w:tcPr>
          <w:p>
            <w:pPr>
              <w:pStyle w:val="CeldaAPA"/>
            </w:pPr>
          </w:p>
        </w:tc>
        <w:tc>
          <w:tcPr>
            <w:tcW w:w="1873" w:type="dxa"/>
          </w:tcPr>
          <w:p>
            <w:pPr>
              <w:pStyle w:val="CeldaAPA"/>
            </w:pPr>
          </w:p>
        </w:tc>
      </w:tr>
      <w:tr>
        <w:tc>
          <w:tcPr>
            <w:tcW w:w="666" w:type="dxa"/>
          </w:tcPr>
          <w:p>
            <w:pPr>
              <w:pStyle w:val="CeldaAPA"/>
              <w:jc w:val="center"/>
            </w:pPr>
            <w:r>
              <w:rPr>
                <w:sz w:val="20"/>
                <w:szCs w:val="20"/>
              </w:rPr>
              <w:t xml:space="preserve">9</w:t>
            </w:r>
          </w:p>
        </w:tc>
        <w:tc>
          <w:tcPr>
            <w:tcW w:w="2169" w:type="dxa"/>
          </w:tcPr>
          <w:p>
            <w:pPr>
              <w:pStyle w:val="CeldaAPA"/>
              <w:jc w:val="left"/>
            </w:pPr>
            <w:r>
              <w:rPr>
                <w:sz w:val="20"/>
                <w:szCs w:val="20"/>
              </w:rPr>
              <w:t xml:space="preserve">PCM-04: conciliación de cantidades y umbrales de alerta</w:t>
            </w:r>
          </w:p>
        </w:tc>
        <w:tc>
          <w:tcPr>
            <w:tcW w:w="1604" w:type="dxa"/>
          </w:tcPr>
          <w:p>
            <w:pPr>
              <w:pStyle w:val="CeldaAPA"/>
            </w:pPr>
          </w:p>
        </w:tc>
        <w:tc>
          <w:tcPr>
            <w:tcW w:w="1251" w:type="dxa"/>
          </w:tcPr>
          <w:p>
            <w:pPr>
              <w:pStyle w:val="CeldaAPA"/>
            </w:pPr>
          </w:p>
        </w:tc>
        <w:tc>
          <w:tcPr>
            <w:tcW w:w="1604" w:type="dxa"/>
          </w:tcPr>
          <w:p>
            <w:pPr>
              <w:pStyle w:val="CeldaAPA"/>
            </w:pPr>
          </w:p>
        </w:tc>
        <w:tc>
          <w:tcPr>
            <w:tcW w:w="1822" w:type="dxa"/>
          </w:tcPr>
          <w:p>
            <w:pPr>
              <w:pStyle w:val="CeldaAPA"/>
            </w:pPr>
          </w:p>
        </w:tc>
        <w:tc>
          <w:tcPr>
            <w:tcW w:w="1873" w:type="dxa"/>
          </w:tcPr>
          <w:p>
            <w:pPr>
              <w:pStyle w:val="CeldaAPA"/>
            </w:pPr>
          </w:p>
        </w:tc>
      </w:tr>
      <w:tr>
        <w:tc>
          <w:tcPr>
            <w:tcW w:w="666" w:type="dxa"/>
          </w:tcPr>
          <w:p>
            <w:pPr>
              <w:pStyle w:val="CeldaAPA"/>
              <w:jc w:val="center"/>
            </w:pPr>
            <w:r>
              <w:rPr>
                <w:sz w:val="20"/>
                <w:szCs w:val="20"/>
              </w:rPr>
              <w:t xml:space="preserve">10</w:t>
            </w:r>
          </w:p>
        </w:tc>
        <w:tc>
          <w:tcPr>
            <w:tcW w:w="2169" w:type="dxa"/>
          </w:tcPr>
          <w:p>
            <w:pPr>
              <w:pStyle w:val="CeldaAPA"/>
              <w:jc w:val="left"/>
            </w:pPr>
            <w:r>
              <w:rPr>
                <w:sz w:val="20"/>
                <w:szCs w:val="20"/>
              </w:rPr>
              <w:t xml:space="preserve">PCM-05: control del material no conforme</w:t>
            </w:r>
          </w:p>
        </w:tc>
        <w:tc>
          <w:tcPr>
            <w:tcW w:w="1604" w:type="dxa"/>
          </w:tcPr>
          <w:p>
            <w:pPr>
              <w:pStyle w:val="CeldaAPA"/>
            </w:pPr>
          </w:p>
        </w:tc>
        <w:tc>
          <w:tcPr>
            <w:tcW w:w="1251" w:type="dxa"/>
          </w:tcPr>
          <w:p>
            <w:pPr>
              <w:pStyle w:val="CeldaAPA"/>
            </w:pPr>
          </w:p>
        </w:tc>
        <w:tc>
          <w:tcPr>
            <w:tcW w:w="1604" w:type="dxa"/>
          </w:tcPr>
          <w:p>
            <w:pPr>
              <w:pStyle w:val="CeldaAPA"/>
            </w:pPr>
          </w:p>
        </w:tc>
        <w:tc>
          <w:tcPr>
            <w:tcW w:w="1822" w:type="dxa"/>
          </w:tcPr>
          <w:p>
            <w:pPr>
              <w:pStyle w:val="CeldaAPA"/>
            </w:pPr>
          </w:p>
        </w:tc>
        <w:tc>
          <w:tcPr>
            <w:tcW w:w="1873" w:type="dxa"/>
          </w:tcPr>
          <w:p>
            <w:pPr>
              <w:pStyle w:val="CeldaAPA"/>
            </w:pPr>
          </w:p>
        </w:tc>
      </w:tr>
      <w:tr>
        <w:tc>
          <w:tcPr>
            <w:tcW w:w="666" w:type="dxa"/>
          </w:tcPr>
          <w:p>
            <w:pPr>
              <w:pStyle w:val="CeldaAPA"/>
              <w:jc w:val="center"/>
            </w:pPr>
            <w:r>
              <w:rPr>
                <w:sz w:val="20"/>
                <w:szCs w:val="20"/>
              </w:rPr>
              <w:t xml:space="preserve">11</w:t>
            </w:r>
          </w:p>
        </w:tc>
        <w:tc>
          <w:tcPr>
            <w:tcW w:w="2169" w:type="dxa"/>
          </w:tcPr>
          <w:p>
            <w:pPr>
              <w:pStyle w:val="CeldaAPA"/>
              <w:jc w:val="left"/>
            </w:pPr>
            <w:r>
              <w:rPr>
                <w:sz w:val="20"/>
                <w:szCs w:val="20"/>
              </w:rPr>
              <w:t xml:space="preserve">Control del hormigón: muestreo, aceptación, curado y tiempo frío</w:t>
            </w:r>
          </w:p>
        </w:tc>
        <w:tc>
          <w:tcPr>
            <w:tcW w:w="1604" w:type="dxa"/>
          </w:tcPr>
          <w:p>
            <w:pPr>
              <w:pStyle w:val="CeldaAPA"/>
            </w:pPr>
          </w:p>
        </w:tc>
        <w:tc>
          <w:tcPr>
            <w:tcW w:w="1251" w:type="dxa"/>
          </w:tcPr>
          <w:p>
            <w:pPr>
              <w:pStyle w:val="CeldaAPA"/>
            </w:pPr>
          </w:p>
        </w:tc>
        <w:tc>
          <w:tcPr>
            <w:tcW w:w="1604" w:type="dxa"/>
          </w:tcPr>
          <w:p>
            <w:pPr>
              <w:pStyle w:val="CeldaAPA"/>
            </w:pPr>
          </w:p>
        </w:tc>
        <w:tc>
          <w:tcPr>
            <w:tcW w:w="1822" w:type="dxa"/>
          </w:tcPr>
          <w:p>
            <w:pPr>
              <w:pStyle w:val="CeldaAPA"/>
            </w:pPr>
          </w:p>
        </w:tc>
        <w:tc>
          <w:tcPr>
            <w:tcW w:w="1873" w:type="dxa"/>
          </w:tcPr>
          <w:p>
            <w:pPr>
              <w:pStyle w:val="CeldaAPA"/>
            </w:pPr>
          </w:p>
        </w:tc>
      </w:tr>
      <w:tr>
        <w:tc>
          <w:tcPr>
            <w:tcW w:w="666" w:type="dxa"/>
          </w:tcPr>
          <w:p>
            <w:pPr>
              <w:pStyle w:val="CeldaAPA"/>
              <w:jc w:val="center"/>
            </w:pPr>
            <w:r>
              <w:rPr>
                <w:sz w:val="20"/>
                <w:szCs w:val="20"/>
              </w:rPr>
              <w:t xml:space="preserve">12</w:t>
            </w:r>
          </w:p>
        </w:tc>
        <w:tc>
          <w:tcPr>
            <w:tcW w:w="2169" w:type="dxa"/>
          </w:tcPr>
          <w:p>
            <w:pPr>
              <w:pStyle w:val="CeldaAPA"/>
              <w:jc w:val="left"/>
            </w:pPr>
            <w:r>
              <w:rPr>
                <w:sz w:val="20"/>
                <w:szCs w:val="20"/>
              </w:rPr>
              <w:t xml:space="preserve">Liberación de paños y control de salidas no conformes</w:t>
            </w:r>
          </w:p>
        </w:tc>
        <w:tc>
          <w:tcPr>
            <w:tcW w:w="1604" w:type="dxa"/>
          </w:tcPr>
          <w:p>
            <w:pPr>
              <w:pStyle w:val="CeldaAPA"/>
            </w:pPr>
          </w:p>
        </w:tc>
        <w:tc>
          <w:tcPr>
            <w:tcW w:w="1251" w:type="dxa"/>
          </w:tcPr>
          <w:p>
            <w:pPr>
              <w:pStyle w:val="CeldaAPA"/>
            </w:pPr>
          </w:p>
        </w:tc>
        <w:tc>
          <w:tcPr>
            <w:tcW w:w="1604" w:type="dxa"/>
          </w:tcPr>
          <w:p>
            <w:pPr>
              <w:pStyle w:val="CeldaAPA"/>
            </w:pPr>
          </w:p>
        </w:tc>
        <w:tc>
          <w:tcPr>
            <w:tcW w:w="1822" w:type="dxa"/>
          </w:tcPr>
          <w:p>
            <w:pPr>
              <w:pStyle w:val="CeldaAPA"/>
            </w:pPr>
          </w:p>
        </w:tc>
        <w:tc>
          <w:tcPr>
            <w:tcW w:w="1873" w:type="dxa"/>
          </w:tcPr>
          <w:p>
            <w:pPr>
              <w:pStyle w:val="CeldaAPA"/>
            </w:pPr>
          </w:p>
        </w:tc>
      </w:tr>
      <w:tr>
        <w:tc>
          <w:tcPr>
            <w:tcW w:w="666" w:type="dxa"/>
          </w:tcPr>
          <w:p>
            <w:pPr>
              <w:pStyle w:val="CeldaAPA"/>
              <w:jc w:val="center"/>
            </w:pPr>
            <w:r>
              <w:rPr>
                <w:sz w:val="20"/>
                <w:szCs w:val="20"/>
              </w:rPr>
              <w:t xml:space="preserve">13</w:t>
            </w:r>
          </w:p>
        </w:tc>
        <w:tc>
          <w:tcPr>
            <w:tcW w:w="2169" w:type="dxa"/>
          </w:tcPr>
          <w:p>
            <w:pPr>
              <w:pStyle w:val="CeldaAPA"/>
              <w:jc w:val="left"/>
            </w:pPr>
            <w:r>
              <w:rPr>
                <w:sz w:val="20"/>
                <w:szCs w:val="20"/>
              </w:rPr>
              <w:t xml:space="preserve">Procedimiento de no conformidades y acción correctiva</w:t>
            </w:r>
          </w:p>
        </w:tc>
        <w:tc>
          <w:tcPr>
            <w:tcW w:w="1604" w:type="dxa"/>
          </w:tcPr>
          <w:p>
            <w:pPr>
              <w:pStyle w:val="CeldaAPA"/>
            </w:pPr>
          </w:p>
        </w:tc>
        <w:tc>
          <w:tcPr>
            <w:tcW w:w="1251" w:type="dxa"/>
          </w:tcPr>
          <w:p>
            <w:pPr>
              <w:pStyle w:val="CeldaAPA"/>
            </w:pPr>
          </w:p>
        </w:tc>
        <w:tc>
          <w:tcPr>
            <w:tcW w:w="1604" w:type="dxa"/>
          </w:tcPr>
          <w:p>
            <w:pPr>
              <w:pStyle w:val="CeldaAPA"/>
            </w:pPr>
          </w:p>
        </w:tc>
        <w:tc>
          <w:tcPr>
            <w:tcW w:w="1822" w:type="dxa"/>
          </w:tcPr>
          <w:p>
            <w:pPr>
              <w:pStyle w:val="CeldaAPA"/>
            </w:pPr>
          </w:p>
        </w:tc>
        <w:tc>
          <w:tcPr>
            <w:tcW w:w="1873" w:type="dxa"/>
          </w:tcPr>
          <w:p>
            <w:pPr>
              <w:pStyle w:val="CeldaAPA"/>
            </w:pPr>
          </w:p>
        </w:tc>
      </w:tr>
      <w:tr>
        <w:tc>
          <w:tcPr>
            <w:tcW w:w="666" w:type="dxa"/>
          </w:tcPr>
          <w:p>
            <w:pPr>
              <w:pStyle w:val="CeldaAPA"/>
              <w:jc w:val="center"/>
            </w:pPr>
            <w:r>
              <w:rPr>
                <w:sz w:val="20"/>
                <w:szCs w:val="20"/>
              </w:rPr>
              <w:t xml:space="preserve">14</w:t>
            </w:r>
          </w:p>
        </w:tc>
        <w:tc>
          <w:tcPr>
            <w:tcW w:w="2169" w:type="dxa"/>
          </w:tcPr>
          <w:p>
            <w:pPr>
              <w:pStyle w:val="CeldaAPA"/>
              <w:jc w:val="left"/>
            </w:pPr>
            <w:r>
              <w:rPr>
                <w:sz w:val="20"/>
                <w:szCs w:val="20"/>
              </w:rPr>
              <w:t xml:space="preserve">Registro de costos de la calidad (modelo PAF)</w:t>
            </w:r>
          </w:p>
        </w:tc>
        <w:tc>
          <w:tcPr>
            <w:tcW w:w="1604" w:type="dxa"/>
          </w:tcPr>
          <w:p>
            <w:pPr>
              <w:pStyle w:val="CeldaAPA"/>
            </w:pPr>
          </w:p>
        </w:tc>
        <w:tc>
          <w:tcPr>
            <w:tcW w:w="1251" w:type="dxa"/>
          </w:tcPr>
          <w:p>
            <w:pPr>
              <w:pStyle w:val="CeldaAPA"/>
            </w:pPr>
          </w:p>
        </w:tc>
        <w:tc>
          <w:tcPr>
            <w:tcW w:w="1604" w:type="dxa"/>
          </w:tcPr>
          <w:p>
            <w:pPr>
              <w:pStyle w:val="CeldaAPA"/>
            </w:pPr>
          </w:p>
        </w:tc>
        <w:tc>
          <w:tcPr>
            <w:tcW w:w="1822" w:type="dxa"/>
          </w:tcPr>
          <w:p>
            <w:pPr>
              <w:pStyle w:val="CeldaAPA"/>
            </w:pPr>
          </w:p>
        </w:tc>
        <w:tc>
          <w:tcPr>
            <w:tcW w:w="1873" w:type="dxa"/>
          </w:tcPr>
          <w:p>
            <w:pPr>
              <w:pStyle w:val="CeldaAPA"/>
            </w:pPr>
          </w:p>
        </w:tc>
      </w:tr>
      <w:tr>
        <w:tc>
          <w:tcPr>
            <w:tcW w:w="666" w:type="dxa"/>
          </w:tcPr>
          <w:p>
            <w:pPr>
              <w:pStyle w:val="CeldaAPA"/>
              <w:jc w:val="center"/>
            </w:pPr>
            <w:r>
              <w:rPr>
                <w:sz w:val="20"/>
                <w:szCs w:val="20"/>
              </w:rPr>
              <w:t xml:space="preserve">15</w:t>
            </w:r>
          </w:p>
        </w:tc>
        <w:tc>
          <w:tcPr>
            <w:tcW w:w="2169" w:type="dxa"/>
          </w:tcPr>
          <w:p>
            <w:pPr>
              <w:pStyle w:val="CeldaAPA"/>
              <w:jc w:val="left"/>
            </w:pPr>
            <w:r>
              <w:rPr>
                <w:sz w:val="20"/>
                <w:szCs w:val="20"/>
              </w:rPr>
              <w:t xml:space="preserve">Indicadores, seguimiento y auditoría interna</w:t>
            </w:r>
          </w:p>
        </w:tc>
        <w:tc>
          <w:tcPr>
            <w:tcW w:w="1604" w:type="dxa"/>
          </w:tcPr>
          <w:p>
            <w:pPr>
              <w:pStyle w:val="CeldaAPA"/>
            </w:pPr>
          </w:p>
        </w:tc>
        <w:tc>
          <w:tcPr>
            <w:tcW w:w="1251" w:type="dxa"/>
          </w:tcPr>
          <w:p>
            <w:pPr>
              <w:pStyle w:val="CeldaAPA"/>
            </w:pPr>
          </w:p>
        </w:tc>
        <w:tc>
          <w:tcPr>
            <w:tcW w:w="1604" w:type="dxa"/>
          </w:tcPr>
          <w:p>
            <w:pPr>
              <w:pStyle w:val="CeldaAPA"/>
            </w:pPr>
          </w:p>
        </w:tc>
        <w:tc>
          <w:tcPr>
            <w:tcW w:w="1822" w:type="dxa"/>
          </w:tcPr>
          <w:p>
            <w:pPr>
              <w:pStyle w:val="CeldaAPA"/>
            </w:pPr>
          </w:p>
        </w:tc>
        <w:tc>
          <w:tcPr>
            <w:tcW w:w="1873" w:type="dxa"/>
          </w:tcPr>
          <w:p>
            <w:pPr>
              <w:pStyle w:val="CeldaAPA"/>
            </w:pPr>
          </w:p>
        </w:tc>
      </w:tr>
      <w:tr>
        <w:tc>
          <w:tcPr>
            <w:tcW w:w="666" w:type="dxa"/>
          </w:tcPr>
          <w:p>
            <w:pPr>
              <w:pStyle w:val="CeldaAPA"/>
              <w:jc w:val="center"/>
            </w:pPr>
            <w:r>
              <w:rPr>
                <w:sz w:val="20"/>
                <w:szCs w:val="20"/>
              </w:rPr>
              <w:t xml:space="preserve">16</w:t>
            </w:r>
          </w:p>
        </w:tc>
        <w:tc>
          <w:tcPr>
            <w:tcW w:w="2169" w:type="dxa"/>
          </w:tcPr>
          <w:p>
            <w:pPr>
              <w:pStyle w:val="CeldaAPA"/>
              <w:jc w:val="left"/>
            </w:pPr>
            <w:r>
              <w:rPr>
                <w:sz w:val="20"/>
                <w:szCs w:val="20"/>
              </w:rPr>
              <w:t xml:space="preserve">C.1 Lista de verificación ISO 9001:2026</w:t>
            </w:r>
          </w:p>
        </w:tc>
        <w:tc>
          <w:tcPr>
            <w:tcW w:w="1604" w:type="dxa"/>
          </w:tcPr>
          <w:p>
            <w:pPr>
              <w:pStyle w:val="CeldaAPA"/>
            </w:pPr>
          </w:p>
        </w:tc>
        <w:tc>
          <w:tcPr>
            <w:tcW w:w="1251" w:type="dxa"/>
          </w:tcPr>
          <w:p>
            <w:pPr>
              <w:pStyle w:val="CeldaAPA"/>
            </w:pPr>
          </w:p>
        </w:tc>
        <w:tc>
          <w:tcPr>
            <w:tcW w:w="1604" w:type="dxa"/>
          </w:tcPr>
          <w:p>
            <w:pPr>
              <w:pStyle w:val="CeldaAPA"/>
            </w:pPr>
          </w:p>
        </w:tc>
        <w:tc>
          <w:tcPr>
            <w:tcW w:w="1822" w:type="dxa"/>
          </w:tcPr>
          <w:p>
            <w:pPr>
              <w:pStyle w:val="CeldaAPA"/>
            </w:pPr>
          </w:p>
        </w:tc>
        <w:tc>
          <w:tcPr>
            <w:tcW w:w="1873" w:type="dxa"/>
          </w:tcPr>
          <w:p>
            <w:pPr>
              <w:pStyle w:val="CeldaAPA"/>
            </w:pPr>
          </w:p>
        </w:tc>
      </w:tr>
      <w:tr>
        <w:tc>
          <w:tcPr>
            <w:tcW w:w="666" w:type="dxa"/>
          </w:tcPr>
          <w:p>
            <w:pPr>
              <w:pStyle w:val="CeldaAPA"/>
              <w:jc w:val="center"/>
            </w:pPr>
            <w:r>
              <w:rPr>
                <w:sz w:val="20"/>
                <w:szCs w:val="20"/>
              </w:rPr>
              <w:t xml:space="preserve">17</w:t>
            </w:r>
          </w:p>
        </w:tc>
        <w:tc>
          <w:tcPr>
            <w:tcW w:w="2169" w:type="dxa"/>
          </w:tcPr>
          <w:p>
            <w:pPr>
              <w:pStyle w:val="CeldaAPA"/>
              <w:jc w:val="left"/>
            </w:pPr>
            <w:r>
              <w:rPr>
                <w:sz w:val="20"/>
                <w:szCs w:val="20"/>
              </w:rPr>
              <w:t xml:space="preserve">C.2 Fichas PPI de liberación por paño</w:t>
            </w:r>
          </w:p>
        </w:tc>
        <w:tc>
          <w:tcPr>
            <w:tcW w:w="1604" w:type="dxa"/>
          </w:tcPr>
          <w:p>
            <w:pPr>
              <w:pStyle w:val="CeldaAPA"/>
            </w:pPr>
          </w:p>
        </w:tc>
        <w:tc>
          <w:tcPr>
            <w:tcW w:w="1251" w:type="dxa"/>
          </w:tcPr>
          <w:p>
            <w:pPr>
              <w:pStyle w:val="CeldaAPA"/>
            </w:pPr>
          </w:p>
        </w:tc>
        <w:tc>
          <w:tcPr>
            <w:tcW w:w="1604" w:type="dxa"/>
          </w:tcPr>
          <w:p>
            <w:pPr>
              <w:pStyle w:val="CeldaAPA"/>
            </w:pPr>
          </w:p>
        </w:tc>
        <w:tc>
          <w:tcPr>
            <w:tcW w:w="1822" w:type="dxa"/>
          </w:tcPr>
          <w:p>
            <w:pPr>
              <w:pStyle w:val="CeldaAPA"/>
            </w:pPr>
          </w:p>
        </w:tc>
        <w:tc>
          <w:tcPr>
            <w:tcW w:w="1873" w:type="dxa"/>
          </w:tcPr>
          <w:p>
            <w:pPr>
              <w:pStyle w:val="CeldaAPA"/>
            </w:pPr>
          </w:p>
        </w:tc>
      </w:tr>
      <w:tr>
        <w:tc>
          <w:tcPr>
            <w:tcW w:w="666" w:type="dxa"/>
          </w:tcPr>
          <w:p>
            <w:pPr>
              <w:pStyle w:val="CeldaAPA"/>
              <w:jc w:val="center"/>
            </w:pPr>
            <w:r>
              <w:rPr>
                <w:sz w:val="20"/>
                <w:szCs w:val="20"/>
              </w:rPr>
              <w:t xml:space="preserve">18</w:t>
            </w:r>
          </w:p>
        </w:tc>
        <w:tc>
          <w:tcPr>
            <w:tcW w:w="2169" w:type="dxa"/>
          </w:tcPr>
          <w:p>
            <w:pPr>
              <w:pStyle w:val="CeldaAPA"/>
              <w:jc w:val="left"/>
            </w:pPr>
            <w:r>
              <w:rPr>
                <w:sz w:val="20"/>
                <w:szCs w:val="20"/>
              </w:rPr>
              <w:t xml:space="preserve">C.3 Ficha de recepción de materiales</w:t>
            </w:r>
          </w:p>
        </w:tc>
        <w:tc>
          <w:tcPr>
            <w:tcW w:w="1604" w:type="dxa"/>
          </w:tcPr>
          <w:p>
            <w:pPr>
              <w:pStyle w:val="CeldaAPA"/>
            </w:pPr>
          </w:p>
        </w:tc>
        <w:tc>
          <w:tcPr>
            <w:tcW w:w="1251" w:type="dxa"/>
          </w:tcPr>
          <w:p>
            <w:pPr>
              <w:pStyle w:val="CeldaAPA"/>
            </w:pPr>
          </w:p>
        </w:tc>
        <w:tc>
          <w:tcPr>
            <w:tcW w:w="1604" w:type="dxa"/>
          </w:tcPr>
          <w:p>
            <w:pPr>
              <w:pStyle w:val="CeldaAPA"/>
            </w:pPr>
          </w:p>
        </w:tc>
        <w:tc>
          <w:tcPr>
            <w:tcW w:w="1822" w:type="dxa"/>
          </w:tcPr>
          <w:p>
            <w:pPr>
              <w:pStyle w:val="CeldaAPA"/>
            </w:pPr>
          </w:p>
        </w:tc>
        <w:tc>
          <w:tcPr>
            <w:tcW w:w="1873" w:type="dxa"/>
          </w:tcPr>
          <w:p>
            <w:pPr>
              <w:pStyle w:val="CeldaAPA"/>
            </w:pPr>
          </w:p>
        </w:tc>
      </w:tr>
      <w:tr>
        <w:tc>
          <w:tcPr>
            <w:tcW w:w="666" w:type="dxa"/>
          </w:tcPr>
          <w:p>
            <w:pPr>
              <w:pStyle w:val="CeldaAPA"/>
              <w:jc w:val="center"/>
            </w:pPr>
            <w:r>
              <w:rPr>
                <w:sz w:val="20"/>
                <w:szCs w:val="20"/>
              </w:rPr>
              <w:t xml:space="preserve">19</w:t>
            </w:r>
          </w:p>
        </w:tc>
        <w:tc>
          <w:tcPr>
            <w:tcW w:w="2169" w:type="dxa"/>
          </w:tcPr>
          <w:p>
            <w:pPr>
              <w:pStyle w:val="CeldaAPA"/>
              <w:jc w:val="left"/>
            </w:pPr>
            <w:r>
              <w:rPr>
                <w:sz w:val="20"/>
                <w:szCs w:val="20"/>
              </w:rPr>
              <w:t xml:space="preserve">C.4 Control de materiales y conciliación</w:t>
            </w:r>
          </w:p>
        </w:tc>
        <w:tc>
          <w:tcPr>
            <w:tcW w:w="1604" w:type="dxa"/>
          </w:tcPr>
          <w:p>
            <w:pPr>
              <w:pStyle w:val="CeldaAPA"/>
            </w:pPr>
          </w:p>
        </w:tc>
        <w:tc>
          <w:tcPr>
            <w:tcW w:w="1251" w:type="dxa"/>
          </w:tcPr>
          <w:p>
            <w:pPr>
              <w:pStyle w:val="CeldaAPA"/>
            </w:pPr>
          </w:p>
        </w:tc>
        <w:tc>
          <w:tcPr>
            <w:tcW w:w="1604" w:type="dxa"/>
          </w:tcPr>
          <w:p>
            <w:pPr>
              <w:pStyle w:val="CeldaAPA"/>
            </w:pPr>
          </w:p>
        </w:tc>
        <w:tc>
          <w:tcPr>
            <w:tcW w:w="1822" w:type="dxa"/>
          </w:tcPr>
          <w:p>
            <w:pPr>
              <w:pStyle w:val="CeldaAPA"/>
            </w:pPr>
          </w:p>
        </w:tc>
        <w:tc>
          <w:tcPr>
            <w:tcW w:w="1873" w:type="dxa"/>
          </w:tcPr>
          <w:p>
            <w:pPr>
              <w:pStyle w:val="CeldaAPA"/>
            </w:pPr>
          </w:p>
        </w:tc>
      </w:tr>
      <w:tr>
        <w:tc>
          <w:tcPr>
            <w:tcW w:w="666" w:type="dxa"/>
          </w:tcPr>
          <w:p>
            <w:pPr>
              <w:pStyle w:val="CeldaAPA"/>
              <w:jc w:val="center"/>
            </w:pPr>
            <w:r>
              <w:rPr>
                <w:sz w:val="20"/>
                <w:szCs w:val="20"/>
              </w:rPr>
              <w:t xml:space="preserve">20</w:t>
            </w:r>
          </w:p>
        </w:tc>
        <w:tc>
          <w:tcPr>
            <w:tcW w:w="2169" w:type="dxa"/>
          </w:tcPr>
          <w:p>
            <w:pPr>
              <w:pStyle w:val="CeldaAPA"/>
              <w:jc w:val="left"/>
            </w:pPr>
            <w:r>
              <w:rPr>
                <w:sz w:val="20"/>
                <w:szCs w:val="20"/>
              </w:rPr>
              <w:t xml:space="preserve">C.5 Registro de no conformidades</w:t>
            </w:r>
          </w:p>
        </w:tc>
        <w:tc>
          <w:tcPr>
            <w:tcW w:w="1604" w:type="dxa"/>
          </w:tcPr>
          <w:p>
            <w:pPr>
              <w:pStyle w:val="CeldaAPA"/>
            </w:pPr>
          </w:p>
        </w:tc>
        <w:tc>
          <w:tcPr>
            <w:tcW w:w="1251" w:type="dxa"/>
          </w:tcPr>
          <w:p>
            <w:pPr>
              <w:pStyle w:val="CeldaAPA"/>
            </w:pPr>
          </w:p>
        </w:tc>
        <w:tc>
          <w:tcPr>
            <w:tcW w:w="1604" w:type="dxa"/>
          </w:tcPr>
          <w:p>
            <w:pPr>
              <w:pStyle w:val="CeldaAPA"/>
            </w:pPr>
          </w:p>
        </w:tc>
        <w:tc>
          <w:tcPr>
            <w:tcW w:w="1822" w:type="dxa"/>
          </w:tcPr>
          <w:p>
            <w:pPr>
              <w:pStyle w:val="CeldaAPA"/>
            </w:pPr>
          </w:p>
        </w:tc>
        <w:tc>
          <w:tcPr>
            <w:tcW w:w="1873" w:type="dxa"/>
          </w:tcPr>
          <w:p>
            <w:pPr>
              <w:pStyle w:val="CeldaAPA"/>
            </w:pPr>
          </w:p>
        </w:tc>
      </w:tr>
      <w:tr>
        <w:tc>
          <w:tcPr>
            <w:tcW w:w="666" w:type="dxa"/>
          </w:tcPr>
          <w:p>
            <w:pPr>
              <w:pStyle w:val="CeldaAPA"/>
              <w:jc w:val="center"/>
            </w:pPr>
            <w:r>
              <w:rPr>
                <w:sz w:val="20"/>
                <w:szCs w:val="20"/>
              </w:rPr>
              <w:t xml:space="preserve">21</w:t>
            </w:r>
          </w:p>
        </w:tc>
        <w:tc>
          <w:tcPr>
            <w:tcW w:w="2169" w:type="dxa"/>
          </w:tcPr>
          <w:p>
            <w:pPr>
              <w:pStyle w:val="CeldaAPA"/>
              <w:jc w:val="left"/>
            </w:pPr>
            <w:r>
              <w:rPr>
                <w:sz w:val="20"/>
                <w:szCs w:val="20"/>
              </w:rPr>
              <w:t xml:space="preserve">C.6 Planilla de costos de la calidad</w:t>
            </w:r>
          </w:p>
        </w:tc>
        <w:tc>
          <w:tcPr>
            <w:tcW w:w="1604" w:type="dxa"/>
          </w:tcPr>
          <w:p>
            <w:pPr>
              <w:pStyle w:val="CeldaAPA"/>
            </w:pPr>
          </w:p>
        </w:tc>
        <w:tc>
          <w:tcPr>
            <w:tcW w:w="1251" w:type="dxa"/>
          </w:tcPr>
          <w:p>
            <w:pPr>
              <w:pStyle w:val="CeldaAPA"/>
            </w:pPr>
          </w:p>
        </w:tc>
        <w:tc>
          <w:tcPr>
            <w:tcW w:w="1604" w:type="dxa"/>
          </w:tcPr>
          <w:p>
            <w:pPr>
              <w:pStyle w:val="CeldaAPA"/>
            </w:pPr>
          </w:p>
        </w:tc>
        <w:tc>
          <w:tcPr>
            <w:tcW w:w="1822" w:type="dxa"/>
          </w:tcPr>
          <w:p>
            <w:pPr>
              <w:pStyle w:val="CeldaAPA"/>
            </w:pPr>
          </w:p>
        </w:tc>
        <w:tc>
          <w:tcPr>
            <w:tcW w:w="1873" w:type="dxa"/>
          </w:tcPr>
          <w:p>
            <w:pPr>
              <w:pStyle w:val="CeldaAPA"/>
            </w:pPr>
          </w:p>
        </w:tc>
      </w:tr>
      <w:tr>
        <w:tc>
          <w:tcPr>
            <w:tcW w:w="666" w:type="dxa"/>
          </w:tcPr>
          <w:p>
            <w:pPr>
              <w:pStyle w:val="CeldaAPA"/>
              <w:jc w:val="center"/>
            </w:pPr>
            <w:r>
              <w:rPr>
                <w:sz w:val="20"/>
                <w:szCs w:val="20"/>
              </w:rPr>
              <w:t xml:space="preserve">22</w:t>
            </w:r>
          </w:p>
        </w:tc>
        <w:tc>
          <w:tcPr>
            <w:tcW w:w="2169" w:type="dxa"/>
          </w:tcPr>
          <w:p>
            <w:pPr>
              <w:pStyle w:val="CeldaAPA"/>
              <w:jc w:val="left"/>
            </w:pPr>
            <w:r>
              <w:rPr>
                <w:sz w:val="20"/>
                <w:szCs w:val="20"/>
              </w:rPr>
              <w:t xml:space="preserve">C.7 Guía de entrevista semiestructurada</w:t>
            </w:r>
          </w:p>
        </w:tc>
        <w:tc>
          <w:tcPr>
            <w:tcW w:w="1604" w:type="dxa"/>
          </w:tcPr>
          <w:p>
            <w:pPr>
              <w:pStyle w:val="CeldaAPA"/>
            </w:pPr>
          </w:p>
        </w:tc>
        <w:tc>
          <w:tcPr>
            <w:tcW w:w="1251" w:type="dxa"/>
          </w:tcPr>
          <w:p>
            <w:pPr>
              <w:pStyle w:val="CeldaAPA"/>
            </w:pPr>
          </w:p>
        </w:tc>
        <w:tc>
          <w:tcPr>
            <w:tcW w:w="1604" w:type="dxa"/>
          </w:tcPr>
          <w:p>
            <w:pPr>
              <w:pStyle w:val="CeldaAPA"/>
            </w:pPr>
          </w:p>
        </w:tc>
        <w:tc>
          <w:tcPr>
            <w:tcW w:w="1822" w:type="dxa"/>
          </w:tcPr>
          <w:p>
            <w:pPr>
              <w:pStyle w:val="CeldaAPA"/>
            </w:pPr>
          </w:p>
        </w:tc>
        <w:tc>
          <w:tcPr>
            <w:tcW w:w="1873" w:type="dxa"/>
          </w:tcPr>
          <w:p>
            <w:pPr>
              <w:pStyle w:val="CeldaAPA"/>
            </w:pPr>
          </w:p>
        </w:tc>
      </w:tr>
    </w:tbl>
    <w:tbl>
      <w:tblPr>
        <w:tblStyle w:val="Table"/>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0" w:lastRow="0" w:firstColumn="0" w:lastColumn="0" w:noHBand="0" w:noVBand="0" w:val="0000"/>
      </w:tblPr>
      <w:tblGrid>
        <w:gridCol w:w="9360"/>
      </w:tblGrid>
      <w:tr>
        <w:tc>
          <w:tcPr>
            <w:tcW w:w="9360" w:type="dxa"/>
          </w:tcPr>
          <w:p>
            <w:pPr>
              <w:pStyle w:val="CeldaAPA"/>
              <w:jc w:val="left"/>
            </w:pPr>
            <w:r>
              <w:rPr>
                <w:bCs/>
                <w:b/>
                <w:sz w:val="20"/>
                <w:szCs w:val="20"/>
              </w:rPr>
              <w:t xml:space="preserve">4. Opinión de aplicabilidad del SGC:</w:t>
            </w:r>
            <w:r>
              <w:rPr>
                <w:sz w:val="20"/>
                <w:szCs w:val="20"/>
              </w:rPr>
              <w:t xml:space="preserve"> </w:t>
            </w:r>
            <w:r>
              <w:rPr>
                <w:sz w:val="20"/>
                <w:szCs w:val="20"/>
              </w:rPr>
              <w:t xml:space="preserve">☐ Aplicable ☐ Aplicable después de corregir ☐ No aplicable</w:t>
            </w:r>
          </w:p>
        </w:tc>
      </w:tr>
      <w:tr>
        <w:tc>
          <w:tcPr>
            <w:tcW w:w="9360" w:type="dxa"/>
          </w:tcPr>
          <w:p>
            <w:pPr>
              <w:pStyle w:val="CeldaAPA"/>
              <w:jc w:val="left"/>
            </w:pPr>
            <w:r>
              <w:rPr>
                <w:bCs/>
                <w:b/>
                <w:sz w:val="20"/>
                <w:szCs w:val="20"/>
              </w:rPr>
              <w:t xml:space="preserve">Observaciones y sugerencias:</w:t>
            </w:r>
          </w:p>
        </w:tc>
      </w:tr>
      <w:tr>
        <w:tc>
          <w:tcPr>
            <w:tcW w:w="9360" w:type="dxa"/>
          </w:tcPr>
          <w:p>
            <w:pPr>
              <w:pStyle w:val="CeldaAPA"/>
              <w:jc w:val="left"/>
            </w:pPr>
            <w:r>
              <w:rPr>
                <w:sz w:val="20"/>
                <w:szCs w:val="20"/>
              </w:rPr>
              <w:t xml:space="preserve">_________________ _________________ _________________</w:t>
            </w:r>
          </w:p>
        </w:tc>
      </w:tr>
    </w:tbl>
    <w:p>
      <w:pPr>
        <w:pStyle w:val="BodyText"/>
        <w:spacing w:before="240"/>
      </w:pPr>
      <w:r>
        <w:rPr>
          <w:bCs/>
          <w:b/>
        </w:rPr>
        <w:t xml:space="preserve">5. Cálculo del coeficiente V de Aiken (para el investigador).</w:t>
      </w:r>
      <w:r>
        <w:t xml:space="preserve"> </w:t>
      </w:r>
      <w:r>
        <w:t xml:space="preserve">Para cada componente y criterio se calcula</w:t>
      </w:r>
    </w:p>
    <w:p>
      <w:pPr>
        <w:pStyle w:val="EcuacionAPA"/>
      </w:pPr>
      <m:oMathPara>
        <m:oMathParaPr>
          <m:jc m:val="center"/>
        </m:oMathParaPr>
        <m:oMath>
          <m:r>
            <m:t>V</m:t>
          </m:r>
          <m:r>
            <m:rPr>
              <m:sty m:val="p"/>
            </m:rPr>
            <m:t>=</m:t>
          </m:r>
          <m:f>
            <m:fPr>
              <m:type m:val="bar"/>
            </m:fPr>
            <m:num>
              <m:r>
                <m:t>S</m:t>
              </m:r>
            </m:num>
            <m:den>
              <m:r>
                <m:t>n</m:t>
              </m:r>
              <m:r>
                <m:t> </m:t>
              </m:r>
              <m:d>
                <m:dPr>
                  <m:begChr m:val="("/>
                  <m:endChr m:val=")"/>
                  <m:sepChr m:val=""/>
                  <m:grow/>
                </m:dPr>
                <m:e>
                  <m:r>
                    <m:t>c</m:t>
                  </m:r>
                  <m:r>
                    <m:rPr>
                      <m:sty m:val="p"/>
                    </m:rPr>
                    <m:t>−</m:t>
                  </m:r>
                  <m:r>
                    <m:t>1</m:t>
                  </m:r>
                </m:e>
              </m:d>
            </m:den>
          </m:f>
          <m:r>
            <m:rPr>
              <m:sty m:val="p"/>
            </m:rPr>
            <m:t>,</m:t>
          </m:r>
          <m:r>
            <m:t>  </m:t>
          </m:r>
          <m:r>
            <m:t>S</m:t>
          </m:r>
          <m:r>
            <m:rPr>
              <m:sty m:val="p"/>
            </m:rPr>
            <m:t>=</m:t>
          </m:r>
          <m:nary>
            <m:naryPr>
              <m:chr m:val="∑"/>
              <m:limLoc m:val="undOvr"/>
              <m:subHide m:val="off"/>
              <m:supHide m:val="off"/>
            </m:naryPr>
            <m:sub>
              <m:r>
                <m:t>i</m:t>
              </m:r>
              <m:r>
                <m:rPr>
                  <m:sty m:val="p"/>
                </m:rPr>
                <m:t>=</m:t>
              </m:r>
              <m:r>
                <m:t>1</m:t>
              </m:r>
            </m:sub>
            <m:sup>
              <m:r>
                <m:t>n</m:t>
              </m:r>
            </m:sup>
            <m:e>
              <m:d>
                <m:dPr>
                  <m:begChr m:val="("/>
                  <m:endChr m:val=")"/>
                  <m:sepChr m:val=""/>
                  <m:grow/>
                </m:dPr>
                <m:e>
                  <m:sSub>
                    <m:e>
                      <m:r>
                        <m:t>x</m:t>
                      </m:r>
                    </m:e>
                    <m:sub>
                      <m:r>
                        <m:t>i</m:t>
                      </m:r>
                    </m:sub>
                  </m:sSub>
                  <m:r>
                    <m:rPr>
                      <m:sty m:val="p"/>
                    </m:rPr>
                    <m:t>−</m:t>
                  </m:r>
                  <m:r>
                    <m:t>l</m:t>
                  </m:r>
                </m:e>
              </m:d>
            </m:e>
          </m:nary>
        </m:oMath>
      </m:oMathPara>
    </w:p>
    <w:p>
      <w:pPr>
        <w:pStyle w:val="FirstParagraph"/>
        <w:ind w:firstLine="0"/>
      </w:pPr>
      <w:r>
        <w:t xml:space="preserve"/>
      </w:r>
      <w:r>
        <w:t xml:space="preserve"/>
      </w:r>
      <w:r>
        <w:t xml:space="preserve">donde</w:t>
      </w:r>
      <w:r>
        <w:t xml:space="preserve"> </w:t>
      </w:r>
      <m:oMath>
        <m:sSub>
          <m:e>
            <m:r>
              <m:t>x</m:t>
            </m:r>
          </m:e>
          <m:sub>
            <m:r>
              <m:t>i</m:t>
            </m:r>
          </m:sub>
        </m:sSub>
      </m:oMath>
      <w:r>
        <w:t xml:space="preserve"> </w:t>
      </w:r>
      <w:r>
        <w:t xml:space="preserve">es el puntaje del experto</w:t>
      </w:r>
      <w:r>
        <w:t xml:space="preserve"> </w:t>
      </w:r>
      <m:oMath>
        <m:r>
          <m:t>i</m:t>
        </m:r>
      </m:oMath>
      <w:r>
        <w:t xml:space="preserve">,</w:t>
      </w:r>
      <w:r>
        <w:t xml:space="preserve"> </w:t>
      </w:r>
      <m:oMath>
        <m:r>
          <m:t>l</m:t>
        </m:r>
      </m:oMath>
      <w:r>
        <w:t xml:space="preserve"> </w:t>
      </w:r>
      <w:r>
        <w:t xml:space="preserve">el valor mínimo de la escala (1),</w:t>
      </w:r>
      <w:r>
        <w:t xml:space="preserve"> </w:t>
      </w:r>
      <m:oMath>
        <m:r>
          <m:t>n</m:t>
        </m:r>
      </m:oMath>
      <w:r>
        <w:t xml:space="preserve"> </w:t>
      </w:r>
      <w:r>
        <w:t xml:space="preserve">el número de expertos y</w:t>
      </w:r>
      <w:r>
        <w:t xml:space="preserve"> </w:t>
      </w:r>
      <m:oMath>
        <m:r>
          <m:t>c</m:t>
        </m:r>
      </m:oMath>
      <w:r>
        <w:t xml:space="preserve"> </w:t>
      </w:r>
      <w:r>
        <w:t xml:space="preserve">el número de categorías de la escala (4). Con</w:t>
      </w:r>
      <w:r>
        <w:t xml:space="preserve"> </w:t>
      </w:r>
      <m:oMath>
        <m:r>
          <m:t>n</m:t>
        </m:r>
        <m:r>
          <m:rPr>
            <m:sty m:val="p"/>
          </m:rPr>
          <m:t>=</m:t>
        </m:r>
        <m:r>
          <m:t>5</m:t>
        </m:r>
      </m:oMath>
      <w:r>
        <w:t xml:space="preserve"> </w:t>
      </w:r>
      <w:r>
        <w:t xml:space="preserve">expertos,</w:t>
      </w:r>
      <w:r>
        <w:t xml:space="preserve"> </w:t>
      </w:r>
      <m:oMath>
        <m:r>
          <m:t>V</m:t>
        </m:r>
        <m:r>
          <m:rPr>
            <m:sty m:val="p"/>
          </m:rPr>
          <m:t>=</m:t>
        </m:r>
        <m:r>
          <m:t>S</m:t>
        </m:r>
        <m:r>
          <m:rPr>
            <m:sty m:val="p"/>
          </m:rPr>
          <m:t>/</m:t>
        </m:r>
        <m:r>
          <m:t>15</m:t>
        </m:r>
      </m:oMath>
      <w:r>
        <w:t xml:space="preserve">; con</w:t>
      </w:r>
      <w:r>
        <w:t xml:space="preserve"> </w:t>
      </w:r>
      <m:oMath>
        <m:r>
          <m:t>n</m:t>
        </m:r>
        <m:r>
          <m:rPr>
            <m:sty m:val="p"/>
          </m:rPr>
          <m:t>=</m:t>
        </m:r>
        <m:r>
          <m:t>3</m:t>
        </m:r>
      </m:oMath>
      <w:r>
        <w:t xml:space="preserve">,</w:t>
      </w:r>
      <w:r>
        <w:t xml:space="preserve"> </w:t>
      </w:r>
      <m:oMath>
        <m:r>
          <m:t>V</m:t>
        </m:r>
        <m:r>
          <m:rPr>
            <m:sty m:val="p"/>
          </m:rPr>
          <m:t>=</m:t>
        </m:r>
        <m:r>
          <m:t>S</m:t>
        </m:r>
        <m:r>
          <m:rPr>
            <m:sty m:val="p"/>
          </m:rPr>
          <m:t>/</m:t>
        </m:r>
        <m:r>
          <m:t>9</m:t>
        </m:r>
      </m:oMath>
      <w:r>
        <w:t xml:space="preserve">. Se aceptan los componentes con</w:t>
      </w:r>
      <w:r>
        <w:t xml:space="preserve"> </w:t>
      </w:r>
      <m:oMath>
        <m:r>
          <m:t>V</m:t>
        </m:r>
        <m:r>
          <m:rPr>
            <m:sty m:val="p"/>
          </m:rPr>
          <m:t>≥</m:t>
        </m:r>
        <m:r>
          <m:t>0</m:t>
        </m:r>
        <m:r>
          <m:rPr>
            <m:sty m:val="p"/>
          </m:rPr>
          <m:t>,</m:t>
        </m:r>
        <m:r>
          <m:t>70</m:t>
        </m:r>
      </m:oMath>
      <w:r>
        <w:t xml:space="preserve"> </w:t>
      </w:r>
      <w:r>
        <w:t xml:space="preserve">en cada criterio, y los demás se corrigen con las observaciones de los expertos (Sección 2.8).</w:t>
      </w:r>
    </w:p>
    <w:tbl>
      <w:tblPr>
        <w:tblStyle w:val="Table"/>
        <w:tblW w:w="9363"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5" w:type="dxa"/>
          <w:bottom w:w="0" w:type="dxa"/>
          <w:right w:w="85" w:type="dxa"/>
        </w:tblCellMar>
        <w:tblLook w:firstRow="0" w:lastRow="0" w:firstColumn="0" w:lastColumn="0" w:noHBand="0" w:noVBand="0" w:val="0000"/>
      </w:tblPr>
      <w:tblGrid>
        <w:gridCol w:w="666"/>
        <w:gridCol w:w="675"/>
        <w:gridCol w:w="675"/>
        <w:gridCol w:w="675"/>
        <w:gridCol w:w="675"/>
        <w:gridCol w:w="675"/>
        <w:gridCol w:w="675"/>
        <w:gridCol w:w="675"/>
        <w:gridCol w:w="675"/>
        <w:gridCol w:w="675"/>
        <w:gridCol w:w="675"/>
        <w:gridCol w:w="696"/>
        <w:gridCol w:w="1251"/>
      </w:tblGrid>
      <w:tr>
        <w:trPr>
          <w:cantSplit/>
          <w:tblHeader/>
        </w:trPr>
        <w:tc>
          <w:tcPr>
            <w:tcW w:w="666" w:type="dxa"/>
            <w:vMerge w:val="restart"/>
          </w:tcPr>
          <w:p>
            <w:pPr>
              <w:pStyle w:val="CeldaAPA"/>
              <w:jc w:val="center"/>
            </w:pPr>
            <w:r>
              <w:rPr>
                <w:bCs/>
                <w:b/>
                <w:sz w:val="20"/>
                <w:szCs w:val="20"/>
              </w:rPr>
              <w:t xml:space="preserve">N.</w:t>
            </w:r>
            <w:r>
              <w:rPr>
                <w:vertAlign w:val="superscript"/>
                <w:bCs/>
                <w:b/>
                <w:sz w:val="20"/>
                <w:szCs w:val="20"/>
              </w:rPr>
              <w:t xml:space="preserve">o</w:t>
            </w:r>
          </w:p>
        </w:tc>
        <w:tc>
          <w:tcPr>
            <w:tcW w:w="1350" w:type="dxa"/>
            <w:gridSpan w:val="2"/>
          </w:tcPr>
          <w:p>
            <w:pPr>
              <w:pStyle w:val="CeldaAPA"/>
              <w:jc w:val="center"/>
            </w:pPr>
            <w:r>
              <w:rPr>
                <w:bCs/>
                <w:b/>
                <w:sz w:val="20"/>
                <w:szCs w:val="20"/>
              </w:rPr>
              <w:t xml:space="preserve">Pertinencia</w:t>
            </w:r>
          </w:p>
        </w:tc>
        <w:tc>
          <w:tcPr>
            <w:tcW w:w="1350" w:type="dxa"/>
            <w:gridSpan w:val="2"/>
          </w:tcPr>
          <w:p>
            <w:pPr>
              <w:pStyle w:val="CeldaAPA"/>
              <w:jc w:val="center"/>
            </w:pPr>
            <w:r>
              <w:rPr>
                <w:bCs/>
                <w:b/>
                <w:sz w:val="20"/>
                <w:szCs w:val="20"/>
              </w:rPr>
              <w:t xml:space="preserve">Claridad</w:t>
            </w:r>
          </w:p>
        </w:tc>
        <w:tc>
          <w:tcPr>
            <w:tcW w:w="1350" w:type="dxa"/>
            <w:gridSpan w:val="2"/>
          </w:tcPr>
          <w:p>
            <w:pPr>
              <w:pStyle w:val="CeldaAPA"/>
              <w:jc w:val="center"/>
            </w:pPr>
            <w:r>
              <w:rPr>
                <w:bCs/>
                <w:b/>
                <w:sz w:val="20"/>
                <w:szCs w:val="20"/>
              </w:rPr>
              <w:t xml:space="preserve">Suficiencia</w:t>
            </w:r>
          </w:p>
        </w:tc>
        <w:tc>
          <w:tcPr>
            <w:tcW w:w="1350" w:type="dxa"/>
            <w:gridSpan w:val="2"/>
          </w:tcPr>
          <w:p>
            <w:pPr>
              <w:pStyle w:val="CeldaAPA"/>
              <w:jc w:val="center"/>
            </w:pPr>
            <w:r>
              <w:rPr>
                <w:bCs/>
                <w:b/>
                <w:sz w:val="20"/>
                <w:szCs w:val="20"/>
              </w:rPr>
              <w:t xml:space="preserve">Aplicabilidad</w:t>
            </w:r>
          </w:p>
        </w:tc>
        <w:tc>
          <w:tcPr>
            <w:tcW w:w="1350" w:type="dxa"/>
            <w:gridSpan w:val="2"/>
          </w:tcPr>
          <w:p>
            <w:pPr>
              <w:pStyle w:val="CeldaAPA"/>
              <w:jc w:val="center"/>
            </w:pPr>
            <w:r>
              <w:rPr>
                <w:bCs/>
                <w:b/>
                <w:sz w:val="20"/>
                <w:szCs w:val="20"/>
              </w:rPr>
              <w:t xml:space="preserve">Global</w:t>
            </w:r>
          </w:p>
        </w:tc>
        <w:tc>
          <w:tcPr>
            <w:tcW w:w="696" w:type="dxa"/>
            <w:vMerge w:val="restart"/>
          </w:tcPr>
          <w:p>
            <w:pPr>
              <w:pStyle w:val="CeldaAPA"/>
              <w:jc w:val="center"/>
            </w:pPr>
            <m:oMath>
              <m:r>
                <m:t>n</m:t>
              </m:r>
            </m:oMath>
          </w:p>
        </w:tc>
        <w:tc>
          <w:tcPr>
            <w:tcW w:w="1251" w:type="dxa"/>
            <w:vMerge w:val="restart"/>
          </w:tcPr>
          <w:p>
            <w:pPr>
              <w:pStyle w:val="CeldaAPA"/>
              <w:jc w:val="left"/>
            </w:pPr>
            <w:r>
              <w:rPr>
                <w:bCs/>
                <w:b/>
                <w:sz w:val="20"/>
                <w:szCs w:val="20"/>
              </w:rPr>
              <w:t xml:space="preserve">Decisión</w:t>
            </w:r>
          </w:p>
        </w:tc>
      </w:tr>
      <w:tr>
        <w:trPr>
          <w:cantSplit/>
          <w:tblHeader/>
        </w:trPr>
        <w:tc>
          <w:tcPr>
            <w:tcW w:w="666" w:type="dxa"/>
            <w:gridSpan w:val="1"/>
            <w:vMerge w:val="continue"/>
          </w:tcPr>
          <w:p>
            <w:pPr>
              <w:pStyle w:val="CeldaAPA"/>
            </w:pPr>
          </w:p>
        </w:tc>
        <w:tc>
          <w:tcPr>
            <w:tcW w:w="675" w:type="dxa"/>
          </w:tcPr>
          <w:p>
            <w:pPr>
              <w:pStyle w:val="CeldaAPA"/>
              <w:jc w:val="center"/>
            </w:pPr>
            <m:oMath>
              <m:r>
                <m:t>S</m:t>
              </m:r>
            </m:oMath>
          </w:p>
        </w:tc>
        <w:tc>
          <w:tcPr>
            <w:tcW w:w="675" w:type="dxa"/>
          </w:tcPr>
          <w:p>
            <w:pPr>
              <w:pStyle w:val="CeldaAPA"/>
              <w:jc w:val="center"/>
            </w:pPr>
            <m:oMath>
              <m:r>
                <m:t>V</m:t>
              </m:r>
            </m:oMath>
          </w:p>
        </w:tc>
        <w:tc>
          <w:tcPr>
            <w:tcW w:w="675" w:type="dxa"/>
          </w:tcPr>
          <w:p>
            <w:pPr>
              <w:pStyle w:val="CeldaAPA"/>
              <w:jc w:val="center"/>
            </w:pPr>
            <m:oMath>
              <m:r>
                <m:t>S</m:t>
              </m:r>
            </m:oMath>
          </w:p>
        </w:tc>
        <w:tc>
          <w:tcPr>
            <w:tcW w:w="675" w:type="dxa"/>
          </w:tcPr>
          <w:p>
            <w:pPr>
              <w:pStyle w:val="CeldaAPA"/>
              <w:jc w:val="center"/>
            </w:pPr>
            <m:oMath>
              <m:r>
                <m:t>V</m:t>
              </m:r>
            </m:oMath>
          </w:p>
        </w:tc>
        <w:tc>
          <w:tcPr>
            <w:tcW w:w="675" w:type="dxa"/>
          </w:tcPr>
          <w:p>
            <w:pPr>
              <w:pStyle w:val="CeldaAPA"/>
              <w:jc w:val="center"/>
            </w:pPr>
            <m:oMath>
              <m:r>
                <m:t>S</m:t>
              </m:r>
            </m:oMath>
          </w:p>
        </w:tc>
        <w:tc>
          <w:tcPr>
            <w:tcW w:w="675" w:type="dxa"/>
          </w:tcPr>
          <w:p>
            <w:pPr>
              <w:pStyle w:val="CeldaAPA"/>
              <w:jc w:val="center"/>
            </w:pPr>
            <m:oMath>
              <m:r>
                <m:t>V</m:t>
              </m:r>
            </m:oMath>
          </w:p>
        </w:tc>
        <w:tc>
          <w:tcPr>
            <w:tcW w:w="675" w:type="dxa"/>
          </w:tcPr>
          <w:p>
            <w:pPr>
              <w:pStyle w:val="CeldaAPA"/>
              <w:jc w:val="center"/>
            </w:pPr>
            <m:oMath>
              <m:r>
                <m:t>S</m:t>
              </m:r>
            </m:oMath>
          </w:p>
        </w:tc>
        <w:tc>
          <w:tcPr>
            <w:tcW w:w="675" w:type="dxa"/>
          </w:tcPr>
          <w:p>
            <w:pPr>
              <w:pStyle w:val="CeldaAPA"/>
              <w:jc w:val="center"/>
            </w:pPr>
            <m:oMath>
              <m:r>
                <m:t>V</m:t>
              </m:r>
            </m:oMath>
          </w:p>
        </w:tc>
        <w:tc>
          <w:tcPr>
            <w:tcW w:w="675" w:type="dxa"/>
          </w:tcPr>
          <w:p>
            <w:pPr>
              <w:pStyle w:val="CeldaAPA"/>
              <w:jc w:val="center"/>
            </w:pPr>
            <m:oMath>
              <m:r>
                <m:t>S</m:t>
              </m:r>
            </m:oMath>
          </w:p>
        </w:tc>
        <w:tc>
          <w:tcPr>
            <w:tcW w:w="675" w:type="dxa"/>
          </w:tcPr>
          <w:p>
            <w:pPr>
              <w:pStyle w:val="CeldaAPA"/>
              <w:jc w:val="center"/>
            </w:pPr>
            <m:oMath>
              <m:r>
                <m:t>V</m:t>
              </m:r>
            </m:oMath>
          </w:p>
        </w:tc>
        <w:tc>
          <w:tcPr>
            <w:tcW w:w="696" w:type="dxa"/>
            <w:gridSpan w:val="1"/>
            <w:vMerge w:val="continue"/>
          </w:tcPr>
          <w:p>
            <w:pPr>
              <w:pStyle w:val="CeldaAPA"/>
            </w:pPr>
          </w:p>
        </w:tc>
        <w:tc>
          <w:tcPr>
            <w:tcW w:w="1251" w:type="dxa"/>
            <w:gridSpan w:val="1"/>
            <w:vMerge w:val="continue"/>
          </w:tcPr>
          <w:p>
            <w:pPr>
              <w:pStyle w:val="CeldaAPA"/>
            </w:pPr>
          </w:p>
        </w:tc>
      </w:tr>
      <w:tr>
        <w:tc>
          <w:tcPr>
            <w:tcW w:w="666" w:type="dxa"/>
          </w:tcPr>
          <w:p>
            <w:pPr>
              <w:pStyle w:val="CeldaAPA"/>
              <w:jc w:val="center"/>
            </w:pPr>
            <w:r>
              <w:rPr>
                <w:sz w:val="20"/>
                <w:szCs w:val="20"/>
              </w:rPr>
              <w:t xml:space="preserve">1</w:t>
            </w: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96" w:type="dxa"/>
          </w:tcPr>
          <w:p>
            <w:pPr>
              <w:pStyle w:val="CeldaAPA"/>
            </w:pPr>
          </w:p>
        </w:tc>
        <w:tc>
          <w:tcPr>
            <w:tcW w:w="1251" w:type="dxa"/>
          </w:tcPr>
          <w:p>
            <w:pPr>
              <w:pStyle w:val="CeldaAPA"/>
            </w:pPr>
          </w:p>
        </w:tc>
      </w:tr>
      <w:tr>
        <w:tc>
          <w:tcPr>
            <w:tcW w:w="666" w:type="dxa"/>
          </w:tcPr>
          <w:p>
            <w:pPr>
              <w:pStyle w:val="CeldaAPA"/>
              <w:jc w:val="center"/>
            </w:pPr>
            <w:r>
              <w:rPr>
                <w:sz w:val="20"/>
                <w:szCs w:val="20"/>
              </w:rPr>
              <w:t xml:space="preserve">2</w:t>
            </w: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96" w:type="dxa"/>
          </w:tcPr>
          <w:p>
            <w:pPr>
              <w:pStyle w:val="CeldaAPA"/>
            </w:pPr>
          </w:p>
        </w:tc>
        <w:tc>
          <w:tcPr>
            <w:tcW w:w="1251" w:type="dxa"/>
          </w:tcPr>
          <w:p>
            <w:pPr>
              <w:pStyle w:val="CeldaAPA"/>
            </w:pPr>
          </w:p>
        </w:tc>
      </w:tr>
      <w:tr>
        <w:tc>
          <w:tcPr>
            <w:tcW w:w="666" w:type="dxa"/>
          </w:tcPr>
          <w:p>
            <w:pPr>
              <w:pStyle w:val="CeldaAPA"/>
              <w:jc w:val="center"/>
            </w:pPr>
            <w:r>
              <w:rPr>
                <w:sz w:val="20"/>
                <w:szCs w:val="20"/>
              </w:rPr>
              <w:t xml:space="preserve">3</w:t>
            </w: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96" w:type="dxa"/>
          </w:tcPr>
          <w:p>
            <w:pPr>
              <w:pStyle w:val="CeldaAPA"/>
            </w:pPr>
          </w:p>
        </w:tc>
        <w:tc>
          <w:tcPr>
            <w:tcW w:w="1251" w:type="dxa"/>
          </w:tcPr>
          <w:p>
            <w:pPr>
              <w:pStyle w:val="CeldaAPA"/>
            </w:pPr>
          </w:p>
        </w:tc>
      </w:tr>
      <w:tr>
        <w:tc>
          <w:tcPr>
            <w:tcW w:w="666" w:type="dxa"/>
          </w:tcPr>
          <w:p>
            <w:pPr>
              <w:pStyle w:val="CeldaAPA"/>
              <w:jc w:val="center"/>
            </w:pPr>
            <w:r>
              <w:rPr>
                <w:sz w:val="20"/>
                <w:szCs w:val="20"/>
              </w:rPr>
              <w:t xml:space="preserve">4</w:t>
            </w: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96" w:type="dxa"/>
          </w:tcPr>
          <w:p>
            <w:pPr>
              <w:pStyle w:val="CeldaAPA"/>
            </w:pPr>
          </w:p>
        </w:tc>
        <w:tc>
          <w:tcPr>
            <w:tcW w:w="1251" w:type="dxa"/>
          </w:tcPr>
          <w:p>
            <w:pPr>
              <w:pStyle w:val="CeldaAPA"/>
            </w:pPr>
          </w:p>
        </w:tc>
      </w:tr>
      <w:tr>
        <w:tc>
          <w:tcPr>
            <w:tcW w:w="666" w:type="dxa"/>
          </w:tcPr>
          <w:p>
            <w:pPr>
              <w:pStyle w:val="CeldaAPA"/>
              <w:jc w:val="center"/>
            </w:pPr>
            <w:r>
              <w:rPr>
                <w:sz w:val="20"/>
                <w:szCs w:val="20"/>
              </w:rPr>
              <w:t xml:space="preserve">5</w:t>
            </w: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96" w:type="dxa"/>
          </w:tcPr>
          <w:p>
            <w:pPr>
              <w:pStyle w:val="CeldaAPA"/>
            </w:pPr>
          </w:p>
        </w:tc>
        <w:tc>
          <w:tcPr>
            <w:tcW w:w="1251" w:type="dxa"/>
          </w:tcPr>
          <w:p>
            <w:pPr>
              <w:pStyle w:val="CeldaAPA"/>
            </w:pPr>
          </w:p>
        </w:tc>
      </w:tr>
      <w:tr>
        <w:tc>
          <w:tcPr>
            <w:tcW w:w="666" w:type="dxa"/>
          </w:tcPr>
          <w:p>
            <w:pPr>
              <w:pStyle w:val="CeldaAPA"/>
              <w:jc w:val="center"/>
            </w:pPr>
            <w:r>
              <w:rPr>
                <w:sz w:val="20"/>
                <w:szCs w:val="20"/>
              </w:rPr>
              <w:t xml:space="preserve">6</w:t>
            </w: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96" w:type="dxa"/>
          </w:tcPr>
          <w:p>
            <w:pPr>
              <w:pStyle w:val="CeldaAPA"/>
            </w:pPr>
          </w:p>
        </w:tc>
        <w:tc>
          <w:tcPr>
            <w:tcW w:w="1251" w:type="dxa"/>
          </w:tcPr>
          <w:p>
            <w:pPr>
              <w:pStyle w:val="CeldaAPA"/>
            </w:pPr>
          </w:p>
        </w:tc>
      </w:tr>
      <w:tr>
        <w:tc>
          <w:tcPr>
            <w:tcW w:w="666" w:type="dxa"/>
          </w:tcPr>
          <w:p>
            <w:pPr>
              <w:pStyle w:val="CeldaAPA"/>
              <w:jc w:val="center"/>
            </w:pPr>
            <w:r>
              <w:rPr>
                <w:sz w:val="20"/>
                <w:szCs w:val="20"/>
              </w:rPr>
              <w:t xml:space="preserve">7</w:t>
            </w: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96" w:type="dxa"/>
          </w:tcPr>
          <w:p>
            <w:pPr>
              <w:pStyle w:val="CeldaAPA"/>
            </w:pPr>
          </w:p>
        </w:tc>
        <w:tc>
          <w:tcPr>
            <w:tcW w:w="1251" w:type="dxa"/>
          </w:tcPr>
          <w:p>
            <w:pPr>
              <w:pStyle w:val="CeldaAPA"/>
            </w:pPr>
          </w:p>
        </w:tc>
      </w:tr>
      <w:tr>
        <w:tc>
          <w:tcPr>
            <w:tcW w:w="666" w:type="dxa"/>
          </w:tcPr>
          <w:p>
            <w:pPr>
              <w:pStyle w:val="CeldaAPA"/>
              <w:jc w:val="center"/>
            </w:pPr>
            <w:r>
              <w:rPr>
                <w:sz w:val="20"/>
                <w:szCs w:val="20"/>
              </w:rPr>
              <w:t xml:space="preserve">8</w:t>
            </w: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96" w:type="dxa"/>
          </w:tcPr>
          <w:p>
            <w:pPr>
              <w:pStyle w:val="CeldaAPA"/>
            </w:pPr>
          </w:p>
        </w:tc>
        <w:tc>
          <w:tcPr>
            <w:tcW w:w="1251" w:type="dxa"/>
          </w:tcPr>
          <w:p>
            <w:pPr>
              <w:pStyle w:val="CeldaAPA"/>
            </w:pPr>
          </w:p>
        </w:tc>
      </w:tr>
      <w:tr>
        <w:tc>
          <w:tcPr>
            <w:tcW w:w="666" w:type="dxa"/>
          </w:tcPr>
          <w:p>
            <w:pPr>
              <w:pStyle w:val="CeldaAPA"/>
              <w:jc w:val="center"/>
            </w:pPr>
            <w:r>
              <w:rPr>
                <w:sz w:val="20"/>
                <w:szCs w:val="20"/>
              </w:rPr>
              <w:t xml:space="preserve">9</w:t>
            </w: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96" w:type="dxa"/>
          </w:tcPr>
          <w:p>
            <w:pPr>
              <w:pStyle w:val="CeldaAPA"/>
            </w:pPr>
          </w:p>
        </w:tc>
        <w:tc>
          <w:tcPr>
            <w:tcW w:w="1251" w:type="dxa"/>
          </w:tcPr>
          <w:p>
            <w:pPr>
              <w:pStyle w:val="CeldaAPA"/>
            </w:pPr>
          </w:p>
        </w:tc>
      </w:tr>
      <w:tr>
        <w:tc>
          <w:tcPr>
            <w:tcW w:w="666" w:type="dxa"/>
          </w:tcPr>
          <w:p>
            <w:pPr>
              <w:pStyle w:val="CeldaAPA"/>
              <w:jc w:val="center"/>
            </w:pPr>
            <w:r>
              <w:rPr>
                <w:sz w:val="20"/>
                <w:szCs w:val="20"/>
              </w:rPr>
              <w:t xml:space="preserve">10</w:t>
            </w: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96" w:type="dxa"/>
          </w:tcPr>
          <w:p>
            <w:pPr>
              <w:pStyle w:val="CeldaAPA"/>
            </w:pPr>
          </w:p>
        </w:tc>
        <w:tc>
          <w:tcPr>
            <w:tcW w:w="1251" w:type="dxa"/>
          </w:tcPr>
          <w:p>
            <w:pPr>
              <w:pStyle w:val="CeldaAPA"/>
            </w:pPr>
          </w:p>
        </w:tc>
      </w:tr>
      <w:tr>
        <w:tc>
          <w:tcPr>
            <w:tcW w:w="666" w:type="dxa"/>
          </w:tcPr>
          <w:p>
            <w:pPr>
              <w:pStyle w:val="CeldaAPA"/>
              <w:jc w:val="center"/>
            </w:pPr>
            <w:r>
              <w:rPr>
                <w:sz w:val="20"/>
                <w:szCs w:val="20"/>
              </w:rPr>
              <w:t xml:space="preserve">11</w:t>
            </w: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96" w:type="dxa"/>
          </w:tcPr>
          <w:p>
            <w:pPr>
              <w:pStyle w:val="CeldaAPA"/>
            </w:pPr>
          </w:p>
        </w:tc>
        <w:tc>
          <w:tcPr>
            <w:tcW w:w="1251" w:type="dxa"/>
          </w:tcPr>
          <w:p>
            <w:pPr>
              <w:pStyle w:val="CeldaAPA"/>
            </w:pPr>
          </w:p>
        </w:tc>
      </w:tr>
      <w:tr>
        <w:tc>
          <w:tcPr>
            <w:tcW w:w="666" w:type="dxa"/>
          </w:tcPr>
          <w:p>
            <w:pPr>
              <w:pStyle w:val="CeldaAPA"/>
              <w:jc w:val="center"/>
            </w:pPr>
            <w:r>
              <w:rPr>
                <w:sz w:val="20"/>
                <w:szCs w:val="20"/>
              </w:rPr>
              <w:t xml:space="preserve">12</w:t>
            </w: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96" w:type="dxa"/>
          </w:tcPr>
          <w:p>
            <w:pPr>
              <w:pStyle w:val="CeldaAPA"/>
            </w:pPr>
          </w:p>
        </w:tc>
        <w:tc>
          <w:tcPr>
            <w:tcW w:w="1251" w:type="dxa"/>
          </w:tcPr>
          <w:p>
            <w:pPr>
              <w:pStyle w:val="CeldaAPA"/>
            </w:pPr>
          </w:p>
        </w:tc>
      </w:tr>
      <w:tr>
        <w:tc>
          <w:tcPr>
            <w:tcW w:w="666" w:type="dxa"/>
          </w:tcPr>
          <w:p>
            <w:pPr>
              <w:pStyle w:val="CeldaAPA"/>
              <w:jc w:val="center"/>
            </w:pPr>
            <w:r>
              <w:rPr>
                <w:sz w:val="20"/>
                <w:szCs w:val="20"/>
              </w:rPr>
              <w:t xml:space="preserve">13</w:t>
            </w: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96" w:type="dxa"/>
          </w:tcPr>
          <w:p>
            <w:pPr>
              <w:pStyle w:val="CeldaAPA"/>
            </w:pPr>
          </w:p>
        </w:tc>
        <w:tc>
          <w:tcPr>
            <w:tcW w:w="1251" w:type="dxa"/>
          </w:tcPr>
          <w:p>
            <w:pPr>
              <w:pStyle w:val="CeldaAPA"/>
            </w:pPr>
          </w:p>
        </w:tc>
      </w:tr>
      <w:tr>
        <w:tc>
          <w:tcPr>
            <w:tcW w:w="666" w:type="dxa"/>
          </w:tcPr>
          <w:p>
            <w:pPr>
              <w:pStyle w:val="CeldaAPA"/>
              <w:jc w:val="center"/>
            </w:pPr>
            <w:r>
              <w:rPr>
                <w:sz w:val="20"/>
                <w:szCs w:val="20"/>
              </w:rPr>
              <w:t xml:space="preserve">14</w:t>
            </w: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96" w:type="dxa"/>
          </w:tcPr>
          <w:p>
            <w:pPr>
              <w:pStyle w:val="CeldaAPA"/>
            </w:pPr>
          </w:p>
        </w:tc>
        <w:tc>
          <w:tcPr>
            <w:tcW w:w="1251" w:type="dxa"/>
          </w:tcPr>
          <w:p>
            <w:pPr>
              <w:pStyle w:val="CeldaAPA"/>
            </w:pPr>
          </w:p>
        </w:tc>
      </w:tr>
      <w:tr>
        <w:tc>
          <w:tcPr>
            <w:tcW w:w="666" w:type="dxa"/>
          </w:tcPr>
          <w:p>
            <w:pPr>
              <w:pStyle w:val="CeldaAPA"/>
              <w:jc w:val="center"/>
            </w:pPr>
            <w:r>
              <w:rPr>
                <w:sz w:val="20"/>
                <w:szCs w:val="20"/>
              </w:rPr>
              <w:t xml:space="preserve">15</w:t>
            </w: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96" w:type="dxa"/>
          </w:tcPr>
          <w:p>
            <w:pPr>
              <w:pStyle w:val="CeldaAPA"/>
            </w:pPr>
          </w:p>
        </w:tc>
        <w:tc>
          <w:tcPr>
            <w:tcW w:w="1251" w:type="dxa"/>
          </w:tcPr>
          <w:p>
            <w:pPr>
              <w:pStyle w:val="CeldaAPA"/>
            </w:pPr>
          </w:p>
        </w:tc>
      </w:tr>
      <w:tr>
        <w:tc>
          <w:tcPr>
            <w:tcW w:w="666" w:type="dxa"/>
          </w:tcPr>
          <w:p>
            <w:pPr>
              <w:pStyle w:val="CeldaAPA"/>
              <w:jc w:val="center"/>
            </w:pPr>
            <w:r>
              <w:rPr>
                <w:sz w:val="20"/>
                <w:szCs w:val="20"/>
              </w:rPr>
              <w:t xml:space="preserve">16</w:t>
            </w: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96" w:type="dxa"/>
          </w:tcPr>
          <w:p>
            <w:pPr>
              <w:pStyle w:val="CeldaAPA"/>
            </w:pPr>
          </w:p>
        </w:tc>
        <w:tc>
          <w:tcPr>
            <w:tcW w:w="1251" w:type="dxa"/>
          </w:tcPr>
          <w:p>
            <w:pPr>
              <w:pStyle w:val="CeldaAPA"/>
            </w:pPr>
          </w:p>
        </w:tc>
      </w:tr>
      <w:tr>
        <w:tc>
          <w:tcPr>
            <w:tcW w:w="666" w:type="dxa"/>
          </w:tcPr>
          <w:p>
            <w:pPr>
              <w:pStyle w:val="CeldaAPA"/>
              <w:jc w:val="center"/>
            </w:pPr>
            <w:r>
              <w:rPr>
                <w:sz w:val="20"/>
                <w:szCs w:val="20"/>
              </w:rPr>
              <w:t xml:space="preserve">17</w:t>
            </w: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96" w:type="dxa"/>
          </w:tcPr>
          <w:p>
            <w:pPr>
              <w:pStyle w:val="CeldaAPA"/>
            </w:pPr>
          </w:p>
        </w:tc>
        <w:tc>
          <w:tcPr>
            <w:tcW w:w="1251" w:type="dxa"/>
          </w:tcPr>
          <w:p>
            <w:pPr>
              <w:pStyle w:val="CeldaAPA"/>
            </w:pPr>
          </w:p>
        </w:tc>
      </w:tr>
      <w:tr>
        <w:tc>
          <w:tcPr>
            <w:tcW w:w="666" w:type="dxa"/>
          </w:tcPr>
          <w:p>
            <w:pPr>
              <w:pStyle w:val="CeldaAPA"/>
              <w:jc w:val="center"/>
            </w:pPr>
            <w:r>
              <w:rPr>
                <w:sz w:val="20"/>
                <w:szCs w:val="20"/>
              </w:rPr>
              <w:t xml:space="preserve">18</w:t>
            </w: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96" w:type="dxa"/>
          </w:tcPr>
          <w:p>
            <w:pPr>
              <w:pStyle w:val="CeldaAPA"/>
            </w:pPr>
          </w:p>
        </w:tc>
        <w:tc>
          <w:tcPr>
            <w:tcW w:w="1251" w:type="dxa"/>
          </w:tcPr>
          <w:p>
            <w:pPr>
              <w:pStyle w:val="CeldaAPA"/>
            </w:pPr>
          </w:p>
        </w:tc>
      </w:tr>
      <w:tr>
        <w:tc>
          <w:tcPr>
            <w:tcW w:w="666" w:type="dxa"/>
          </w:tcPr>
          <w:p>
            <w:pPr>
              <w:pStyle w:val="CeldaAPA"/>
              <w:jc w:val="center"/>
            </w:pPr>
            <w:r>
              <w:rPr>
                <w:sz w:val="20"/>
                <w:szCs w:val="20"/>
              </w:rPr>
              <w:t xml:space="preserve">19</w:t>
            </w: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96" w:type="dxa"/>
          </w:tcPr>
          <w:p>
            <w:pPr>
              <w:pStyle w:val="CeldaAPA"/>
            </w:pPr>
          </w:p>
        </w:tc>
        <w:tc>
          <w:tcPr>
            <w:tcW w:w="1251" w:type="dxa"/>
          </w:tcPr>
          <w:p>
            <w:pPr>
              <w:pStyle w:val="CeldaAPA"/>
            </w:pPr>
          </w:p>
        </w:tc>
      </w:tr>
      <w:tr>
        <w:tc>
          <w:tcPr>
            <w:tcW w:w="666" w:type="dxa"/>
          </w:tcPr>
          <w:p>
            <w:pPr>
              <w:pStyle w:val="CeldaAPA"/>
              <w:jc w:val="center"/>
            </w:pPr>
            <w:r>
              <w:rPr>
                <w:sz w:val="20"/>
                <w:szCs w:val="20"/>
              </w:rPr>
              <w:t xml:space="preserve">20</w:t>
            </w: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96" w:type="dxa"/>
          </w:tcPr>
          <w:p>
            <w:pPr>
              <w:pStyle w:val="CeldaAPA"/>
            </w:pPr>
          </w:p>
        </w:tc>
        <w:tc>
          <w:tcPr>
            <w:tcW w:w="1251" w:type="dxa"/>
          </w:tcPr>
          <w:p>
            <w:pPr>
              <w:pStyle w:val="CeldaAPA"/>
            </w:pPr>
          </w:p>
        </w:tc>
      </w:tr>
      <w:tr>
        <w:tc>
          <w:tcPr>
            <w:tcW w:w="666" w:type="dxa"/>
          </w:tcPr>
          <w:p>
            <w:pPr>
              <w:pStyle w:val="CeldaAPA"/>
              <w:jc w:val="center"/>
            </w:pPr>
            <w:r>
              <w:rPr>
                <w:sz w:val="20"/>
                <w:szCs w:val="20"/>
              </w:rPr>
              <w:t xml:space="preserve">21</w:t>
            </w: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96" w:type="dxa"/>
          </w:tcPr>
          <w:p>
            <w:pPr>
              <w:pStyle w:val="CeldaAPA"/>
            </w:pPr>
          </w:p>
        </w:tc>
        <w:tc>
          <w:tcPr>
            <w:tcW w:w="1251" w:type="dxa"/>
          </w:tcPr>
          <w:p>
            <w:pPr>
              <w:pStyle w:val="CeldaAPA"/>
            </w:pPr>
          </w:p>
        </w:tc>
      </w:tr>
      <w:tr>
        <w:tc>
          <w:tcPr>
            <w:tcW w:w="666" w:type="dxa"/>
          </w:tcPr>
          <w:p>
            <w:pPr>
              <w:pStyle w:val="CeldaAPA"/>
              <w:jc w:val="center"/>
            </w:pPr>
            <w:r>
              <w:rPr>
                <w:sz w:val="20"/>
                <w:szCs w:val="20"/>
              </w:rPr>
              <w:t xml:space="preserve">22</w:t>
            </w: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75" w:type="dxa"/>
          </w:tcPr>
          <w:p>
            <w:pPr>
              <w:pStyle w:val="CeldaAPA"/>
            </w:pPr>
          </w:p>
        </w:tc>
        <w:tc>
          <w:tcPr>
            <w:tcW w:w="696" w:type="dxa"/>
          </w:tcPr>
          <w:p>
            <w:pPr>
              <w:pStyle w:val="CeldaAPA"/>
            </w:pPr>
          </w:p>
        </w:tc>
        <w:tc>
          <w:tcPr>
            <w:tcW w:w="1251" w:type="dxa"/>
          </w:tcPr>
          <w:p>
            <w:pPr>
              <w:pStyle w:val="CeldaAPA"/>
            </w:pPr>
          </w:p>
        </w:tc>
      </w:tr>
    </w:tbl>
    <w:p>
      <w:pPr>
        <w:pStyle w:val="BodyText"/>
        <w:spacing w:before="240"/>
      </w:pPr>
      <w:r>
        <w:rPr>
          <w:iCs/>
          <w:i/>
        </w:rPr>
        <w:t xml:space="preserve">Nota.</w:t>
      </w:r>
      <w:r>
        <w:t xml:space="preserve"> </w:t>
      </w:r>
      <w:r>
        <w:t xml:space="preserve">El valor global se calcula con la suma de los cuatro criterios:</w:t>
      </w:r>
      <w:r>
        <w:t xml:space="preserve"> </w:t>
      </w:r>
      <m:oMath>
        <m:r>
          <m:t>V</m:t>
        </m:r>
        <m:r>
          <m:rPr>
            <m:sty m:val="p"/>
          </m:rPr>
          <m:t>=</m:t>
        </m:r>
        <m:r>
          <m:t>S</m:t>
        </m:r>
        <m:r>
          <m:rPr>
            <m:sty m:val="p"/>
          </m:rPr>
          <m:t>/</m:t>
        </m:r>
        <m:d>
          <m:dPr>
            <m:begChr m:val="["/>
            <m:endChr m:val="]"/>
            <m:sepChr m:val=""/>
            <m:grow/>
          </m:dPr>
          <m:e>
            <m:r>
              <m:t>4</m:t>
            </m:r>
            <m:r>
              <m:t> </m:t>
            </m:r>
            <m:r>
              <m:t>n</m:t>
            </m:r>
            <m:r>
              <m:t> </m:t>
            </m:r>
            <m:d>
              <m:dPr>
                <m:begChr m:val="("/>
                <m:endChr m:val=")"/>
                <m:sepChr m:val=""/>
                <m:grow/>
              </m:dPr>
              <m:e>
                <m:r>
                  <m:t>c</m:t>
                </m:r>
                <m:r>
                  <m:rPr>
                    <m:sty m:val="p"/>
                  </m:rPr>
                  <m:t>−</m:t>
                </m:r>
                <m:r>
                  <m:t>1</m:t>
                </m:r>
              </m:e>
            </m:d>
          </m:e>
        </m:d>
      </m:oMath>
      <w:r>
        <w:t xml:space="preserve">.</w:t>
      </w:r>
      <w:r>
        <w:t xml:space="preserve"> </w:t>
      </w:r>
      <w:r>
        <w:rPr>
          <w:rStyle w:val="Pendiente"/>
          <w:bCs/>
          <w:b/>
        </w:rPr>
        <w:t xml:space="preserve">[Pendiente:</w:t>
      </w:r>
      <w:r>
        <w:rPr>
          <w:rStyle w:val="Pendiente"/>
        </w:rPr>
        <w:t xml:space="preserve"> </w:t>
      </w:r>
      <w:r>
        <w:rPr>
          <w:rStyle w:val="Pendiente"/>
        </w:rPr>
        <w:t xml:space="preserve">aplicar el formato a los expertos y completar esta tabla; no se reportan resultados de validación en esta versión.</w:t>
      </w:r>
      <w:r>
        <w:rPr>
          <w:rStyle w:val="Pendiente"/>
          <w:bCs/>
          <w:b/>
        </w:rPr>
        <w:t xml:space="preserve">]</w:t>
      </w:r>
    </w:p>
    <w:p>
      <w:pPr>
        <w:pStyle w:val="Heading1"/>
      </w:pPr>
      <w:bookmarkStart w:id="338" w:name="tit162"/>
      <w:r>
        <w:t xml:space="preserve">ANEXO D</w:t>
      </w:r>
      <w:r>
        <w:br/>
      </w:r>
      <w:r>
        <w:t xml:space="preserve">VALIDACIÓN DE INSTRUMENTOS POR JUICIO DE EXPERTOS</w:t>
      </w:r>
      <w:bookmarkEnd w:id="338"/>
    </w:p>
    <w:p>
      <w:pPr>
        <w:pStyle w:val="Heading1"/>
      </w:pPr>
      <w:bookmarkStart w:id="348" w:name="tit163"/>
      <w:r>
        <w:t xml:space="preserve">ANEXO E</w:t>
      </w:r>
      <w:r>
        <w:br/>
      </w:r>
      <w:r>
        <w:t xml:space="preserve">PLANOS DE LA PRIMERA LOSA</w:t>
      </w:r>
      <w:bookmarkEnd w:id="348"/>
    </w:p>
    <w:p>
      <w:pPr>
        <w:pStyle w:val="FirstParagraph"/>
        <w:sectPr>
          <w:headerReference r:id="rId9" w:type="default"/>
          <w:pgSz w:h="15840" w:w="12240"/>
          <w:pgMar w:bottom="1440" w:footer="720" w:gutter="0" w:header="720" w:left="1440" w:right="1440" w:top="1440"/>
          <w:pgNumType w:fmt="decimal" w:start="1"/>
        </w:sectPr>
      </w:pPr>
      <w:r>
        <w:t xml:space="preserve">Se incluyen los planos del proyecto: geometría y sistema de ejes de la primera losa, sección y detalles de la losa con viguetas pretensadas, y cantidad de viguetas por paño.</w:t>
      </w:r>
    </w:p>
    <w:p>
      <w:pPr>
        <w:pStyle w:val="FiguraAPA"/>
        <w:pageBreakBefore w:val="0"/>
      </w:pPr>
      <w:r>
        <w:drawing>
          <wp:inline>
            <wp:extent cx="5943600" cy="4920141"/>
            <wp:effectExtent b="0" l="0" r="0" t="0"/>
            <wp:docPr descr="image" title="" id="340" name="Picture"/>
            <a:graphic>
              <a:graphicData uri="http://schemas.openxmlformats.org/drawingml/2006/picture">
                <pic:pic>
                  <pic:nvPicPr>
                    <pic:cNvPr descr="/home/user/TesisSGC/07_Entregables/scripts/_trabajo/imagenes/pdfpag_8a2a479eebbf113f14a3.png" id="341" name="Picture"/>
                    <pic:cNvPicPr>
                      <a:picLocks noChangeArrowheads="1" noChangeAspect="1"/>
                    </pic:cNvPicPr>
                  </pic:nvPicPr>
                  <pic:blipFill>
                    <a:blip r:embed="rId339"/>
                    <a:stretch>
                      <a:fillRect/>
                    </a:stretch>
                  </pic:blipFill>
                  <pic:spPr bwMode="auto">
                    <a:xfrm>
                      <a:off x="0" y="0"/>
                      <a:ext cx="5943600" cy="4920141"/>
                    </a:xfrm>
                    <a:prstGeom prst="rect">
                      <a:avLst/>
                    </a:prstGeom>
                    <a:noFill/>
                    <a:ln w="9525">
                      <a:noFill/>
                      <a:headEnd/>
                      <a:tailEnd/>
                    </a:ln>
                  </pic:spPr>
                </pic:pic>
              </a:graphicData>
            </a:graphic>
          </wp:inline>
        </w:drawing>
      </w:r>
    </w:p>
    <w:p>
      <w:pPr>
        <w:pStyle w:val="FiguraAPA"/>
        <w:pageBreakBefore/>
      </w:pPr>
      <w:r>
        <w:drawing>
          <wp:inline>
            <wp:extent cx="5943600" cy="2806941"/>
            <wp:effectExtent b="0" l="0" r="0" t="0"/>
            <wp:docPr descr="image" title="" id="343" name="Picture"/>
            <a:graphic>
              <a:graphicData uri="http://schemas.openxmlformats.org/drawingml/2006/picture">
                <pic:pic>
                  <pic:nvPicPr>
                    <pic:cNvPr descr="/home/user/TesisSGC/07_Entregables/scripts/_trabajo/imagenes/pdfpag_d9714f4a0f6d4923ab81.png" id="344" name="Picture"/>
                    <pic:cNvPicPr>
                      <a:picLocks noChangeArrowheads="1" noChangeAspect="1"/>
                    </pic:cNvPicPr>
                  </pic:nvPicPr>
                  <pic:blipFill>
                    <a:blip r:embed="rId342"/>
                    <a:stretch>
                      <a:fillRect/>
                    </a:stretch>
                  </pic:blipFill>
                  <pic:spPr bwMode="auto">
                    <a:xfrm>
                      <a:off x="0" y="0"/>
                      <a:ext cx="5943600" cy="2806941"/>
                    </a:xfrm>
                    <a:prstGeom prst="rect">
                      <a:avLst/>
                    </a:prstGeom>
                    <a:noFill/>
                    <a:ln w="9525">
                      <a:noFill/>
                      <a:headEnd/>
                      <a:tailEnd/>
                    </a:ln>
                  </pic:spPr>
                </pic:pic>
              </a:graphicData>
            </a:graphic>
          </wp:inline>
        </w:drawing>
      </w:r>
    </w:p>
    <w:p>
      <w:pPr>
        <w:pStyle w:val="FiguraAPA"/>
        <w:pageBreakBefore/>
        <w:sectPr>
          <w:headerReference r:id="rId9" w:type="default"/>
          <w:pgSz w:h="12240" w:w="15840" w:orient="landscape"/>
          <w:pgMar w:bottom="1440" w:footer="720" w:gutter="0" w:header="720" w:left="1440" w:right="1440" w:top="1440"/>
          <w:pgNumType w:fmt="decimal"/>
        </w:sectPr>
      </w:pPr>
      <w:r>
        <w:drawing>
          <wp:inline>
            <wp:extent cx="5943600" cy="4533827"/>
            <wp:effectExtent b="0" l="0" r="0" t="0"/>
            <wp:docPr descr="image" title="" id="346" name="Picture"/>
            <a:graphic>
              <a:graphicData uri="http://schemas.openxmlformats.org/drawingml/2006/picture">
                <pic:pic>
                  <pic:nvPicPr>
                    <pic:cNvPr descr="/home/user/TesisSGC/07_Entregables/scripts/_trabajo/imagenes/pdfpag_208dd597fc679ea710d9.png" id="347" name="Picture"/>
                    <pic:cNvPicPr>
                      <a:picLocks noChangeArrowheads="1" noChangeAspect="1"/>
                    </pic:cNvPicPr>
                  </pic:nvPicPr>
                  <pic:blipFill>
                    <a:blip r:embed="rId345"/>
                    <a:stretch>
                      <a:fillRect/>
                    </a:stretch>
                  </pic:blipFill>
                  <pic:spPr bwMode="auto">
                    <a:xfrm>
                      <a:off x="0" y="0"/>
                      <a:ext cx="5943600" cy="4533827"/>
                    </a:xfrm>
                    <a:prstGeom prst="rect">
                      <a:avLst/>
                    </a:prstGeom>
                    <a:noFill/>
                    <a:ln w="9525">
                      <a:noFill/>
                      <a:headEnd/>
                      <a:tailEnd/>
                    </a:ln>
                  </pic:spPr>
                </pic:pic>
              </a:graphicData>
            </a:graphic>
          </wp:inline>
        </w:drawing>
      </w:r>
    </w:p>
    <w:p>
      <w:pPr>
        <w:pStyle w:val="Heading1"/>
        <w:pageBreakBefore w:val="0"/>
      </w:pPr>
      <w:bookmarkStart w:id="355" w:name="tit164"/>
      <w:r>
        <w:t xml:space="preserve">ANEXO F</w:t>
      </w:r>
      <w:r>
        <w:br/>
      </w:r>
      <w:r>
        <w:t xml:space="preserve">CÓMPUTOS MÉTRICOS Y PLANILLAS DE AVANCE</w:t>
      </w:r>
      <w:bookmarkEnd w:id="355"/>
    </w:p>
    <w:p>
      <w:pPr>
        <w:pStyle w:val="FirstParagraph"/>
      </w:pPr>
      <w:r>
        <w:rPr>
          <w:rStyle w:val="Pendiente"/>
          <w:bCs/>
          <w:b/>
        </w:rPr>
        <w:t xml:space="preserve">[Pendiente:</w:t>
      </w:r>
      <w:r>
        <w:rPr>
          <w:rStyle w:val="Pendiente"/>
        </w:rPr>
        <w:t xml:space="preserve"> </w:t>
      </w:r>
      <w:r>
        <w:rPr>
          <w:rStyle w:val="Pendiente"/>
        </w:rPr>
        <w:t xml:space="preserve">incluir las páginas pertinentes de la Planilla de avance N.</w:t>
      </w:r>
      <w:r>
        <w:rPr>
          <w:rStyle w:val="Pendiente"/>
          <w:vertAlign w:val="superscript"/>
        </w:rPr>
        <w:t xml:space="preserve">o</w:t>
      </w:r>
      <w:r>
        <w:rPr>
          <w:rStyle w:val="Pendiente"/>
        </w:rPr>
        <w:t xml:space="preserve"> 2 y de la planilla de resolución (PAO N.</w:t>
      </w:r>
      <w:r>
        <w:rPr>
          <w:rStyle w:val="Pendiente"/>
          <w:vertAlign w:val="superscript"/>
        </w:rPr>
        <w:t xml:space="preserve">o</w:t>
      </w:r>
      <w:r>
        <w:rPr>
          <w:rStyle w:val="Pendiente"/>
        </w:rPr>
        <w:t xml:space="preserve"> 3) correspondientes al ítem 13. Los archivos están en la carpeta de planillas y cómputos de los datos de obra del repositorio.</w:t>
      </w:r>
      <w:r>
        <w:rPr>
          <w:rStyle w:val="Pendiente"/>
          <w:bCs/>
          <w:b/>
        </w:rPr>
        <w:t xml:space="preserve">]</w:t>
      </w:r>
    </w:p>
    <w:p>
      <w:pPr>
        <w:pStyle w:val="BodyText"/>
      </w:pPr>
      <w:r>
        <w:t xml:space="preserve">Cómputo de los paños de la primera losa (ítem 13):</w:t>
      </w:r>
    </w:p>
    <w:p>
      <w:pPr>
        <w:pStyle w:val="FiguraAPA"/>
        <w:pageBreakBefore/>
        <w:sectPr>
          <w:headerReference r:id="rId9" w:type="default"/>
          <w:pgSz w:h="15840" w:w="12240"/>
          <w:pgMar w:bottom="1440" w:footer="720" w:gutter="0" w:header="720" w:left="1440" w:right="1440" w:top="1440"/>
          <w:pgNumType w:fmt="decimal"/>
        </w:sectPr>
      </w:pPr>
      <w:r>
        <w:drawing>
          <wp:inline>
            <wp:extent cx="5943599" cy="7509509"/>
            <wp:effectExtent b="0" l="0" r="0" t="0"/>
            <wp:docPr descr="image" title="" id="350" name="Picture"/>
            <a:graphic>
              <a:graphicData uri="http://schemas.openxmlformats.org/drawingml/2006/picture">
                <pic:pic>
                  <pic:nvPicPr>
                    <pic:cNvPr descr="/home/user/TesisSGC/07_Entregables/scripts/_trabajo/imagenes/pdfpag_b6fa2141aa72be9ea170.png" id="351" name="Picture"/>
                    <pic:cNvPicPr>
                      <a:picLocks noChangeArrowheads="1" noChangeAspect="1"/>
                    </pic:cNvPicPr>
                  </pic:nvPicPr>
                  <pic:blipFill>
                    <a:blip r:embed="rId349"/>
                    <a:stretch>
                      <a:fillRect/>
                    </a:stretch>
                  </pic:blipFill>
                  <pic:spPr bwMode="auto">
                    <a:xfrm>
                      <a:off x="0" y="0"/>
                      <a:ext cx="5943599" cy="7509509"/>
                    </a:xfrm>
                    <a:prstGeom prst="rect">
                      <a:avLst/>
                    </a:prstGeom>
                    <a:noFill/>
                    <a:ln w="9525">
                      <a:noFill/>
                      <a:headEnd/>
                      <a:tailEnd/>
                    </a:ln>
                  </pic:spPr>
                </pic:pic>
              </a:graphicData>
            </a:graphic>
          </wp:inline>
        </w:drawing>
      </w:r>
    </w:p>
    <w:p>
      <w:pPr>
        <w:pStyle w:val="FiguraAPA"/>
        <w:pageBreakBefore w:val="0"/>
        <w:sectPr>
          <w:headerReference r:id="rId9" w:type="default"/>
          <w:pgSz w:h="12240" w:w="15840" w:orient="landscape"/>
          <w:pgMar w:bottom="1440" w:footer="720" w:gutter="0" w:header="720" w:left="1440" w:right="1440" w:top="1440"/>
          <w:pgNumType w:fmt="decimal"/>
        </w:sectPr>
      </w:pPr>
      <w:r>
        <w:drawing>
          <wp:inline>
            <wp:extent cx="5617799" cy="4691655"/>
            <wp:effectExtent b="0" l="0" r="0" t="0"/>
            <wp:docPr descr="image" title="" id="353" name="Picture"/>
            <a:graphic>
              <a:graphicData uri="http://schemas.openxmlformats.org/drawingml/2006/picture">
                <pic:pic>
                  <pic:nvPicPr>
                    <pic:cNvPr descr="/home/user/TesisSGC/07_Entregables/scripts/_trabajo/imagenes/pdfpag_0d07002bd03667c90f24.png" id="354" name="Picture"/>
                    <pic:cNvPicPr>
                      <a:picLocks noChangeArrowheads="1" noChangeAspect="1"/>
                    </pic:cNvPicPr>
                  </pic:nvPicPr>
                  <pic:blipFill>
                    <a:blip r:embed="rId352"/>
                    <a:stretch>
                      <a:fillRect/>
                    </a:stretch>
                  </pic:blipFill>
                  <pic:spPr bwMode="auto">
                    <a:xfrm>
                      <a:off x="0" y="0"/>
                      <a:ext cx="5617799" cy="4691655"/>
                    </a:xfrm>
                    <a:prstGeom prst="rect">
                      <a:avLst/>
                    </a:prstGeom>
                    <a:noFill/>
                    <a:ln w="9525">
                      <a:noFill/>
                      <a:headEnd/>
                      <a:tailEnd/>
                    </a:ln>
                  </pic:spPr>
                </pic:pic>
              </a:graphicData>
            </a:graphic>
          </wp:inline>
        </w:drawing>
      </w:r>
    </w:p>
    <w:p>
      <w:pPr>
        <w:pStyle w:val="Heading1"/>
        <w:pageBreakBefore w:val="0"/>
      </w:pPr>
      <w:bookmarkStart w:id="362" w:name="tit165"/>
      <w:r>
        <w:t xml:space="preserve">ANEXO G</w:t>
      </w:r>
      <w:r>
        <w:br/>
      </w:r>
      <w:r>
        <w:t xml:space="preserve">CERTIFICADOS DE CALIDAD DE MATERIALES</w:t>
      </w:r>
      <w:bookmarkEnd w:id="362"/>
    </w:p>
    <w:p>
      <w:pPr>
        <w:pStyle w:val="FirstParagraph"/>
      </w:pPr>
      <w:r>
        <w:t xml:space="preserve">Certificados de calidad de las viguetas pretensadas (PRETENSA) y de los complementos de poliestireno expandido (UNICON), del 27 de noviembre de 2025.</w:t>
      </w:r>
    </w:p>
    <w:p>
      <w:pPr>
        <w:pStyle w:val="FiguraAPA"/>
        <w:pageBreakBefore/>
      </w:pPr>
      <w:r>
        <w:drawing>
          <wp:inline>
            <wp:extent cx="5413319" cy="7651058"/>
            <wp:effectExtent b="0" l="0" r="0" t="0"/>
            <wp:docPr descr="image" title="" id="357" name="Picture"/>
            <a:graphic>
              <a:graphicData uri="http://schemas.openxmlformats.org/drawingml/2006/picture">
                <pic:pic>
                  <pic:nvPicPr>
                    <pic:cNvPr descr="/home/user/TesisSGC/07_Entregables/scripts/_trabajo/imagenes/pdfpag_f762a4452ebcecdf8df1.png" id="358" name="Picture"/>
                    <pic:cNvPicPr>
                      <a:picLocks noChangeArrowheads="1" noChangeAspect="1"/>
                    </pic:cNvPicPr>
                  </pic:nvPicPr>
                  <pic:blipFill>
                    <a:blip r:embed="rId356"/>
                    <a:stretch>
                      <a:fillRect/>
                    </a:stretch>
                  </pic:blipFill>
                  <pic:spPr bwMode="auto">
                    <a:xfrm>
                      <a:off x="0" y="0"/>
                      <a:ext cx="5413319" cy="7651058"/>
                    </a:xfrm>
                    <a:prstGeom prst="rect">
                      <a:avLst/>
                    </a:prstGeom>
                    <a:noFill/>
                    <a:ln w="9525">
                      <a:noFill/>
                      <a:headEnd/>
                      <a:tailEnd/>
                    </a:ln>
                  </pic:spPr>
                </pic:pic>
              </a:graphicData>
            </a:graphic>
          </wp:inline>
        </w:drawing>
      </w:r>
    </w:p>
    <w:p>
      <w:pPr>
        <w:pStyle w:val="FiguraAPA"/>
        <w:pageBreakBefore/>
      </w:pPr>
      <w:r>
        <w:drawing>
          <wp:inline>
            <wp:extent cx="5286599" cy="7651114"/>
            <wp:effectExtent b="0" l="0" r="0" t="0"/>
            <wp:docPr descr="image" title="" id="360" name="Picture"/>
            <a:graphic>
              <a:graphicData uri="http://schemas.openxmlformats.org/drawingml/2006/picture">
                <pic:pic>
                  <pic:nvPicPr>
                    <pic:cNvPr descr="/home/user/TesisSGC/07_Entregables/scripts/_trabajo/imagenes/pdfpag_e4293883a27863387d4e.png" id="361" name="Picture"/>
                    <pic:cNvPicPr>
                      <a:picLocks noChangeArrowheads="1" noChangeAspect="1"/>
                    </pic:cNvPicPr>
                  </pic:nvPicPr>
                  <pic:blipFill>
                    <a:blip r:embed="rId359"/>
                    <a:stretch>
                      <a:fillRect/>
                    </a:stretch>
                  </pic:blipFill>
                  <pic:spPr bwMode="auto">
                    <a:xfrm>
                      <a:off x="0" y="0"/>
                      <a:ext cx="5286599" cy="7651114"/>
                    </a:xfrm>
                    <a:prstGeom prst="rect">
                      <a:avLst/>
                    </a:prstGeom>
                    <a:noFill/>
                    <a:ln w="9525">
                      <a:noFill/>
                      <a:headEnd/>
                      <a:tailEnd/>
                    </a:ln>
                  </pic:spPr>
                </pic:pic>
              </a:graphicData>
            </a:graphic>
          </wp:inline>
        </w:drawing>
      </w:r>
    </w:p>
    <w:p>
      <w:pPr>
        <w:pStyle w:val="Heading1"/>
      </w:pPr>
      <w:bookmarkStart w:id="366" w:name="tit166"/>
      <w:r>
        <w:t xml:space="preserve">ANEXO H</w:t>
      </w:r>
      <w:r>
        <w:br/>
      </w:r>
      <w:r>
        <w:t xml:space="preserve">RESULTADOS DE ENSAYOS DE LABORATORIO</w:t>
      </w:r>
      <w:bookmarkEnd w:id="366"/>
    </w:p>
    <w:p>
      <w:pPr>
        <w:pStyle w:val="FirstParagraph"/>
      </w:pPr>
      <w:r>
        <w:t xml:space="preserve">Certificado de laboratorio N.</w:t>
      </w:r>
      <w:r>
        <w:rPr>
          <w:vertAlign w:val="superscript"/>
        </w:rPr>
        <w:t xml:space="preserve">o</w:t>
      </w:r>
      <w:r>
        <w:t xml:space="preserve"> 000293 del Laboratorio de Resistencia de Materiales y Tecnología del Hormigón de la Carrera de Ingeniería Civil (UATF).</w:t>
      </w:r>
    </w:p>
    <w:p>
      <w:pPr>
        <w:pStyle w:val="FiguraAPA"/>
        <w:pageBreakBefore/>
      </w:pPr>
      <w:r>
        <w:drawing>
          <wp:inline>
            <wp:extent cx="5411519" cy="7648514"/>
            <wp:effectExtent b="0" l="0" r="0" t="0"/>
            <wp:docPr descr="image" title="" id="364" name="Picture"/>
            <a:graphic>
              <a:graphicData uri="http://schemas.openxmlformats.org/drawingml/2006/picture">
                <pic:pic>
                  <pic:nvPicPr>
                    <pic:cNvPr descr="/home/user/TesisSGC/07_Entregables/scripts/_trabajo/imagenes/pdfpag_40660e10dc0c98a3d8a6.png" id="365" name="Picture"/>
                    <pic:cNvPicPr>
                      <a:picLocks noChangeArrowheads="1" noChangeAspect="1"/>
                    </pic:cNvPicPr>
                  </pic:nvPicPr>
                  <pic:blipFill>
                    <a:blip r:embed="rId363"/>
                    <a:stretch>
                      <a:fillRect/>
                    </a:stretch>
                  </pic:blipFill>
                  <pic:spPr bwMode="auto">
                    <a:xfrm>
                      <a:off x="0" y="0"/>
                      <a:ext cx="5411519" cy="7648514"/>
                    </a:xfrm>
                    <a:prstGeom prst="rect">
                      <a:avLst/>
                    </a:prstGeom>
                    <a:noFill/>
                    <a:ln w="9525">
                      <a:noFill/>
                      <a:headEnd/>
                      <a:tailEnd/>
                    </a:ln>
                  </pic:spPr>
                </pic:pic>
              </a:graphicData>
            </a:graphic>
          </wp:inline>
        </w:drawing>
      </w:r>
    </w:p>
    <w:p>
      <w:pPr>
        <w:pStyle w:val="BodyText"/>
        <w:spacing w:before="240"/>
      </w:pPr>
      <w:r>
        <w:rPr>
          <w:rStyle w:val="Pendiente"/>
          <w:bCs/>
          <w:b/>
        </w:rPr>
        <w:t xml:space="preserve">[Pendiente:</w:t>
      </w:r>
      <w:r>
        <w:rPr>
          <w:rStyle w:val="Pendiente"/>
        </w:rPr>
        <w:t xml:space="preserve"> </w:t>
      </w:r>
      <w:r>
        <w:rPr>
          <w:rStyle w:val="Pendiente"/>
        </w:rPr>
        <w:t xml:space="preserve">agregar los resultados de los ensayos de la losa obtenidos durante la aplicación del SGC.</w:t>
      </w:r>
      <w:r>
        <w:rPr>
          <w:rStyle w:val="Pendiente"/>
          <w:bCs/>
          <w:b/>
        </w:rPr>
        <w:t xml:space="preserve">]</w:t>
      </w:r>
    </w:p>
    <w:p>
      <w:pPr>
        <w:pStyle w:val="Heading1"/>
      </w:pPr>
      <w:bookmarkStart w:id="369" w:name="tit167"/>
      <w:r>
        <w:t xml:space="preserve">ANEXO I</w:t>
      </w:r>
      <w:r>
        <w:br/>
      </w:r>
      <w:r>
        <w:t xml:space="preserve">ANÁLISIS DE PRECIOS UNITARIOS DE REFERENCIA</w:t>
      </w:r>
      <w:bookmarkEnd w:id="369"/>
    </w:p>
    <w:p>
      <w:pPr>
        <w:pStyle w:val="FirstParagraph"/>
      </w:pPr>
      <w:r>
        <w:t xml:space="preserve">El análisis de precios unitarios (APU) contractual del ítem 13 no forma parte de la documentación de obra disponible para esta investigación. Para valorar las pérdidas de materiales a precios del contrato se reconstruyó un APU de referencia con las cantidades teóricas de la losa (Sección 2.5.4), los precios base de insumos y las incidencias de un APU boliviano documentado</w:t>
      </w:r>
      <w:r>
        <w:t xml:space="preserve"> </w:t>
      </w:r>
      <w:r>
        <w:t xml:space="preserve">(Cocarico Mamani, 2022)</w:t>
      </w:r>
      <w:r>
        <w:t xml:space="preserve">, y el precio de la vigueta pretensada con plastoformo publicado por el</w:t>
      </w:r>
      <w:r>
        <w:t xml:space="preserve"> </w:t>
      </w:r>
      <w:r>
        <w:t xml:space="preserve">INE (2026)</w:t>
      </w:r>
      <w:r>
        <w:t xml:space="preserve">. El APU reconstruido se calibró al precio contractual con un factor único</w:t>
      </w:r>
      <w:r>
        <w:t xml:space="preserve"> </w:t>
      </w:r>
      <m:oMath>
        <m:r>
          <m:t>κ</m:t>
        </m:r>
      </m:oMath>
      <w:r>
        <w:t xml:space="preserve">. Un valor de</w:t>
      </w:r>
      <w:r>
        <w:t xml:space="preserve"> </w:t>
      </w:r>
      <m:oMath>
        <m:r>
          <m:t>κ</m:t>
        </m:r>
      </m:oMath>
      <w:r>
        <w:t xml:space="preserve"> </w:t>
      </w:r>
      <w:r>
        <w:t xml:space="preserve">cercano a 1 indica que la estructura de costos reconstruida es coherente con el precio adjudicado.</w:t>
      </w:r>
    </w:p>
    <w:p>
      <w:pPr>
        <w:pStyle w:val="Heading2"/>
      </w:pPr>
      <w:bookmarkStart w:id="367" w:name="tit168"/>
      <w:r>
        <w:t xml:space="preserve">I.1. Ítem 13: losa alivianada con viguetas pretensadas y plastoformo, h = 25 cm (por m</w:t>
      </w:r>
      <w:r>
        <w:rPr>
          <w:vertAlign w:val="superscript"/>
        </w:rPr>
        <w:t xml:space="preserve">2</w:t>
      </w:r>
      <w:r>
        <w:t xml:space="preserve">)</w:t>
      </w:r>
      <w:bookmarkEnd w:id="367"/>
    </w:p>
    <w:tbl>
      <w:tblPr>
        <w:tblStyle w:val="Table"/>
        <w:tblW w:w="9359" w:type="dxa"/>
        <w:jc w:val="left"/>
        <w:tblLayout w:type="fixed"/>
        <w:tblCellMar>
          <w:top w:w="0" w:type="dxa"/>
          <w:left w:w="85" w:type="dxa"/>
          <w:bottom w:w="0" w:type="dxa"/>
          <w:right w:w="85" w:type="dxa"/>
        </w:tblCellMar>
        <w:tblLook w:firstRow="1" w:lastRow="0" w:firstColumn="0" w:lastColumn="0" w:noHBand="0" w:noVBand="0" w:val="0020"/>
      </w:tblPr>
      <w:tblGrid>
        <w:gridCol w:w="2576"/>
        <w:gridCol w:w="884"/>
        <w:gridCol w:w="1302"/>
        <w:gridCol w:w="1032"/>
        <w:gridCol w:w="1210"/>
        <w:gridCol w:w="2355"/>
      </w:tblGrid>
      <w:tr>
        <w:trPr>
          <w:cantSplit/>
          <w:tblHeader w:val="true"/>
        </w:trPr>
        <w:tc>
          <w:tcPr>
            <w:tcW w:w="2576" w:type="dxa"/>
            <w:tcBorders>
              <w:top w:val="single" w:sz="8" w:space="0" w:color="000000"/>
              <w:bottom w:val="single" w:sz="4" w:space="0" w:color="000000"/>
            </w:tcBorders>
          </w:tcPr>
          <w:p>
            <w:pPr>
              <w:pStyle w:val="CeldaAPA"/>
              <w:jc w:val="center"/>
            </w:pPr>
            <w:r>
              <w:rPr>
                <w:bCs/>
                <w:b/>
              </w:rPr>
              <w:t xml:space="preserve">Insumo</w:t>
            </w:r>
          </w:p>
        </w:tc>
        <w:tc>
          <w:tcPr>
            <w:tcW w:w="884" w:type="dxa"/>
            <w:tcBorders>
              <w:top w:val="single" w:sz="8" w:space="0" w:color="000000"/>
              <w:bottom w:val="single" w:sz="4" w:space="0" w:color="000000"/>
            </w:tcBorders>
          </w:tcPr>
          <w:p>
            <w:pPr>
              <w:pStyle w:val="CeldaAPA"/>
              <w:jc w:val="center"/>
            </w:pPr>
            <w:r>
              <w:rPr>
                <w:bCs/>
                <w:b/>
              </w:rPr>
              <w:t xml:space="preserve">Unid.</w:t>
            </w:r>
          </w:p>
        </w:tc>
        <w:tc>
          <w:tcPr>
            <w:tcW w:w="1302" w:type="dxa"/>
            <w:tcBorders>
              <w:top w:val="single" w:sz="8" w:space="0" w:color="000000"/>
              <w:bottom w:val="single" w:sz="4" w:space="0" w:color="000000"/>
            </w:tcBorders>
          </w:tcPr>
          <w:p>
            <w:pPr>
              <w:pStyle w:val="CeldaAPA"/>
              <w:jc w:val="center"/>
            </w:pPr>
            <w:r>
              <w:rPr>
                <w:bCs/>
                <w:b/>
              </w:rPr>
              <w:t xml:space="preserve">Cantidad</w:t>
            </w:r>
          </w:p>
        </w:tc>
        <w:tc>
          <w:tcPr>
            <w:tcW w:w="1032" w:type="dxa"/>
            <w:tcBorders>
              <w:top w:val="single" w:sz="8" w:space="0" w:color="000000"/>
              <w:bottom w:val="single" w:sz="4" w:space="0" w:color="000000"/>
            </w:tcBorders>
          </w:tcPr>
          <w:p>
            <w:pPr>
              <w:pStyle w:val="CeldaAPA"/>
              <w:jc w:val="center"/>
            </w:pPr>
            <w:r>
              <w:rPr>
                <w:bCs/>
                <w:b/>
              </w:rPr>
              <w:t xml:space="preserve">Precio base (Bs)</w:t>
            </w:r>
          </w:p>
        </w:tc>
        <w:tc>
          <w:tcPr>
            <w:tcW w:w="1210" w:type="dxa"/>
            <w:tcBorders>
              <w:top w:val="single" w:sz="8" w:space="0" w:color="000000"/>
              <w:bottom w:val="single" w:sz="4" w:space="0" w:color="000000"/>
            </w:tcBorders>
          </w:tcPr>
          <w:p>
            <w:pPr>
              <w:pStyle w:val="CeldaAPA"/>
              <w:jc w:val="center"/>
            </w:pPr>
            <w:r>
              <w:rPr>
                <w:bCs/>
                <w:b/>
              </w:rPr>
              <w:t xml:space="preserve">Parcial (Bs)</w:t>
            </w:r>
          </w:p>
        </w:tc>
        <w:tc>
          <w:tcPr>
            <w:tcW w:w="2355" w:type="dxa"/>
            <w:tcBorders>
              <w:top w:val="single" w:sz="8" w:space="0" w:color="000000"/>
              <w:bottom w:val="single" w:sz="4" w:space="0" w:color="000000"/>
            </w:tcBorders>
          </w:tcPr>
          <w:p>
            <w:pPr>
              <w:pStyle w:val="CeldaAPA"/>
              <w:jc w:val="center"/>
            </w:pPr>
            <w:r>
              <w:rPr>
                <w:bCs/>
                <w:b/>
              </w:rPr>
              <w:t xml:space="preserve">Fuente</w:t>
            </w:r>
          </w:p>
        </w:tc>
      </w:tr>
      <w:tr>
        <w:tc>
          <w:tcPr>
            <w:tcW w:w="9359" w:type="dxa"/>
            <w:gridSpan w:val="6"/>
          </w:tcPr>
          <w:p>
            <w:pPr>
              <w:pStyle w:val="CeldaAPA"/>
              <w:jc w:val="left"/>
            </w:pPr>
            <w:r>
              <w:rPr>
                <w:bCs/>
                <w:b/>
              </w:rPr>
              <w:t xml:space="preserve">Materiales</w:t>
            </w:r>
          </w:p>
        </w:tc>
      </w:tr>
      <w:tr>
        <w:tc>
          <w:tcPr>
            <w:tcW w:w="2576" w:type="dxa"/>
          </w:tcPr>
          <w:p>
            <w:pPr>
              <w:pStyle w:val="CeldaAPA"/>
              <w:jc w:val="left"/>
            </w:pPr>
            <w:r>
              <w:rPr/>
              <w:t xml:space="preserve">Vigueta pretensada</w:t>
            </w:r>
          </w:p>
        </w:tc>
        <w:tc>
          <w:tcPr>
            <w:tcW w:w="884" w:type="dxa"/>
          </w:tcPr>
          <w:p>
            <w:pPr>
              <w:pStyle w:val="CeldaAPA"/>
              <w:jc w:val="left"/>
            </w:pPr>
            <w:r>
              <w:rPr/>
              <w:t xml:space="preserve">m</w:t>
            </w:r>
          </w:p>
        </w:tc>
        <w:tc>
          <w:tcPr>
            <w:tcW w:w="1302" w:type="dxa"/>
          </w:tcPr>
          <w:p>
            <w:pPr>
              <w:pStyle w:val="CeldaAPA"/>
              <w:jc w:val="right"/>
            </w:pPr>
            <w:r>
              <w:rPr/>
              <w:t xml:space="preserve">1,9869</w:t>
            </w:r>
          </w:p>
        </w:tc>
        <w:tc>
          <w:tcPr>
            <w:tcW w:w="1032" w:type="dxa"/>
          </w:tcPr>
          <w:p>
            <w:pPr>
              <w:pStyle w:val="CeldaAPA"/>
              <w:jc w:val="right"/>
            </w:pPr>
            <w:r>
              <w:rPr/>
              <w:t xml:space="preserve">25,75</w:t>
            </w:r>
          </w:p>
        </w:tc>
        <w:tc>
          <w:tcPr>
            <w:tcW w:w="1210" w:type="dxa"/>
          </w:tcPr>
          <w:p>
            <w:pPr>
              <w:pStyle w:val="CeldaAPA"/>
              <w:jc w:val="right"/>
            </w:pPr>
            <w:r>
              <w:rPr/>
              <w:t xml:space="preserve">51,16</w:t>
            </w:r>
          </w:p>
        </w:tc>
        <w:tc>
          <w:tcPr>
            <w:tcW w:w="2355" w:type="dxa"/>
          </w:tcPr>
          <w:p>
            <w:pPr>
              <w:pStyle w:val="CeldaAPA"/>
              <w:jc w:val="left"/>
            </w:pPr>
            <w:r>
              <w:rPr/>
              <w:t xml:space="preserve">INE (2026), dic-2023, 2/3 del precio por m² de vigueta con plastoformo</w:t>
            </w:r>
          </w:p>
        </w:tc>
      </w:tr>
      <w:tr>
        <w:tc>
          <w:tcPr>
            <w:tcW w:w="2576" w:type="dxa"/>
          </w:tcPr>
          <w:p>
            <w:pPr>
              <w:pStyle w:val="CeldaAPA"/>
              <w:jc w:val="left"/>
            </w:pPr>
            <w:r>
              <w:rPr/>
              <w:t xml:space="preserve">Complemento de EPS</w:t>
            </w:r>
          </w:p>
        </w:tc>
        <w:tc>
          <w:tcPr>
            <w:tcW w:w="884" w:type="dxa"/>
          </w:tcPr>
          <w:p>
            <w:pPr>
              <w:pStyle w:val="CeldaAPA"/>
              <w:jc w:val="left"/>
            </w:pPr>
            <w:r>
              <w:rPr/>
              <w:t xml:space="preserve">pza</w:t>
            </w:r>
          </w:p>
        </w:tc>
        <w:tc>
          <w:tcPr>
            <w:tcW w:w="1302" w:type="dxa"/>
          </w:tcPr>
          <w:p>
            <w:pPr>
              <w:pStyle w:val="CeldaAPA"/>
              <w:jc w:val="right"/>
            </w:pPr>
            <w:r>
              <w:rPr/>
              <w:t xml:space="preserve">2,0164</w:t>
            </w:r>
          </w:p>
        </w:tc>
        <w:tc>
          <w:tcPr>
            <w:tcW w:w="1032" w:type="dxa"/>
          </w:tcPr>
          <w:p>
            <w:pPr>
              <w:pStyle w:val="CeldaAPA"/>
              <w:jc w:val="right"/>
            </w:pPr>
            <w:r>
              <w:rPr/>
              <w:t xml:space="preserve">12,63</w:t>
            </w:r>
          </w:p>
        </w:tc>
        <w:tc>
          <w:tcPr>
            <w:tcW w:w="1210" w:type="dxa"/>
          </w:tcPr>
          <w:p>
            <w:pPr>
              <w:pStyle w:val="CeldaAPA"/>
              <w:jc w:val="right"/>
            </w:pPr>
            <w:r>
              <w:rPr/>
              <w:t xml:space="preserve">25,47</w:t>
            </w:r>
          </w:p>
        </w:tc>
        <w:tc>
          <w:tcPr>
            <w:tcW w:w="2355" w:type="dxa"/>
          </w:tcPr>
          <w:p>
            <w:pPr>
              <w:pStyle w:val="CeldaAPA"/>
              <w:jc w:val="left"/>
            </w:pPr>
            <w:r>
              <w:rPr/>
              <w:t xml:space="preserve">INE (2026), dic-2023, 1/3 del precio por m² de vigueta con plastoformo</w:t>
            </w:r>
          </w:p>
        </w:tc>
      </w:tr>
      <w:tr>
        <w:tc>
          <w:tcPr>
            <w:tcW w:w="2576" w:type="dxa"/>
          </w:tcPr>
          <w:p>
            <w:pPr>
              <w:pStyle w:val="CeldaAPA"/>
              <w:jc w:val="left"/>
            </w:pPr>
            <w:r>
              <w:rPr/>
              <w:t xml:space="preserve">Cemento portland</w:t>
            </w:r>
          </w:p>
        </w:tc>
        <w:tc>
          <w:tcPr>
            <w:tcW w:w="884" w:type="dxa"/>
          </w:tcPr>
          <w:p>
            <w:pPr>
              <w:pStyle w:val="CeldaAPA"/>
              <w:jc w:val="left"/>
            </w:pPr>
            <w:r>
              <w:rPr/>
              <w:t xml:space="preserve">kg</w:t>
            </w:r>
          </w:p>
        </w:tc>
        <w:tc>
          <w:tcPr>
            <w:tcW w:w="1302" w:type="dxa"/>
          </w:tcPr>
          <w:p>
            <w:pPr>
              <w:pStyle w:val="CeldaAPA"/>
              <w:jc w:val="right"/>
            </w:pPr>
            <w:r>
              <w:rPr/>
              <w:t xml:space="preserve">28,5840</w:t>
            </w:r>
          </w:p>
        </w:tc>
        <w:tc>
          <w:tcPr>
            <w:tcW w:w="1032" w:type="dxa"/>
          </w:tcPr>
          <w:p>
            <w:pPr>
              <w:pStyle w:val="CeldaAPA"/>
              <w:jc w:val="right"/>
            </w:pPr>
            <w:r>
              <w:rPr/>
              <w:t xml:space="preserve">1,00</w:t>
            </w:r>
          </w:p>
        </w:tc>
        <w:tc>
          <w:tcPr>
            <w:tcW w:w="1210" w:type="dxa"/>
          </w:tcPr>
          <w:p>
            <w:pPr>
              <w:pStyle w:val="CeldaAPA"/>
              <w:jc w:val="right"/>
            </w:pPr>
            <w:r>
              <w:rPr/>
              <w:t xml:space="preserve">28,58</w:t>
            </w:r>
          </w:p>
        </w:tc>
        <w:tc>
          <w:tcPr>
            <w:tcW w:w="2355" w:type="dxa"/>
          </w:tcPr>
          <w:p>
            <w:pPr>
              <w:pStyle w:val="CeldaAPA"/>
              <w:jc w:val="left"/>
            </w:pPr>
            <w:r>
              <w:rPr/>
              <w:t xml:space="preserve">Cocarico Mamani (2022, p. 255); ET: 400 kg/m³</w:t>
            </w:r>
          </w:p>
        </w:tc>
      </w:tr>
      <w:tr>
        <w:tc>
          <w:tcPr>
            <w:tcW w:w="2576" w:type="dxa"/>
          </w:tcPr>
          <w:p>
            <w:pPr>
              <w:pStyle w:val="CeldaAPA"/>
              <w:jc w:val="left"/>
            </w:pPr>
            <w:r>
              <w:rPr/>
              <w:t xml:space="preserve">Arena común</w:t>
            </w:r>
          </w:p>
        </w:tc>
        <w:tc>
          <w:tcPr>
            <w:tcW w:w="884" w:type="dxa"/>
          </w:tcPr>
          <w:p>
            <w:pPr>
              <w:pStyle w:val="CeldaAPA"/>
              <w:jc w:val="left"/>
            </w:pPr>
            <w:r>
              <w:rPr/>
              <w:t xml:space="preserve">m3</w:t>
            </w:r>
          </w:p>
        </w:tc>
        <w:tc>
          <w:tcPr>
            <w:tcW w:w="1302" w:type="dxa"/>
          </w:tcPr>
          <w:p>
            <w:pPr>
              <w:pStyle w:val="CeldaAPA"/>
              <w:jc w:val="right"/>
            </w:pPr>
            <w:r>
              <w:rPr/>
              <w:t xml:space="preserve">0,0357</w:t>
            </w:r>
          </w:p>
        </w:tc>
        <w:tc>
          <w:tcPr>
            <w:tcW w:w="1032" w:type="dxa"/>
          </w:tcPr>
          <w:p>
            <w:pPr>
              <w:pStyle w:val="CeldaAPA"/>
              <w:jc w:val="right"/>
            </w:pPr>
            <w:r>
              <w:rPr/>
              <w:t xml:space="preserve">120,00</w:t>
            </w:r>
          </w:p>
        </w:tc>
        <w:tc>
          <w:tcPr>
            <w:tcW w:w="1210" w:type="dxa"/>
          </w:tcPr>
          <w:p>
            <w:pPr>
              <w:pStyle w:val="CeldaAPA"/>
              <w:jc w:val="right"/>
            </w:pPr>
            <w:r>
              <w:rPr/>
              <w:t xml:space="preserve">4,29</w:t>
            </w:r>
          </w:p>
        </w:tc>
        <w:tc>
          <w:tcPr>
            <w:tcW w:w="2355" w:type="dxa"/>
          </w:tcPr>
          <w:p>
            <w:pPr>
              <w:pStyle w:val="CeldaAPA"/>
              <w:jc w:val="left"/>
            </w:pPr>
            <w:r>
              <w:rPr/>
              <w:t xml:space="preserve">Cocarico Mamani (2022, p. 255)</w:t>
            </w:r>
          </w:p>
        </w:tc>
      </w:tr>
      <w:tr>
        <w:tc>
          <w:tcPr>
            <w:tcW w:w="2576" w:type="dxa"/>
          </w:tcPr>
          <w:p>
            <w:pPr>
              <w:pStyle w:val="CeldaAPA"/>
              <w:jc w:val="left"/>
            </w:pPr>
            <w:r>
              <w:rPr/>
              <w:t xml:space="preserve">Grava</w:t>
            </w:r>
          </w:p>
        </w:tc>
        <w:tc>
          <w:tcPr>
            <w:tcW w:w="884" w:type="dxa"/>
          </w:tcPr>
          <w:p>
            <w:pPr>
              <w:pStyle w:val="CeldaAPA"/>
              <w:jc w:val="left"/>
            </w:pPr>
            <w:r>
              <w:rPr/>
              <w:t xml:space="preserve">m3</w:t>
            </w:r>
          </w:p>
        </w:tc>
        <w:tc>
          <w:tcPr>
            <w:tcW w:w="1302" w:type="dxa"/>
          </w:tcPr>
          <w:p>
            <w:pPr>
              <w:pStyle w:val="CeldaAPA"/>
              <w:jc w:val="right"/>
            </w:pPr>
            <w:r>
              <w:rPr/>
              <w:t xml:space="preserve">0,0572</w:t>
            </w:r>
          </w:p>
        </w:tc>
        <w:tc>
          <w:tcPr>
            <w:tcW w:w="1032" w:type="dxa"/>
          </w:tcPr>
          <w:p>
            <w:pPr>
              <w:pStyle w:val="CeldaAPA"/>
              <w:jc w:val="right"/>
            </w:pPr>
            <w:r>
              <w:rPr/>
              <w:t xml:space="preserve">120,00</w:t>
            </w:r>
          </w:p>
        </w:tc>
        <w:tc>
          <w:tcPr>
            <w:tcW w:w="1210" w:type="dxa"/>
          </w:tcPr>
          <w:p>
            <w:pPr>
              <w:pStyle w:val="CeldaAPA"/>
              <w:jc w:val="right"/>
            </w:pPr>
            <w:r>
              <w:rPr/>
              <w:t xml:space="preserve">6,86</w:t>
            </w:r>
          </w:p>
        </w:tc>
        <w:tc>
          <w:tcPr>
            <w:tcW w:w="2355" w:type="dxa"/>
          </w:tcPr>
          <w:p>
            <w:pPr>
              <w:pStyle w:val="CeldaAPA"/>
              <w:jc w:val="left"/>
            </w:pPr>
            <w:r>
              <w:rPr/>
              <w:t xml:space="preserve">Cocarico Mamani (2022, p. 255)</w:t>
            </w:r>
          </w:p>
        </w:tc>
      </w:tr>
      <w:tr>
        <w:tc>
          <w:tcPr>
            <w:tcW w:w="2576" w:type="dxa"/>
          </w:tcPr>
          <w:p>
            <w:pPr>
              <w:pStyle w:val="CeldaAPA"/>
              <w:jc w:val="left"/>
            </w:pPr>
            <w:r>
              <w:rPr/>
              <w:t xml:space="preserve">Madera de construcción</w:t>
            </w:r>
          </w:p>
        </w:tc>
        <w:tc>
          <w:tcPr>
            <w:tcW w:w="884" w:type="dxa"/>
          </w:tcPr>
          <w:p>
            <w:pPr>
              <w:pStyle w:val="CeldaAPA"/>
              <w:jc w:val="left"/>
            </w:pPr>
            <w:r>
              <w:rPr/>
              <w:t xml:space="preserve">p2</w:t>
            </w:r>
          </w:p>
        </w:tc>
        <w:tc>
          <w:tcPr>
            <w:tcW w:w="1302" w:type="dxa"/>
          </w:tcPr>
          <w:p>
            <w:pPr>
              <w:pStyle w:val="CeldaAPA"/>
              <w:jc w:val="right"/>
            </w:pPr>
            <w:r>
              <w:rPr/>
              <w:t xml:space="preserve">1,0000</w:t>
            </w:r>
          </w:p>
        </w:tc>
        <w:tc>
          <w:tcPr>
            <w:tcW w:w="1032" w:type="dxa"/>
          </w:tcPr>
          <w:p>
            <w:pPr>
              <w:pStyle w:val="CeldaAPA"/>
              <w:jc w:val="right"/>
            </w:pPr>
            <w:r>
              <w:rPr/>
              <w:t xml:space="preserve">8,00</w:t>
            </w:r>
          </w:p>
        </w:tc>
        <w:tc>
          <w:tcPr>
            <w:tcW w:w="1210" w:type="dxa"/>
          </w:tcPr>
          <w:p>
            <w:pPr>
              <w:pStyle w:val="CeldaAPA"/>
              <w:jc w:val="right"/>
            </w:pPr>
            <w:r>
              <w:rPr/>
              <w:t xml:space="preserve">8,00</w:t>
            </w:r>
          </w:p>
        </w:tc>
        <w:tc>
          <w:tcPr>
            <w:tcW w:w="2355" w:type="dxa"/>
          </w:tcPr>
          <w:p>
            <w:pPr>
              <w:pStyle w:val="CeldaAPA"/>
              <w:jc w:val="left"/>
            </w:pPr>
            <w:r>
              <w:rPr/>
              <w:t xml:space="preserve">Cocarico Mamani (2022, p. 255)</w:t>
            </w:r>
          </w:p>
        </w:tc>
      </w:tr>
      <w:tr>
        <w:tc>
          <w:tcPr>
            <w:tcW w:w="2576" w:type="dxa"/>
          </w:tcPr>
          <w:p>
            <w:pPr>
              <w:pStyle w:val="CeldaAPA"/>
              <w:jc w:val="left"/>
            </w:pPr>
            <w:r>
              <w:rPr/>
              <w:t xml:space="preserve">Clavos</w:t>
            </w:r>
          </w:p>
        </w:tc>
        <w:tc>
          <w:tcPr>
            <w:tcW w:w="884" w:type="dxa"/>
          </w:tcPr>
          <w:p>
            <w:pPr>
              <w:pStyle w:val="CeldaAPA"/>
              <w:jc w:val="left"/>
            </w:pPr>
            <w:r>
              <w:rPr/>
              <w:t xml:space="preserve">kg</w:t>
            </w:r>
          </w:p>
        </w:tc>
        <w:tc>
          <w:tcPr>
            <w:tcW w:w="1302" w:type="dxa"/>
          </w:tcPr>
          <w:p>
            <w:pPr>
              <w:pStyle w:val="CeldaAPA"/>
              <w:jc w:val="right"/>
            </w:pPr>
            <w:r>
              <w:rPr/>
              <w:t xml:space="preserve">0,1000</w:t>
            </w:r>
          </w:p>
        </w:tc>
        <w:tc>
          <w:tcPr>
            <w:tcW w:w="1032" w:type="dxa"/>
          </w:tcPr>
          <w:p>
            <w:pPr>
              <w:pStyle w:val="CeldaAPA"/>
              <w:jc w:val="right"/>
            </w:pPr>
            <w:r>
              <w:rPr/>
              <w:t xml:space="preserve">10,00</w:t>
            </w:r>
          </w:p>
        </w:tc>
        <w:tc>
          <w:tcPr>
            <w:tcW w:w="1210" w:type="dxa"/>
          </w:tcPr>
          <w:p>
            <w:pPr>
              <w:pStyle w:val="CeldaAPA"/>
              <w:jc w:val="right"/>
            </w:pPr>
            <w:r>
              <w:rPr/>
              <w:t xml:space="preserve">1,00</w:t>
            </w:r>
          </w:p>
        </w:tc>
        <w:tc>
          <w:tcPr>
            <w:tcW w:w="2355" w:type="dxa"/>
          </w:tcPr>
          <w:p>
            <w:pPr>
              <w:pStyle w:val="CeldaAPA"/>
              <w:jc w:val="left"/>
            </w:pPr>
            <w:r>
              <w:rPr/>
              <w:t xml:space="preserve">Cocarico Mamani (2022, p. 255)</w:t>
            </w:r>
          </w:p>
        </w:tc>
      </w:tr>
      <w:tr>
        <w:tc>
          <w:tcPr>
            <w:tcW w:w="2576" w:type="dxa"/>
          </w:tcPr>
          <w:p>
            <w:pPr>
              <w:pStyle w:val="CeldaAPA"/>
              <w:jc w:val="left"/>
            </w:pPr>
            <w:r>
              <w:rPr/>
              <w:t xml:space="preserve">Alambre de amarre</w:t>
            </w:r>
          </w:p>
        </w:tc>
        <w:tc>
          <w:tcPr>
            <w:tcW w:w="884" w:type="dxa"/>
          </w:tcPr>
          <w:p>
            <w:pPr>
              <w:pStyle w:val="CeldaAPA"/>
              <w:jc w:val="left"/>
            </w:pPr>
            <w:r>
              <w:rPr/>
              <w:t xml:space="preserve">kg</w:t>
            </w:r>
          </w:p>
        </w:tc>
        <w:tc>
          <w:tcPr>
            <w:tcW w:w="1302" w:type="dxa"/>
          </w:tcPr>
          <w:p>
            <w:pPr>
              <w:pStyle w:val="CeldaAPA"/>
              <w:jc w:val="right"/>
            </w:pPr>
            <w:r>
              <w:rPr/>
              <w:t xml:space="preserve">0,0200</w:t>
            </w:r>
          </w:p>
        </w:tc>
        <w:tc>
          <w:tcPr>
            <w:tcW w:w="1032" w:type="dxa"/>
          </w:tcPr>
          <w:p>
            <w:pPr>
              <w:pStyle w:val="CeldaAPA"/>
              <w:jc w:val="right"/>
            </w:pPr>
            <w:r>
              <w:rPr/>
              <w:t xml:space="preserve">11,50</w:t>
            </w:r>
          </w:p>
        </w:tc>
        <w:tc>
          <w:tcPr>
            <w:tcW w:w="1210" w:type="dxa"/>
          </w:tcPr>
          <w:p>
            <w:pPr>
              <w:pStyle w:val="CeldaAPA"/>
              <w:jc w:val="right"/>
            </w:pPr>
            <w:r>
              <w:rPr/>
              <w:t xml:space="preserve">0,23</w:t>
            </w:r>
          </w:p>
        </w:tc>
        <w:tc>
          <w:tcPr>
            <w:tcW w:w="2355" w:type="dxa"/>
          </w:tcPr>
          <w:p>
            <w:pPr>
              <w:pStyle w:val="CeldaAPA"/>
              <w:jc w:val="left"/>
            </w:pPr>
            <w:r>
              <w:rPr/>
              <w:t xml:space="preserve">Cocarico Mamani (2022, p. 255)</w:t>
            </w:r>
          </w:p>
        </w:tc>
      </w:tr>
      <w:tr>
        <w:tc>
          <w:tcPr>
            <w:tcW w:w="9359" w:type="dxa"/>
            <w:gridSpan w:val="6"/>
          </w:tcPr>
          <w:p>
            <w:pPr>
              <w:pStyle w:val="CeldaAPA"/>
              <w:jc w:val="left"/>
            </w:pPr>
            <w:r>
              <w:rPr>
                <w:bCs/>
                <w:b/>
              </w:rPr>
              <w:t xml:space="preserve">Mano de obra</w:t>
            </w:r>
          </w:p>
        </w:tc>
      </w:tr>
      <w:tr>
        <w:tc>
          <w:tcPr>
            <w:tcW w:w="2576" w:type="dxa"/>
          </w:tcPr>
          <w:p>
            <w:pPr>
              <w:pStyle w:val="CeldaAPA"/>
              <w:jc w:val="left"/>
            </w:pPr>
            <w:r>
              <w:rPr/>
              <w:t xml:space="preserve">Albañil</w:t>
            </w:r>
          </w:p>
        </w:tc>
        <w:tc>
          <w:tcPr>
            <w:tcW w:w="884" w:type="dxa"/>
          </w:tcPr>
          <w:p>
            <w:pPr>
              <w:pStyle w:val="CeldaAPA"/>
              <w:jc w:val="left"/>
            </w:pPr>
            <w:r>
              <w:rPr/>
              <w:t xml:space="preserve">h</w:t>
            </w:r>
          </w:p>
        </w:tc>
        <w:tc>
          <w:tcPr>
            <w:tcW w:w="1302" w:type="dxa"/>
          </w:tcPr>
          <w:p>
            <w:pPr>
              <w:pStyle w:val="CeldaAPA"/>
              <w:jc w:val="right"/>
            </w:pPr>
            <w:r>
              <w:rPr/>
              <w:t xml:space="preserve">0,4000</w:t>
            </w:r>
          </w:p>
        </w:tc>
        <w:tc>
          <w:tcPr>
            <w:tcW w:w="1032" w:type="dxa"/>
          </w:tcPr>
          <w:p>
            <w:pPr>
              <w:pStyle w:val="CeldaAPA"/>
              <w:jc w:val="right"/>
            </w:pPr>
            <w:r>
              <w:rPr/>
              <w:t xml:space="preserve">22,41</w:t>
            </w:r>
          </w:p>
        </w:tc>
        <w:tc>
          <w:tcPr>
            <w:tcW w:w="1210" w:type="dxa"/>
          </w:tcPr>
          <w:p>
            <w:pPr>
              <w:pStyle w:val="CeldaAPA"/>
              <w:jc w:val="right"/>
            </w:pPr>
            <w:r>
              <w:rPr/>
              <w:t xml:space="preserve">8,96</w:t>
            </w:r>
          </w:p>
        </w:tc>
        <w:tc>
          <w:tcPr>
            <w:tcW w:w="2355" w:type="dxa"/>
          </w:tcPr>
          <w:p>
            <w:pPr>
              <w:pStyle w:val="CeldaAPA"/>
              <w:jc w:val="left"/>
            </w:pPr>
            <w:r>
              <w:rPr/>
              <w:t xml:space="preserve">Cocarico Mamani (2022, p. 255); rendimiento adaptado de Castañeda Briceño (2017, p. 52)</w:t>
            </w:r>
          </w:p>
        </w:tc>
      </w:tr>
      <w:tr>
        <w:tc>
          <w:tcPr>
            <w:tcW w:w="2576" w:type="dxa"/>
          </w:tcPr>
          <w:p>
            <w:pPr>
              <w:pStyle w:val="CeldaAPA"/>
              <w:jc w:val="left"/>
            </w:pPr>
            <w:r>
              <w:rPr/>
              <w:t xml:space="preserve">Ayudante</w:t>
            </w:r>
          </w:p>
        </w:tc>
        <w:tc>
          <w:tcPr>
            <w:tcW w:w="884" w:type="dxa"/>
          </w:tcPr>
          <w:p>
            <w:pPr>
              <w:pStyle w:val="CeldaAPA"/>
              <w:jc w:val="left"/>
            </w:pPr>
            <w:r>
              <w:rPr/>
              <w:t xml:space="preserve">h</w:t>
            </w:r>
          </w:p>
        </w:tc>
        <w:tc>
          <w:tcPr>
            <w:tcW w:w="1302" w:type="dxa"/>
          </w:tcPr>
          <w:p>
            <w:pPr>
              <w:pStyle w:val="CeldaAPA"/>
              <w:jc w:val="right"/>
            </w:pPr>
            <w:r>
              <w:rPr/>
              <w:t xml:space="preserve">0,7000</w:t>
            </w:r>
          </w:p>
        </w:tc>
        <w:tc>
          <w:tcPr>
            <w:tcW w:w="1032" w:type="dxa"/>
          </w:tcPr>
          <w:p>
            <w:pPr>
              <w:pStyle w:val="CeldaAPA"/>
              <w:jc w:val="right"/>
            </w:pPr>
            <w:r>
              <w:rPr/>
              <w:t xml:space="preserve">13,92</w:t>
            </w:r>
          </w:p>
        </w:tc>
        <w:tc>
          <w:tcPr>
            <w:tcW w:w="1210" w:type="dxa"/>
          </w:tcPr>
          <w:p>
            <w:pPr>
              <w:pStyle w:val="CeldaAPA"/>
              <w:jc w:val="right"/>
            </w:pPr>
            <w:r>
              <w:rPr/>
              <w:t xml:space="preserve">9,74</w:t>
            </w:r>
          </w:p>
        </w:tc>
        <w:tc>
          <w:tcPr>
            <w:tcW w:w="2355" w:type="dxa"/>
          </w:tcPr>
          <w:p>
            <w:pPr>
              <w:pStyle w:val="CeldaAPA"/>
              <w:jc w:val="left"/>
            </w:pPr>
            <w:r>
              <w:rPr/>
              <w:t xml:space="preserve">Ídem</w:t>
            </w:r>
          </w:p>
        </w:tc>
      </w:tr>
      <w:tr>
        <w:tc>
          <w:tcPr>
            <w:tcW w:w="2576" w:type="dxa"/>
          </w:tcPr>
          <w:p>
            <w:pPr>
              <w:pStyle w:val="CeldaAPA"/>
              <w:jc w:val="left"/>
            </w:pPr>
            <w:r>
              <w:rPr/>
              <w:t xml:space="preserve">Encofrador</w:t>
            </w:r>
          </w:p>
        </w:tc>
        <w:tc>
          <w:tcPr>
            <w:tcW w:w="884" w:type="dxa"/>
          </w:tcPr>
          <w:p>
            <w:pPr>
              <w:pStyle w:val="CeldaAPA"/>
              <w:jc w:val="left"/>
            </w:pPr>
            <w:r>
              <w:rPr/>
              <w:t xml:space="preserve">h</w:t>
            </w:r>
          </w:p>
        </w:tc>
        <w:tc>
          <w:tcPr>
            <w:tcW w:w="1302" w:type="dxa"/>
          </w:tcPr>
          <w:p>
            <w:pPr>
              <w:pStyle w:val="CeldaAPA"/>
              <w:jc w:val="right"/>
            </w:pPr>
            <w:r>
              <w:rPr/>
              <w:t xml:space="preserve">0,2000</w:t>
            </w:r>
          </w:p>
        </w:tc>
        <w:tc>
          <w:tcPr>
            <w:tcW w:w="1032" w:type="dxa"/>
          </w:tcPr>
          <w:p>
            <w:pPr>
              <w:pStyle w:val="CeldaAPA"/>
              <w:jc w:val="right"/>
            </w:pPr>
            <w:r>
              <w:rPr/>
              <w:t xml:space="preserve">21,07</w:t>
            </w:r>
          </w:p>
        </w:tc>
        <w:tc>
          <w:tcPr>
            <w:tcW w:w="1210" w:type="dxa"/>
          </w:tcPr>
          <w:p>
            <w:pPr>
              <w:pStyle w:val="CeldaAPA"/>
              <w:jc w:val="right"/>
            </w:pPr>
            <w:r>
              <w:rPr/>
              <w:t xml:space="preserve">4,21</w:t>
            </w:r>
          </w:p>
        </w:tc>
        <w:tc>
          <w:tcPr>
            <w:tcW w:w="2355" w:type="dxa"/>
          </w:tcPr>
          <w:p>
            <w:pPr>
              <w:pStyle w:val="CeldaAPA"/>
              <w:jc w:val="left"/>
            </w:pPr>
            <w:r>
              <w:rPr/>
              <w:t xml:space="preserve">Ídem</w:t>
            </w:r>
          </w:p>
        </w:tc>
      </w:tr>
      <w:tr>
        <w:tc>
          <w:tcPr>
            <w:tcW w:w="9359" w:type="dxa"/>
            <w:gridSpan w:val="6"/>
          </w:tcPr>
          <w:p>
            <w:pPr>
              <w:pStyle w:val="CeldaAPA"/>
              <w:jc w:val="left"/>
            </w:pPr>
            <w:r>
              <w:rPr>
                <w:bCs/>
                <w:b/>
              </w:rPr>
              <w:t xml:space="preserve">Equipo y herramientas</w:t>
            </w:r>
          </w:p>
        </w:tc>
      </w:tr>
      <w:tr>
        <w:tc>
          <w:tcPr>
            <w:tcW w:w="2576" w:type="dxa"/>
          </w:tcPr>
          <w:p>
            <w:pPr>
              <w:pStyle w:val="CeldaAPA"/>
              <w:jc w:val="left"/>
            </w:pPr>
            <w:r>
              <w:rPr/>
              <w:t xml:space="preserve">Mezcladora de 280 L</w:t>
            </w:r>
          </w:p>
        </w:tc>
        <w:tc>
          <w:tcPr>
            <w:tcW w:w="884" w:type="dxa"/>
          </w:tcPr>
          <w:p>
            <w:pPr>
              <w:pStyle w:val="CeldaAPA"/>
              <w:jc w:val="left"/>
            </w:pPr>
            <w:r>
              <w:rPr/>
              <w:t xml:space="preserve">h</w:t>
            </w:r>
          </w:p>
        </w:tc>
        <w:tc>
          <w:tcPr>
            <w:tcW w:w="1302" w:type="dxa"/>
          </w:tcPr>
          <w:p>
            <w:pPr>
              <w:pStyle w:val="CeldaAPA"/>
              <w:jc w:val="right"/>
            </w:pPr>
            <w:r>
              <w:rPr/>
              <w:t xml:space="preserve">0,0500</w:t>
            </w:r>
          </w:p>
        </w:tc>
        <w:tc>
          <w:tcPr>
            <w:tcW w:w="1032" w:type="dxa"/>
          </w:tcPr>
          <w:p>
            <w:pPr>
              <w:pStyle w:val="CeldaAPA"/>
              <w:jc w:val="right"/>
            </w:pPr>
            <w:r>
              <w:rPr/>
              <w:t xml:space="preserve">25,24</w:t>
            </w:r>
          </w:p>
        </w:tc>
        <w:tc>
          <w:tcPr>
            <w:tcW w:w="1210" w:type="dxa"/>
          </w:tcPr>
          <w:p>
            <w:pPr>
              <w:pStyle w:val="CeldaAPA"/>
              <w:jc w:val="right"/>
            </w:pPr>
            <w:r>
              <w:rPr/>
              <w:t xml:space="preserve">1,26</w:t>
            </w:r>
          </w:p>
        </w:tc>
        <w:tc>
          <w:tcPr>
            <w:tcW w:w="2355" w:type="dxa"/>
          </w:tcPr>
          <w:p>
            <w:pPr>
              <w:pStyle w:val="CeldaAPA"/>
              <w:jc w:val="left"/>
            </w:pPr>
            <w:r>
              <w:rPr/>
              <w:t xml:space="preserve">Cocarico Mamani (2022, p. 256)</w:t>
            </w:r>
          </w:p>
        </w:tc>
      </w:tr>
      <w:tr>
        <w:tc>
          <w:tcPr>
            <w:tcW w:w="2576" w:type="dxa"/>
          </w:tcPr>
          <w:p>
            <w:pPr>
              <w:pStyle w:val="CeldaAPA"/>
              <w:jc w:val="left"/>
            </w:pPr>
            <w:r>
              <w:rPr/>
              <w:t xml:space="preserve">Vibradora</w:t>
            </w:r>
          </w:p>
        </w:tc>
        <w:tc>
          <w:tcPr>
            <w:tcW w:w="884" w:type="dxa"/>
          </w:tcPr>
          <w:p>
            <w:pPr>
              <w:pStyle w:val="CeldaAPA"/>
              <w:jc w:val="left"/>
            </w:pPr>
            <w:r>
              <w:rPr/>
              <w:t xml:space="preserve">h</w:t>
            </w:r>
          </w:p>
        </w:tc>
        <w:tc>
          <w:tcPr>
            <w:tcW w:w="1302" w:type="dxa"/>
          </w:tcPr>
          <w:p>
            <w:pPr>
              <w:pStyle w:val="CeldaAPA"/>
              <w:jc w:val="right"/>
            </w:pPr>
            <w:r>
              <w:rPr/>
              <w:t xml:space="preserve">0,0500</w:t>
            </w:r>
          </w:p>
        </w:tc>
        <w:tc>
          <w:tcPr>
            <w:tcW w:w="1032" w:type="dxa"/>
          </w:tcPr>
          <w:p>
            <w:pPr>
              <w:pStyle w:val="CeldaAPA"/>
              <w:jc w:val="right"/>
            </w:pPr>
            <w:r>
              <w:rPr/>
              <w:t xml:space="preserve">15,29</w:t>
            </w:r>
          </w:p>
        </w:tc>
        <w:tc>
          <w:tcPr>
            <w:tcW w:w="1210" w:type="dxa"/>
          </w:tcPr>
          <w:p>
            <w:pPr>
              <w:pStyle w:val="CeldaAPA"/>
              <w:jc w:val="right"/>
            </w:pPr>
            <w:r>
              <w:rPr/>
              <w:t xml:space="preserve">0,76</w:t>
            </w:r>
          </w:p>
        </w:tc>
        <w:tc>
          <w:tcPr>
            <w:tcW w:w="2355" w:type="dxa"/>
          </w:tcPr>
          <w:p>
            <w:pPr>
              <w:pStyle w:val="CeldaAPA"/>
              <w:jc w:val="left"/>
            </w:pPr>
            <w:r>
              <w:rPr/>
              <w:t xml:space="preserve">Cocarico Mamani (2022, p. 256)</w:t>
            </w:r>
          </w:p>
        </w:tc>
      </w:tr>
      <w:tr>
        <w:tc>
          <w:tcPr>
            <w:tcW w:w="5794" w:type="dxa"/>
            <w:gridSpan w:val="4"/>
            <w:tcBorders>
              <w:top w:val="single" w:sz="4" w:space="0" w:color="000000"/>
            </w:tcBorders>
          </w:tcPr>
          <w:p>
            <w:pPr>
              <w:pStyle w:val="CeldaAPA"/>
              <w:jc w:val="left"/>
            </w:pPr>
            <w:r>
              <w:rPr/>
              <w:t xml:space="preserve">Subtotal materiales</w:t>
            </w:r>
          </w:p>
        </w:tc>
        <w:tc>
          <w:tcPr>
            <w:tcW w:w="1210" w:type="dxa"/>
            <w:tcBorders>
              <w:top w:val="single" w:sz="4" w:space="0" w:color="000000"/>
            </w:tcBorders>
          </w:tcPr>
          <w:p>
            <w:pPr>
              <w:pStyle w:val="CeldaAPA"/>
              <w:jc w:val="right"/>
            </w:pPr>
            <w:r>
              <w:rPr/>
              <w:t xml:space="preserve">125,59</w:t>
            </w:r>
          </w:p>
        </w:tc>
        <w:tc>
          <w:tcPr>
            <w:tcW w:w="2355" w:type="dxa"/>
            <w:tcBorders>
              <w:top w:val="single" w:sz="4" w:space="0" w:color="000000"/>
            </w:tcBorders>
          </w:tcPr>
          <w:p>
            <w:pPr>
              <w:pStyle w:val="CeldaAPA"/>
            </w:pPr>
          </w:p>
        </w:tc>
      </w:tr>
      <w:tr>
        <w:tc>
          <w:tcPr>
            <w:tcW w:w="5794" w:type="dxa"/>
            <w:gridSpan w:val="4"/>
          </w:tcPr>
          <w:p>
            <w:pPr>
              <w:pStyle w:val="CeldaAPA"/>
              <w:jc w:val="left"/>
            </w:pPr>
            <w:r>
              <w:rPr/>
              <w:t xml:space="preserve">Mano de obra (sin cargas)</w:t>
            </w:r>
          </w:p>
        </w:tc>
        <w:tc>
          <w:tcPr>
            <w:tcW w:w="1210" w:type="dxa"/>
          </w:tcPr>
          <w:p>
            <w:pPr>
              <w:pStyle w:val="CeldaAPA"/>
              <w:jc w:val="right"/>
            </w:pPr>
            <w:r>
              <w:rPr/>
              <w:t xml:space="preserve">22,92</w:t>
            </w:r>
          </w:p>
        </w:tc>
        <w:tc>
          <w:tcPr>
            <w:tcW w:w="2355" w:type="dxa"/>
          </w:tcPr>
          <w:p>
            <w:pPr>
              <w:pStyle w:val="CeldaAPA"/>
            </w:pPr>
          </w:p>
        </w:tc>
      </w:tr>
      <w:tr>
        <w:tc>
          <w:tcPr>
            <w:tcW w:w="5794" w:type="dxa"/>
            <w:gridSpan w:val="4"/>
          </w:tcPr>
          <w:p>
            <w:pPr>
              <w:pStyle w:val="CeldaAPA"/>
              <w:jc w:val="left"/>
            </w:pPr>
            <w:r>
              <w:rPr/>
              <w:t xml:space="preserve">Beneficios sociales (71 % de la mano de obra)</w:t>
            </w:r>
          </w:p>
        </w:tc>
        <w:tc>
          <w:tcPr>
            <w:tcW w:w="1210" w:type="dxa"/>
          </w:tcPr>
          <w:p>
            <w:pPr>
              <w:pStyle w:val="CeldaAPA"/>
              <w:jc w:val="right"/>
            </w:pPr>
            <w:r>
              <w:rPr/>
              <w:t xml:space="preserve">16,27</w:t>
            </w:r>
          </w:p>
        </w:tc>
        <w:tc>
          <w:tcPr>
            <w:tcW w:w="2355" w:type="dxa"/>
          </w:tcPr>
          <w:p>
            <w:pPr>
              <w:pStyle w:val="CeldaAPA"/>
            </w:pPr>
          </w:p>
        </w:tc>
      </w:tr>
      <w:tr>
        <w:tc>
          <w:tcPr>
            <w:tcW w:w="5794" w:type="dxa"/>
            <w:gridSpan w:val="4"/>
          </w:tcPr>
          <w:p>
            <w:pPr>
              <w:pStyle w:val="CeldaAPA"/>
              <w:jc w:val="left"/>
            </w:pPr>
            <w:r>
              <w:rPr/>
              <w:t xml:space="preserve">IVA sobre mano de obra (14,94 %)</w:t>
            </w:r>
          </w:p>
        </w:tc>
        <w:tc>
          <w:tcPr>
            <w:tcW w:w="1210" w:type="dxa"/>
          </w:tcPr>
          <w:p>
            <w:pPr>
              <w:pStyle w:val="CeldaAPA"/>
              <w:jc w:val="right"/>
            </w:pPr>
            <w:r>
              <w:rPr/>
              <w:t xml:space="preserve">5,86</w:t>
            </w:r>
          </w:p>
        </w:tc>
        <w:tc>
          <w:tcPr>
            <w:tcW w:w="2355" w:type="dxa"/>
          </w:tcPr>
          <w:p>
            <w:pPr>
              <w:pStyle w:val="CeldaAPA"/>
            </w:pPr>
          </w:p>
        </w:tc>
      </w:tr>
      <w:tr>
        <w:tc>
          <w:tcPr>
            <w:tcW w:w="5794" w:type="dxa"/>
            <w:gridSpan w:val="4"/>
          </w:tcPr>
          <w:p>
            <w:pPr>
              <w:pStyle w:val="CeldaAPA"/>
              <w:jc w:val="left"/>
            </w:pPr>
            <w:r>
              <w:rPr/>
              <w:t xml:space="preserve">Equipo</w:t>
            </w:r>
          </w:p>
        </w:tc>
        <w:tc>
          <w:tcPr>
            <w:tcW w:w="1210" w:type="dxa"/>
          </w:tcPr>
          <w:p>
            <w:pPr>
              <w:pStyle w:val="CeldaAPA"/>
              <w:jc w:val="right"/>
            </w:pPr>
            <w:r>
              <w:rPr/>
              <w:t xml:space="preserve">2,03</w:t>
            </w:r>
          </w:p>
        </w:tc>
        <w:tc>
          <w:tcPr>
            <w:tcW w:w="2355" w:type="dxa"/>
          </w:tcPr>
          <w:p>
            <w:pPr>
              <w:pStyle w:val="CeldaAPA"/>
            </w:pPr>
          </w:p>
        </w:tc>
      </w:tr>
      <w:tr>
        <w:tc>
          <w:tcPr>
            <w:tcW w:w="5794" w:type="dxa"/>
            <w:gridSpan w:val="4"/>
          </w:tcPr>
          <w:p>
            <w:pPr>
              <w:pStyle w:val="CeldaAPA"/>
              <w:jc w:val="left"/>
            </w:pPr>
            <w:r>
              <w:rPr/>
              <w:t xml:space="preserve">Herramientas menores (5 % de la mano de obra total)</w:t>
            </w:r>
          </w:p>
        </w:tc>
        <w:tc>
          <w:tcPr>
            <w:tcW w:w="1210" w:type="dxa"/>
          </w:tcPr>
          <w:p>
            <w:pPr>
              <w:pStyle w:val="CeldaAPA"/>
              <w:jc w:val="right"/>
            </w:pPr>
            <w:r>
              <w:rPr/>
              <w:t xml:space="preserve">2,25</w:t>
            </w:r>
          </w:p>
        </w:tc>
        <w:tc>
          <w:tcPr>
            <w:tcW w:w="2355" w:type="dxa"/>
          </w:tcPr>
          <w:p>
            <w:pPr>
              <w:pStyle w:val="CeldaAPA"/>
            </w:pPr>
          </w:p>
        </w:tc>
      </w:tr>
      <w:tr>
        <w:tc>
          <w:tcPr>
            <w:tcW w:w="5794" w:type="dxa"/>
            <w:gridSpan w:val="4"/>
          </w:tcPr>
          <w:p>
            <w:pPr>
              <w:pStyle w:val="CeldaAPA"/>
              <w:jc w:val="left"/>
            </w:pPr>
            <w:r>
              <w:rPr>
                <w:bCs/>
                <w:b/>
              </w:rPr>
              <w:t xml:space="preserve">Costo directo</w:t>
            </w:r>
          </w:p>
        </w:tc>
        <w:tc>
          <w:tcPr>
            <w:tcW w:w="1210" w:type="dxa"/>
          </w:tcPr>
          <w:p>
            <w:pPr>
              <w:pStyle w:val="CeldaAPA"/>
              <w:jc w:val="right"/>
            </w:pPr>
            <w:r>
              <w:rPr>
                <w:bCs/>
                <w:b/>
              </w:rPr>
              <w:t xml:space="preserve">174,92</w:t>
            </w:r>
          </w:p>
        </w:tc>
        <w:tc>
          <w:tcPr>
            <w:tcW w:w="2355" w:type="dxa"/>
          </w:tcPr>
          <w:p>
            <w:pPr>
              <w:pStyle w:val="CeldaAPA"/>
            </w:pPr>
          </w:p>
        </w:tc>
      </w:tr>
      <w:tr>
        <w:tc>
          <w:tcPr>
            <w:tcW w:w="5794" w:type="dxa"/>
            <w:gridSpan w:val="4"/>
          </w:tcPr>
          <w:p>
            <w:pPr>
              <w:pStyle w:val="CeldaAPA"/>
              <w:jc w:val="left"/>
            </w:pPr>
            <w:r>
              <w:rPr/>
              <w:t xml:space="preserve">Gastos generales (13 %), utilidad (10 %) e IT (3,09 %): factor 1,2814</w:t>
            </w:r>
          </w:p>
        </w:tc>
        <w:tc>
          <w:tcPr>
            <w:tcW w:w="1210" w:type="dxa"/>
          </w:tcPr>
          <w:p>
            <w:pPr>
              <w:pStyle w:val="CeldaAPA"/>
              <w:jc w:val="right"/>
            </w:pPr>
            <w:r>
              <w:rPr/>
              <w:t xml:space="preserve">224,15</w:t>
            </w:r>
          </w:p>
        </w:tc>
        <w:tc>
          <w:tcPr>
            <w:tcW w:w="2355" w:type="dxa"/>
          </w:tcPr>
          <w:p>
            <w:pPr>
              <w:pStyle w:val="CeldaAPA"/>
            </w:pPr>
          </w:p>
        </w:tc>
      </w:tr>
      <w:tr>
        <w:tc>
          <w:tcPr>
            <w:tcW w:w="5794" w:type="dxa"/>
            <w:gridSpan w:val="4"/>
          </w:tcPr>
          <w:p>
            <w:pPr>
              <w:pStyle w:val="CeldaAPA"/>
              <w:jc w:val="left"/>
            </w:pPr>
            <w:r>
              <w:rPr/>
              <w:t xml:space="preserve">Precio unitario contractual (Bs/m</w:t>
            </w:r>
            <w:r>
              <w:rPr>
                <w:vertAlign w:val="superscript"/>
              </w:rPr>
              <w:t xml:space="preserve">2</w:t>
            </w:r>
            <w:r>
              <w:rPr/>
              <w:t xml:space="preserve">)</w:t>
            </w:r>
          </w:p>
        </w:tc>
        <w:tc>
          <w:tcPr>
            <w:tcW w:w="1210" w:type="dxa"/>
          </w:tcPr>
          <w:p>
            <w:pPr>
              <w:pStyle w:val="CeldaAPA"/>
              <w:jc w:val="right"/>
            </w:pPr>
            <w:r>
              <w:rPr/>
              <w:t xml:space="preserve">215,6753</w:t>
            </w:r>
          </w:p>
        </w:tc>
        <w:tc>
          <w:tcPr>
            <w:tcW w:w="2355" w:type="dxa"/>
          </w:tcPr>
          <w:p>
            <w:pPr>
              <w:pStyle w:val="CeldaAPA"/>
            </w:pPr>
          </w:p>
        </w:tc>
      </w:tr>
      <w:tr>
        <w:tc>
          <w:tcPr>
            <w:tcW w:w="5794" w:type="dxa"/>
            <w:gridSpan w:val="4"/>
            <w:tcBorders>
              <w:bottom w:val="single" w:sz="8" w:space="0" w:color="000000"/>
            </w:tcBorders>
          </w:tcPr>
          <w:p>
            <w:pPr>
              <w:pStyle w:val="CeldaAPA"/>
              <w:jc w:val="left"/>
            </w:pPr>
            <w:r>
              <w:rPr>
                <w:bCs/>
                <w:b/>
              </w:rPr>
              <w:t xml:space="preserve">Factor de calibración</w:t>
            </w:r>
            <w:r>
              <w:rPr>
                <w:bCs/>
                <w:b/>
              </w:rPr>
              <w:t xml:space="preserve"> </w:t>
            </w:r>
            <m:oMath>
              <m:r>
                <m:t>κ</m:t>
              </m:r>
            </m:oMath>
            <w:r>
              <w:rPr>
                <w:bCs/>
                <w:b/>
              </w:rPr>
              <w:t xml:space="preserve"> </w:t>
            </w:r>
            <w:r>
              <w:rPr>
                <w:bCs/>
                <w:b/>
              </w:rPr>
              <w:t xml:space="preserve">= precio contractual / precio reconstruido</w:t>
            </w:r>
          </w:p>
        </w:tc>
        <w:tc>
          <w:tcPr>
            <w:tcW w:w="1210" w:type="dxa"/>
            <w:tcBorders>
              <w:bottom w:val="single" w:sz="8" w:space="0" w:color="000000"/>
            </w:tcBorders>
          </w:tcPr>
          <w:p>
            <w:pPr>
              <w:pStyle w:val="CeldaAPA"/>
              <w:jc w:val="right"/>
            </w:pPr>
            <w:r>
              <w:rPr>
                <w:bCs/>
                <w:b/>
              </w:rPr>
              <w:t xml:space="preserve">0,9622</w:t>
            </w:r>
          </w:p>
        </w:tc>
        <w:tc>
          <w:tcPr>
            <w:tcW w:w="2355" w:type="dxa"/>
            <w:tcBorders>
              <w:bottom w:val="single" w:sz="8" w:space="0" w:color="000000"/>
            </w:tcBorders>
          </w:tcPr>
          <w:p>
            <w:pPr>
              <w:pStyle w:val="CeldaAPA"/>
            </w:pPr>
          </w:p>
        </w:tc>
      </w:tr>
    </w:tbl>
    <w:p>
      <w:pPr>
        <w:pStyle w:val="NotaAPA"/>
      </w:pPr>
      <w:r>
        <w:rPr>
          <w:iCs/>
          <w:i/>
        </w:rPr>
        <w:t xml:space="preserve">Nota.</w:t>
      </w:r>
      <w:r>
        <w:t xml:space="preserve"> </w:t>
      </w:r>
      <w:r>
        <w:t xml:space="preserve">Precios base de 2022 y 2023; el factor</w:t>
      </w:r>
      <w:r>
        <w:t xml:space="preserve"> </w:t>
      </w:r>
      <m:oMath>
        <m:r>
          <m:t>κ</m:t>
        </m:r>
      </m:oMath>
      <w:r>
        <w:t xml:space="preserve"> </w:t>
      </w:r>
      <w:r>
        <w:t xml:space="preserve">lleva el precio reconstruido al nivel del precio contractual de 2025. Las cantidades de hormigón se expresan por m</w:t>
      </w:r>
      <w:r>
        <w:rPr>
          <w:vertAlign w:val="superscript"/>
        </w:rPr>
        <w:t xml:space="preserve">2</w:t>
      </w:r>
      <w:r>
        <w:t xml:space="preserve"> </w:t>
      </w:r>
      <w:r>
        <w:t xml:space="preserve">de losa (cemento, arena y grava por m</w:t>
      </w:r>
      <w:r>
        <w:rPr>
          <w:vertAlign w:val="superscript"/>
        </w:rPr>
        <w:t xml:space="preserve">3</w:t>
      </w:r>
      <w:r>
        <w:t xml:space="preserve"> </w:t>
      </w:r>
      <w:r>
        <w:t xml:space="preserve">multiplicados por el volumen teórico).</w:t>
      </w:r>
    </w:p>
    <w:p>
      <w:pPr>
        <w:pStyle w:val="Heading2"/>
      </w:pPr>
      <w:bookmarkStart w:id="368" w:name="tit169"/>
      <w:r>
        <w:t xml:space="preserve">I.2. Acero estructural de la losa (por kg)</w:t>
      </w:r>
      <w:bookmarkEnd w:id="368"/>
    </w:p>
    <w:tbl>
      <w:tblPr>
        <w:tblStyle w:val="Table"/>
        <w:tblW w:w="9325" w:type="dxa"/>
        <w:jc w:val="left"/>
        <w:tblLayout w:type="fixed"/>
        <w:tblCellMar>
          <w:top w:w="0" w:type="dxa"/>
          <w:left w:w="85" w:type="dxa"/>
          <w:bottom w:w="0" w:type="dxa"/>
          <w:right w:w="85" w:type="dxa"/>
        </w:tblCellMar>
        <w:tblLook w:firstRow="1" w:lastRow="0" w:firstColumn="0" w:lastColumn="0" w:noHBand="0" w:noVBand="0" w:val="0020"/>
      </w:tblPr>
      <w:tblGrid>
        <w:gridCol w:w="2572"/>
        <w:gridCol w:w="884"/>
        <w:gridCol w:w="1302"/>
        <w:gridCol w:w="1032"/>
        <w:gridCol w:w="1116"/>
        <w:gridCol w:w="2419"/>
      </w:tblGrid>
      <w:tr>
        <w:trPr>
          <w:cantSplit/>
          <w:tblHeader w:val="true"/>
        </w:trPr>
        <w:tc>
          <w:tcPr>
            <w:tcW w:w="2572" w:type="dxa"/>
            <w:tcBorders>
              <w:top w:val="single" w:sz="8" w:space="0" w:color="000000"/>
              <w:bottom w:val="single" w:sz="4" w:space="0" w:color="000000"/>
            </w:tcBorders>
          </w:tcPr>
          <w:p>
            <w:pPr>
              <w:pStyle w:val="CeldaAPA"/>
              <w:jc w:val="center"/>
            </w:pPr>
            <w:r>
              <w:rPr>
                <w:bCs/>
                <w:b/>
              </w:rPr>
              <w:t xml:space="preserve">Insumo</w:t>
            </w:r>
          </w:p>
        </w:tc>
        <w:tc>
          <w:tcPr>
            <w:tcW w:w="884" w:type="dxa"/>
            <w:tcBorders>
              <w:top w:val="single" w:sz="8" w:space="0" w:color="000000"/>
              <w:bottom w:val="single" w:sz="4" w:space="0" w:color="000000"/>
            </w:tcBorders>
          </w:tcPr>
          <w:p>
            <w:pPr>
              <w:pStyle w:val="CeldaAPA"/>
              <w:jc w:val="center"/>
            </w:pPr>
            <w:r>
              <w:rPr>
                <w:bCs/>
                <w:b/>
              </w:rPr>
              <w:t xml:space="preserve">Unid.</w:t>
            </w:r>
          </w:p>
        </w:tc>
        <w:tc>
          <w:tcPr>
            <w:tcW w:w="1302" w:type="dxa"/>
            <w:tcBorders>
              <w:top w:val="single" w:sz="8" w:space="0" w:color="000000"/>
              <w:bottom w:val="single" w:sz="4" w:space="0" w:color="000000"/>
            </w:tcBorders>
          </w:tcPr>
          <w:p>
            <w:pPr>
              <w:pStyle w:val="CeldaAPA"/>
              <w:jc w:val="center"/>
            </w:pPr>
            <w:r>
              <w:rPr>
                <w:bCs/>
                <w:b/>
              </w:rPr>
              <w:t xml:space="preserve">Cantidad</w:t>
            </w:r>
          </w:p>
        </w:tc>
        <w:tc>
          <w:tcPr>
            <w:tcW w:w="1032" w:type="dxa"/>
            <w:tcBorders>
              <w:top w:val="single" w:sz="8" w:space="0" w:color="000000"/>
              <w:bottom w:val="single" w:sz="4" w:space="0" w:color="000000"/>
            </w:tcBorders>
          </w:tcPr>
          <w:p>
            <w:pPr>
              <w:pStyle w:val="CeldaAPA"/>
              <w:jc w:val="center"/>
            </w:pPr>
            <w:r>
              <w:rPr>
                <w:bCs/>
                <w:b/>
              </w:rPr>
              <w:t xml:space="preserve">Precio base (Bs)</w:t>
            </w:r>
          </w:p>
        </w:tc>
        <w:tc>
          <w:tcPr>
            <w:tcW w:w="1116" w:type="dxa"/>
            <w:tcBorders>
              <w:top w:val="single" w:sz="8" w:space="0" w:color="000000"/>
              <w:bottom w:val="single" w:sz="4" w:space="0" w:color="000000"/>
            </w:tcBorders>
          </w:tcPr>
          <w:p>
            <w:pPr>
              <w:pStyle w:val="CeldaAPA"/>
              <w:jc w:val="center"/>
            </w:pPr>
            <w:r>
              <w:rPr>
                <w:bCs/>
                <w:b/>
              </w:rPr>
              <w:t xml:space="preserve">Parcial (Bs)</w:t>
            </w:r>
          </w:p>
        </w:tc>
        <w:tc>
          <w:tcPr>
            <w:tcW w:w="2419" w:type="dxa"/>
            <w:tcBorders>
              <w:top w:val="single" w:sz="8" w:space="0" w:color="000000"/>
              <w:bottom w:val="single" w:sz="4" w:space="0" w:color="000000"/>
            </w:tcBorders>
          </w:tcPr>
          <w:p>
            <w:pPr>
              <w:pStyle w:val="CeldaAPA"/>
              <w:jc w:val="center"/>
            </w:pPr>
            <w:r>
              <w:rPr>
                <w:bCs/>
                <w:b/>
              </w:rPr>
              <w:t xml:space="preserve">Fuente</w:t>
            </w:r>
          </w:p>
        </w:tc>
      </w:tr>
      <w:tr>
        <w:tc>
          <w:tcPr>
            <w:tcW w:w="9325" w:type="dxa"/>
            <w:gridSpan w:val="6"/>
          </w:tcPr>
          <w:p>
            <w:pPr>
              <w:pStyle w:val="CeldaAPA"/>
              <w:jc w:val="left"/>
            </w:pPr>
            <w:r>
              <w:rPr>
                <w:bCs/>
                <w:b/>
              </w:rPr>
              <w:t xml:space="preserve">Materiales</w:t>
            </w:r>
          </w:p>
        </w:tc>
      </w:tr>
      <w:tr>
        <w:tc>
          <w:tcPr>
            <w:tcW w:w="2572" w:type="dxa"/>
          </w:tcPr>
          <w:p>
            <w:pPr>
              <w:pStyle w:val="CeldaAPA"/>
              <w:jc w:val="left"/>
            </w:pPr>
            <w:r>
              <w:rPr/>
              <w:t xml:space="preserve">Fierro corrugado</w:t>
            </w:r>
          </w:p>
        </w:tc>
        <w:tc>
          <w:tcPr>
            <w:tcW w:w="884" w:type="dxa"/>
          </w:tcPr>
          <w:p>
            <w:pPr>
              <w:pStyle w:val="CeldaAPA"/>
              <w:jc w:val="left"/>
            </w:pPr>
            <w:r>
              <w:rPr/>
              <w:t xml:space="preserve">kg</w:t>
            </w:r>
          </w:p>
        </w:tc>
        <w:tc>
          <w:tcPr>
            <w:tcW w:w="1302" w:type="dxa"/>
          </w:tcPr>
          <w:p>
            <w:pPr>
              <w:pStyle w:val="CeldaAPA"/>
              <w:jc w:val="right"/>
            </w:pPr>
            <w:r>
              <w:rPr/>
              <w:t xml:space="preserve">1,0000</w:t>
            </w:r>
          </w:p>
        </w:tc>
        <w:tc>
          <w:tcPr>
            <w:tcW w:w="1032" w:type="dxa"/>
          </w:tcPr>
          <w:p>
            <w:pPr>
              <w:pStyle w:val="CeldaAPA"/>
              <w:jc w:val="right"/>
            </w:pPr>
            <w:r>
              <w:rPr/>
              <w:t xml:space="preserve">8,35</w:t>
            </w:r>
          </w:p>
        </w:tc>
        <w:tc>
          <w:tcPr>
            <w:tcW w:w="1116" w:type="dxa"/>
          </w:tcPr>
          <w:p>
            <w:pPr>
              <w:pStyle w:val="CeldaAPA"/>
              <w:jc w:val="right"/>
            </w:pPr>
            <w:r>
              <w:rPr/>
              <w:t xml:space="preserve">8,35</w:t>
            </w:r>
          </w:p>
        </w:tc>
        <w:tc>
          <w:tcPr>
            <w:tcW w:w="2419" w:type="dxa"/>
          </w:tcPr>
          <w:p>
            <w:pPr>
              <w:pStyle w:val="CeldaAPA"/>
              <w:jc w:val="left"/>
            </w:pPr>
            <w:r>
              <w:rPr/>
              <w:t xml:space="preserve">Cocarico Mamani (2022, p. 255)</w:t>
            </w:r>
          </w:p>
        </w:tc>
      </w:tr>
      <w:tr>
        <w:tc>
          <w:tcPr>
            <w:tcW w:w="2572" w:type="dxa"/>
          </w:tcPr>
          <w:p>
            <w:pPr>
              <w:pStyle w:val="CeldaAPA"/>
              <w:jc w:val="left"/>
            </w:pPr>
            <w:r>
              <w:rPr/>
              <w:t xml:space="preserve">Alambre de amarre (acero)</w:t>
            </w:r>
          </w:p>
        </w:tc>
        <w:tc>
          <w:tcPr>
            <w:tcW w:w="884" w:type="dxa"/>
          </w:tcPr>
          <w:p>
            <w:pPr>
              <w:pStyle w:val="CeldaAPA"/>
              <w:jc w:val="left"/>
            </w:pPr>
            <w:r>
              <w:rPr/>
              <w:t xml:space="preserve">kg</w:t>
            </w:r>
          </w:p>
        </w:tc>
        <w:tc>
          <w:tcPr>
            <w:tcW w:w="1302" w:type="dxa"/>
          </w:tcPr>
          <w:p>
            <w:pPr>
              <w:pStyle w:val="CeldaAPA"/>
              <w:jc w:val="right"/>
            </w:pPr>
            <w:r>
              <w:rPr/>
              <w:t xml:space="preserve">0,0300</w:t>
            </w:r>
          </w:p>
        </w:tc>
        <w:tc>
          <w:tcPr>
            <w:tcW w:w="1032" w:type="dxa"/>
          </w:tcPr>
          <w:p>
            <w:pPr>
              <w:pStyle w:val="CeldaAPA"/>
              <w:jc w:val="right"/>
            </w:pPr>
            <w:r>
              <w:rPr/>
              <w:t xml:space="preserve">11,50</w:t>
            </w:r>
          </w:p>
        </w:tc>
        <w:tc>
          <w:tcPr>
            <w:tcW w:w="1116" w:type="dxa"/>
          </w:tcPr>
          <w:p>
            <w:pPr>
              <w:pStyle w:val="CeldaAPA"/>
              <w:jc w:val="right"/>
            </w:pPr>
            <w:r>
              <w:rPr/>
              <w:t xml:space="preserve">0,34</w:t>
            </w:r>
          </w:p>
        </w:tc>
        <w:tc>
          <w:tcPr>
            <w:tcW w:w="2419" w:type="dxa"/>
          </w:tcPr>
          <w:p>
            <w:pPr>
              <w:pStyle w:val="CeldaAPA"/>
              <w:jc w:val="left"/>
            </w:pPr>
            <w:r>
              <w:rPr/>
              <w:t xml:space="preserve">Cocarico Mamani (2022, p. 255)</w:t>
            </w:r>
          </w:p>
        </w:tc>
      </w:tr>
      <w:tr>
        <w:tc>
          <w:tcPr>
            <w:tcW w:w="9325" w:type="dxa"/>
            <w:gridSpan w:val="6"/>
          </w:tcPr>
          <w:p>
            <w:pPr>
              <w:pStyle w:val="CeldaAPA"/>
              <w:jc w:val="left"/>
            </w:pPr>
            <w:r>
              <w:rPr>
                <w:bCs/>
                <w:b/>
              </w:rPr>
              <w:t xml:space="preserve">Mano de obra</w:t>
            </w:r>
          </w:p>
        </w:tc>
      </w:tr>
      <w:tr>
        <w:tc>
          <w:tcPr>
            <w:tcW w:w="2572" w:type="dxa"/>
          </w:tcPr>
          <w:p>
            <w:pPr>
              <w:pStyle w:val="CeldaAPA"/>
              <w:jc w:val="left"/>
            </w:pPr>
            <w:r>
              <w:rPr/>
              <w:t xml:space="preserve">Armador</w:t>
            </w:r>
          </w:p>
        </w:tc>
        <w:tc>
          <w:tcPr>
            <w:tcW w:w="884" w:type="dxa"/>
          </w:tcPr>
          <w:p>
            <w:pPr>
              <w:pStyle w:val="CeldaAPA"/>
              <w:jc w:val="left"/>
            </w:pPr>
            <w:r>
              <w:rPr/>
              <w:t xml:space="preserve">h</w:t>
            </w:r>
          </w:p>
        </w:tc>
        <w:tc>
          <w:tcPr>
            <w:tcW w:w="1302" w:type="dxa"/>
          </w:tcPr>
          <w:p>
            <w:pPr>
              <w:pStyle w:val="CeldaAPA"/>
              <w:jc w:val="right"/>
            </w:pPr>
            <w:r>
              <w:rPr/>
              <w:t xml:space="preserve">0,0400</w:t>
            </w:r>
          </w:p>
        </w:tc>
        <w:tc>
          <w:tcPr>
            <w:tcW w:w="1032" w:type="dxa"/>
          </w:tcPr>
          <w:p>
            <w:pPr>
              <w:pStyle w:val="CeldaAPA"/>
              <w:jc w:val="right"/>
            </w:pPr>
            <w:r>
              <w:rPr/>
              <w:t xml:space="preserve">21,07</w:t>
            </w:r>
          </w:p>
        </w:tc>
        <w:tc>
          <w:tcPr>
            <w:tcW w:w="1116" w:type="dxa"/>
          </w:tcPr>
          <w:p>
            <w:pPr>
              <w:pStyle w:val="CeldaAPA"/>
              <w:jc w:val="right"/>
            </w:pPr>
            <w:r>
              <w:rPr/>
              <w:t xml:space="preserve">0,84</w:t>
            </w:r>
          </w:p>
        </w:tc>
        <w:tc>
          <w:tcPr>
            <w:tcW w:w="2419" w:type="dxa"/>
          </w:tcPr>
          <w:p>
            <w:pPr>
              <w:pStyle w:val="CeldaAPA"/>
              <w:jc w:val="left"/>
            </w:pPr>
            <w:r>
              <w:rPr/>
              <w:t xml:space="preserve">Cocarico Mamani (2022, p. 255); rendimiento de Castañeda Briceño (2017, p. 52)</w:t>
            </w:r>
          </w:p>
        </w:tc>
      </w:tr>
      <w:tr>
        <w:tc>
          <w:tcPr>
            <w:tcW w:w="2572" w:type="dxa"/>
          </w:tcPr>
          <w:p>
            <w:pPr>
              <w:pStyle w:val="CeldaAPA"/>
              <w:jc w:val="left"/>
            </w:pPr>
            <w:r>
              <w:rPr/>
              <w:t xml:space="preserve">Ayudante (acero)</w:t>
            </w:r>
          </w:p>
        </w:tc>
        <w:tc>
          <w:tcPr>
            <w:tcW w:w="884" w:type="dxa"/>
          </w:tcPr>
          <w:p>
            <w:pPr>
              <w:pStyle w:val="CeldaAPA"/>
              <w:jc w:val="left"/>
            </w:pPr>
            <w:r>
              <w:rPr/>
              <w:t xml:space="preserve">h</w:t>
            </w:r>
          </w:p>
        </w:tc>
        <w:tc>
          <w:tcPr>
            <w:tcW w:w="1302" w:type="dxa"/>
          </w:tcPr>
          <w:p>
            <w:pPr>
              <w:pStyle w:val="CeldaAPA"/>
              <w:jc w:val="right"/>
            </w:pPr>
            <w:r>
              <w:rPr/>
              <w:t xml:space="preserve">0,0400</w:t>
            </w:r>
          </w:p>
        </w:tc>
        <w:tc>
          <w:tcPr>
            <w:tcW w:w="1032" w:type="dxa"/>
          </w:tcPr>
          <w:p>
            <w:pPr>
              <w:pStyle w:val="CeldaAPA"/>
              <w:jc w:val="right"/>
            </w:pPr>
            <w:r>
              <w:rPr/>
              <w:t xml:space="preserve">13,92</w:t>
            </w:r>
          </w:p>
        </w:tc>
        <w:tc>
          <w:tcPr>
            <w:tcW w:w="1116" w:type="dxa"/>
          </w:tcPr>
          <w:p>
            <w:pPr>
              <w:pStyle w:val="CeldaAPA"/>
              <w:jc w:val="right"/>
            </w:pPr>
            <w:r>
              <w:rPr/>
              <w:t xml:space="preserve">0,56</w:t>
            </w:r>
          </w:p>
        </w:tc>
        <w:tc>
          <w:tcPr>
            <w:tcW w:w="2419" w:type="dxa"/>
          </w:tcPr>
          <w:p>
            <w:pPr>
              <w:pStyle w:val="CeldaAPA"/>
              <w:jc w:val="left"/>
            </w:pPr>
            <w:r>
              <w:rPr/>
              <w:t xml:space="preserve">Ídem</w:t>
            </w:r>
          </w:p>
        </w:tc>
      </w:tr>
      <w:tr>
        <w:tc>
          <w:tcPr>
            <w:tcW w:w="9325" w:type="dxa"/>
            <w:gridSpan w:val="6"/>
          </w:tcPr>
          <w:p>
            <w:pPr>
              <w:pStyle w:val="CeldaAPA"/>
              <w:jc w:val="left"/>
            </w:pPr>
            <w:r>
              <w:rPr>
                <w:bCs/>
                <w:b/>
              </w:rPr>
              <w:t xml:space="preserve">Equipo y herramientas</w:t>
            </w:r>
          </w:p>
        </w:tc>
      </w:tr>
      <w:tr>
        <w:tc>
          <w:tcPr>
            <w:tcW w:w="5790" w:type="dxa"/>
            <w:gridSpan w:val="4"/>
            <w:tcBorders>
              <w:top w:val="single" w:sz="4" w:space="0" w:color="000000"/>
            </w:tcBorders>
          </w:tcPr>
          <w:p>
            <w:pPr>
              <w:pStyle w:val="CeldaAPA"/>
              <w:jc w:val="left"/>
            </w:pPr>
            <w:r>
              <w:rPr/>
              <w:t xml:space="preserve">Subtotal materiales</w:t>
            </w:r>
          </w:p>
        </w:tc>
        <w:tc>
          <w:tcPr>
            <w:tcW w:w="1116" w:type="dxa"/>
            <w:tcBorders>
              <w:top w:val="single" w:sz="4" w:space="0" w:color="000000"/>
            </w:tcBorders>
          </w:tcPr>
          <w:p>
            <w:pPr>
              <w:pStyle w:val="CeldaAPA"/>
              <w:jc w:val="right"/>
            </w:pPr>
            <w:r>
              <w:rPr/>
              <w:t xml:space="preserve">8,70</w:t>
            </w:r>
          </w:p>
        </w:tc>
        <w:tc>
          <w:tcPr>
            <w:tcW w:w="2419" w:type="dxa"/>
            <w:tcBorders>
              <w:top w:val="single" w:sz="4" w:space="0" w:color="000000"/>
            </w:tcBorders>
          </w:tcPr>
          <w:p>
            <w:pPr>
              <w:pStyle w:val="CeldaAPA"/>
            </w:pPr>
          </w:p>
        </w:tc>
      </w:tr>
      <w:tr>
        <w:tc>
          <w:tcPr>
            <w:tcW w:w="5790" w:type="dxa"/>
            <w:gridSpan w:val="4"/>
          </w:tcPr>
          <w:p>
            <w:pPr>
              <w:pStyle w:val="CeldaAPA"/>
              <w:jc w:val="left"/>
            </w:pPr>
            <w:r>
              <w:rPr/>
              <w:t xml:space="preserve">Mano de obra (sin cargas)</w:t>
            </w:r>
          </w:p>
        </w:tc>
        <w:tc>
          <w:tcPr>
            <w:tcW w:w="1116" w:type="dxa"/>
          </w:tcPr>
          <w:p>
            <w:pPr>
              <w:pStyle w:val="CeldaAPA"/>
              <w:jc w:val="right"/>
            </w:pPr>
            <w:r>
              <w:rPr/>
              <w:t xml:space="preserve">1,40</w:t>
            </w:r>
          </w:p>
        </w:tc>
        <w:tc>
          <w:tcPr>
            <w:tcW w:w="2419" w:type="dxa"/>
          </w:tcPr>
          <w:p>
            <w:pPr>
              <w:pStyle w:val="CeldaAPA"/>
            </w:pPr>
          </w:p>
        </w:tc>
      </w:tr>
      <w:tr>
        <w:tc>
          <w:tcPr>
            <w:tcW w:w="5790" w:type="dxa"/>
            <w:gridSpan w:val="4"/>
          </w:tcPr>
          <w:p>
            <w:pPr>
              <w:pStyle w:val="CeldaAPA"/>
              <w:jc w:val="left"/>
            </w:pPr>
            <w:r>
              <w:rPr/>
              <w:t xml:space="preserve">Beneficios sociales (71 % de la mano de obra)</w:t>
            </w:r>
          </w:p>
        </w:tc>
        <w:tc>
          <w:tcPr>
            <w:tcW w:w="1116" w:type="dxa"/>
          </w:tcPr>
          <w:p>
            <w:pPr>
              <w:pStyle w:val="CeldaAPA"/>
              <w:jc w:val="right"/>
            </w:pPr>
            <w:r>
              <w:rPr/>
              <w:t xml:space="preserve">0,99</w:t>
            </w:r>
          </w:p>
        </w:tc>
        <w:tc>
          <w:tcPr>
            <w:tcW w:w="2419" w:type="dxa"/>
          </w:tcPr>
          <w:p>
            <w:pPr>
              <w:pStyle w:val="CeldaAPA"/>
            </w:pPr>
          </w:p>
        </w:tc>
      </w:tr>
      <w:tr>
        <w:tc>
          <w:tcPr>
            <w:tcW w:w="5790" w:type="dxa"/>
            <w:gridSpan w:val="4"/>
          </w:tcPr>
          <w:p>
            <w:pPr>
              <w:pStyle w:val="CeldaAPA"/>
              <w:jc w:val="left"/>
            </w:pPr>
            <w:r>
              <w:rPr/>
              <w:t xml:space="preserve">IVA sobre mano de obra (14,94 %)</w:t>
            </w:r>
          </w:p>
        </w:tc>
        <w:tc>
          <w:tcPr>
            <w:tcW w:w="1116" w:type="dxa"/>
          </w:tcPr>
          <w:p>
            <w:pPr>
              <w:pStyle w:val="CeldaAPA"/>
              <w:jc w:val="right"/>
            </w:pPr>
            <w:r>
              <w:rPr/>
              <w:t xml:space="preserve">0,36</w:t>
            </w:r>
          </w:p>
        </w:tc>
        <w:tc>
          <w:tcPr>
            <w:tcW w:w="2419" w:type="dxa"/>
          </w:tcPr>
          <w:p>
            <w:pPr>
              <w:pStyle w:val="CeldaAPA"/>
            </w:pPr>
          </w:p>
        </w:tc>
      </w:tr>
      <w:tr>
        <w:tc>
          <w:tcPr>
            <w:tcW w:w="5790" w:type="dxa"/>
            <w:gridSpan w:val="4"/>
          </w:tcPr>
          <w:p>
            <w:pPr>
              <w:pStyle w:val="CeldaAPA"/>
              <w:jc w:val="left"/>
            </w:pPr>
            <w:r>
              <w:rPr/>
              <w:t xml:space="preserve">Equipo</w:t>
            </w:r>
          </w:p>
        </w:tc>
        <w:tc>
          <w:tcPr>
            <w:tcW w:w="1116" w:type="dxa"/>
          </w:tcPr>
          <w:p>
            <w:pPr>
              <w:pStyle w:val="CeldaAPA"/>
              <w:jc w:val="right"/>
            </w:pPr>
            <w:r>
              <w:rPr/>
              <w:t xml:space="preserve">0,00</w:t>
            </w:r>
          </w:p>
        </w:tc>
        <w:tc>
          <w:tcPr>
            <w:tcW w:w="2419" w:type="dxa"/>
          </w:tcPr>
          <w:p>
            <w:pPr>
              <w:pStyle w:val="CeldaAPA"/>
            </w:pPr>
          </w:p>
        </w:tc>
      </w:tr>
      <w:tr>
        <w:tc>
          <w:tcPr>
            <w:tcW w:w="5790" w:type="dxa"/>
            <w:gridSpan w:val="4"/>
          </w:tcPr>
          <w:p>
            <w:pPr>
              <w:pStyle w:val="CeldaAPA"/>
              <w:jc w:val="left"/>
            </w:pPr>
            <w:r>
              <w:rPr/>
              <w:t xml:space="preserve">Herramientas menores (5 % de la mano de obra total)</w:t>
            </w:r>
          </w:p>
        </w:tc>
        <w:tc>
          <w:tcPr>
            <w:tcW w:w="1116" w:type="dxa"/>
          </w:tcPr>
          <w:p>
            <w:pPr>
              <w:pStyle w:val="CeldaAPA"/>
              <w:jc w:val="right"/>
            </w:pPr>
            <w:r>
              <w:rPr/>
              <w:t xml:space="preserve">0,14</w:t>
            </w:r>
          </w:p>
        </w:tc>
        <w:tc>
          <w:tcPr>
            <w:tcW w:w="2419" w:type="dxa"/>
          </w:tcPr>
          <w:p>
            <w:pPr>
              <w:pStyle w:val="CeldaAPA"/>
            </w:pPr>
          </w:p>
        </w:tc>
      </w:tr>
      <w:tr>
        <w:tc>
          <w:tcPr>
            <w:tcW w:w="5790" w:type="dxa"/>
            <w:gridSpan w:val="4"/>
          </w:tcPr>
          <w:p>
            <w:pPr>
              <w:pStyle w:val="CeldaAPA"/>
              <w:jc w:val="left"/>
            </w:pPr>
            <w:r>
              <w:rPr>
                <w:bCs/>
                <w:b/>
              </w:rPr>
              <w:t xml:space="preserve">Costo directo</w:t>
            </w:r>
          </w:p>
        </w:tc>
        <w:tc>
          <w:tcPr>
            <w:tcW w:w="1116" w:type="dxa"/>
          </w:tcPr>
          <w:p>
            <w:pPr>
              <w:pStyle w:val="CeldaAPA"/>
              <w:jc w:val="right"/>
            </w:pPr>
            <w:r>
              <w:rPr>
                <w:bCs/>
                <w:b/>
              </w:rPr>
              <w:t xml:space="preserve">11,58</w:t>
            </w:r>
          </w:p>
        </w:tc>
        <w:tc>
          <w:tcPr>
            <w:tcW w:w="2419" w:type="dxa"/>
          </w:tcPr>
          <w:p>
            <w:pPr>
              <w:pStyle w:val="CeldaAPA"/>
            </w:pPr>
          </w:p>
        </w:tc>
      </w:tr>
      <w:tr>
        <w:tc>
          <w:tcPr>
            <w:tcW w:w="5790" w:type="dxa"/>
            <w:gridSpan w:val="4"/>
          </w:tcPr>
          <w:p>
            <w:pPr>
              <w:pStyle w:val="CeldaAPA"/>
              <w:jc w:val="left"/>
            </w:pPr>
            <w:r>
              <w:rPr/>
              <w:t xml:space="preserve">Gastos generales (13 %), utilidad (10 %) e IT (3,09 %): factor 1,2814</w:t>
            </w:r>
          </w:p>
        </w:tc>
        <w:tc>
          <w:tcPr>
            <w:tcW w:w="1116" w:type="dxa"/>
          </w:tcPr>
          <w:p>
            <w:pPr>
              <w:pStyle w:val="CeldaAPA"/>
              <w:jc w:val="right"/>
            </w:pPr>
            <w:r>
              <w:rPr/>
              <w:t xml:space="preserve">14,84</w:t>
            </w:r>
          </w:p>
        </w:tc>
        <w:tc>
          <w:tcPr>
            <w:tcW w:w="2419" w:type="dxa"/>
          </w:tcPr>
          <w:p>
            <w:pPr>
              <w:pStyle w:val="CeldaAPA"/>
            </w:pPr>
          </w:p>
        </w:tc>
      </w:tr>
      <w:tr>
        <w:tc>
          <w:tcPr>
            <w:tcW w:w="5790" w:type="dxa"/>
            <w:gridSpan w:val="4"/>
          </w:tcPr>
          <w:p>
            <w:pPr>
              <w:pStyle w:val="CeldaAPA"/>
              <w:jc w:val="left"/>
            </w:pPr>
            <w:r>
              <w:rPr/>
              <w:t xml:space="preserve">Precio unitario contractual (Bs/kg)</w:t>
            </w:r>
          </w:p>
        </w:tc>
        <w:tc>
          <w:tcPr>
            <w:tcW w:w="1116" w:type="dxa"/>
          </w:tcPr>
          <w:p>
            <w:pPr>
              <w:pStyle w:val="CeldaAPA"/>
              <w:jc w:val="right"/>
            </w:pPr>
            <w:r>
              <w:rPr/>
              <w:t xml:space="preserve">16,7558</w:t>
            </w:r>
          </w:p>
        </w:tc>
        <w:tc>
          <w:tcPr>
            <w:tcW w:w="2419" w:type="dxa"/>
          </w:tcPr>
          <w:p>
            <w:pPr>
              <w:pStyle w:val="CeldaAPA"/>
            </w:pPr>
          </w:p>
        </w:tc>
      </w:tr>
      <w:tr>
        <w:tc>
          <w:tcPr>
            <w:tcW w:w="5790" w:type="dxa"/>
            <w:gridSpan w:val="4"/>
            <w:tcBorders>
              <w:bottom w:val="single" w:sz="8" w:space="0" w:color="000000"/>
            </w:tcBorders>
          </w:tcPr>
          <w:p>
            <w:pPr>
              <w:pStyle w:val="CeldaAPA"/>
              <w:jc w:val="left"/>
            </w:pPr>
            <w:r>
              <w:rPr>
                <w:bCs/>
                <w:b/>
              </w:rPr>
              <w:t xml:space="preserve">Factor de calibración</w:t>
            </w:r>
            <w:r>
              <w:rPr>
                <w:bCs/>
                <w:b/>
              </w:rPr>
              <w:t xml:space="preserve"> </w:t>
            </w:r>
            <m:oMath>
              <m:r>
                <m:t>κ</m:t>
              </m:r>
            </m:oMath>
            <w:r>
              <w:rPr>
                <w:bCs/>
                <w:b/>
              </w:rPr>
              <w:t xml:space="preserve"> </w:t>
            </w:r>
            <w:r>
              <w:rPr>
                <w:bCs/>
                <w:b/>
              </w:rPr>
              <w:t xml:space="preserve">= precio contractual / precio reconstruido</w:t>
            </w:r>
          </w:p>
        </w:tc>
        <w:tc>
          <w:tcPr>
            <w:tcW w:w="1116" w:type="dxa"/>
            <w:tcBorders>
              <w:bottom w:val="single" w:sz="8" w:space="0" w:color="000000"/>
            </w:tcBorders>
          </w:tcPr>
          <w:p>
            <w:pPr>
              <w:pStyle w:val="CeldaAPA"/>
              <w:jc w:val="right"/>
            </w:pPr>
            <w:r>
              <w:rPr>
                <w:bCs/>
                <w:b/>
              </w:rPr>
              <w:t xml:space="preserve">1,1289</w:t>
            </w:r>
          </w:p>
        </w:tc>
        <w:tc>
          <w:tcPr>
            <w:tcW w:w="2419" w:type="dxa"/>
            <w:tcBorders>
              <w:bottom w:val="single" w:sz="8" w:space="0" w:color="000000"/>
            </w:tcBorders>
          </w:tcPr>
          <w:p>
            <w:pPr>
              <w:pStyle w:val="CeldaAPA"/>
            </w:pPr>
          </w:p>
        </w:tc>
      </w:tr>
    </w:tbl>
    <w:p>
      <w:pPr>
        <w:pStyle w:val="NotaAPA"/>
      </w:pPr>
      <w:r>
        <w:rPr>
          <w:iCs/>
          <w:i/>
        </w:rPr>
        <w:t xml:space="preserve">Nota.</w:t>
      </w:r>
      <w:r>
        <w:t xml:space="preserve"> </w:t>
      </w:r>
      <w:r>
        <w:t xml:space="preserve">El acero de la losa se mide y paga en el ítem 8 (Bs 16,75584/kg). El factor</w:t>
      </w:r>
      <w:r>
        <w:t xml:space="preserve"> </w:t>
      </w:r>
      <m:oMath>
        <m:r>
          <m:t>κ</m:t>
        </m:r>
      </m:oMath>
      <w:r>
        <w:t xml:space="preserve"> </w:t>
      </w:r>
      <w:r>
        <w:t xml:space="preserve">del acero se usa para obtener el precio de valoración del material desperdiciado.</w:t>
      </w:r>
    </w:p>
    <w:p>
      <w:pPr>
        <w:pStyle w:val="BodyText"/>
      </w:pPr>
      <w:r>
        <w:rPr>
          <w:rStyle w:val="Pendiente"/>
          <w:bCs/>
          <w:b/>
        </w:rPr>
        <w:t xml:space="preserve">[Pendiente:</w:t>
      </w:r>
      <w:r>
        <w:rPr>
          <w:rStyle w:val="Pendiente"/>
        </w:rPr>
        <w:t xml:space="preserve"> </w:t>
      </w:r>
      <w:r>
        <w:rPr>
          <w:rStyle w:val="Pendiente"/>
        </w:rPr>
        <w:t xml:space="preserve">reemplazar o contrastar este APU de referencia con el APU contractual del ítem 13, que debe solicitarse a la Fiscalización.</w:t>
      </w:r>
      <w:r>
        <w:rPr>
          <w:rStyle w:val="Pendiente"/>
          <w:bCs/>
          <w:b/>
        </w:rPr>
        <w:t xml:space="preserve">]</w:t>
      </w:r>
    </w:p>
    <w:p>
      <w:pPr>
        <w:pStyle w:val="Heading1"/>
      </w:pPr>
      <w:bookmarkStart w:id="379" w:name="tit170"/>
      <w:r>
        <w:t xml:space="preserve">ANEXO J</w:t>
      </w:r>
      <w:r>
        <w:br/>
      </w:r>
      <w:r>
        <w:t xml:space="preserve">PANEL FOTOGRÁFICO</w:t>
      </w:r>
      <w:bookmarkEnd w:id="379"/>
    </w:p>
    <w:p>
      <w:pPr>
        <w:pStyle w:val="FiguraAPA"/>
        <w:pageBreakBefore/>
      </w:pPr>
      <w:r>
        <w:drawing>
          <wp:inline>
            <wp:extent cx="4354559" cy="7651179"/>
            <wp:effectExtent b="0" l="0" r="0" t="0"/>
            <wp:docPr descr="image" title="" id="371" name="Picture"/>
            <a:graphic>
              <a:graphicData uri="http://schemas.openxmlformats.org/drawingml/2006/picture">
                <pic:pic>
                  <pic:nvPicPr>
                    <pic:cNvPr descr="/home/user/TesisSGC/07_Entregables/scripts/_trabajo/imagenes/pdfpag_52c565b86c63f6afe394.png" id="372" name="Picture"/>
                    <pic:cNvPicPr>
                      <a:picLocks noChangeArrowheads="1" noChangeAspect="1"/>
                    </pic:cNvPicPr>
                  </pic:nvPicPr>
                  <pic:blipFill>
                    <a:blip r:embed="rId370"/>
                    <a:stretch>
                      <a:fillRect/>
                    </a:stretch>
                  </pic:blipFill>
                  <pic:spPr bwMode="auto">
                    <a:xfrm>
                      <a:off x="0" y="0"/>
                      <a:ext cx="4354559" cy="7651179"/>
                    </a:xfrm>
                    <a:prstGeom prst="rect">
                      <a:avLst/>
                    </a:prstGeom>
                    <a:noFill/>
                    <a:ln w="9525">
                      <a:noFill/>
                      <a:headEnd/>
                      <a:tailEnd/>
                    </a:ln>
                  </pic:spPr>
                </pic:pic>
              </a:graphicData>
            </a:graphic>
          </wp:inline>
        </w:drawing>
      </w:r>
    </w:p>
    <w:p>
      <w:pPr>
        <w:pStyle w:val="FiguraAPA"/>
        <w:pageBreakBefore/>
        <w:sectPr>
          <w:headerReference r:id="rId9" w:type="default"/>
          <w:pgSz w:h="15840" w:w="12240"/>
          <w:pgMar w:bottom="1440" w:footer="720" w:gutter="0" w:header="720" w:left="1440" w:right="1440" w:top="1440"/>
          <w:pgNumType w:fmt="decimal"/>
        </w:sectPr>
      </w:pPr>
      <w:r>
        <w:drawing>
          <wp:inline>
            <wp:extent cx="5593319" cy="7457759"/>
            <wp:effectExtent b="0" l="0" r="0" t="0"/>
            <wp:docPr descr="image" title="" id="374" name="Picture"/>
            <a:graphic>
              <a:graphicData uri="http://schemas.openxmlformats.org/drawingml/2006/picture">
                <pic:pic>
                  <pic:nvPicPr>
                    <pic:cNvPr descr="/home/user/TesisSGC/07_Entregables/scripts/_trabajo/imagenes/pdfpag_0eb01302812ff4f7f04b.png" id="375" name="Picture"/>
                    <pic:cNvPicPr>
                      <a:picLocks noChangeArrowheads="1" noChangeAspect="1"/>
                    </pic:cNvPicPr>
                  </pic:nvPicPr>
                  <pic:blipFill>
                    <a:blip r:embed="rId373"/>
                    <a:stretch>
                      <a:fillRect/>
                    </a:stretch>
                  </pic:blipFill>
                  <pic:spPr bwMode="auto">
                    <a:xfrm>
                      <a:off x="0" y="0"/>
                      <a:ext cx="5593319" cy="7457759"/>
                    </a:xfrm>
                    <a:prstGeom prst="rect">
                      <a:avLst/>
                    </a:prstGeom>
                    <a:noFill/>
                    <a:ln w="9525">
                      <a:noFill/>
                      <a:headEnd/>
                      <a:tailEnd/>
                    </a:ln>
                  </pic:spPr>
                </pic:pic>
              </a:graphicData>
            </a:graphic>
          </wp:inline>
        </w:drawing>
      </w:r>
    </w:p>
    <w:p>
      <w:pPr>
        <w:pStyle w:val="FiguraAPA"/>
        <w:pageBreakBefore w:val="0"/>
        <w:sectPr>
          <w:headerReference r:id="rId9" w:type="default"/>
          <w:pgSz w:h="12240" w:w="15840" w:orient="landscape"/>
          <w:pgMar w:bottom="1440" w:footer="720" w:gutter="0" w:header="720" w:left="1440" w:right="1440" w:top="1440"/>
          <w:pgNumType w:fmt="decimal"/>
        </w:sectPr>
      </w:pPr>
      <w:r>
        <w:drawing>
          <wp:inline>
            <wp:extent cx="5361839" cy="4124960"/>
            <wp:effectExtent b="0" l="0" r="0" t="0"/>
            <wp:docPr descr="image" title="" id="377" name="Picture"/>
            <a:graphic>
              <a:graphicData uri="http://schemas.openxmlformats.org/drawingml/2006/picture">
                <pic:pic>
                  <pic:nvPicPr>
                    <pic:cNvPr descr="/home/user/TesisSGC/07_Entregables/scripts/_trabajo/imagenes/pdfpag_f00b924f3632ade8846e.png" id="378" name="Picture"/>
                    <pic:cNvPicPr>
                      <a:picLocks noChangeArrowheads="1" noChangeAspect="1"/>
                    </pic:cNvPicPr>
                  </pic:nvPicPr>
                  <pic:blipFill>
                    <a:blip r:embed="rId376"/>
                    <a:stretch>
                      <a:fillRect/>
                    </a:stretch>
                  </pic:blipFill>
                  <pic:spPr bwMode="auto">
                    <a:xfrm>
                      <a:off x="0" y="0"/>
                      <a:ext cx="5361839" cy="4124960"/>
                    </a:xfrm>
                    <a:prstGeom prst="rect">
                      <a:avLst/>
                    </a:prstGeom>
                    <a:noFill/>
                    <a:ln w="9525">
                      <a:noFill/>
                      <a:headEnd/>
                      <a:tailEnd/>
                    </a:ln>
                  </pic:spPr>
                </pic:pic>
              </a:graphicData>
            </a:graphic>
          </wp:inline>
        </w:drawing>
      </w:r>
    </w:p>
    <w:p>
      <w:pPr>
        <w:pStyle w:val="BodyText"/>
        <w:pageBreakBefore w:val="0"/>
        <w:spacing w:before="240"/>
      </w:pPr>
      <w:r>
        <w:rPr>
          <w:rStyle w:val="Pendiente"/>
          <w:bCs/>
          <w:b/>
        </w:rPr>
        <w:t xml:space="preserve">[Pendiente:</w:t>
      </w:r>
      <w:r>
        <w:rPr>
          <w:rStyle w:val="Pendiente"/>
        </w:rPr>
        <w:t xml:space="preserve"> </w:t>
      </w:r>
      <w:r>
        <w:rPr>
          <w:rStyle w:val="Pendiente"/>
        </w:rPr>
        <w:t xml:space="preserve">agregar fotografías propias de la aplicación del SGC (inspecciones, recepción de materiales, ensayos).</w:t>
      </w:r>
      <w:r>
        <w:rPr>
          <w:rStyle w:val="Pendiente"/>
          <w:bCs/>
          <w:b/>
        </w:rPr>
        <w:t xml:space="preserve">]</w:t>
      </w:r>
    </w:p>
    <w:p>
      <w:pPr>
        <w:pStyle w:val="Heading1"/>
      </w:pPr>
      <w:bookmarkStart w:id="383" w:name="tit171"/>
      <w:r>
        <w:t xml:space="preserve">ANEXO K</w:t>
      </w:r>
      <w:r>
        <w:br/>
      </w:r>
      <w:r>
        <w:t xml:space="preserve">DOCUMENTOS DE CONTEXTO</w:t>
      </w:r>
      <w:bookmarkEnd w:id="383"/>
    </w:p>
    <w:p>
      <w:pPr>
        <w:pStyle w:val="FirstParagraph"/>
      </w:pPr>
      <w:r>
        <w:t xml:space="preserve">Comunicado de FANCESA sobre la paralización de su producción (12/06/2025) y pronunciamiento de la Cámara de la Construcción de Tarija sobre el incremento del precio del cemento (09/10/2025).</w:t>
      </w:r>
    </w:p>
    <w:p>
      <w:pPr>
        <w:pStyle w:val="FiguraAPA"/>
        <w:pageBreakBefore/>
      </w:pPr>
      <w:r>
        <w:drawing>
          <wp:inline>
            <wp:extent cx="4129559" cy="7650846"/>
            <wp:effectExtent b="0" l="0" r="0" t="0"/>
            <wp:docPr descr="image" title="" id="381" name="Picture"/>
            <a:graphic>
              <a:graphicData uri="http://schemas.openxmlformats.org/drawingml/2006/picture">
                <pic:pic>
                  <pic:nvPicPr>
                    <pic:cNvPr descr="/home/user/TesisSGC/07_Entregables/scripts/_trabajo/imagenes/pdfpag_44587a86a95c868505f3.png" id="382" name="Picture"/>
                    <pic:cNvPicPr>
                      <a:picLocks noChangeArrowheads="1" noChangeAspect="1"/>
                    </pic:cNvPicPr>
                  </pic:nvPicPr>
                  <pic:blipFill>
                    <a:blip r:embed="rId380"/>
                    <a:stretch>
                      <a:fillRect/>
                    </a:stretch>
                  </pic:blipFill>
                  <pic:spPr bwMode="auto">
                    <a:xfrm>
                      <a:off x="0" y="0"/>
                      <a:ext cx="4129559" cy="7650846"/>
                    </a:xfrm>
                    <a:prstGeom prst="rect">
                      <a:avLst/>
                    </a:prstGeom>
                    <a:noFill/>
                    <a:ln w="9525">
                      <a:noFill/>
                      <a:headEnd/>
                      <a:tailEnd/>
                    </a:ln>
                  </pic:spPr>
                </pic:pic>
              </a:graphicData>
            </a:graphic>
          </wp:inline>
        </w:drawing>
      </w:r>
    </w:p>
    <w:p>
      <w:pPr>
        <w:pStyle w:val="Heading1"/>
      </w:pPr>
      <w:bookmarkStart w:id="390" w:name="tit172"/>
      <w:r>
        <w:t xml:space="preserve">ANEXO L</w:t>
      </w:r>
      <w:r>
        <w:br/>
      </w:r>
      <w:r>
        <w:t xml:space="preserve">MODELO DE COSTOS Y SIMULACIÓN DE MONTE CARLO</w:t>
      </w:r>
      <w:bookmarkEnd w:id="390"/>
    </w:p>
    <w:p>
      <w:pPr>
        <w:pStyle w:val="FirstParagraph"/>
      </w:pPr>
      <w:r>
        <w:t xml:space="preserve">Este anexo documenta los parámetros, las fuentes y el código del modelo descrito en la Sección 2.7.2. Todos los archivos están en la carpeta</w:t>
      </w:r>
      <w:r>
        <w:t xml:space="preserve"> </w:t>
      </w:r>
      <w:r>
        <w:rPr>
          <w:rStyle w:val="VerbatimChar"/>
        </w:rPr>
        <w:t xml:space="preserve">06_Modelo_de_Costos_y_Simulacion</w:t>
      </w:r>
      <w:r>
        <w:t xml:space="preserve"> </w:t>
      </w:r>
      <w:r>
        <w:t xml:space="preserve">del repositorio de la tesis. Para reproducir los resultados basta ejecutar</w:t>
      </w:r>
      <w:r>
        <w:t xml:space="preserve"> </w:t>
      </w:r>
      <w:r>
        <w:rPr>
          <w:rStyle w:val="VerbatimChar"/>
        </w:rPr>
        <w:t xml:space="preserve">python3 modelo_costos.py</w:t>
      </w:r>
      <w:r>
        <w:t xml:space="preserve">: el programa lee</w:t>
      </w:r>
      <w:r>
        <w:t xml:space="preserve"> </w:t>
      </w:r>
      <w:r>
        <w:rPr>
          <w:rStyle w:val="VerbatimChar"/>
        </w:rPr>
        <w:t xml:space="preserve">parametros.json</w:t>
      </w:r>
      <w:r>
        <w:t xml:space="preserve">, realiza las 20.000 iteraciones con la semilla 2026 y regenera las tablas, las figuras y las cifras que se citan en el texto.</w:t>
      </w:r>
    </w:p>
    <w:p>
      <w:pPr>
        <w:pStyle w:val="Heading2"/>
      </w:pPr>
      <w:bookmarkStart w:id="384" w:name="tit173"/>
      <w:r>
        <w:t xml:space="preserve">L.1. Parámetros inciertos y sus fuentes</w:t>
      </w:r>
      <w:bookmarkEnd w:id="384"/>
    </w:p>
    <w:tbl>
      <w:tblPr>
        <w:tblStyle w:val="Table"/>
        <w:tblW w:w="8823" w:type="dxa"/>
        <w:jc w:val="center"/>
        <w:tblLayout w:type="fixed"/>
        <w:tblCellMar>
          <w:top w:w="0" w:type="dxa"/>
          <w:left w:w="85" w:type="dxa"/>
          <w:bottom w:w="0" w:type="dxa"/>
          <w:right w:w="85" w:type="dxa"/>
        </w:tblCellMar>
        <w:tblLook w:firstRow="1" w:lastRow="0" w:firstColumn="0" w:lastColumn="0" w:noHBand="0" w:noVBand="0" w:val="0020"/>
      </w:tblPr>
      <w:tblGrid>
        <w:gridCol w:w="2599"/>
        <w:gridCol w:w="836"/>
        <w:gridCol w:w="925"/>
        <w:gridCol w:w="961"/>
        <w:gridCol w:w="3502"/>
      </w:tblGrid>
      <w:tr>
        <w:trPr>
          <w:cantSplit/>
          <w:tblHeader w:val="true"/>
        </w:trPr>
        <w:tc>
          <w:tcPr>
            <w:tcW w:w="2599" w:type="dxa"/>
            <w:tcBorders>
              <w:top w:val="single" w:sz="8" w:space="0" w:color="000000"/>
              <w:bottom w:val="single" w:sz="4" w:space="0" w:color="000000"/>
            </w:tcBorders>
          </w:tcPr>
          <w:p>
            <w:pPr>
              <w:pStyle w:val="CeldaAPA"/>
              <w:jc w:val="center"/>
            </w:pPr>
            <w:r>
              <w:rPr>
                <w:bCs/>
                <w:b/>
              </w:rPr>
              <w:t xml:space="preserve">Parámetro</w:t>
            </w:r>
          </w:p>
        </w:tc>
        <w:tc>
          <w:tcPr>
            <w:tcW w:w="836" w:type="dxa"/>
            <w:tcBorders>
              <w:top w:val="single" w:sz="8" w:space="0" w:color="000000"/>
              <w:bottom w:val="single" w:sz="4" w:space="0" w:color="000000"/>
            </w:tcBorders>
          </w:tcPr>
          <w:p>
            <w:pPr>
              <w:pStyle w:val="CeldaAPA"/>
              <w:jc w:val="center"/>
            </w:pPr>
            <w:r>
              <w:rPr>
                <w:bCs/>
                <w:b/>
              </w:rPr>
              <w:t xml:space="preserve">Mín.</w:t>
            </w:r>
          </w:p>
        </w:tc>
        <w:tc>
          <w:tcPr>
            <w:tcW w:w="925" w:type="dxa"/>
            <w:tcBorders>
              <w:top w:val="single" w:sz="8" w:space="0" w:color="000000"/>
              <w:bottom w:val="single" w:sz="4" w:space="0" w:color="000000"/>
            </w:tcBorders>
          </w:tcPr>
          <w:p>
            <w:pPr>
              <w:pStyle w:val="CeldaAPA"/>
              <w:jc w:val="center"/>
            </w:pPr>
            <w:r>
              <w:rPr>
                <w:bCs/>
                <w:b/>
              </w:rPr>
              <w:t xml:space="preserve">Moda</w:t>
            </w:r>
          </w:p>
        </w:tc>
        <w:tc>
          <w:tcPr>
            <w:tcW w:w="961" w:type="dxa"/>
            <w:tcBorders>
              <w:top w:val="single" w:sz="8" w:space="0" w:color="000000"/>
              <w:bottom w:val="single" w:sz="4" w:space="0" w:color="000000"/>
            </w:tcBorders>
          </w:tcPr>
          <w:p>
            <w:pPr>
              <w:pStyle w:val="CeldaAPA"/>
              <w:jc w:val="center"/>
            </w:pPr>
            <w:r>
              <w:rPr>
                <w:bCs/>
                <w:b/>
              </w:rPr>
              <w:t xml:space="preserve">Máx.</w:t>
            </w:r>
          </w:p>
        </w:tc>
        <w:tc>
          <w:tcPr>
            <w:tcW w:w="3502" w:type="dxa"/>
            <w:tcBorders>
              <w:top w:val="single" w:sz="8" w:space="0" w:color="000000"/>
              <w:bottom w:val="single" w:sz="4" w:space="0" w:color="000000"/>
            </w:tcBorders>
          </w:tcPr>
          <w:p>
            <w:pPr>
              <w:pStyle w:val="CeldaAPA"/>
              <w:jc w:val="center"/>
            </w:pPr>
            <w:r>
              <w:rPr>
                <w:bCs/>
                <w:b/>
              </w:rPr>
              <w:t xml:space="preserve">Fuente o justificación</w:t>
            </w:r>
          </w:p>
        </w:tc>
      </w:tr>
      <w:tr>
        <w:tc>
          <w:tcPr>
            <w:tcW w:w="2599" w:type="dxa"/>
          </w:tcPr>
          <w:p>
            <w:pPr>
              <w:pStyle w:val="CeldaAPA"/>
              <w:jc w:val="left"/>
            </w:pPr>
            <w:r>
              <w:rPr/>
              <w:t xml:space="preserve">IDM sin SGC – Viguetas</w:t>
            </w:r>
          </w:p>
        </w:tc>
        <w:tc>
          <w:tcPr>
            <w:tcW w:w="836" w:type="dxa"/>
          </w:tcPr>
          <w:p>
            <w:pPr>
              <w:pStyle w:val="CeldaAPA"/>
              <w:jc w:val="right"/>
            </w:pPr>
            <w:r>
              <w:rPr/>
              <w:t xml:space="preserve">0,0 %</w:t>
            </w:r>
          </w:p>
        </w:tc>
        <w:tc>
          <w:tcPr>
            <w:tcW w:w="925" w:type="dxa"/>
          </w:tcPr>
          <w:p>
            <w:pPr>
              <w:pStyle w:val="CeldaAPA"/>
              <w:jc w:val="right"/>
            </w:pPr>
            <w:r>
              <w:rPr/>
              <w:t xml:space="preserve">1,0 %</w:t>
            </w:r>
          </w:p>
        </w:tc>
        <w:tc>
          <w:tcPr>
            <w:tcW w:w="961" w:type="dxa"/>
          </w:tcPr>
          <w:p>
            <w:pPr>
              <w:pStyle w:val="CeldaAPA"/>
              <w:jc w:val="right"/>
            </w:pPr>
            <w:r>
              <w:rPr/>
              <w:t xml:space="preserve">3,0 %</w:t>
            </w:r>
          </w:p>
        </w:tc>
        <w:tc>
          <w:tcPr>
            <w:tcW w:w="3502" w:type="dxa"/>
          </w:tcPr>
          <w:p>
            <w:pPr>
              <w:pStyle w:val="CeldaAPA"/>
              <w:jc w:val="left"/>
            </w:pPr>
            <w:r>
              <w:rPr/>
              <w:t xml:space="preserve">Supuesto del autor: viguetas fabricadas a medida (Plano 03); pérdidas por rotura en manipulación</w:t>
            </w:r>
          </w:p>
        </w:tc>
      </w:tr>
      <w:tr>
        <w:tc>
          <w:tcPr>
            <w:tcW w:w="2599" w:type="dxa"/>
          </w:tcPr>
          <w:p>
            <w:pPr>
              <w:pStyle w:val="CeldaAPA"/>
              <w:jc w:val="left"/>
            </w:pPr>
            <w:r>
              <w:rPr/>
              <w:t xml:space="preserve">IDM sin SGC – Plastoformo</w:t>
            </w:r>
          </w:p>
        </w:tc>
        <w:tc>
          <w:tcPr>
            <w:tcW w:w="836" w:type="dxa"/>
          </w:tcPr>
          <w:p>
            <w:pPr>
              <w:pStyle w:val="CeldaAPA"/>
              <w:jc w:val="right"/>
            </w:pPr>
            <w:r>
              <w:rPr/>
              <w:t xml:space="preserve">2,5 %</w:t>
            </w:r>
          </w:p>
        </w:tc>
        <w:tc>
          <w:tcPr>
            <w:tcW w:w="925" w:type="dxa"/>
          </w:tcPr>
          <w:p>
            <w:pPr>
              <w:pStyle w:val="CeldaAPA"/>
              <w:jc w:val="right"/>
            </w:pPr>
            <w:r>
              <w:rPr/>
              <w:t xml:space="preserve">5,0 %</w:t>
            </w:r>
          </w:p>
        </w:tc>
        <w:tc>
          <w:tcPr>
            <w:tcW w:w="961" w:type="dxa"/>
          </w:tcPr>
          <w:p>
            <w:pPr>
              <w:pStyle w:val="CeldaAPA"/>
              <w:jc w:val="right"/>
            </w:pPr>
            <w:r>
              <w:rPr/>
              <w:t xml:space="preserve">7,5 %</w:t>
            </w:r>
          </w:p>
        </w:tc>
        <w:tc>
          <w:tcPr>
            <w:tcW w:w="3502" w:type="dxa"/>
          </w:tcPr>
          <w:p>
            <w:pPr>
              <w:pStyle w:val="CeldaAPA"/>
              <w:jc w:val="left"/>
            </w:pPr>
            <w:r>
              <w:rPr/>
              <w:t xml:space="preserve">Documentado: 2.350 piezas entregadas (certificado UNICON) frente a 2.237,9 teóricas = 5,01 %; rango ±50 %</w:t>
            </w:r>
          </w:p>
        </w:tc>
      </w:tr>
      <w:tr>
        <w:tc>
          <w:tcPr>
            <w:tcW w:w="2599" w:type="dxa"/>
          </w:tcPr>
          <w:p>
            <w:pPr>
              <w:pStyle w:val="CeldaAPA"/>
              <w:jc w:val="left"/>
            </w:pPr>
            <w:r>
              <w:rPr/>
              <w:t xml:space="preserve">IDM sin SGC – Hormigón</w:t>
            </w:r>
          </w:p>
        </w:tc>
        <w:tc>
          <w:tcPr>
            <w:tcW w:w="836" w:type="dxa"/>
          </w:tcPr>
          <w:p>
            <w:pPr>
              <w:pStyle w:val="CeldaAPA"/>
              <w:jc w:val="right"/>
            </w:pPr>
            <w:r>
              <w:rPr/>
              <w:t xml:space="preserve">5,0 %</w:t>
            </w:r>
          </w:p>
        </w:tc>
        <w:tc>
          <w:tcPr>
            <w:tcW w:w="925" w:type="dxa"/>
          </w:tcPr>
          <w:p>
            <w:pPr>
              <w:pStyle w:val="CeldaAPA"/>
              <w:jc w:val="right"/>
            </w:pPr>
            <w:r>
              <w:rPr/>
              <w:t xml:space="preserve">10,0 %</w:t>
            </w:r>
          </w:p>
        </w:tc>
        <w:tc>
          <w:tcPr>
            <w:tcW w:w="961" w:type="dxa"/>
          </w:tcPr>
          <w:p>
            <w:pPr>
              <w:pStyle w:val="CeldaAPA"/>
              <w:jc w:val="right"/>
            </w:pPr>
            <w:r>
              <w:rPr/>
              <w:t xml:space="preserve">22,0 %</w:t>
            </w:r>
          </w:p>
        </w:tc>
        <w:tc>
          <w:tcPr>
            <w:tcW w:w="3502" w:type="dxa"/>
          </w:tcPr>
          <w:p>
            <w:pPr>
              <w:pStyle w:val="CeldaAPA"/>
              <w:jc w:val="left"/>
            </w:pPr>
            <w:r>
              <w:rPr/>
              <w:t xml:space="preserve">Galarza Meza (2011, pp. 53, 73): 5 % típico y 22 % sin control; Ruiz Muñoz y Rojas Bonilla (2018, pp. 33, 40): 14–27 % semanal real sin control; Maciel et al. (2016, p. 106): 1,5–13 %. Moda: valor intermedio para obra sin control volumétrico</w:t>
            </w:r>
          </w:p>
        </w:tc>
      </w:tr>
      <w:tr>
        <w:tc>
          <w:tcPr>
            <w:tcW w:w="2599" w:type="dxa"/>
          </w:tcPr>
          <w:p>
            <w:pPr>
              <w:pStyle w:val="CeldaAPA"/>
              <w:jc w:val="left"/>
            </w:pPr>
            <w:r>
              <w:rPr/>
              <w:t xml:space="preserve">IDM sin SGC – Acero</w:t>
            </w:r>
          </w:p>
        </w:tc>
        <w:tc>
          <w:tcPr>
            <w:tcW w:w="836" w:type="dxa"/>
          </w:tcPr>
          <w:p>
            <w:pPr>
              <w:pStyle w:val="CeldaAPA"/>
              <w:jc w:val="right"/>
            </w:pPr>
            <w:r>
              <w:rPr/>
              <w:t xml:space="preserve">7,0 %</w:t>
            </w:r>
          </w:p>
        </w:tc>
        <w:tc>
          <w:tcPr>
            <w:tcW w:w="925" w:type="dxa"/>
          </w:tcPr>
          <w:p>
            <w:pPr>
              <w:pStyle w:val="CeldaAPA"/>
              <w:jc w:val="right"/>
            </w:pPr>
            <w:r>
              <w:rPr/>
              <w:t xml:space="preserve">16,8 %</w:t>
            </w:r>
          </w:p>
        </w:tc>
        <w:tc>
          <w:tcPr>
            <w:tcW w:w="961" w:type="dxa"/>
          </w:tcPr>
          <w:p>
            <w:pPr>
              <w:pStyle w:val="CeldaAPA"/>
              <w:jc w:val="right"/>
            </w:pPr>
            <w:r>
              <w:rPr/>
              <w:t xml:space="preserve">26,0 %</w:t>
            </w:r>
          </w:p>
        </w:tc>
        <w:tc>
          <w:tcPr>
            <w:tcW w:w="3502" w:type="dxa"/>
          </w:tcPr>
          <w:p>
            <w:pPr>
              <w:pStyle w:val="CeldaAPA"/>
              <w:jc w:val="left"/>
            </w:pPr>
            <w:r>
              <w:rPr/>
              <w:t xml:space="preserve">Documentado: 4.171,18 kg pagados (PAO 2) frente a 3.572,80 kg teóricos = 16,75 %; rango: Galarza Meza (2011, p. 75) 7 % y Maciel et al. (2016, p. 106) hasta 26 %; coincide con Chino Quispe y Zarate Chilqquetuma (2024): 14,58–17,09 %</w:t>
            </w:r>
          </w:p>
        </w:tc>
      </w:tr>
      <w:tr>
        <w:tc>
          <w:tcPr>
            <w:tcW w:w="2599" w:type="dxa"/>
          </w:tcPr>
          <w:p>
            <w:pPr>
              <w:pStyle w:val="CeldaAPA"/>
              <w:jc w:val="left"/>
            </w:pPr>
            <w:r>
              <w:rPr/>
              <w:t xml:space="preserve">Eficacia del SGC – Viguetas</w:t>
            </w:r>
          </w:p>
        </w:tc>
        <w:tc>
          <w:tcPr>
            <w:tcW w:w="836" w:type="dxa"/>
          </w:tcPr>
          <w:p>
            <w:pPr>
              <w:pStyle w:val="CeldaAPA"/>
              <w:jc w:val="right"/>
            </w:pPr>
            <w:r>
              <w:rPr/>
              <w:t xml:space="preserve">10,0 %</w:t>
            </w:r>
          </w:p>
        </w:tc>
        <w:tc>
          <w:tcPr>
            <w:tcW w:w="925" w:type="dxa"/>
          </w:tcPr>
          <w:p>
            <w:pPr>
              <w:pStyle w:val="CeldaAPA"/>
              <w:jc w:val="right"/>
            </w:pPr>
            <w:r>
              <w:rPr/>
              <w:t xml:space="preserve">44,0 %</w:t>
            </w:r>
          </w:p>
        </w:tc>
        <w:tc>
          <w:tcPr>
            <w:tcW w:w="961" w:type="dxa"/>
          </w:tcPr>
          <w:p>
            <w:pPr>
              <w:pStyle w:val="CeldaAPA"/>
              <w:jc w:val="right"/>
            </w:pPr>
            <w:r>
              <w:rPr/>
              <w:t xml:space="preserve">70,0 %</w:t>
            </w:r>
          </w:p>
        </w:tc>
        <w:tc>
          <w:tcPr>
            <w:tcW w:w="3502" w:type="dxa"/>
          </w:tcPr>
          <w:p>
            <w:pPr>
              <w:pStyle w:val="CeldaAPA"/>
              <w:jc w:val="left"/>
            </w:pPr>
            <w:r>
              <w:rPr/>
              <w:t xml:space="preserve">Igual que materiales de obra (Galarza Meza, 2011, p. 73)</w:t>
            </w:r>
          </w:p>
        </w:tc>
      </w:tr>
      <w:tr>
        <w:tc>
          <w:tcPr>
            <w:tcW w:w="2599" w:type="dxa"/>
          </w:tcPr>
          <w:p>
            <w:pPr>
              <w:pStyle w:val="CeldaAPA"/>
              <w:jc w:val="left"/>
            </w:pPr>
            <w:r>
              <w:rPr/>
              <w:t xml:space="preserve">Eficacia del SGC – Plastoformo</w:t>
            </w:r>
          </w:p>
        </w:tc>
        <w:tc>
          <w:tcPr>
            <w:tcW w:w="836" w:type="dxa"/>
          </w:tcPr>
          <w:p>
            <w:pPr>
              <w:pStyle w:val="CeldaAPA"/>
              <w:jc w:val="right"/>
            </w:pPr>
            <w:r>
              <w:rPr/>
              <w:t xml:space="preserve">10,0 %</w:t>
            </w:r>
          </w:p>
        </w:tc>
        <w:tc>
          <w:tcPr>
            <w:tcW w:w="925" w:type="dxa"/>
          </w:tcPr>
          <w:p>
            <w:pPr>
              <w:pStyle w:val="CeldaAPA"/>
              <w:jc w:val="right"/>
            </w:pPr>
            <w:r>
              <w:rPr/>
              <w:t xml:space="preserve">44,0 %</w:t>
            </w:r>
          </w:p>
        </w:tc>
        <w:tc>
          <w:tcPr>
            <w:tcW w:w="961" w:type="dxa"/>
          </w:tcPr>
          <w:p>
            <w:pPr>
              <w:pStyle w:val="CeldaAPA"/>
              <w:jc w:val="right"/>
            </w:pPr>
            <w:r>
              <w:rPr/>
              <w:t xml:space="preserve">70,0 %</w:t>
            </w:r>
          </w:p>
        </w:tc>
        <w:tc>
          <w:tcPr>
            <w:tcW w:w="3502" w:type="dxa"/>
          </w:tcPr>
          <w:p>
            <w:pPr>
              <w:pStyle w:val="CeldaAPA"/>
              <w:jc w:val="left"/>
            </w:pPr>
            <w:r>
              <w:rPr/>
              <w:t xml:space="preserve">Igual que materiales de obra (Galarza Meza, 2011, p. 73)</w:t>
            </w:r>
          </w:p>
        </w:tc>
      </w:tr>
      <w:tr>
        <w:tc>
          <w:tcPr>
            <w:tcW w:w="2599" w:type="dxa"/>
          </w:tcPr>
          <w:p>
            <w:pPr>
              <w:pStyle w:val="CeldaAPA"/>
              <w:jc w:val="left"/>
            </w:pPr>
            <w:r>
              <w:rPr/>
              <w:t xml:space="preserve">Eficacia del SGC – Hormigón</w:t>
            </w:r>
          </w:p>
        </w:tc>
        <w:tc>
          <w:tcPr>
            <w:tcW w:w="836" w:type="dxa"/>
          </w:tcPr>
          <w:p>
            <w:pPr>
              <w:pStyle w:val="CeldaAPA"/>
              <w:jc w:val="right"/>
            </w:pPr>
            <w:r>
              <w:rPr/>
              <w:t xml:space="preserve">10,0 %</w:t>
            </w:r>
          </w:p>
        </w:tc>
        <w:tc>
          <w:tcPr>
            <w:tcW w:w="925" w:type="dxa"/>
          </w:tcPr>
          <w:p>
            <w:pPr>
              <w:pStyle w:val="CeldaAPA"/>
              <w:jc w:val="right"/>
            </w:pPr>
            <w:r>
              <w:rPr/>
              <w:t xml:space="preserve">44,0 %</w:t>
            </w:r>
          </w:p>
        </w:tc>
        <w:tc>
          <w:tcPr>
            <w:tcW w:w="961" w:type="dxa"/>
          </w:tcPr>
          <w:p>
            <w:pPr>
              <w:pStyle w:val="CeldaAPA"/>
              <w:jc w:val="right"/>
            </w:pPr>
            <w:r>
              <w:rPr/>
              <w:t xml:space="preserve">70,0 %</w:t>
            </w:r>
          </w:p>
        </w:tc>
        <w:tc>
          <w:tcPr>
            <w:tcW w:w="3502" w:type="dxa"/>
          </w:tcPr>
          <w:p>
            <w:pPr>
              <w:pStyle w:val="CeldaAPA"/>
              <w:jc w:val="left"/>
            </w:pPr>
            <w:r>
              <w:rPr/>
              <w:t xml:space="preserve">Galarza Meza (2011, p. 73): de 5 % a 2,8 % con pedidos limitados (44 %); Dzul y Gracia (2009, p. 46): 10 %</w:t>
            </w:r>
          </w:p>
        </w:tc>
      </w:tr>
      <w:tr>
        <w:tc>
          <w:tcPr>
            <w:tcW w:w="2599" w:type="dxa"/>
          </w:tcPr>
          <w:p>
            <w:pPr>
              <w:pStyle w:val="CeldaAPA"/>
              <w:jc w:val="left"/>
            </w:pPr>
            <w:r>
              <w:rPr/>
              <w:t xml:space="preserve">Eficacia del SGC – Acero</w:t>
            </w:r>
          </w:p>
        </w:tc>
        <w:tc>
          <w:tcPr>
            <w:tcW w:w="836" w:type="dxa"/>
          </w:tcPr>
          <w:p>
            <w:pPr>
              <w:pStyle w:val="CeldaAPA"/>
              <w:jc w:val="right"/>
            </w:pPr>
            <w:r>
              <w:rPr/>
              <w:t xml:space="preserve">10,0 %</w:t>
            </w:r>
          </w:p>
        </w:tc>
        <w:tc>
          <w:tcPr>
            <w:tcW w:w="925" w:type="dxa"/>
          </w:tcPr>
          <w:p>
            <w:pPr>
              <w:pStyle w:val="CeldaAPA"/>
              <w:jc w:val="right"/>
            </w:pPr>
            <w:r>
              <w:rPr/>
              <w:t xml:space="preserve">42,0 %</w:t>
            </w:r>
          </w:p>
        </w:tc>
        <w:tc>
          <w:tcPr>
            <w:tcW w:w="961" w:type="dxa"/>
          </w:tcPr>
          <w:p>
            <w:pPr>
              <w:pStyle w:val="CeldaAPA"/>
              <w:jc w:val="right"/>
            </w:pPr>
            <w:r>
              <w:rPr/>
              <w:t xml:space="preserve">80,0 %</w:t>
            </w:r>
          </w:p>
        </w:tc>
        <w:tc>
          <w:tcPr>
            <w:tcW w:w="3502" w:type="dxa"/>
          </w:tcPr>
          <w:p>
            <w:pPr>
              <w:pStyle w:val="CeldaAPA"/>
              <w:jc w:val="left"/>
            </w:pPr>
            <w:r>
              <w:rPr/>
              <w:t xml:space="preserve">Galarza Meza (2011, pp. 75-76): de 7 % a 4,04 % (42 %) y 3,75 % (46 %); Abbott y Rodríguez (2008, p. 583): &lt; 1 % precortado</w:t>
            </w:r>
          </w:p>
        </w:tc>
      </w:tr>
      <w:tr>
        <w:tc>
          <w:tcPr>
            <w:tcW w:w="2599" w:type="dxa"/>
          </w:tcPr>
          <w:p>
            <w:pPr>
              <w:pStyle w:val="CeldaAPA"/>
              <w:jc w:val="left"/>
            </w:pPr>
            <w:r>
              <w:rPr/>
              <w:t xml:space="preserve">Fracción de retrabajo sin SGC (</w:t>
            </w:r>
            <m:oMath>
              <m:r>
                <m:t>ρ</m:t>
              </m:r>
            </m:oMath>
            <w:r>
              <w:rPr/>
              <w:t xml:space="preserve">)</w:t>
            </w:r>
          </w:p>
        </w:tc>
        <w:tc>
          <w:tcPr>
            <w:tcW w:w="836" w:type="dxa"/>
          </w:tcPr>
          <w:p>
            <w:pPr>
              <w:pStyle w:val="CeldaAPA"/>
              <w:jc w:val="right"/>
            </w:pPr>
            <w:r>
              <w:rPr/>
              <w:t xml:space="preserve">0,5 %</w:t>
            </w:r>
          </w:p>
        </w:tc>
        <w:tc>
          <w:tcPr>
            <w:tcW w:w="925" w:type="dxa"/>
          </w:tcPr>
          <w:p>
            <w:pPr>
              <w:pStyle w:val="CeldaAPA"/>
              <w:jc w:val="right"/>
            </w:pPr>
            <w:r>
              <w:rPr/>
              <w:t xml:space="preserve">2,3 %</w:t>
            </w:r>
          </w:p>
        </w:tc>
        <w:tc>
          <w:tcPr>
            <w:tcW w:w="961" w:type="dxa"/>
          </w:tcPr>
          <w:p>
            <w:pPr>
              <w:pStyle w:val="CeldaAPA"/>
              <w:jc w:val="right"/>
            </w:pPr>
            <w:r>
              <w:rPr/>
              <w:t xml:space="preserve">6,5 %</w:t>
            </w:r>
          </w:p>
        </w:tc>
        <w:tc>
          <w:tcPr>
            <w:tcW w:w="3502" w:type="dxa"/>
          </w:tcPr>
          <w:p>
            <w:pPr>
              <w:pStyle w:val="CeldaAPA"/>
              <w:jc w:val="left"/>
            </w:pPr>
            <w:r>
              <w:rPr/>
              <w:t xml:space="preserve">Khadim et al. (2023, p. 5421): fallas visibles 2,34 %; Gudiel Cairampoma y Solis Puente (2020, p. 1): no calidad 2,7–5,1 % de la partida de concreto armado; Álvarez Quintero (2014, p. 12): 6,5 % sin SGC</w:t>
            </w:r>
          </w:p>
        </w:tc>
      </w:tr>
      <w:tr>
        <w:tc>
          <w:tcPr>
            <w:tcW w:w="2599" w:type="dxa"/>
          </w:tcPr>
          <w:p>
            <w:pPr>
              <w:pStyle w:val="CeldaAPA"/>
              <w:jc w:val="left"/>
            </w:pPr>
            <w:r>
              <w:rPr/>
              <w:t xml:space="preserve">Eficacia del SGC en retrabajos (</w:t>
            </w:r>
            <m:oMath>
              <m:sSub>
                <m:e>
                  <m:r>
                    <m:t>e</m:t>
                  </m:r>
                </m:e>
                <m:sub>
                  <m:r>
                    <m:t>R</m:t>
                  </m:r>
                </m:sub>
              </m:sSub>
            </m:oMath>
            <w:r>
              <w:rPr/>
              <w:t xml:space="preserve">)</w:t>
            </w:r>
          </w:p>
        </w:tc>
        <w:tc>
          <w:tcPr>
            <w:tcW w:w="836" w:type="dxa"/>
          </w:tcPr>
          <w:p>
            <w:pPr>
              <w:pStyle w:val="CeldaAPA"/>
              <w:jc w:val="right"/>
            </w:pPr>
            <w:r>
              <w:rPr/>
              <w:t xml:space="preserve">10,0 %</w:t>
            </w:r>
          </w:p>
        </w:tc>
        <w:tc>
          <w:tcPr>
            <w:tcW w:w="925" w:type="dxa"/>
          </w:tcPr>
          <w:p>
            <w:pPr>
              <w:pStyle w:val="CeldaAPA"/>
              <w:jc w:val="right"/>
            </w:pPr>
            <w:r>
              <w:rPr/>
              <w:t xml:space="preserve">49,0 %</w:t>
            </w:r>
          </w:p>
        </w:tc>
        <w:tc>
          <w:tcPr>
            <w:tcW w:w="961" w:type="dxa"/>
          </w:tcPr>
          <w:p>
            <w:pPr>
              <w:pStyle w:val="CeldaAPA"/>
              <w:jc w:val="right"/>
            </w:pPr>
            <w:r>
              <w:rPr/>
              <w:t xml:space="preserve">89,0 %</w:t>
            </w:r>
          </w:p>
        </w:tc>
        <w:tc>
          <w:tcPr>
            <w:tcW w:w="3502" w:type="dxa"/>
          </w:tcPr>
          <w:p>
            <w:pPr>
              <w:pStyle w:val="CeldaAPA"/>
              <w:jc w:val="left"/>
            </w:pPr>
            <w:r>
              <w:rPr/>
              <w:t xml:space="preserve">Dzul y Gracia (2009, p. 46): 10 %; Palanisamy y Palanichamy (2025): 49 %; Álvarez Quintero (2014, p. 12): de 6,5 % a 0,72 % (89 %)</w:t>
            </w:r>
          </w:p>
        </w:tc>
      </w:tr>
      <w:tr>
        <w:tc>
          <w:tcPr>
            <w:tcW w:w="2599" w:type="dxa"/>
          </w:tcPr>
          <w:p>
            <w:pPr>
              <w:pStyle w:val="CeldaAPA"/>
              <w:jc w:val="left"/>
            </w:pPr>
            <w:r>
              <w:rPr/>
              <w:t xml:space="preserve">Encargado de calidad a tiempo parcial (3 meses) (Bs)</w:t>
            </w:r>
          </w:p>
        </w:tc>
        <w:tc>
          <w:tcPr>
            <w:tcW w:w="836" w:type="dxa"/>
          </w:tcPr>
          <w:p>
            <w:pPr>
              <w:pStyle w:val="CeldaAPA"/>
              <w:jc w:val="right"/>
            </w:pPr>
            <w:r>
              <w:rPr/>
              <w:t xml:space="preserve">4.000</w:t>
            </w:r>
          </w:p>
        </w:tc>
        <w:tc>
          <w:tcPr>
            <w:tcW w:w="925" w:type="dxa"/>
          </w:tcPr>
          <w:p>
            <w:pPr>
              <w:pStyle w:val="CeldaAPA"/>
              <w:jc w:val="right"/>
            </w:pPr>
            <w:r>
              <w:rPr/>
              <w:t xml:space="preserve">6.750</w:t>
            </w:r>
          </w:p>
        </w:tc>
        <w:tc>
          <w:tcPr>
            <w:tcW w:w="961" w:type="dxa"/>
          </w:tcPr>
          <w:p>
            <w:pPr>
              <w:pStyle w:val="CeldaAPA"/>
              <w:jc w:val="right"/>
            </w:pPr>
            <w:r>
              <w:rPr/>
              <w:t xml:space="preserve">13.500</w:t>
            </w:r>
          </w:p>
        </w:tc>
        <w:tc>
          <w:tcPr>
            <w:tcW w:w="3502" w:type="dxa"/>
          </w:tcPr>
          <w:p>
            <w:pPr>
              <w:pStyle w:val="CeldaAPA"/>
              <w:jc w:val="left"/>
            </w:pPr>
            <w:r>
              <w:rPr/>
              <w:t xml:space="preserve">50 % de 3 meses de un jefe de calidad con sueldo anual de Bs 54.000 (Peña Callisaya, 2024, p. 171); máximo: 100 %</w:t>
            </w:r>
          </w:p>
        </w:tc>
      </w:tr>
      <w:tr>
        <w:tc>
          <w:tcPr>
            <w:tcW w:w="2599" w:type="dxa"/>
          </w:tcPr>
          <w:p>
            <w:pPr>
              <w:pStyle w:val="CeldaAPA"/>
              <w:jc w:val="left"/>
            </w:pPr>
            <w:r>
              <w:rPr/>
              <w:t xml:space="preserve">Ensayos de hormigón (probetas y asentamiento) (Bs)</w:t>
            </w:r>
          </w:p>
        </w:tc>
        <w:tc>
          <w:tcPr>
            <w:tcW w:w="836" w:type="dxa"/>
          </w:tcPr>
          <w:p>
            <w:pPr>
              <w:pStyle w:val="CeldaAPA"/>
              <w:jc w:val="right"/>
            </w:pPr>
            <w:r>
              <w:rPr/>
              <w:t xml:space="preserve">720</w:t>
            </w:r>
          </w:p>
        </w:tc>
        <w:tc>
          <w:tcPr>
            <w:tcW w:w="925" w:type="dxa"/>
          </w:tcPr>
          <w:p>
            <w:pPr>
              <w:pStyle w:val="CeldaAPA"/>
              <w:jc w:val="right"/>
            </w:pPr>
            <w:r>
              <w:rPr/>
              <w:t xml:space="preserve">1.200</w:t>
            </w:r>
          </w:p>
        </w:tc>
        <w:tc>
          <w:tcPr>
            <w:tcW w:w="961" w:type="dxa"/>
          </w:tcPr>
          <w:p>
            <w:pPr>
              <w:pStyle w:val="CeldaAPA"/>
              <w:jc w:val="right"/>
            </w:pPr>
            <w:r>
              <w:rPr/>
              <w:t xml:space="preserve">1.920</w:t>
            </w:r>
          </w:p>
        </w:tc>
        <w:tc>
          <w:tcPr>
            <w:tcW w:w="3502" w:type="dxa"/>
          </w:tcPr>
          <w:p>
            <w:pPr>
              <w:pStyle w:val="CeldaAPA"/>
              <w:jc w:val="left"/>
            </w:pPr>
            <w:r>
              <w:rPr/>
              <w:t xml:space="preserve">24 probetas según ACI 318-25 (26.12.2.1) a Bs 30–80 por probeta (supuesto)</w:t>
            </w:r>
          </w:p>
        </w:tc>
      </w:tr>
      <w:tr>
        <w:tc>
          <w:tcPr>
            <w:tcW w:w="2599" w:type="dxa"/>
          </w:tcPr>
          <w:p>
            <w:pPr>
              <w:pStyle w:val="CeldaAPA"/>
              <w:jc w:val="left"/>
            </w:pPr>
            <w:r>
              <w:rPr/>
              <w:t xml:space="preserve">Capacitación del personal (3 charlas) (Bs)</w:t>
            </w:r>
          </w:p>
        </w:tc>
        <w:tc>
          <w:tcPr>
            <w:tcW w:w="836" w:type="dxa"/>
          </w:tcPr>
          <w:p>
            <w:pPr>
              <w:pStyle w:val="CeldaAPA"/>
              <w:jc w:val="right"/>
            </w:pPr>
            <w:r>
              <w:rPr/>
              <w:t xml:space="preserve">1.000</w:t>
            </w:r>
          </w:p>
        </w:tc>
        <w:tc>
          <w:tcPr>
            <w:tcW w:w="925" w:type="dxa"/>
          </w:tcPr>
          <w:p>
            <w:pPr>
              <w:pStyle w:val="CeldaAPA"/>
              <w:jc w:val="right"/>
            </w:pPr>
            <w:r>
              <w:rPr/>
              <w:t xml:space="preserve">1.700</w:t>
            </w:r>
          </w:p>
        </w:tc>
        <w:tc>
          <w:tcPr>
            <w:tcW w:w="961" w:type="dxa"/>
          </w:tcPr>
          <w:p>
            <w:pPr>
              <w:pStyle w:val="CeldaAPA"/>
              <w:jc w:val="right"/>
            </w:pPr>
            <w:r>
              <w:rPr/>
              <w:t xml:space="preserve">5.874</w:t>
            </w:r>
          </w:p>
        </w:tc>
        <w:tc>
          <w:tcPr>
            <w:tcW w:w="3502" w:type="dxa"/>
          </w:tcPr>
          <w:p>
            <w:pPr>
              <w:pStyle w:val="CeldaAPA"/>
              <w:jc w:val="left"/>
            </w:pPr>
            <w:r>
              <w:rPr/>
              <w:t xml:space="preserve">12 trabajadores × 4,5 h con tarifas de Cocarico Mamani (2022); máximo: Peña Callisaya (2024, p. 171)</w:t>
            </w:r>
          </w:p>
        </w:tc>
      </w:tr>
      <w:tr>
        <w:tc>
          <w:tcPr>
            <w:tcW w:w="2599" w:type="dxa"/>
          </w:tcPr>
          <w:p>
            <w:pPr>
              <w:pStyle w:val="CeldaAPA"/>
              <w:jc w:val="left"/>
            </w:pPr>
            <w:r>
              <w:rPr/>
              <w:t xml:space="preserve">Control de almacén y conciliación de cantidades (Bs)</w:t>
            </w:r>
          </w:p>
        </w:tc>
        <w:tc>
          <w:tcPr>
            <w:tcW w:w="836" w:type="dxa"/>
          </w:tcPr>
          <w:p>
            <w:pPr>
              <w:pStyle w:val="CeldaAPA"/>
              <w:jc w:val="right"/>
            </w:pPr>
            <w:r>
              <w:rPr/>
              <w:t xml:space="preserve">500</w:t>
            </w:r>
          </w:p>
        </w:tc>
        <w:tc>
          <w:tcPr>
            <w:tcW w:w="925" w:type="dxa"/>
          </w:tcPr>
          <w:p>
            <w:pPr>
              <w:pStyle w:val="CeldaAPA"/>
              <w:jc w:val="right"/>
            </w:pPr>
            <w:r>
              <w:rPr/>
              <w:t xml:space="preserve">820</w:t>
            </w:r>
          </w:p>
        </w:tc>
        <w:tc>
          <w:tcPr>
            <w:tcW w:w="961" w:type="dxa"/>
          </w:tcPr>
          <w:p>
            <w:pPr>
              <w:pStyle w:val="CeldaAPA"/>
              <w:jc w:val="right"/>
            </w:pPr>
            <w:r>
              <w:rPr/>
              <w:t xml:space="preserve">1.500</w:t>
            </w:r>
          </w:p>
        </w:tc>
        <w:tc>
          <w:tcPr>
            <w:tcW w:w="3502" w:type="dxa"/>
          </w:tcPr>
          <w:p>
            <w:pPr>
              <w:pStyle w:val="CeldaAPA"/>
              <w:jc w:val="left"/>
            </w:pPr>
            <w:r>
              <w:rPr/>
              <w:t xml:space="preserve">0,5 h/día durante 60 días con tarifa de ayudante con cargas (Cocarico Mamani, 2022)</w:t>
            </w:r>
          </w:p>
        </w:tc>
      </w:tr>
      <w:tr>
        <w:tc>
          <w:tcPr>
            <w:tcW w:w="2599" w:type="dxa"/>
            <w:tcBorders>
              <w:bottom w:val="single" w:sz="8" w:space="0" w:color="000000"/>
            </w:tcBorders>
          </w:tcPr>
          <w:p>
            <w:pPr>
              <w:pStyle w:val="CeldaAPA"/>
              <w:jc w:val="left"/>
            </w:pPr>
            <w:r>
              <w:rPr/>
              <w:t xml:space="preserve">Formatos, registros e impresión (Bs)</w:t>
            </w:r>
          </w:p>
        </w:tc>
        <w:tc>
          <w:tcPr>
            <w:tcW w:w="836" w:type="dxa"/>
            <w:tcBorders>
              <w:bottom w:val="single" w:sz="8" w:space="0" w:color="000000"/>
            </w:tcBorders>
          </w:tcPr>
          <w:p>
            <w:pPr>
              <w:pStyle w:val="CeldaAPA"/>
              <w:jc w:val="right"/>
            </w:pPr>
            <w:r>
              <w:rPr/>
              <w:t xml:space="preserve">200</w:t>
            </w:r>
          </w:p>
        </w:tc>
        <w:tc>
          <w:tcPr>
            <w:tcW w:w="925" w:type="dxa"/>
            <w:tcBorders>
              <w:bottom w:val="single" w:sz="8" w:space="0" w:color="000000"/>
            </w:tcBorders>
          </w:tcPr>
          <w:p>
            <w:pPr>
              <w:pStyle w:val="CeldaAPA"/>
              <w:jc w:val="right"/>
            </w:pPr>
            <w:r>
              <w:rPr/>
              <w:t xml:space="preserve">400</w:t>
            </w:r>
          </w:p>
        </w:tc>
        <w:tc>
          <w:tcPr>
            <w:tcW w:w="961" w:type="dxa"/>
            <w:tcBorders>
              <w:bottom w:val="single" w:sz="8" w:space="0" w:color="000000"/>
            </w:tcBorders>
          </w:tcPr>
          <w:p>
            <w:pPr>
              <w:pStyle w:val="CeldaAPA"/>
              <w:jc w:val="right"/>
            </w:pPr>
            <w:r>
              <w:rPr/>
              <w:t xml:space="preserve">1.000</w:t>
            </w:r>
          </w:p>
        </w:tc>
        <w:tc>
          <w:tcPr>
            <w:tcW w:w="3502" w:type="dxa"/>
            <w:tcBorders>
              <w:bottom w:val="single" w:sz="8" w:space="0" w:color="000000"/>
            </w:tcBorders>
          </w:tcPr>
          <w:p>
            <w:pPr>
              <w:pStyle w:val="CeldaAPA"/>
              <w:jc w:val="left"/>
            </w:pPr>
            <w:r>
              <w:rPr/>
              <w:t xml:space="preserve">Supuesto del autor</w:t>
            </w:r>
          </w:p>
        </w:tc>
      </w:tr>
    </w:tbl>
    <w:p>
      <w:pPr>
        <w:pStyle w:val="NotaAPA"/>
      </w:pPr>
      <w:r>
        <w:rPr>
          <w:iCs/>
          <w:i/>
        </w:rPr>
        <w:t xml:space="preserve">Nota.</w:t>
      </w:r>
      <w:r>
        <w:t xml:space="preserve"> </w:t>
      </w:r>
      <w:r>
        <w:t xml:space="preserve">Distribuciones triangulares (mínimo, moda y máximo). IDM: índice de desperdicio de materiales respecto de la cantidad teórica. Eficacia: proporción del desperdicio o del retrabajo de la línea base que el SGC elimina.</w:t>
      </w:r>
    </w:p>
    <w:p>
      <w:pPr>
        <w:pStyle w:val="Heading2"/>
      </w:pPr>
      <w:bookmarkStart w:id="388" w:name="tit174"/>
      <w:r>
        <w:t xml:space="preserve">L.2. Convergencia de la simulación</w:t>
      </w:r>
      <w:bookmarkEnd w:id="388"/>
    </w:p>
    <w:p>
      <w:pPr>
        <w:pStyle w:val="Caption"/>
      </w:pPr>
      <w:bookmarkStart w:id="1452" w:name="fig13"/>
      <w:r>
        <w:t xml:space="preserve"/>
      </w:r>
      <w:r>
        <w:rPr>
          <w:bCs/>
          <w:b/>
        </w:rPr>
        <w:t xml:space="preserve">Figura 13</w:t>
      </w:r>
      <w:r>
        <w:br/>
      </w:r>
      <w:r>
        <w:rPr>
          <w:iCs/>
          <w:i/>
        </w:rPr>
        <w:t xml:space="preserve">Media acumulada de la reducción del costo unitario según el número de iteraciones</w:t>
      </w:r>
      <w:bookmarkEnd w:id="1452"/>
    </w:p>
    <w:p>
      <w:pPr>
        <w:pStyle w:val="FiguraAPA"/>
      </w:pPr>
      <w:r>
        <w:drawing>
          <wp:inline>
            <wp:extent cx="5052239" cy="2405828"/>
            <wp:effectExtent b="0" l="0" r="0" t="0"/>
            <wp:docPr descr="image" title="" id="386" name="Picture"/>
            <a:graphic>
              <a:graphicData uri="http://schemas.openxmlformats.org/drawingml/2006/picture">
                <pic:pic>
                  <pic:nvPicPr>
                    <pic:cNvPr descr="/home/user/TesisSGC/07_Entregables/scripts/_trabajo/imagenes/graf_530306a49ccb76e60207.png" id="387" name="Picture"/>
                    <pic:cNvPicPr>
                      <a:picLocks noChangeArrowheads="1" noChangeAspect="1"/>
                    </pic:cNvPicPr>
                  </pic:nvPicPr>
                  <pic:blipFill>
                    <a:blip r:embed="rId385"/>
                    <a:stretch>
                      <a:fillRect/>
                    </a:stretch>
                  </pic:blipFill>
                  <pic:spPr bwMode="auto">
                    <a:xfrm>
                      <a:off x="0" y="0"/>
                      <a:ext cx="5052239" cy="2405828"/>
                    </a:xfrm>
                    <a:prstGeom prst="rect">
                      <a:avLst/>
                    </a:prstGeom>
                    <a:noFill/>
                    <a:ln w="9525">
                      <a:noFill/>
                      <a:headEnd/>
                      <a:tailEnd/>
                    </a:ln>
                  </pic:spPr>
                </pic:pic>
              </a:graphicData>
            </a:graphic>
          </wp:inline>
        </w:drawing>
      </w:r>
    </w:p>
    <w:p>
      <w:pPr>
        <w:pStyle w:val="NotaAPA"/>
      </w:pPr>
      <w:r>
        <w:rPr>
          <w:iCs/>
          <w:i/>
        </w:rPr>
        <w:t xml:space="preserve">Nota.</w:t>
      </w:r>
      <w:r>
        <w:t xml:space="preserve"> </w:t>
      </w:r>
      <w:r>
        <w:t xml:space="preserve">Elaboración propia con el modelo de este anexo.</w:t>
      </w:r>
    </w:p>
    <w:p>
      <w:pPr>
        <w:pStyle w:val="Heading2"/>
      </w:pPr>
      <w:bookmarkStart w:id="389" w:name="tit175"/>
      <w:r>
        <w:t xml:space="preserve">L.3. Código del modelo</w:t>
      </w:r>
      <w:bookmarkEnd w:id="389"/>
    </w:p>
    <w:p>
      <w:pPr>
        <w:pStyle w:val="SourceCode"/>
      </w:pPr>
      <w:r>
        <w:rPr>
          <w:rStyle w:val="VerbatimChar"/>
        </w:rPr>
        <w:t xml:space="preserve">#!/usr/bin/env python3</w:t>
      </w:r>
      <w:r>
        <w:br/>
      </w:r>
      <w:r>
        <w:rPr>
          <w:rStyle w:val="VerbatimChar"/>
        </w:rPr>
        <w:t xml:space="preserve">"""</w:t>
      </w:r>
      <w:r>
        <w:br/>
      </w:r>
      <w:r>
        <w:rPr>
          <w:rStyle w:val="VerbatimChar"/>
        </w:rPr>
        <w:t xml:space="preserve">Modelo de costos y simulación de Monte Carlo del SGC propuesto</w:t>
      </w:r>
      <w:r>
        <w:br/>
      </w:r>
      <w:r>
        <w:rPr>
          <w:rStyle w:val="VerbatimChar"/>
        </w:rPr>
        <w:t xml:space="preserve">Tesis: Diseño de un SGC basado en ISO 9001 para reducir costos mediante el</w:t>
      </w:r>
      <w:r>
        <w:br/>
      </w:r>
      <w:r>
        <w:rPr>
          <w:rStyle w:val="VerbatimChar"/>
        </w:rPr>
        <w:t xml:space="preserve">control de materiales en losas alivianadas con viguetas pretensadas</w:t>
      </w:r>
      <w:r>
        <w:br/>
      </w:r>
      <w:r>
        <w:rPr>
          <w:rStyle w:val="VerbatimChar"/>
        </w:rPr>
        <w:t xml:space="preserve">(Edificio de Posgrado, UATF, Potosí).</w:t>
      </w:r>
      <w:r>
        <w:br/>
      </w:r>
      <w:r>
        <w:br/>
      </w:r>
      <w:r>
        <w:rPr>
          <w:rStyle w:val="VerbatimChar"/>
        </w:rPr>
        <w:t xml:space="preserve">Qué hace (en orden):</w:t>
      </w:r>
      <w:r>
        <w:br/>
      </w:r>
      <w:r>
        <w:rPr>
          <w:rStyle w:val="VerbatimChar"/>
        </w:rPr>
        <w:t xml:space="preserve">  1. Lee los parámetros documentados en parametros.json (cada valor trae su fuente).</w:t>
      </w:r>
      <w:r>
        <w:br/>
      </w:r>
      <w:r>
        <w:rPr>
          <w:rStyle w:val="VerbatimChar"/>
        </w:rPr>
        <w:t xml:space="preserve">  2. Calcula la línea base determinista (O1) y el escenario con SGC (X) con los</w:t>
      </w:r>
      <w:r>
        <w:br/>
      </w:r>
      <w:r>
        <w:rPr>
          <w:rStyle w:val="VerbatimChar"/>
        </w:rPr>
        <w:t xml:space="preserve">     valores más probables (modas).</w:t>
      </w:r>
      <w:r>
        <w:br/>
      </w:r>
      <w:r>
        <w:rPr>
          <w:rStyle w:val="VerbatimChar"/>
        </w:rPr>
        <w:t xml:space="preserve">  3. Simula N escenarios (Monte Carlo) del costo unitario de ejecución de la losa</w:t>
      </w:r>
      <w:r>
        <w:br/>
      </w:r>
      <w:r>
        <w:rPr>
          <w:rStyle w:val="VerbatimChar"/>
        </w:rPr>
        <w:t xml:space="preserve">     a precios constantes del contrato, sin SGC (control) y con SGC (tratamiento).</w:t>
      </w:r>
      <w:r>
        <w:br/>
      </w:r>
      <w:r>
        <w:rPr>
          <w:rStyle w:val="VerbatimChar"/>
        </w:rPr>
        <w:t xml:space="preserve">  4. Contrasta las hipótesis con reglas de decisión probabilísticas:</w:t>
      </w:r>
      <w:r>
        <w:br/>
      </w:r>
      <w:r>
        <w:rPr>
          <w:rStyle w:val="VerbatimChar"/>
        </w:rPr>
        <w:t xml:space="preserve">        HG : se acepta si P(r &gt;= umbral) &gt;= nivel de confianza</w:t>
      </w:r>
      <w:r>
        <w:br/>
      </w:r>
      <w:r>
        <w:rPr>
          <w:rStyle w:val="VerbatimChar"/>
        </w:rPr>
        <w:t xml:space="preserve">        HE1: se acepta si P(IDM_con &lt; IDM_sin) &gt;= nivel de confianza</w:t>
      </w:r>
      <w:r>
        <w:br/>
      </w:r>
      <w:r>
        <w:rPr>
          <w:rStyle w:val="VerbatimChar"/>
        </w:rPr>
        <w:t xml:space="preserve">        HE2: se acepta si P(CNC_con &lt; CNC_sin) &gt;= nivel de confianza</w:t>
      </w:r>
      <w:r>
        <w:br/>
      </w:r>
      <w:r>
        <w:rPr>
          <w:rStyle w:val="VerbatimChar"/>
        </w:rPr>
        <w:t xml:space="preserve">  5. Analiza la sensibilidad (correlación de rangos de Spearman y variación de un</w:t>
      </w:r>
      <w:r>
        <w:br/>
      </w:r>
      <w:r>
        <w:rPr>
          <w:rStyle w:val="VerbatimChar"/>
        </w:rPr>
        <w:t xml:space="preserve">     factor a la vez), el punto de equilibrio y la convergencia de la simulación.</w:t>
      </w:r>
      <w:r>
        <w:br/>
      </w:r>
      <w:r>
        <w:rPr>
          <w:rStyle w:val="VerbatimChar"/>
        </w:rPr>
        <w:t xml:space="preserve">  6. Escribe resultados (JSON, CSV), tablas LaTeX y figuras (PDF y PNG).</w:t>
      </w:r>
      <w:r>
        <w:br/>
      </w:r>
      <w:r>
        <w:br/>
      </w:r>
      <w:r>
        <w:rPr>
          <w:rStyle w:val="VerbatimChar"/>
        </w:rPr>
        <w:t xml:space="preserve">Uso:  python3 modelo_costos.py            (desde esta carpeta)</w:t>
      </w:r>
      <w:r>
        <w:br/>
      </w:r>
      <w:r>
        <w:rPr>
          <w:rStyle w:val="VerbatimChar"/>
        </w:rPr>
        <w:t xml:space="preserve">Requisitos: numpy, scipy, matplotlib.</w:t>
      </w:r>
      <w:r>
        <w:br/>
      </w:r>
      <w:r>
        <w:rPr>
          <w:rStyle w:val="VerbatimChar"/>
        </w:rPr>
        <w:t xml:space="preserve">"""</w:t>
      </w:r>
      <w:r>
        <w:br/>
      </w:r>
      <w:r>
        <w:rPr>
          <w:rStyle w:val="VerbatimChar"/>
        </w:rPr>
        <w:t xml:space="preserve">from __future__ import annotations</w:t>
      </w:r>
      <w:r>
        <w:br/>
      </w:r>
      <w:r>
        <w:br/>
      </w:r>
      <w:r>
        <w:rPr>
          <w:rStyle w:val="VerbatimChar"/>
        </w:rPr>
        <w:t xml:space="preserve">import csv</w:t>
      </w:r>
      <w:r>
        <w:br/>
      </w:r>
      <w:r>
        <w:rPr>
          <w:rStyle w:val="VerbatimChar"/>
        </w:rPr>
        <w:t xml:space="preserve">import json</w:t>
      </w:r>
      <w:r>
        <w:br/>
      </w:r>
      <w:r>
        <w:rPr>
          <w:rStyle w:val="VerbatimChar"/>
        </w:rPr>
        <w:t xml:space="preserve">import math</w:t>
      </w:r>
      <w:r>
        <w:br/>
      </w:r>
      <w:r>
        <w:rPr>
          <w:rStyle w:val="VerbatimChar"/>
        </w:rPr>
        <w:t xml:space="preserve">from pathlib import Path</w:t>
      </w:r>
      <w:r>
        <w:br/>
      </w:r>
      <w:r>
        <w:br/>
      </w:r>
      <w:r>
        <w:rPr>
          <w:rStyle w:val="VerbatimChar"/>
        </w:rPr>
        <w:t xml:space="preserve">import numpy as np</w:t>
      </w:r>
      <w:r>
        <w:br/>
      </w:r>
      <w:r>
        <w:rPr>
          <w:rStyle w:val="VerbatimChar"/>
        </w:rPr>
        <w:t xml:space="preserve">from scipy import stats</w:t>
      </w:r>
      <w:r>
        <w:br/>
      </w:r>
      <w:r>
        <w:br/>
      </w:r>
      <w:r>
        <w:rPr>
          <w:rStyle w:val="VerbatimChar"/>
        </w:rPr>
        <w:t xml:space="preserve">import matplotlib</w:t>
      </w:r>
      <w:r>
        <w:br/>
      </w:r>
      <w:r>
        <w:rPr>
          <w:rStyle w:val="VerbatimChar"/>
        </w:rPr>
        <w:t xml:space="preserve">matplotlib.use("Agg")</w:t>
      </w:r>
      <w:r>
        <w:br/>
      </w:r>
      <w:r>
        <w:rPr>
          <w:rStyle w:val="VerbatimChar"/>
        </w:rPr>
        <w:t xml:space="preserve">import matplotlib.pyplot as plt  # noqa: E402</w:t>
      </w:r>
      <w:r>
        <w:br/>
      </w:r>
      <w:r>
        <w:br/>
      </w:r>
      <w:r>
        <w:rPr>
          <w:rStyle w:val="VerbatimChar"/>
        </w:rPr>
        <w:t xml:space="preserve">AQUI = Path(__file__).resolve().parent</w:t>
      </w:r>
      <w:r>
        <w:br/>
      </w:r>
      <w:r>
        <w:rPr>
          <w:rStyle w:val="VerbatimChar"/>
        </w:rPr>
        <w:t xml:space="preserve">FIG = AQUI / "figuras"</w:t>
      </w:r>
      <w:r>
        <w:br/>
      </w:r>
      <w:r>
        <w:rPr>
          <w:rStyle w:val="VerbatimChar"/>
        </w:rPr>
        <w:t xml:space="preserve">RES = AQUI / "resultados"</w:t>
      </w:r>
      <w:r>
        <w:br/>
      </w:r>
      <w:r>
        <w:rPr>
          <w:rStyle w:val="VerbatimChar"/>
        </w:rPr>
        <w:t xml:space="preserve">TEX = AQUI / "tablas_latex"</w:t>
      </w:r>
      <w:r>
        <w:br/>
      </w:r>
      <w:r>
        <w:rPr>
          <w:rStyle w:val="VerbatimChar"/>
        </w:rPr>
        <w:t xml:space="preserve">for d in (FIG, RES, TEX):</w:t>
      </w:r>
      <w:r>
        <w:br/>
      </w:r>
      <w:r>
        <w:rPr>
          <w:rStyle w:val="VerbatimChar"/>
        </w:rPr>
        <w:t xml:space="preserve">    d.mkdir(exist_ok=True)</w:t>
      </w:r>
      <w:r>
        <w:br/>
      </w:r>
      <w:r>
        <w:br/>
      </w:r>
      <w:r>
        <w:rPr>
          <w:rStyle w:val="VerbatimChar"/>
        </w:rPr>
        <w:t xml:space="preserve">import os</w:t>
      </w:r>
      <w:r>
        <w:br/>
      </w:r>
      <w:r>
        <w:rPr>
          <w:rStyle w:val="VerbatimChar"/>
        </w:rPr>
        <w:t xml:space="preserve">SOLO_RESUMEN = os.environ.get("MODELO_SOLO_RESUMEN") == "1"</w:t>
      </w:r>
      <w:r>
        <w:br/>
      </w:r>
      <w:r>
        <w:rPr>
          <w:rStyle w:val="VerbatimChar"/>
        </w:rPr>
        <w:t xml:space="preserve">P = json.loads(Path(os.environ.get("MODELO_PARAMS", AQUI / "parametros.json")).read_text(encoding="utf-8"))</w:t>
      </w:r>
      <w:r>
        <w:br/>
      </w:r>
      <w:r>
        <w:rPr>
          <w:rStyle w:val="VerbatimChar"/>
        </w:rPr>
        <w:t xml:space="preserve">SIM = P["simulacion"]</w:t>
      </w:r>
      <w:r>
        <w:br/>
      </w:r>
      <w:r>
        <w:rPr>
          <w:rStyle w:val="VerbatimChar"/>
        </w:rPr>
        <w:t xml:space="preserve">N = int(SIM["iteraciones"])</w:t>
      </w:r>
      <w:r>
        <w:br/>
      </w:r>
      <w:r>
        <w:rPr>
          <w:rStyle w:val="VerbatimChar"/>
        </w:rPr>
        <w:t xml:space="preserve">RNG = np.random.default_rng(int(SIM["semilla"]))</w:t>
      </w:r>
      <w:r>
        <w:br/>
      </w:r>
      <w:r>
        <w:rPr>
          <w:rStyle w:val="VerbatimChar"/>
        </w:rPr>
        <w:t xml:space="preserve">UMBRAL = float(SIM["umbral_reduccion"])</w:t>
      </w:r>
      <w:r>
        <w:br/>
      </w:r>
      <w:r>
        <w:rPr>
          <w:rStyle w:val="VerbatimChar"/>
        </w:rPr>
        <w:t xml:space="preserve">CONF = float(SIM["nivel_confianza"])</w:t>
      </w:r>
      <w:r>
        <w:br/>
      </w:r>
      <w:r>
        <w:br/>
      </w:r>
      <w:r>
        <w:rPr>
          <w:rStyle w:val="VerbatimChar"/>
        </w:rPr>
        <w:t xml:space="preserve">MATS = list(P["materiales"].keys())</w:t>
      </w:r>
      <w:r>
        <w:br/>
      </w:r>
      <w:r>
        <w:br/>
      </w:r>
      <w:r>
        <w:rPr>
          <w:rStyle w:val="VerbatimChar"/>
        </w:rPr>
        <w:t xml:space="preserve"># ---------------------------------------------------------------------------</w:t>
      </w:r>
      <w:r>
        <w:br/>
      </w:r>
      <w:r>
        <w:rPr>
          <w:rStyle w:val="VerbatimChar"/>
        </w:rPr>
        <w:t xml:space="preserve"># Utilidades</w:t>
      </w:r>
      <w:r>
        <w:br/>
      </w:r>
      <w:r>
        <w:rPr>
          <w:rStyle w:val="VerbatimChar"/>
        </w:rPr>
        <w:t xml:space="preserve"># ---------------------------------------------------------------------------</w:t>
      </w:r>
      <w:r>
        <w:br/>
      </w:r>
      <w:r>
        <w:rPr>
          <w:rStyle w:val="VerbatimChar"/>
        </w:rPr>
        <w:t xml:space="preserve">def fmt(x: float, dec: int = 2) -&gt; str:</w:t>
      </w:r>
      <w:r>
        <w:br/>
      </w:r>
      <w:r>
        <w:rPr>
          <w:rStyle w:val="VerbatimChar"/>
        </w:rPr>
        <w:t xml:space="preserve">    """Número con coma decimal y punto de miles (formato boliviano)."""</w:t>
      </w:r>
      <w:r>
        <w:br/>
      </w:r>
      <w:r>
        <w:rPr>
          <w:rStyle w:val="VerbatimChar"/>
        </w:rPr>
        <w:t xml:space="preserve">    s = f"{x:,.{dec}f}"</w:t>
      </w:r>
      <w:r>
        <w:br/>
      </w:r>
      <w:r>
        <w:rPr>
          <w:rStyle w:val="VerbatimChar"/>
        </w:rPr>
        <w:t xml:space="preserve">    return s.replace(",", "X").replace(".", ",").replace("X", ".")</w:t>
      </w:r>
      <w:r>
        <w:br/>
      </w:r>
      <w:r>
        <w:br/>
      </w:r>
      <w:r>
        <w:rPr>
          <w:rStyle w:val="VerbatimChar"/>
        </w:rPr>
        <w:t xml:space="preserve">def tex(texto) -&gt; str:</w:t>
      </w:r>
      <w:r>
        <w:br/>
      </w:r>
      <w:r>
        <w:rPr>
          <w:rStyle w:val="VerbatimChar"/>
        </w:rPr>
        <w:t xml:space="preserve">    """Escapa caracteres especiales de LaTeX en textos de fuentes y descripciones."""</w:t>
      </w:r>
      <w:r>
        <w:br/>
      </w:r>
      <w:r>
        <w:rPr>
          <w:rStyle w:val="VerbatimChar"/>
        </w:rPr>
        <w:t xml:space="preserve">    t = str(texto)</w:t>
      </w:r>
      <w:r>
        <w:br/>
      </w:r>
      <w:r>
        <w:rPr>
          <w:rStyle w:val="VerbatimChar"/>
        </w:rPr>
        <w:t xml:space="preserve">    for a, b in (("\\", r"\textbackslash{}"), ("&amp;", r"\&amp;"), ("%", r"\%"), ("#", r"\#"),</w:t>
      </w:r>
      <w:r>
        <w:br/>
      </w:r>
      <w:r>
        <w:rPr>
          <w:rStyle w:val="VerbatimChar"/>
        </w:rPr>
        <w:t xml:space="preserve">                 ("_", r"\_"), ("$", r"\$"), ("~", r"\textasciitilde{}")):</w:t>
      </w:r>
      <w:r>
        <w:br/>
      </w:r>
      <w:r>
        <w:rPr>
          <w:rStyle w:val="VerbatimChar"/>
        </w:rPr>
        <w:t xml:space="preserve">        t = t.replace(a, b)</w:t>
      </w:r>
      <w:r>
        <w:br/>
      </w:r>
      <w:r>
        <w:rPr>
          <w:rStyle w:val="VerbatimChar"/>
        </w:rPr>
        <w:t xml:space="preserve">    return t</w:t>
      </w:r>
      <w:r>
        <w:br/>
      </w:r>
      <w:r>
        <w:br/>
      </w:r>
      <w:r>
        <w:rPr>
          <w:rStyle w:val="VerbatimChar"/>
        </w:rPr>
        <w:t xml:space="preserve">def pct(x: float, dec: int = 2) -&gt; str:</w:t>
      </w:r>
      <w:r>
        <w:br/>
      </w:r>
      <w:r>
        <w:rPr>
          <w:rStyle w:val="VerbatimChar"/>
        </w:rPr>
        <w:t xml:space="preserve">    return fmt(100 * x, dec) + r"~\%"</w:t>
      </w:r>
      <w:r>
        <w:br/>
      </w:r>
      <w:r>
        <w:br/>
      </w:r>
      <w:r>
        <w:rPr>
          <w:rStyle w:val="VerbatimChar"/>
        </w:rPr>
        <w:t xml:space="preserve">def tri(spec: dict, n: int = N) -&gt; np.ndarray:</w:t>
      </w:r>
      <w:r>
        <w:br/>
      </w:r>
      <w:r>
        <w:rPr>
          <w:rStyle w:val="VerbatimChar"/>
        </w:rPr>
        <w:t xml:space="preserve">    """Muestra triangular (mín, moda, máx); si mín == máx devuelve constante."""</w:t>
      </w:r>
      <w:r>
        <w:br/>
      </w:r>
      <w:r>
        <w:rPr>
          <w:rStyle w:val="VerbatimChar"/>
        </w:rPr>
        <w:t xml:space="preserve">    a, m, b = float(spec["min"]), float(spec["moda"]), float(spec["max"])</w:t>
      </w:r>
      <w:r>
        <w:br/>
      </w:r>
      <w:r>
        <w:rPr>
          <w:rStyle w:val="VerbatimChar"/>
        </w:rPr>
        <w:t xml:space="preserve">    if math.isclose(a, b):</w:t>
      </w:r>
      <w:r>
        <w:br/>
      </w:r>
      <w:r>
        <w:rPr>
          <w:rStyle w:val="VerbatimChar"/>
        </w:rPr>
        <w:t xml:space="preserve">        return np.full(n, a)</w:t>
      </w:r>
      <w:r>
        <w:br/>
      </w:r>
      <w:r>
        <w:rPr>
          <w:rStyle w:val="VerbatimChar"/>
        </w:rPr>
        <w:t xml:space="preserve">    return RNG.triangular(a, m, b, n)</w:t>
      </w:r>
      <w:r>
        <w:br/>
      </w:r>
      <w:r>
        <w:br/>
      </w:r>
      <w:r>
        <w:rPr>
          <w:rStyle w:val="VerbatimChar"/>
        </w:rPr>
        <w:t xml:space="preserve">def moda(spec: dict) -&gt; float:</w:t>
      </w:r>
      <w:r>
        <w:br/>
      </w:r>
      <w:r>
        <w:rPr>
          <w:rStyle w:val="VerbatimChar"/>
        </w:rPr>
        <w:t xml:space="preserve">    return float(spec["moda"])</w:t>
      </w:r>
      <w:r>
        <w:br/>
      </w:r>
      <w:r>
        <w:br/>
      </w:r>
      <w:r>
        <w:rPr>
          <w:rStyle w:val="VerbatimChar"/>
        </w:rPr>
        <w:t xml:space="preserve">def media_tri(spec: dict) -&gt; float:</w:t>
      </w:r>
      <w:r>
        <w:br/>
      </w:r>
      <w:r>
        <w:rPr>
          <w:rStyle w:val="VerbatimChar"/>
        </w:rPr>
        <w:t xml:space="preserve">    return (float(spec["min"]) + float(spec["moda"]) + float(spec["max"])) / 3.0</w:t>
      </w:r>
      <w:r>
        <w:br/>
      </w:r>
      <w:r>
        <w:br/>
      </w:r>
      <w:r>
        <w:rPr>
          <w:rStyle w:val="VerbatimChar"/>
        </w:rPr>
        <w:t xml:space="preserve"># ---------------------------------------------------------------------------</w:t>
      </w:r>
      <w:r>
        <w:br/>
      </w:r>
      <w:r>
        <w:rPr>
          <w:rStyle w:val="VerbatimChar"/>
        </w:rPr>
        <w:t xml:space="preserve"># 1. Costo teórico (sin desperdicio) calibrado al precio del contrato</w:t>
      </w:r>
      <w:r>
        <w:br/>
      </w:r>
      <w:r>
        <w:rPr>
          <w:rStyle w:val="VerbatimChar"/>
        </w:rPr>
        <w:t xml:space="preserve"># ---------------------------------------------------------------------------</w:t>
      </w:r>
      <w:r>
        <w:br/>
      </w:r>
      <w:r>
        <w:rPr>
          <w:rStyle w:val="VerbatimChar"/>
        </w:rPr>
        <w:t xml:space="preserve">A_SALDO = float(P["superficies"]["saldo_m2"])</w:t>
      </w:r>
      <w:r>
        <w:br/>
      </w:r>
      <w:r>
        <w:rPr>
          <w:rStyle w:val="VerbatimChar"/>
        </w:rPr>
        <w:t xml:space="preserve">A_LOSA1 = float(P["superficies"]["primera_losa_m2"])</w:t>
      </w:r>
      <w:r>
        <w:br/>
      </w:r>
      <w:r>
        <w:rPr>
          <w:rStyle w:val="VerbatimChar"/>
        </w:rPr>
        <w:t xml:space="preserve">PU13 = float(P["precios_contrato"]["item13_Bs_m2"])</w:t>
      </w:r>
      <w:r>
        <w:br/>
      </w:r>
      <w:r>
        <w:rPr>
          <w:rStyle w:val="VerbatimChar"/>
        </w:rPr>
        <w:t xml:space="preserve">PU_ACERO = float(P["precios_contrato"]["acero_Bs_kg"])</w:t>
      </w:r>
      <w:r>
        <w:br/>
      </w:r>
      <w:r>
        <w:rPr>
          <w:rStyle w:val="VerbatimChar"/>
        </w:rPr>
        <w:t xml:space="preserve">Q_ACERO_PAGO = float(P["precios_contrato"]["acero_losa_kg_m2_computo"])</w:t>
      </w:r>
      <w:r>
        <w:br/>
      </w:r>
      <w:r>
        <w:rPr>
          <w:rStyle w:val="VerbatimChar"/>
        </w:rPr>
        <w:t xml:space="preserve">PU_LOSA = PU13 + Q_ACERO_PAGO * PU_ACERO  # precio contractual de 1 m2 de losa con su acero</w:t>
      </w:r>
      <w:r>
        <w:br/>
      </w:r>
      <w:r>
        <w:br/>
      </w:r>
      <w:r>
        <w:rPr>
          <w:rStyle w:val="VerbatimChar"/>
        </w:rPr>
        <w:t xml:space="preserve">q = {m: float(P["materiales"][m]["q_teorica_m2"]) for m in MATS}</w:t>
      </w:r>
      <w:r>
        <w:br/>
      </w:r>
      <w:r>
        <w:br/>
      </w:r>
      <w:r>
        <w:rPr>
          <w:rStyle w:val="VerbatimChar"/>
        </w:rPr>
        <w:t xml:space="preserve"># ---------------------------------------------------------------------------</w:t>
      </w:r>
      <w:r>
        <w:br/>
      </w:r>
      <w:r>
        <w:rPr>
          <w:rStyle w:val="VerbatimChar"/>
        </w:rPr>
        <w:t xml:space="preserve"># 1a. APU de referencia reconstruido (Anexo I) y precios de valoración</w:t>
      </w:r>
      <w:r>
        <w:br/>
      </w:r>
      <w:r>
        <w:rPr>
          <w:rStyle w:val="VerbatimChar"/>
        </w:rPr>
        <w:t xml:space="preserve">#     Precios base: Cocarico Mamani (2022) e INE Potosí (dic-2023). Se calibra</w:t>
      </w:r>
      <w:r>
        <w:br/>
      </w:r>
      <w:r>
        <w:rPr>
          <w:rStyle w:val="VerbatimChar"/>
        </w:rPr>
        <w:t xml:space="preserve">#     al precio contractual con un factor único kappa por ítem.</w:t>
      </w:r>
      <w:r>
        <w:br/>
      </w:r>
      <w:r>
        <w:rPr>
          <w:rStyle w:val="VerbatimChar"/>
        </w:rPr>
        <w:t xml:space="preserve"># ---------------------------------------------------------------------------</w:t>
      </w:r>
      <w:r>
        <w:br/>
      </w:r>
      <w:r>
        <w:rPr>
          <w:rStyle w:val="VerbatimChar"/>
        </w:rPr>
        <w:t xml:space="preserve">APU = P["apu_referencia"]</w:t>
      </w:r>
      <w:r>
        <w:br/>
      </w:r>
      <w:r>
        <w:rPr>
          <w:rStyle w:val="VerbatimChar"/>
        </w:rPr>
        <w:t xml:space="preserve">INC = APU["incidencias"]</w:t>
      </w:r>
      <w:r>
        <w:br/>
      </w:r>
      <w:r>
        <w:rPr>
          <w:rStyle w:val="VerbatimChar"/>
        </w:rPr>
        <w:t xml:space="preserve">F_IND = (1 + INC["gastos_generales"]) * (1 + INC["utilidad"]) * (1 + INC["it"])</w:t>
      </w:r>
      <w:r>
        <w:br/>
      </w:r>
      <w:r>
        <w:br/>
      </w:r>
      <w:r>
        <w:rPr>
          <w:rStyle w:val="VerbatimChar"/>
        </w:rPr>
        <w:t xml:space="preserve">def cantidad(c):</w:t>
      </w:r>
      <w:r>
        <w:br/>
      </w:r>
      <w:r>
        <w:rPr>
          <w:rStyle w:val="VerbatimChar"/>
        </w:rPr>
        <w:t xml:space="preserve">    """Cantidad del APU: número o referencia «=q:material» a la cantidad teórica."""</w:t>
      </w:r>
      <w:r>
        <w:br/>
      </w:r>
      <w:r>
        <w:rPr>
          <w:rStyle w:val="VerbatimChar"/>
        </w:rPr>
        <w:t xml:space="preserve">    if isinstance(c, str) and c.startswith("=q:"):</w:t>
      </w:r>
      <w:r>
        <w:br/>
      </w:r>
      <w:r>
        <w:rPr>
          <w:rStyle w:val="VerbatimChar"/>
        </w:rPr>
        <w:t xml:space="preserve">        return q[c[3:]]</w:t>
      </w:r>
      <w:r>
        <w:br/>
      </w:r>
      <w:r>
        <w:rPr>
          <w:rStyle w:val="VerbatimChar"/>
        </w:rPr>
        <w:t xml:space="preserve">    if isinstance(c, str) and c.startswith("=qh:"):        # insumo por m3 de hormigón</w:t>
      </w:r>
      <w:r>
        <w:br/>
      </w:r>
      <w:r>
        <w:rPr>
          <w:rStyle w:val="VerbatimChar"/>
        </w:rPr>
        <w:t xml:space="preserve">        return q["hormigon"] * float(c[4:])</w:t>
      </w:r>
      <w:r>
        <w:br/>
      </w:r>
      <w:r>
        <w:rPr>
          <w:rStyle w:val="VerbatimChar"/>
        </w:rPr>
        <w:t xml:space="preserve">    return float(c)</w:t>
      </w:r>
      <w:r>
        <w:br/>
      </w:r>
      <w:r>
        <w:br/>
      </w:r>
      <w:r>
        <w:rPr>
          <w:rStyle w:val="VerbatimChar"/>
        </w:rPr>
        <w:t xml:space="preserve">def apu(bloque: dict):</w:t>
      </w:r>
      <w:r>
        <w:br/>
      </w:r>
      <w:r>
        <w:rPr>
          <w:rStyle w:val="VerbatimChar"/>
        </w:rPr>
        <w:t xml:space="preserve">    """Devuelve filas del APU y sus totales a precios base."""</w:t>
      </w:r>
      <w:r>
        <w:br/>
      </w:r>
      <w:r>
        <w:rPr>
          <w:rStyle w:val="VerbatimChar"/>
        </w:rPr>
        <w:t xml:space="preserve">    filas, tot = [], {}</w:t>
      </w:r>
      <w:r>
        <w:br/>
      </w:r>
      <w:r>
        <w:rPr>
          <w:rStyle w:val="VerbatimChar"/>
        </w:rPr>
        <w:t xml:space="preserve">    for grupo in ("materiales", "mano_obra", "equipo"):</w:t>
      </w:r>
      <w:r>
        <w:br/>
      </w:r>
      <w:r>
        <w:rPr>
          <w:rStyle w:val="VerbatimChar"/>
        </w:rPr>
        <w:t xml:space="preserve">        sub = 0.0</w:t>
      </w:r>
      <w:r>
        <w:br/>
      </w:r>
      <w:r>
        <w:rPr>
          <w:rStyle w:val="VerbatimChar"/>
        </w:rPr>
        <w:t xml:space="preserve">        for it in bloque.get(grupo, []):</w:t>
      </w:r>
      <w:r>
        <w:br/>
      </w:r>
      <w:r>
        <w:rPr>
          <w:rStyle w:val="VerbatimChar"/>
        </w:rPr>
        <w:t xml:space="preserve">            cant = cantidad(it["cantidad"])</w:t>
      </w:r>
      <w:r>
        <w:br/>
      </w:r>
      <w:r>
        <w:rPr>
          <w:rStyle w:val="VerbatimChar"/>
        </w:rPr>
        <w:t xml:space="preserve">            parc = cant * float(it["precio_base"])</w:t>
      </w:r>
      <w:r>
        <w:br/>
      </w:r>
      <w:r>
        <w:rPr>
          <w:rStyle w:val="VerbatimChar"/>
        </w:rPr>
        <w:t xml:space="preserve">            filas.append((grupo, it["insumo"], it["unidad"], cant, float(it["precio_base"]), parc, it.get("fuente", "")))</w:t>
      </w:r>
      <w:r>
        <w:br/>
      </w:r>
      <w:r>
        <w:rPr>
          <w:rStyle w:val="VerbatimChar"/>
        </w:rPr>
        <w:t xml:space="preserve">            sub += parc</w:t>
      </w:r>
      <w:r>
        <w:br/>
      </w:r>
      <w:r>
        <w:rPr>
          <w:rStyle w:val="VerbatimChar"/>
        </w:rPr>
        <w:t xml:space="preserve">        tot[grupo] = sub</w:t>
      </w:r>
      <w:r>
        <w:br/>
      </w:r>
      <w:r>
        <w:rPr>
          <w:rStyle w:val="VerbatimChar"/>
        </w:rPr>
        <w:t xml:space="preserve">    mo = tot["mano_obra"]</w:t>
      </w:r>
      <w:r>
        <w:br/>
      </w:r>
      <w:r>
        <w:rPr>
          <w:rStyle w:val="VerbatimChar"/>
        </w:rPr>
        <w:t xml:space="preserve">    bs = mo * INC["beneficios_sociales"]</w:t>
      </w:r>
      <w:r>
        <w:br/>
      </w:r>
      <w:r>
        <w:rPr>
          <w:rStyle w:val="VerbatimChar"/>
        </w:rPr>
        <w:t xml:space="preserve">    iva = (mo + bs) * INC["iva_mano_obra"]</w:t>
      </w:r>
      <w:r>
        <w:br/>
      </w:r>
      <w:r>
        <w:rPr>
          <w:rStyle w:val="VerbatimChar"/>
        </w:rPr>
        <w:t xml:space="preserve">    mo_total = mo + bs + iva</w:t>
      </w:r>
      <w:r>
        <w:br/>
      </w:r>
      <w:r>
        <w:rPr>
          <w:rStyle w:val="VerbatimChar"/>
        </w:rPr>
        <w:t xml:space="preserve">    herr = mo_total * INC["herramientas"]</w:t>
      </w:r>
      <w:r>
        <w:br/>
      </w:r>
      <w:r>
        <w:rPr>
          <w:rStyle w:val="VerbatimChar"/>
        </w:rPr>
        <w:t xml:space="preserve">    directo = tot["materiales"] + mo_total + tot["equipo"] + herr</w:t>
      </w:r>
      <w:r>
        <w:br/>
      </w:r>
      <w:r>
        <w:rPr>
          <w:rStyle w:val="VerbatimChar"/>
        </w:rPr>
        <w:t xml:space="preserve">    precio = directo * F_IND</w:t>
      </w:r>
      <w:r>
        <w:br/>
      </w:r>
      <w:r>
        <w:rPr>
          <w:rStyle w:val="VerbatimChar"/>
        </w:rPr>
        <w:t xml:space="preserve">    return filas, {"materiales": tot["materiales"], "mano_obra": mo, "beneficios_sociales": bs,</w:t>
      </w:r>
      <w:r>
        <w:br/>
      </w:r>
      <w:r>
        <w:rPr>
          <w:rStyle w:val="VerbatimChar"/>
        </w:rPr>
        <w:t xml:space="preserve">                   "iva_mo": iva, "mano_obra_total": mo_total, "equipo": tot["equipo"],</w:t>
      </w:r>
      <w:r>
        <w:br/>
      </w:r>
      <w:r>
        <w:rPr>
          <w:rStyle w:val="VerbatimChar"/>
        </w:rPr>
        <w:t xml:space="preserve">                   "herramientas": herr, "directo": directo, "precio_base": precio}</w:t>
      </w:r>
      <w:r>
        <w:br/>
      </w:r>
      <w:r>
        <w:br/>
      </w:r>
      <w:r>
        <w:rPr>
          <w:rStyle w:val="VerbatimChar"/>
        </w:rPr>
        <w:t xml:space="preserve">FILAS13, TOT13 = apu(APU["item13"])</w:t>
      </w:r>
      <w:r>
        <w:br/>
      </w:r>
      <w:r>
        <w:rPr>
          <w:rStyle w:val="VerbatimChar"/>
        </w:rPr>
        <w:t xml:space="preserve">KAPPA13 = float(P["precios_contrato"]["item13_Bs_m2"]) / TOT13["precio_base"]</w:t>
      </w:r>
      <w:r>
        <w:br/>
      </w:r>
      <w:r>
        <w:rPr>
          <w:rStyle w:val="VerbatimChar"/>
        </w:rPr>
        <w:t xml:space="preserve">FILASAC, TOTAC = apu(APU["acero_kg"])</w:t>
      </w:r>
      <w:r>
        <w:br/>
      </w:r>
      <w:r>
        <w:rPr>
          <w:rStyle w:val="VerbatimChar"/>
        </w:rPr>
        <w:t xml:space="preserve">KAPPAAC = float(P["precios_contrato"]["acero_Bs_kg"]) / TOTAC["precio_base"]</w:t>
      </w:r>
      <w:r>
        <w:br/>
      </w:r>
      <w:r>
        <w:br/>
      </w:r>
      <w:r>
        <w:rPr>
          <w:rStyle w:val="VerbatimChar"/>
        </w:rPr>
        <w:t xml:space="preserve">def precio_material_base(clave_insumos):</w:t>
      </w:r>
      <w:r>
        <w:br/>
      </w:r>
      <w:r>
        <w:rPr>
          <w:rStyle w:val="VerbatimChar"/>
        </w:rPr>
        <w:t xml:space="preserve">    """Suma de precios base de los insumos de un material por su unidad."""</w:t>
      </w:r>
      <w:r>
        <w:br/>
      </w:r>
      <w:r>
        <w:rPr>
          <w:rStyle w:val="VerbatimChar"/>
        </w:rPr>
        <w:t xml:space="preserve">    tot = 0.0</w:t>
      </w:r>
      <w:r>
        <w:br/>
      </w:r>
      <w:r>
        <w:rPr>
          <w:rStyle w:val="VerbatimChar"/>
        </w:rPr>
        <w:t xml:space="preserve">    for nombre, factor in clave_insumos:</w:t>
      </w:r>
      <w:r>
        <w:br/>
      </w:r>
      <w:r>
        <w:rPr>
          <w:rStyle w:val="VerbatimChar"/>
        </w:rPr>
        <w:t xml:space="preserve">        it = next(i for i in APU["item13"]["materiales"] + APU["acero_kg"]["materiales"] if i["insumo"] == nombre)</w:t>
      </w:r>
      <w:r>
        <w:br/>
      </w:r>
      <w:r>
        <w:rPr>
          <w:rStyle w:val="VerbatimChar"/>
        </w:rPr>
        <w:t xml:space="preserve">        tot += factor * float(it["precio_base"])</w:t>
      </w:r>
      <w:r>
        <w:br/>
      </w:r>
      <w:r>
        <w:rPr>
          <w:rStyle w:val="VerbatimChar"/>
        </w:rPr>
        <w:t xml:space="preserve">    return tot</w:t>
      </w:r>
      <w:r>
        <w:br/>
      </w:r>
      <w:r>
        <w:br/>
      </w:r>
      <w:r>
        <w:rPr>
          <w:rStyle w:val="VerbatimChar"/>
        </w:rPr>
        <w:t xml:space="preserve">p = {}</w:t>
      </w:r>
      <w:r>
        <w:br/>
      </w:r>
      <w:r>
        <w:rPr>
          <w:rStyle w:val="VerbatimChar"/>
        </w:rPr>
        <w:t xml:space="preserve">for m in MATS:</w:t>
      </w:r>
      <w:r>
        <w:br/>
      </w:r>
      <w:r>
        <w:rPr>
          <w:rStyle w:val="VerbatimChar"/>
        </w:rPr>
        <w:t xml:space="preserve">    val = P["materiales"][m]["valoracion"]</w:t>
      </w:r>
      <w:r>
        <w:br/>
      </w:r>
      <w:r>
        <w:rPr>
          <w:rStyle w:val="VerbatimChar"/>
        </w:rPr>
        <w:t xml:space="preserve">    base = precio_material_base([(x[0], float(x[1])) for x in val["insumos"]])</w:t>
      </w:r>
      <w:r>
        <w:br/>
      </w:r>
      <w:r>
        <w:rPr>
          <w:rStyle w:val="VerbatimChar"/>
        </w:rPr>
        <w:t xml:space="preserve">    kap = KAPPAAC if val["kappa"] == "acero" else KAPPA13</w:t>
      </w:r>
      <w:r>
        <w:br/>
      </w:r>
      <w:r>
        <w:rPr>
          <w:rStyle w:val="VerbatimChar"/>
        </w:rPr>
        <w:t xml:space="preserve">    p[m] = base * F_IND * kap          # precio de valoración a nivel de precio contractual</w:t>
      </w:r>
      <w:r>
        <w:br/>
      </w:r>
      <w:r>
        <w:rPr>
          <w:rStyle w:val="VerbatimChar"/>
        </w:rPr>
        <w:t xml:space="preserve">costo_mat_teo = {m: q[m] * p[m] for m in MATS}           # Bs/m2 de cada material</w:t>
      </w:r>
      <w:r>
        <w:br/>
      </w:r>
      <w:r>
        <w:rPr>
          <w:rStyle w:val="VerbatimChar"/>
        </w:rPr>
        <w:t xml:space="preserve">CM_TEO = sum(costo_mat_teo.values())</w:t>
      </w:r>
      <w:r>
        <w:br/>
      </w:r>
      <w:r>
        <w:br/>
      </w:r>
      <w:r>
        <w:rPr>
          <w:rStyle w:val="VerbatimChar"/>
        </w:rPr>
        <w:t xml:space="preserve">def cnc_y_cu(w: dict, rho, coc, cd_teo):</w:t>
      </w:r>
      <w:r>
        <w:br/>
      </w:r>
      <w:r>
        <w:rPr>
          <w:rStyle w:val="VerbatimChar"/>
        </w:rPr>
        <w:t xml:space="preserve">    """Costo de no calidad, costo unitario e IDM ponderado para un escenario."""</w:t>
      </w:r>
      <w:r>
        <w:br/>
      </w:r>
      <w:r>
        <w:rPr>
          <w:rStyle w:val="VerbatimChar"/>
        </w:rPr>
        <w:t xml:space="preserve">    perd = sum(costo_mat_teo[m] * w[m] for m in MATS)     # pérdidas de materiales</w:t>
      </w:r>
      <w:r>
        <w:br/>
      </w:r>
      <w:r>
        <w:rPr>
          <w:rStyle w:val="VerbatimChar"/>
        </w:rPr>
        <w:t xml:space="preserve">    retr = rho * cd_teo                                    # retrabajos y reparaciones</w:t>
      </w:r>
      <w:r>
        <w:br/>
      </w:r>
      <w:r>
        <w:rPr>
          <w:rStyle w:val="VerbatimChar"/>
        </w:rPr>
        <w:t xml:space="preserve">    cnc = perd + retr</w:t>
      </w:r>
      <w:r>
        <w:br/>
      </w:r>
      <w:r>
        <w:rPr>
          <w:rStyle w:val="VerbatimChar"/>
        </w:rPr>
        <w:t xml:space="preserve">    cu = cd_teo + cnc + coc</w:t>
      </w:r>
      <w:r>
        <w:br/>
      </w:r>
      <w:r>
        <w:rPr>
          <w:rStyle w:val="VerbatimChar"/>
        </w:rPr>
        <w:t xml:space="preserve">    idm_pond = perd / CM_TEO                               # IDM ponderado por costo</w:t>
      </w:r>
      <w:r>
        <w:br/>
      </w:r>
      <w:r>
        <w:rPr>
          <w:rStyle w:val="VerbatimChar"/>
        </w:rPr>
        <w:t xml:space="preserve">    return cnc, cu, idm_pond, perd, retr</w:t>
      </w:r>
      <w:r>
        <w:br/>
      </w:r>
      <w:r>
        <w:br/>
      </w:r>
      <w:r>
        <w:rPr>
          <w:rStyle w:val="VerbatimChar"/>
        </w:rPr>
        <w:t xml:space="preserve"># Calibración (opción A): el precio del contrato representa el costo esperado de</w:t>
      </w:r>
      <w:r>
        <w:br/>
      </w:r>
      <w:r>
        <w:rPr>
          <w:rStyle w:val="VerbatimChar"/>
        </w:rPr>
        <w:t xml:space="preserve"># ejecutar con la práctica habitual (sin SGC): E[CU_sin] = PU_LOSA.</w:t>
      </w:r>
      <w:r>
        <w:br/>
      </w:r>
      <w:r>
        <w:rPr>
          <w:rStyle w:val="VerbatimChar"/>
        </w:rPr>
        <w:t xml:space="preserve">w_sin_media = {m: media_tri(P["materiales"][m]["idm_sin_sgc"]) for m in MATS}</w:t>
      </w:r>
      <w:r>
        <w:br/>
      </w:r>
      <w:r>
        <w:rPr>
          <w:rStyle w:val="VerbatimChar"/>
        </w:rPr>
        <w:t xml:space="preserve">rho_sin_media = media_tri(P["retrabajo"]["fraccion_sin_sgc"])</w:t>
      </w:r>
      <w:r>
        <w:br/>
      </w:r>
      <w:r>
        <w:rPr>
          <w:rStyle w:val="VerbatimChar"/>
        </w:rPr>
        <w:t xml:space="preserve">COC_SIN = float(P["costos_sgc"]["costo_calidad_sin_sgc_Bs_m2"])</w:t>
      </w:r>
      <w:r>
        <w:br/>
      </w:r>
      <w:r>
        <w:rPr>
          <w:rStyle w:val="VerbatimChar"/>
        </w:rPr>
        <w:t xml:space="preserve">perd_sin_media = sum(costo_mat_teo[m] * w_sin_media[m] for m in MATS)</w:t>
      </w:r>
      <w:r>
        <w:br/>
      </w:r>
      <w:r>
        <w:rPr>
          <w:rStyle w:val="VerbatimChar"/>
        </w:rPr>
        <w:t xml:space="preserve"># PU = CD + perd + rho*CD + COC_SIN  -&gt;  CD = (PU - perd - COC_SIN)/(1+rho)</w:t>
      </w:r>
      <w:r>
        <w:br/>
      </w:r>
      <w:r>
        <w:rPr>
          <w:rStyle w:val="VerbatimChar"/>
        </w:rPr>
        <w:t xml:space="preserve">CD_TEO = (PU_LOSA - perd_sin_media - COC_SIN) / (1.0 + rho_sin_media)</w:t>
      </w:r>
      <w:r>
        <w:br/>
      </w:r>
      <w:r>
        <w:br/>
      </w:r>
      <w:r>
        <w:rPr>
          <w:rStyle w:val="VerbatimChar"/>
        </w:rPr>
        <w:t xml:space="preserve"># ---------------------------------------------------------------------------</w:t>
      </w:r>
      <w:r>
        <w:br/>
      </w:r>
      <w:r>
        <w:rPr>
          <w:rStyle w:val="VerbatimChar"/>
        </w:rPr>
        <w:t xml:space="preserve"># 2. Escenario determinista (modas): línea base y con SGC</w:t>
      </w:r>
      <w:r>
        <w:br/>
      </w:r>
      <w:r>
        <w:rPr>
          <w:rStyle w:val="VerbatimChar"/>
        </w:rPr>
        <w:t xml:space="preserve"># ---------------------------------------------------------------------------</w:t>
      </w:r>
      <w:r>
        <w:br/>
      </w:r>
      <w:r>
        <w:rPr>
          <w:rStyle w:val="VerbatimChar"/>
        </w:rPr>
        <w:t xml:space="preserve">def costo_sgc_m2(muestras: bool):</w:t>
      </w:r>
      <w:r>
        <w:br/>
      </w:r>
      <w:r>
        <w:rPr>
          <w:rStyle w:val="VerbatimChar"/>
        </w:rPr>
        <w:t xml:space="preserve">    """Costos de prevención y evaluación del SGC por m2 del saldo."""</w:t>
      </w:r>
      <w:r>
        <w:br/>
      </w:r>
      <w:r>
        <w:rPr>
          <w:rStyle w:val="VerbatimChar"/>
        </w:rPr>
        <w:t xml:space="preserve">    tot = 0.0 if not muestras else np.zeros(N)</w:t>
      </w:r>
      <w:r>
        <w:br/>
      </w:r>
      <w:r>
        <w:rPr>
          <w:rStyle w:val="VerbatimChar"/>
        </w:rPr>
        <w:t xml:space="preserve">    filas = []</w:t>
      </w:r>
      <w:r>
        <w:br/>
      </w:r>
      <w:r>
        <w:rPr>
          <w:rStyle w:val="VerbatimChar"/>
        </w:rPr>
        <w:t xml:space="preserve">    for clave, item in P["costos_sgc"]["componentes"].items():</w:t>
      </w:r>
      <w:r>
        <w:br/>
      </w:r>
      <w:r>
        <w:rPr>
          <w:rStyle w:val="VerbatimChar"/>
        </w:rPr>
        <w:t xml:space="preserve">        val = tri(item["Bs_total"]) if muestras else moda(item["Bs_total"])</w:t>
      </w:r>
      <w:r>
        <w:br/>
      </w:r>
      <w:r>
        <w:rPr>
          <w:rStyle w:val="VerbatimChar"/>
        </w:rPr>
        <w:t xml:space="preserve">        tot = tot + val</w:t>
      </w:r>
      <w:r>
        <w:br/>
      </w:r>
      <w:r>
        <w:rPr>
          <w:rStyle w:val="VerbatimChar"/>
        </w:rPr>
        <w:t xml:space="preserve">        filas.append((clave, item))</w:t>
      </w:r>
      <w:r>
        <w:br/>
      </w:r>
      <w:r>
        <w:rPr>
          <w:rStyle w:val="VerbatimChar"/>
        </w:rPr>
        <w:t xml:space="preserve">    return tot / A_SALDO, filas</w:t>
      </w:r>
      <w:r>
        <w:br/>
      </w:r>
      <w:r>
        <w:br/>
      </w:r>
      <w:r>
        <w:rPr>
          <w:rStyle w:val="VerbatimChar"/>
        </w:rPr>
        <w:t xml:space="preserve">w_sin_det = {m: moda(P["materiales"][m]["idm_sin_sgc"]) for m in MATS}</w:t>
      </w:r>
      <w:r>
        <w:br/>
      </w:r>
      <w:r>
        <w:rPr>
          <w:rStyle w:val="VerbatimChar"/>
        </w:rPr>
        <w:t xml:space="preserve">e_det = {m: moda(P["materiales"][m]["eficacia_sgc"]) for m in MATS}</w:t>
      </w:r>
      <w:r>
        <w:br/>
      </w:r>
      <w:r>
        <w:rPr>
          <w:rStyle w:val="VerbatimChar"/>
        </w:rPr>
        <w:t xml:space="preserve">w_con_det = {m: w_sin_det[m] * (1 - e_det[m]) for m in MATS}</w:t>
      </w:r>
      <w:r>
        <w:br/>
      </w:r>
      <w:r>
        <w:rPr>
          <w:rStyle w:val="VerbatimChar"/>
        </w:rPr>
        <w:t xml:space="preserve">rho_sin_det = moda(P["retrabajo"]["fraccion_sin_sgc"])</w:t>
      </w:r>
      <w:r>
        <w:br/>
      </w:r>
      <w:r>
        <w:rPr>
          <w:rStyle w:val="VerbatimChar"/>
        </w:rPr>
        <w:t xml:space="preserve">rho_con_det = rho_sin_det * (1 - moda(P["retrabajo"]["eficacia_sgc"]))</w:t>
      </w:r>
      <w:r>
        <w:br/>
      </w:r>
      <w:r>
        <w:rPr>
          <w:rStyle w:val="VerbatimChar"/>
        </w:rPr>
        <w:t xml:space="preserve">coc_con_det, comp_sgc = costo_sgc_m2(False)</w:t>
      </w:r>
      <w:r>
        <w:br/>
      </w:r>
      <w:r>
        <w:br/>
      </w:r>
      <w:r>
        <w:rPr>
          <w:rStyle w:val="VerbatimChar"/>
        </w:rPr>
        <w:t xml:space="preserve">cnc_s, cu_s, idm_s, perd_s, retr_s = cnc_y_cu(w_sin_det, rho_sin_det, COC_SIN, CD_TEO)</w:t>
      </w:r>
      <w:r>
        <w:br/>
      </w:r>
      <w:r>
        <w:rPr>
          <w:rStyle w:val="VerbatimChar"/>
        </w:rPr>
        <w:t xml:space="preserve">cnc_c, cu_c, idm_c, perd_c, retr_c = cnc_y_cu(w_con_det, rho_con_det, coc_con_det, CD_TEO)</w:t>
      </w:r>
      <w:r>
        <w:br/>
      </w:r>
      <w:r>
        <w:rPr>
          <w:rStyle w:val="VerbatimChar"/>
        </w:rPr>
        <w:t xml:space="preserve">r_det = (cu_s - cu_c) / cu_s</w:t>
      </w:r>
      <w:r>
        <w:br/>
      </w:r>
      <w:r>
        <w:br/>
      </w:r>
      <w:r>
        <w:rPr>
          <w:rStyle w:val="VerbatimChar"/>
        </w:rPr>
        <w:t xml:space="preserve"># ---------------------------------------------------------------------------</w:t>
      </w:r>
      <w:r>
        <w:br/>
      </w:r>
      <w:r>
        <w:rPr>
          <w:rStyle w:val="VerbatimChar"/>
        </w:rPr>
        <w:t xml:space="preserve"># 3. Simulación de Monte Carlo</w:t>
      </w:r>
      <w:r>
        <w:br/>
      </w:r>
      <w:r>
        <w:rPr>
          <w:rStyle w:val="VerbatimChar"/>
        </w:rPr>
        <w:t xml:space="preserve"># ---------------------------------------------------------------------------</w:t>
      </w:r>
      <w:r>
        <w:br/>
      </w:r>
      <w:r>
        <w:rPr>
          <w:rStyle w:val="VerbatimChar"/>
        </w:rPr>
        <w:t xml:space="preserve">W_SIN = {m: tri(P["materiales"][m]["idm_sin_sgc"]) for m in MATS}</w:t>
      </w:r>
      <w:r>
        <w:br/>
      </w:r>
      <w:r>
        <w:rPr>
          <w:rStyle w:val="VerbatimChar"/>
        </w:rPr>
        <w:t xml:space="preserve">E_SGC = {m: tri(P["materiales"][m]["eficacia_sgc"]) for m in MATS}</w:t>
      </w:r>
      <w:r>
        <w:br/>
      </w:r>
      <w:r>
        <w:rPr>
          <w:rStyle w:val="VerbatimChar"/>
        </w:rPr>
        <w:t xml:space="preserve">W_CON = {m: W_SIN[m] * (1 - E_SGC[m]) for m in MATS}</w:t>
      </w:r>
      <w:r>
        <w:br/>
      </w:r>
      <w:r>
        <w:rPr>
          <w:rStyle w:val="VerbatimChar"/>
        </w:rPr>
        <w:t xml:space="preserve">RHO_SIN = tri(P["retrabajo"]["fraccion_sin_sgc"])</w:t>
      </w:r>
      <w:r>
        <w:br/>
      </w:r>
      <w:r>
        <w:rPr>
          <w:rStyle w:val="VerbatimChar"/>
        </w:rPr>
        <w:t xml:space="preserve">E_RET = tri(P["retrabajo"]["eficacia_sgc"])</w:t>
      </w:r>
      <w:r>
        <w:br/>
      </w:r>
      <w:r>
        <w:rPr>
          <w:rStyle w:val="VerbatimChar"/>
        </w:rPr>
        <w:t xml:space="preserve">RHO_CON = RHO_SIN * (1 - E_RET)</w:t>
      </w:r>
      <w:r>
        <w:br/>
      </w:r>
      <w:r>
        <w:rPr>
          <w:rStyle w:val="VerbatimChar"/>
        </w:rPr>
        <w:t xml:space="preserve">COC_CON, _ = costo_sgc_m2(True)</w:t>
      </w:r>
      <w:r>
        <w:br/>
      </w:r>
      <w:r>
        <w:br/>
      </w:r>
      <w:r>
        <w:rPr>
          <w:rStyle w:val="VerbatimChar"/>
        </w:rPr>
        <w:t xml:space="preserve">CNC_SIN, CU_SIN, IDM_SIN, PERD_SIN, RETR_SIN = cnc_y_cu(W_SIN, RHO_SIN, COC_SIN, CD_TEO)</w:t>
      </w:r>
      <w:r>
        <w:br/>
      </w:r>
      <w:r>
        <w:rPr>
          <w:rStyle w:val="VerbatimChar"/>
        </w:rPr>
        <w:t xml:space="preserve">CNC_CON, CU_CON, IDM_CON, PERD_CON, RETR_CON = cnc_y_cu(W_CON, RHO_CON, COC_CON, CD_TEO)</w:t>
      </w:r>
      <w:r>
        <w:br/>
      </w:r>
      <w:r>
        <w:rPr>
          <w:rStyle w:val="VerbatimChar"/>
        </w:rPr>
        <w:t xml:space="preserve">R = (CU_SIN - CU_CON) / CU_SIN</w:t>
      </w:r>
      <w:r>
        <w:br/>
      </w:r>
      <w:r>
        <w:rPr>
          <w:rStyle w:val="VerbatimChar"/>
        </w:rPr>
        <w:t xml:space="preserve">AHORRO_SALDO = (CU_SIN - CU_CON) * A_SALDO</w:t>
      </w:r>
      <w:r>
        <w:br/>
      </w:r>
      <w:r>
        <w:br/>
      </w:r>
      <w:r>
        <w:rPr>
          <w:rStyle w:val="VerbatimChar"/>
        </w:rPr>
        <w:t xml:space="preserve"># Escenario de «SGC de papel»: con probabilidad pi_falla el sistema no se aplica</w:t>
      </w:r>
      <w:r>
        <w:br/>
      </w:r>
      <w:r>
        <w:rPr>
          <w:rStyle w:val="VerbatimChar"/>
        </w:rPr>
        <w:t xml:space="preserve"># en obra (eficacia nula) pero sí se pagan sus costos.</w:t>
      </w:r>
      <w:r>
        <w:br/>
      </w:r>
      <w:r>
        <w:rPr>
          <w:rStyle w:val="VerbatimChar"/>
        </w:rPr>
        <w:t xml:space="preserve">PI_FALLA = float(SIM.get("prob_sgc_no_aplicado", 0.0))</w:t>
      </w:r>
      <w:r>
        <w:br/>
      </w:r>
      <w:r>
        <w:rPr>
          <w:rStyle w:val="VerbatimChar"/>
        </w:rPr>
        <w:t xml:space="preserve">FALLA = RNG.random(N) &lt; PI_FALLA</w:t>
      </w:r>
      <w:r>
        <w:br/>
      </w:r>
      <w:r>
        <w:rPr>
          <w:rStyle w:val="VerbatimChar"/>
        </w:rPr>
        <w:t xml:space="preserve">W_CON_F = {m: np.where(FALLA, W_SIN[m], W_CON[m]) for m in MATS}</w:t>
      </w:r>
      <w:r>
        <w:br/>
      </w:r>
      <w:r>
        <w:rPr>
          <w:rStyle w:val="VerbatimChar"/>
        </w:rPr>
        <w:t xml:space="preserve">RHO_CON_F = np.where(FALLA, RHO_SIN, RHO_CON)</w:t>
      </w:r>
      <w:r>
        <w:br/>
      </w:r>
      <w:r>
        <w:rPr>
          <w:rStyle w:val="VerbatimChar"/>
        </w:rPr>
        <w:t xml:space="preserve">_, CU_CON_F, _, _, _ = cnc_y_cu(W_CON_F, RHO_CON_F, COC_CON, CD_TEO)</w:t>
      </w:r>
      <w:r>
        <w:br/>
      </w:r>
      <w:r>
        <w:rPr>
          <w:rStyle w:val="VerbatimChar"/>
        </w:rPr>
        <w:t xml:space="preserve">R_F = (CU_SIN - CU_CON_F) / CU_SIN</w:t>
      </w:r>
      <w:r>
        <w:br/>
      </w:r>
      <w:r>
        <w:br/>
      </w:r>
      <w:r>
        <w:rPr>
          <w:rStyle w:val="VerbatimChar"/>
        </w:rPr>
        <w:t xml:space="preserve"># Escenario complementario: costos ocultos de no calidad (tiempos muertos,</w:t>
      </w:r>
      <w:r>
        <w:br/>
      </w:r>
      <w:r>
        <w:rPr>
          <w:rStyle w:val="VerbatimChar"/>
        </w:rPr>
        <w:t xml:space="preserve"># supervisión adicional, horas extra), que el modelo principal no incluye.</w:t>
      </w:r>
      <w:r>
        <w:br/>
      </w:r>
      <w:r>
        <w:rPr>
          <w:rStyle w:val="VerbatimChar"/>
        </w:rPr>
        <w:t xml:space="preserve">ESC_OC = P.get("escenario_costos_ocultos")</w:t>
      </w:r>
      <w:r>
        <w:br/>
      </w:r>
      <w:r>
        <w:rPr>
          <w:rStyle w:val="VerbatimChar"/>
        </w:rPr>
        <w:t xml:space="preserve">if ESC_OC:</w:t>
      </w:r>
      <w:r>
        <w:br/>
      </w:r>
      <w:r>
        <w:rPr>
          <w:rStyle w:val="VerbatimChar"/>
        </w:rPr>
        <w:t xml:space="preserve">    rho_h_media = media_tri(ESC_OC["fraccion_sin_sgc"])</w:t>
      </w:r>
      <w:r>
        <w:br/>
      </w:r>
      <w:r>
        <w:rPr>
          <w:rStyle w:val="VerbatimChar"/>
        </w:rPr>
        <w:t xml:space="preserve">    CD_TEO_H = (PU_LOSA - perd_sin_media - COC_SIN) / (1.0 + rho_sin_media + rho_h_media)</w:t>
      </w:r>
      <w:r>
        <w:br/>
      </w:r>
      <w:r>
        <w:rPr>
          <w:rStyle w:val="VerbatimChar"/>
        </w:rPr>
        <w:t xml:space="preserve">    RHO_H_SIN = tri(ESC_OC["fraccion_sin_sgc"])</w:t>
      </w:r>
      <w:r>
        <w:br/>
      </w:r>
      <w:r>
        <w:rPr>
          <w:rStyle w:val="VerbatimChar"/>
        </w:rPr>
        <w:t xml:space="preserve">    RHO_H_CON = RHO_H_SIN * (1 - E_RET)</w:t>
      </w:r>
      <w:r>
        <w:br/>
      </w:r>
      <w:r>
        <w:rPr>
          <w:rStyle w:val="VerbatimChar"/>
        </w:rPr>
        <w:t xml:space="preserve">    _, CU_SIN_H, _, _, _ = cnc_y_cu(W_SIN, RHO_SIN + RHO_H_SIN, COC_SIN, CD_TEO_H)</w:t>
      </w:r>
      <w:r>
        <w:br/>
      </w:r>
      <w:r>
        <w:rPr>
          <w:rStyle w:val="VerbatimChar"/>
        </w:rPr>
        <w:t xml:space="preserve">    _, CU_CON_H, _, _, _ = cnc_y_cu(W_CON, RHO_CON + RHO_H_CON, COC_CON, CD_TEO_H)</w:t>
      </w:r>
      <w:r>
        <w:br/>
      </w:r>
      <w:r>
        <w:rPr>
          <w:rStyle w:val="VerbatimChar"/>
        </w:rPr>
        <w:t xml:space="preserve">    R_H = (CU_SIN_H - CU_CON_H) / CU_SIN_H</w:t>
      </w:r>
      <w:r>
        <w:br/>
      </w:r>
      <w:r>
        <w:rPr>
          <w:rStyle w:val="VerbatimChar"/>
        </w:rPr>
        <w:t xml:space="preserve">else:</w:t>
      </w:r>
      <w:r>
        <w:br/>
      </w:r>
      <w:r>
        <w:rPr>
          <w:rStyle w:val="VerbatimChar"/>
        </w:rPr>
        <w:t xml:space="preserve">    R_H = None</w:t>
      </w:r>
      <w:r>
        <w:br/>
      </w:r>
      <w:r>
        <w:br/>
      </w:r>
      <w:r>
        <w:rPr>
          <w:rStyle w:val="VerbatimChar"/>
        </w:rPr>
        <w:t xml:space="preserve">def resumen(x: np.ndarray) -&gt; dict:</w:t>
      </w:r>
      <w:r>
        <w:br/>
      </w:r>
      <w:r>
        <w:rPr>
          <w:rStyle w:val="VerbatimChar"/>
        </w:rPr>
        <w:t xml:space="preserve">    return {</w:t>
      </w:r>
      <w:r>
        <w:br/>
      </w:r>
      <w:r>
        <w:rPr>
          <w:rStyle w:val="VerbatimChar"/>
        </w:rPr>
        <w:t xml:space="preserve">        "media": float(np.mean(x)), "desv_est": float(np.std(x, ddof=1)),</w:t>
      </w:r>
      <w:r>
        <w:br/>
      </w:r>
      <w:r>
        <w:rPr>
          <w:rStyle w:val="VerbatimChar"/>
        </w:rPr>
        <w:t xml:space="preserve">        "p05": float(np.percentile(x, 5)), "p50": float(np.percentile(x, 50)),</w:t>
      </w:r>
      <w:r>
        <w:br/>
      </w:r>
      <w:r>
        <w:rPr>
          <w:rStyle w:val="VerbatimChar"/>
        </w:rPr>
        <w:t xml:space="preserve">        "p95": float(np.percentile(x, 95)), "min": float(np.min(x)), "max": float(np.max(x)),</w:t>
      </w:r>
      <w:r>
        <w:br/>
      </w:r>
      <w:r>
        <w:rPr>
          <w:rStyle w:val="VerbatimChar"/>
        </w:rPr>
        <w:t xml:space="preserve">    }</w:t>
      </w:r>
      <w:r>
        <w:br/>
      </w:r>
      <w:r>
        <w:br/>
      </w:r>
      <w:r>
        <w:rPr>
          <w:rStyle w:val="VerbatimChar"/>
        </w:rPr>
        <w:t xml:space="preserve">p_hg = float(np.mean(R &gt;= UMBRAL))</w:t>
      </w:r>
      <w:r>
        <w:br/>
      </w:r>
      <w:r>
        <w:rPr>
          <w:rStyle w:val="VerbatimChar"/>
        </w:rPr>
        <w:t xml:space="preserve">p_r_pos = float(np.mean(R &gt; 0))</w:t>
      </w:r>
      <w:r>
        <w:br/>
      </w:r>
      <w:r>
        <w:rPr>
          <w:rStyle w:val="VerbatimChar"/>
        </w:rPr>
        <w:t xml:space="preserve">p_he1 = float(np.mean(IDM_CON &lt; IDM_SIN))</w:t>
      </w:r>
      <w:r>
        <w:br/>
      </w:r>
      <w:r>
        <w:rPr>
          <w:rStyle w:val="VerbatimChar"/>
        </w:rPr>
        <w:t xml:space="preserve">p_he2 = float(np.mean(CNC_CON &lt; CNC_SIN))</w:t>
      </w:r>
      <w:r>
        <w:br/>
      </w:r>
      <w:r>
        <w:rPr>
          <w:rStyle w:val="VerbatimChar"/>
        </w:rPr>
        <w:t xml:space="preserve">dec = lambda pr: "Se acepta H1" if pr &gt;= CONF else "No se acepta H1 (se mantiene H0)"  # noqa: E731</w:t>
      </w:r>
      <w:r>
        <w:br/>
      </w:r>
      <w:r>
        <w:br/>
      </w:r>
      <w:r>
        <w:rPr>
          <w:rStyle w:val="VerbatimChar"/>
        </w:rPr>
        <w:t xml:space="preserve"># Intervalo de confianza de la probabilidad estimada (error de simulación)</w:t>
      </w:r>
      <w:r>
        <w:br/>
      </w:r>
      <w:r>
        <w:rPr>
          <w:rStyle w:val="VerbatimChar"/>
        </w:rPr>
        <w:t xml:space="preserve">def ic_prop(pr: float) -&gt; tuple[float, float]:</w:t>
      </w:r>
      <w:r>
        <w:br/>
      </w:r>
      <w:r>
        <w:rPr>
          <w:rStyle w:val="VerbatimChar"/>
        </w:rPr>
        <w:t xml:space="preserve">    se = math.sqrt(max(pr * (1 - pr), 1e-12) / N)</w:t>
      </w:r>
      <w:r>
        <w:br/>
      </w:r>
      <w:r>
        <w:rPr>
          <w:rStyle w:val="VerbatimChar"/>
        </w:rPr>
        <w:t xml:space="preserve">    return pr - 1.96 * se, pr + 1.96 * se</w:t>
      </w:r>
      <w:r>
        <w:br/>
      </w:r>
      <w:r>
        <w:br/>
      </w:r>
      <w:r>
        <w:rPr>
          <w:rStyle w:val="VerbatimChar"/>
        </w:rPr>
        <w:t xml:space="preserve"># ---------------------------------------------------------------------------</w:t>
      </w:r>
      <w:r>
        <w:br/>
      </w:r>
      <w:r>
        <w:rPr>
          <w:rStyle w:val="VerbatimChar"/>
        </w:rPr>
        <w:t xml:space="preserve"># 4. Sensibilidad, punto de equilibrio y convergencia</w:t>
      </w:r>
      <w:r>
        <w:br/>
      </w:r>
      <w:r>
        <w:rPr>
          <w:rStyle w:val="VerbatimChar"/>
        </w:rPr>
        <w:t xml:space="preserve"># ---------------------------------------------------------------------------</w:t>
      </w:r>
      <w:r>
        <w:br/>
      </w:r>
      <w:r>
        <w:rPr>
          <w:rStyle w:val="VerbatimChar"/>
        </w:rPr>
        <w:t xml:space="preserve">entradas = {f"IDM sin SGC: {P['materiales'][m]['nombre']}": W_SIN[m] for m in MATS}</w:t>
      </w:r>
      <w:r>
        <w:br/>
      </w:r>
      <w:r>
        <w:rPr>
          <w:rStyle w:val="VerbatimChar"/>
        </w:rPr>
        <w:t xml:space="preserve">entradas.update({f"Eficacia del SGC: {P['materiales'][m]['nombre']}": E_SGC[m] for m in MATS})</w:t>
      </w:r>
      <w:r>
        <w:br/>
      </w:r>
      <w:r>
        <w:rPr>
          <w:rStyle w:val="VerbatimChar"/>
        </w:rPr>
        <w:t xml:space="preserve">entradas["Fracción de retrabajo sin SGC"] = RHO_SIN</w:t>
      </w:r>
      <w:r>
        <w:br/>
      </w:r>
      <w:r>
        <w:rPr>
          <w:rStyle w:val="VerbatimChar"/>
        </w:rPr>
        <w:t xml:space="preserve">entradas["Eficacia del SGC en retrabajos"] = E_RET</w:t>
      </w:r>
      <w:r>
        <w:br/>
      </w:r>
      <w:r>
        <w:rPr>
          <w:rStyle w:val="VerbatimChar"/>
        </w:rPr>
        <w:t xml:space="preserve">entradas["Costo del SGC (Bs/m²)"] = COC_CON</w:t>
      </w:r>
      <w:r>
        <w:br/>
      </w:r>
      <w:r>
        <w:rPr>
          <w:rStyle w:val="VerbatimChar"/>
        </w:rPr>
        <w:t xml:space="preserve">spearman = {k: float(stats.spearmanr(v, R)[0]) for k, v in entradas.items()}</w:t>
      </w:r>
      <w:r>
        <w:br/>
      </w:r>
      <w:r>
        <w:rPr>
          <w:rStyle w:val="VerbatimChar"/>
        </w:rPr>
        <w:t xml:space="preserve">spearman = dict(sorted(spearman.items(), key=lambda kv: -abs(kv[1])))</w:t>
      </w:r>
      <w:r>
        <w:br/>
      </w:r>
      <w:r>
        <w:br/>
      </w:r>
      <w:r>
        <w:rPr>
          <w:rStyle w:val="VerbatimChar"/>
        </w:rPr>
        <w:t xml:space="preserve"># Un factor a la vez: cada entrada en su mínimo y su máximo, las demás en la moda</w:t>
      </w:r>
      <w:r>
        <w:br/>
      </w:r>
      <w:r>
        <w:rPr>
          <w:rStyle w:val="VerbatimChar"/>
        </w:rPr>
        <w:t xml:space="preserve">def r_con(w_sin, e, rho_s, e_r, coc):</w:t>
      </w:r>
      <w:r>
        <w:br/>
      </w:r>
      <w:r>
        <w:rPr>
          <w:rStyle w:val="VerbatimChar"/>
        </w:rPr>
        <w:t xml:space="preserve">    w_con = {m: w_sin[m] * (1 - e[m]) for m in MATS}</w:t>
      </w:r>
      <w:r>
        <w:br/>
      </w:r>
      <w:r>
        <w:rPr>
          <w:rStyle w:val="VerbatimChar"/>
        </w:rPr>
        <w:t xml:space="preserve">    _, a, _, _, _ = cnc_y_cu(w_sin, rho_s, COC_SIN, CD_TEO)</w:t>
      </w:r>
      <w:r>
        <w:br/>
      </w:r>
      <w:r>
        <w:rPr>
          <w:rStyle w:val="VerbatimChar"/>
        </w:rPr>
        <w:t xml:space="preserve">    _, b, _, _, _ = cnc_y_cu(w_con, rho_s * (1 - e_r), coc, CD_TEO)</w:t>
      </w:r>
      <w:r>
        <w:br/>
      </w:r>
      <w:r>
        <w:rPr>
          <w:rStyle w:val="VerbatimChar"/>
        </w:rPr>
        <w:t xml:space="preserve">    return (a - b) / a</w:t>
      </w:r>
      <w:r>
        <w:br/>
      </w:r>
      <w:r>
        <w:br/>
      </w:r>
      <w:r>
        <w:rPr>
          <w:rStyle w:val="VerbatimChar"/>
        </w:rPr>
        <w:t xml:space="preserve">oat = []</w:t>
      </w:r>
      <w:r>
        <w:br/>
      </w:r>
      <w:r>
        <w:rPr>
          <w:rStyle w:val="VerbatimChar"/>
        </w:rPr>
        <w:t xml:space="preserve">base_args = dict(w_sin=dict(w_sin_det), e=dict(e_det), rho_s=rho_sin_det,</w:t>
      </w:r>
      <w:r>
        <w:br/>
      </w:r>
      <w:r>
        <w:rPr>
          <w:rStyle w:val="VerbatimChar"/>
        </w:rPr>
        <w:t xml:space="preserve">                 e_r=moda(P["retrabajo"]["eficacia_sgc"]), coc=coc_con_det)</w:t>
      </w:r>
      <w:r>
        <w:br/>
      </w:r>
      <w:r>
        <w:rPr>
          <w:rStyle w:val="VerbatimChar"/>
        </w:rPr>
        <w:t xml:space="preserve">for m in MATS:</w:t>
      </w:r>
      <w:r>
        <w:br/>
      </w:r>
      <w:r>
        <w:rPr>
          <w:rStyle w:val="VerbatimChar"/>
        </w:rPr>
        <w:t xml:space="preserve">    for campo, etiqueta in (("idm_sin_sgc", "IDM sin SGC"), ("eficacia_sgc", "Eficacia del SGC")):</w:t>
      </w:r>
      <w:r>
        <w:br/>
      </w:r>
      <w:r>
        <w:rPr>
          <w:rStyle w:val="VerbatimChar"/>
        </w:rPr>
        <w:t xml:space="preserve">        spec = P["materiales"][m][campo]</w:t>
      </w:r>
      <w:r>
        <w:br/>
      </w:r>
      <w:r>
        <w:rPr>
          <w:rStyle w:val="VerbatimChar"/>
        </w:rPr>
        <w:t xml:space="preserve">        vals = []</w:t>
      </w:r>
      <w:r>
        <w:br/>
      </w:r>
      <w:r>
        <w:rPr>
          <w:rStyle w:val="VerbatimChar"/>
        </w:rPr>
        <w:t xml:space="preserve">        for extremo in ("min", "max"):</w:t>
      </w:r>
      <w:r>
        <w:br/>
      </w:r>
      <w:r>
        <w:rPr>
          <w:rStyle w:val="VerbatimChar"/>
        </w:rPr>
        <w:t xml:space="preserve">            args = {k: (dict(v) if isinstance(v, dict) else v) for k, v in base_args.items()}</w:t>
      </w:r>
      <w:r>
        <w:br/>
      </w:r>
      <w:r>
        <w:rPr>
          <w:rStyle w:val="VerbatimChar"/>
        </w:rPr>
        <w:t xml:space="preserve">            if campo == "idm_sin_sgc":</w:t>
      </w:r>
      <w:r>
        <w:br/>
      </w:r>
      <w:r>
        <w:rPr>
          <w:rStyle w:val="VerbatimChar"/>
        </w:rPr>
        <w:t xml:space="preserve">                args["w_sin"][m] = float(spec[extremo])</w:t>
      </w:r>
      <w:r>
        <w:br/>
      </w:r>
      <w:r>
        <w:rPr>
          <w:rStyle w:val="VerbatimChar"/>
        </w:rPr>
        <w:t xml:space="preserve">            else:</w:t>
      </w:r>
      <w:r>
        <w:br/>
      </w:r>
      <w:r>
        <w:rPr>
          <w:rStyle w:val="VerbatimChar"/>
        </w:rPr>
        <w:t xml:space="preserve">                args["e"][m] = float(spec[extremo])</w:t>
      </w:r>
      <w:r>
        <w:br/>
      </w:r>
      <w:r>
        <w:rPr>
          <w:rStyle w:val="VerbatimChar"/>
        </w:rPr>
        <w:t xml:space="preserve">            vals.append(r_con(**args))</w:t>
      </w:r>
      <w:r>
        <w:br/>
      </w:r>
      <w:r>
        <w:rPr>
          <w:rStyle w:val="VerbatimChar"/>
        </w:rPr>
        <w:t xml:space="preserve">        oat.append((f"{etiqueta}: {P['materiales'][m]['nombre']}", vals[0], vals[1]))</w:t>
      </w:r>
      <w:r>
        <w:br/>
      </w:r>
      <w:r>
        <w:rPr>
          <w:rStyle w:val="VerbatimChar"/>
        </w:rPr>
        <w:t xml:space="preserve">for campo, etiqueta, clave in (("fraccion_sin_sgc", "Fracción de retrabajo sin SGC", "rho_s"),</w:t>
      </w:r>
      <w:r>
        <w:br/>
      </w:r>
      <w:r>
        <w:rPr>
          <w:rStyle w:val="VerbatimChar"/>
        </w:rPr>
        <w:t xml:space="preserve">                               ("eficacia_sgc", "Eficacia del SGC en retrabajos", "e_r")):</w:t>
      </w:r>
      <w:r>
        <w:br/>
      </w:r>
      <w:r>
        <w:rPr>
          <w:rStyle w:val="VerbatimChar"/>
        </w:rPr>
        <w:t xml:space="preserve">    spec = P["retrabajo"][campo]</w:t>
      </w:r>
      <w:r>
        <w:br/>
      </w:r>
      <w:r>
        <w:rPr>
          <w:rStyle w:val="VerbatimChar"/>
        </w:rPr>
        <w:t xml:space="preserve">    vals = []</w:t>
      </w:r>
      <w:r>
        <w:br/>
      </w:r>
      <w:r>
        <w:rPr>
          <w:rStyle w:val="VerbatimChar"/>
        </w:rPr>
        <w:t xml:space="preserve">    for extremo in ("min", "max"):</w:t>
      </w:r>
      <w:r>
        <w:br/>
      </w:r>
      <w:r>
        <w:rPr>
          <w:rStyle w:val="VerbatimChar"/>
        </w:rPr>
        <w:t xml:space="preserve">        args = {k: (dict(v) if isinstance(v, dict) else v) for k, v in base_args.items()}</w:t>
      </w:r>
      <w:r>
        <w:br/>
      </w:r>
      <w:r>
        <w:rPr>
          <w:rStyle w:val="VerbatimChar"/>
        </w:rPr>
        <w:t xml:space="preserve">        args[clave] = float(spec[extremo])</w:t>
      </w:r>
      <w:r>
        <w:br/>
      </w:r>
      <w:r>
        <w:rPr>
          <w:rStyle w:val="VerbatimChar"/>
        </w:rPr>
        <w:t xml:space="preserve">        vals.append(r_con(**args))</w:t>
      </w:r>
      <w:r>
        <w:br/>
      </w:r>
      <w:r>
        <w:rPr>
          <w:rStyle w:val="VerbatimChar"/>
        </w:rPr>
        <w:t xml:space="preserve">    oat.append((etiqueta, vals[0], vals[1]))</w:t>
      </w:r>
      <w:r>
        <w:br/>
      </w:r>
      <w:r>
        <w:rPr>
          <w:rStyle w:val="VerbatimChar"/>
        </w:rPr>
        <w:t xml:space="preserve">coc_min = sum(float(c["Bs_total"]["min"]) for c in P["costos_sgc"]["componentes"].values()) / A_SALDO</w:t>
      </w:r>
      <w:r>
        <w:br/>
      </w:r>
      <w:r>
        <w:rPr>
          <w:rStyle w:val="VerbatimChar"/>
        </w:rPr>
        <w:t xml:space="preserve">coc_max = sum(float(c["Bs_total"]["max"]) for c in P["costos_sgc"]["componentes"].values()) / A_SALDO</w:t>
      </w:r>
      <w:r>
        <w:br/>
      </w:r>
      <w:r>
        <w:rPr>
          <w:rStyle w:val="VerbatimChar"/>
        </w:rPr>
        <w:t xml:space="preserve">oat.append(("Costo del SGC (Bs/m²)",</w:t>
      </w:r>
      <w:r>
        <w:br/>
      </w:r>
      <w:r>
        <w:rPr>
          <w:rStyle w:val="VerbatimChar"/>
        </w:rPr>
        <w:t xml:space="preserve">            r_con(**{**base_args, "coc": coc_max}), r_con(**{**base_args, "coc": coc_min})))</w:t>
      </w:r>
      <w:r>
        <w:br/>
      </w:r>
      <w:r>
        <w:rPr>
          <w:rStyle w:val="VerbatimChar"/>
        </w:rPr>
        <w:t xml:space="preserve">oat.sort(key=lambda t: -abs(t[2] - t[1]))</w:t>
      </w:r>
      <w:r>
        <w:br/>
      </w:r>
      <w:r>
        <w:br/>
      </w:r>
      <w:r>
        <w:rPr>
          <w:rStyle w:val="VerbatimChar"/>
        </w:rPr>
        <w:t xml:space="preserve"># Punto de equilibrio: factor uniforme de eficacia k (misma eficacia en todo)</w:t>
      </w:r>
      <w:r>
        <w:br/>
      </w:r>
      <w:r>
        <w:rPr>
          <w:rStyle w:val="VerbatimChar"/>
        </w:rPr>
        <w:t xml:space="preserve">def r_k(k: float, coc: float = coc_con_det) -&gt; float:</w:t>
      </w:r>
      <w:r>
        <w:br/>
      </w:r>
      <w:r>
        <w:rPr>
          <w:rStyle w:val="VerbatimChar"/>
        </w:rPr>
        <w:t xml:space="preserve">    e = {m: k for m in MATS}</w:t>
      </w:r>
      <w:r>
        <w:br/>
      </w:r>
      <w:r>
        <w:rPr>
          <w:rStyle w:val="VerbatimChar"/>
        </w:rPr>
        <w:t xml:space="preserve">    return r_con(dict(w_sin_det), e, rho_sin_det, k, coc)</w:t>
      </w:r>
      <w:r>
        <w:br/>
      </w:r>
      <w:r>
        <w:br/>
      </w:r>
      <w:r>
        <w:rPr>
          <w:rStyle w:val="VerbatimChar"/>
        </w:rPr>
        <w:t xml:space="preserve">def raiz(objetivo: float) -&gt; float | None:</w:t>
      </w:r>
      <w:r>
        <w:br/>
      </w:r>
      <w:r>
        <w:rPr>
          <w:rStyle w:val="VerbatimChar"/>
        </w:rPr>
        <w:t xml:space="preserve">    lo, hi = 0.0, 1.0</w:t>
      </w:r>
      <w:r>
        <w:br/>
      </w:r>
      <w:r>
        <w:rPr>
          <w:rStyle w:val="VerbatimChar"/>
        </w:rPr>
        <w:t xml:space="preserve">    if (r_k(hi) - objetivo) &lt; 0:</w:t>
      </w:r>
      <w:r>
        <w:br/>
      </w:r>
      <w:r>
        <w:rPr>
          <w:rStyle w:val="VerbatimChar"/>
        </w:rPr>
        <w:t xml:space="preserve">        return None</w:t>
      </w:r>
      <w:r>
        <w:br/>
      </w:r>
      <w:r>
        <w:rPr>
          <w:rStyle w:val="VerbatimChar"/>
        </w:rPr>
        <w:t xml:space="preserve">    for _ in range(80):</w:t>
      </w:r>
      <w:r>
        <w:br/>
      </w:r>
      <w:r>
        <w:rPr>
          <w:rStyle w:val="VerbatimChar"/>
        </w:rPr>
        <w:t xml:space="preserve">        mid = (lo + hi) / 2</w:t>
      </w:r>
      <w:r>
        <w:br/>
      </w:r>
      <w:r>
        <w:rPr>
          <w:rStyle w:val="VerbatimChar"/>
        </w:rPr>
        <w:t xml:space="preserve">        if r_k(mid) - objetivo &gt;= 0:</w:t>
      </w:r>
      <w:r>
        <w:br/>
      </w:r>
      <w:r>
        <w:rPr>
          <w:rStyle w:val="VerbatimChar"/>
        </w:rPr>
        <w:t xml:space="preserve">            hi = mid</w:t>
      </w:r>
      <w:r>
        <w:br/>
      </w:r>
      <w:r>
        <w:rPr>
          <w:rStyle w:val="VerbatimChar"/>
        </w:rPr>
        <w:t xml:space="preserve">        else:</w:t>
      </w:r>
      <w:r>
        <w:br/>
      </w:r>
      <w:r>
        <w:rPr>
          <w:rStyle w:val="VerbatimChar"/>
        </w:rPr>
        <w:t xml:space="preserve">            lo = mid</w:t>
      </w:r>
      <w:r>
        <w:br/>
      </w:r>
      <w:r>
        <w:rPr>
          <w:rStyle w:val="VerbatimChar"/>
        </w:rPr>
        <w:t xml:space="preserve">    return hi</w:t>
      </w:r>
      <w:r>
        <w:br/>
      </w:r>
      <w:r>
        <w:br/>
      </w:r>
      <w:r>
        <w:rPr>
          <w:rStyle w:val="VerbatimChar"/>
        </w:rPr>
        <w:t xml:space="preserve">k_equilibrio = raiz(0.0)</w:t>
      </w:r>
      <w:r>
        <w:br/>
      </w:r>
      <w:r>
        <w:rPr>
          <w:rStyle w:val="VerbatimChar"/>
        </w:rPr>
        <w:t xml:space="preserve">k_umbral = raiz(UMBRAL)</w:t>
      </w:r>
      <w:r>
        <w:br/>
      </w:r>
      <w:r>
        <w:rPr>
          <w:rStyle w:val="VerbatimChar"/>
        </w:rPr>
        <w:t xml:space="preserve">r_max_teorico = r_k(1.0)</w:t>
      </w:r>
      <w:r>
        <w:br/>
      </w:r>
      <w:r>
        <w:br/>
      </w:r>
      <w:r>
        <w:rPr>
          <w:rStyle w:val="VerbatimChar"/>
        </w:rPr>
        <w:t xml:space="preserve"># Convergencia: media acumulada de r y su error estándar</w:t>
      </w:r>
      <w:r>
        <w:br/>
      </w:r>
      <w:r>
        <w:rPr>
          <w:rStyle w:val="VerbatimChar"/>
        </w:rPr>
        <w:t xml:space="preserve">idx = np.arange(1, N + 1)</w:t>
      </w:r>
      <w:r>
        <w:br/>
      </w:r>
      <w:r>
        <w:rPr>
          <w:rStyle w:val="VerbatimChar"/>
        </w:rPr>
        <w:t xml:space="preserve">media_acum = np.cumsum(R) / idx</w:t>
      </w:r>
      <w:r>
        <w:br/>
      </w:r>
      <w:r>
        <w:rPr>
          <w:rStyle w:val="VerbatimChar"/>
        </w:rPr>
        <w:t xml:space="preserve">se_final = float(np.std(R, ddof=1) / math.sqrt(N))</w:t>
      </w:r>
      <w:r>
        <w:br/>
      </w:r>
      <w:r>
        <w:br/>
      </w:r>
      <w:r>
        <w:rPr>
          <w:rStyle w:val="VerbatimChar"/>
        </w:rPr>
        <w:t xml:space="preserve"># ---------------------------------------------------------------------------</w:t>
      </w:r>
      <w:r>
        <w:br/>
      </w:r>
      <w:r>
        <w:rPr>
          <w:rStyle w:val="VerbatimChar"/>
        </w:rPr>
        <w:t xml:space="preserve"># 5. Salidas</w:t>
      </w:r>
      <w:r>
        <w:br/>
      </w:r>
      <w:r>
        <w:rPr>
          <w:rStyle w:val="VerbatimChar"/>
        </w:rPr>
        <w:t xml:space="preserve"># ---------------------------------------------------------------------------</w:t>
      </w:r>
      <w:r>
        <w:br/>
      </w:r>
      <w:r>
        <w:rPr>
          <w:rStyle w:val="VerbatimChar"/>
        </w:rPr>
        <w:t xml:space="preserve">salida = {</w:t>
      </w:r>
      <w:r>
        <w:br/>
      </w:r>
      <w:r>
        <w:rPr>
          <w:rStyle w:val="VerbatimChar"/>
        </w:rPr>
        <w:t xml:space="preserve">    "iteraciones": N, "semilla": int(SIM["semilla"]),</w:t>
      </w:r>
      <w:r>
        <w:br/>
      </w:r>
      <w:r>
        <w:rPr>
          <w:rStyle w:val="VerbatimChar"/>
        </w:rPr>
        <w:t xml:space="preserve">    "umbral_reduccion": UMBRAL, "nivel_confianza": CONF,</w:t>
      </w:r>
      <w:r>
        <w:br/>
      </w:r>
      <w:r>
        <w:rPr>
          <w:rStyle w:val="VerbatimChar"/>
        </w:rPr>
        <w:t xml:space="preserve">    "precio_contrato_losa_Bs_m2": PU_LOSA, "item13_Bs_m2": PU13,</w:t>
      </w:r>
      <w:r>
        <w:br/>
      </w:r>
      <w:r>
        <w:rPr>
          <w:rStyle w:val="VerbatimChar"/>
        </w:rPr>
        <w:t xml:space="preserve">    "acero_losa_Bs_m2": Q_ACERO_PAGO * PU_ACERO,</w:t>
      </w:r>
      <w:r>
        <w:br/>
      </w:r>
      <w:r>
        <w:rPr>
          <w:rStyle w:val="VerbatimChar"/>
        </w:rPr>
        <w:t xml:space="preserve">    "costo_directo_teorico_Bs_m2": CD_TEO,</w:t>
      </w:r>
      <w:r>
        <w:br/>
      </w:r>
      <w:r>
        <w:rPr>
          <w:rStyle w:val="VerbatimChar"/>
        </w:rPr>
        <w:t xml:space="preserve">    "costo_materiales_teorico_Bs_m2": costo_mat_teo,</w:t>
      </w:r>
      <w:r>
        <w:br/>
      </w:r>
      <w:r>
        <w:rPr>
          <w:rStyle w:val="VerbatimChar"/>
        </w:rPr>
        <w:t xml:space="preserve">    "determinista": {</w:t>
      </w:r>
      <w:r>
        <w:br/>
      </w:r>
      <w:r>
        <w:rPr>
          <w:rStyle w:val="VerbatimChar"/>
        </w:rPr>
        <w:t xml:space="preserve">        "sin_sgc": {"CU": cu_s, "CNC": cnc_s, "perdidas": perd_s, "retrabajo": retr_s,</w:t>
      </w:r>
      <w:r>
        <w:br/>
      </w:r>
      <w:r>
        <w:rPr>
          <w:rStyle w:val="VerbatimChar"/>
        </w:rPr>
        <w:t xml:space="preserve">                     "IDM_ponderado": idm_s, "CC": COC_SIN, "IDM": w_sin_det},</w:t>
      </w:r>
      <w:r>
        <w:br/>
      </w:r>
      <w:r>
        <w:rPr>
          <w:rStyle w:val="VerbatimChar"/>
        </w:rPr>
        <w:t xml:space="preserve">        "con_sgc": {"CU": cu_c, "CNC": cnc_c, "perdidas": perd_c, "retrabajo": retr_c,</w:t>
      </w:r>
      <w:r>
        <w:br/>
      </w:r>
      <w:r>
        <w:rPr>
          <w:rStyle w:val="VerbatimChar"/>
        </w:rPr>
        <w:t xml:space="preserve">                     "IDM_ponderado": idm_c, "CC": coc_con_det, "IDM": w_con_det},</w:t>
      </w:r>
      <w:r>
        <w:br/>
      </w:r>
      <w:r>
        <w:rPr>
          <w:rStyle w:val="VerbatimChar"/>
        </w:rPr>
        <w:t xml:space="preserve">        "r": r_det, "ahorro_saldo_Bs": (cu_s - cu_c) * A_SALDO,</w:t>
      </w:r>
      <w:r>
        <w:br/>
      </w:r>
      <w:r>
        <w:rPr>
          <w:rStyle w:val="VerbatimChar"/>
        </w:rPr>
        <w:t xml:space="preserve">    },</w:t>
      </w:r>
      <w:r>
        <w:br/>
      </w:r>
      <w:r>
        <w:rPr>
          <w:rStyle w:val="VerbatimChar"/>
        </w:rPr>
        <w:t xml:space="preserve">    "monte_carlo": {</w:t>
      </w:r>
      <w:r>
        <w:br/>
      </w:r>
      <w:r>
        <w:rPr>
          <w:rStyle w:val="VerbatimChar"/>
        </w:rPr>
        <w:t xml:space="preserve">        "CU_sin": resumen(CU_SIN), "CU_con": resumen(CU_CON), "r": resumen(R),</w:t>
      </w:r>
      <w:r>
        <w:br/>
      </w:r>
      <w:r>
        <w:rPr>
          <w:rStyle w:val="VerbatimChar"/>
        </w:rPr>
        <w:t xml:space="preserve">        "CNC_sin": resumen(CNC_SIN), "CNC_con": resumen(CNC_CON),</w:t>
      </w:r>
      <w:r>
        <w:br/>
      </w:r>
      <w:r>
        <w:rPr>
          <w:rStyle w:val="VerbatimChar"/>
        </w:rPr>
        <w:t xml:space="preserve">        "IDM_sin": resumen(IDM_SIN), "IDM_con": resumen(IDM_CON),</w:t>
      </w:r>
      <w:r>
        <w:br/>
      </w:r>
      <w:r>
        <w:rPr>
          <w:rStyle w:val="VerbatimChar"/>
        </w:rPr>
        <w:t xml:space="preserve">        "CC_con": resumen(COC_CON), "ahorro_saldo_Bs": resumen(AHORRO_SALDO),</w:t>
      </w:r>
      <w:r>
        <w:br/>
      </w:r>
      <w:r>
        <w:rPr>
          <w:rStyle w:val="VerbatimChar"/>
        </w:rPr>
        <w:t xml:space="preserve">        "IDM_material_sin": {m: resumen(W_SIN[m]) for m in MATS},</w:t>
      </w:r>
      <w:r>
        <w:br/>
      </w:r>
      <w:r>
        <w:rPr>
          <w:rStyle w:val="VerbatimChar"/>
        </w:rPr>
        <w:t xml:space="preserve">        "IDM_material_con": {m: resumen(W_CON[m]) for m in MATS},</w:t>
      </w:r>
      <w:r>
        <w:br/>
      </w:r>
      <w:r>
        <w:rPr>
          <w:rStyle w:val="VerbatimChar"/>
        </w:rPr>
        <w:t xml:space="preserve">        "error_estandar_media_r": se_final,</w:t>
      </w:r>
      <w:r>
        <w:br/>
      </w:r>
      <w:r>
        <w:rPr>
          <w:rStyle w:val="VerbatimChar"/>
        </w:rPr>
        <w:t xml:space="preserve">    },</w:t>
      </w:r>
      <w:r>
        <w:br/>
      </w:r>
      <w:r>
        <w:rPr>
          <w:rStyle w:val="VerbatimChar"/>
        </w:rPr>
        <w:t xml:space="preserve">    "contraste": {</w:t>
      </w:r>
      <w:r>
        <w:br/>
      </w:r>
      <w:r>
        <w:rPr>
          <w:rStyle w:val="VerbatimChar"/>
        </w:rPr>
        <w:t xml:space="preserve">        "HG": {"P(r&gt;=umbral)": p_hg, "IC95": ic_prop(p_hg), "decision": dec(p_hg)},</w:t>
      </w:r>
      <w:r>
        <w:br/>
      </w:r>
      <w:r>
        <w:rPr>
          <w:rStyle w:val="VerbatimChar"/>
        </w:rPr>
        <w:t xml:space="preserve">        "P(r&gt;0)": p_r_pos,</w:t>
      </w:r>
      <w:r>
        <w:br/>
      </w:r>
      <w:r>
        <w:rPr>
          <w:rStyle w:val="VerbatimChar"/>
        </w:rPr>
        <w:t xml:space="preserve">        "HE1": {"P(IDM_con&lt;IDM_sin)": p_he1, "IC95": ic_prop(p_he1), "decision": dec(p_he1)},</w:t>
      </w:r>
      <w:r>
        <w:br/>
      </w:r>
      <w:r>
        <w:rPr>
          <w:rStyle w:val="VerbatimChar"/>
        </w:rPr>
        <w:t xml:space="preserve">        "HE2": {"P(CNC_con&lt;CNC_sin)": p_he2, "IC95": ic_prop(p_he2), "decision": dec(p_he2)},</w:t>
      </w:r>
      <w:r>
        <w:br/>
      </w:r>
      <w:r>
        <w:rPr>
          <w:rStyle w:val="VerbatimChar"/>
        </w:rPr>
        <w:t xml:space="preserve">    },</w:t>
      </w:r>
      <w:r>
        <w:br/>
      </w:r>
      <w:r>
        <w:rPr>
          <w:rStyle w:val="VerbatimChar"/>
        </w:rPr>
        <w:t xml:space="preserve">    "sgc_no_aplicado": {"prob_falla": PI_FALLA, "r": resumen(R_F),</w:t>
      </w:r>
      <w:r>
        <w:br/>
      </w:r>
      <w:r>
        <w:rPr>
          <w:rStyle w:val="VerbatimChar"/>
        </w:rPr>
        <w:t xml:space="preserve">                         "P(r&gt;=umbral)": float(np.mean(R_F &gt;= UMBRAL)),</w:t>
      </w:r>
      <w:r>
        <w:br/>
      </w:r>
      <w:r>
        <w:rPr>
          <w:rStyle w:val="VerbatimChar"/>
        </w:rPr>
        <w:t xml:space="preserve">                         "P(r&gt;0)": float(np.mean(R_F &gt; 0))},</w:t>
      </w:r>
      <w:r>
        <w:br/>
      </w:r>
      <w:r>
        <w:rPr>
          <w:rStyle w:val="VerbatimChar"/>
        </w:rPr>
        <w:t xml:space="preserve">    "costos_ocultos": None if R_H is None else {</w:t>
      </w:r>
      <w:r>
        <w:br/>
      </w:r>
      <w:r>
        <w:rPr>
          <w:rStyle w:val="VerbatimChar"/>
        </w:rPr>
        <w:t xml:space="preserve">        "r": resumen(R_H), "P(r&gt;=umbral)": float(np.mean(R_H &gt;= UMBRAL)), "P(r&gt;0)": float(np.mean(R_H &gt; 0))},</w:t>
      </w:r>
      <w:r>
        <w:br/>
      </w:r>
      <w:r>
        <w:rPr>
          <w:rStyle w:val="VerbatimChar"/>
        </w:rPr>
        <w:t xml:space="preserve">    "sensibilidad_spearman": spearman,</w:t>
      </w:r>
      <w:r>
        <w:br/>
      </w:r>
      <w:r>
        <w:rPr>
          <w:rStyle w:val="VerbatimChar"/>
        </w:rPr>
        <w:t xml:space="preserve">    "sensibilidad_un_factor": [{"factor": f, "r_min": a, "r_max": b} for f, a, b in oat],</w:t>
      </w:r>
      <w:r>
        <w:br/>
      </w:r>
      <w:r>
        <w:rPr>
          <w:rStyle w:val="VerbatimChar"/>
        </w:rPr>
        <w:t xml:space="preserve">    "punto_equilibrio": {"eficacia_para_r_0": k_equilibrio, "eficacia_para_umbral": k_umbral,</w:t>
      </w:r>
      <w:r>
        <w:br/>
      </w:r>
      <w:r>
        <w:rPr>
          <w:rStyle w:val="VerbatimChar"/>
        </w:rPr>
        <w:t xml:space="preserve">                          "r_con_eficacia_100": r_max_teorico},</w:t>
      </w:r>
      <w:r>
        <w:br/>
      </w:r>
      <w:r>
        <w:rPr>
          <w:rStyle w:val="VerbatimChar"/>
        </w:rPr>
        <w:t xml:space="preserve">}</w:t>
      </w:r>
      <w:r>
        <w:br/>
      </w:r>
      <w:r>
        <w:rPr>
          <w:rStyle w:val="VerbatimChar"/>
        </w:rPr>
        <w:t xml:space="preserve">if SOLO_RESUMEN:</w:t>
      </w:r>
      <w:r>
        <w:br/>
      </w:r>
      <w:r>
        <w:rPr>
          <w:rStyle w:val="VerbatimChar"/>
        </w:rPr>
        <w:t xml:space="preserve">    print(json.dumps({"r_media": float(np.mean(R)), "r_p05": float(np.percentile(R, 5)),</w:t>
      </w:r>
      <w:r>
        <w:br/>
      </w:r>
      <w:r>
        <w:rPr>
          <w:rStyle w:val="VerbatimChar"/>
        </w:rPr>
        <w:t xml:space="preserve">                      "P_umbral": p_hg, "P_pos": p_r_pos, "r_max": r_max_teorico,</w:t>
      </w:r>
      <w:r>
        <w:br/>
      </w:r>
      <w:r>
        <w:rPr>
          <w:rStyle w:val="VerbatimChar"/>
        </w:rPr>
        <w:t xml:space="preserve">                      "kappa13": KAPPA13, "cc_m2": coc_con_det}))</w:t>
      </w:r>
      <w:r>
        <w:br/>
      </w:r>
      <w:r>
        <w:rPr>
          <w:rStyle w:val="VerbatimChar"/>
        </w:rPr>
        <w:t xml:space="preserve">    raise SystemExit(0)</w:t>
      </w:r>
      <w:r>
        <w:br/>
      </w:r>
      <w:r>
        <w:rPr>
          <w:rStyle w:val="VerbatimChar"/>
        </w:rPr>
        <w:t xml:space="preserve">(RES / "resumen_resultados.json").write_text(json.dumps(salida, indent=2, ensure_ascii=False),</w:t>
      </w:r>
      <w:r>
        <w:br/>
      </w:r>
      <w:r>
        <w:rPr>
          <w:rStyle w:val="VerbatimChar"/>
        </w:rPr>
        <w:t xml:space="preserve">                                             encoding="utf-8")</w:t>
      </w:r>
      <w:r>
        <w:br/>
      </w:r>
      <w:r>
        <w:br/>
      </w:r>
      <w:r>
        <w:rPr>
          <w:rStyle w:val="VerbatimChar"/>
        </w:rPr>
        <w:t xml:space="preserve">with open(RES / "simulacion_muestras.csv", "w", newline="", encoding="utf-8") as fh:</w:t>
      </w:r>
      <w:r>
        <w:br/>
      </w:r>
      <w:r>
        <w:rPr>
          <w:rStyle w:val="VerbatimChar"/>
        </w:rPr>
        <w:t xml:space="preserve">    wr = csv.writer(fh)</w:t>
      </w:r>
      <w:r>
        <w:br/>
      </w:r>
      <w:r>
        <w:rPr>
          <w:rStyle w:val="VerbatimChar"/>
        </w:rPr>
        <w:t xml:space="preserve">    cab = ["iteracion"] + [f"idm_sin_{m}" for m in MATS] + [f"eficacia_{m}" for m in MATS] + \</w:t>
      </w:r>
      <w:r>
        <w:br/>
      </w:r>
      <w:r>
        <w:rPr>
          <w:rStyle w:val="VerbatimChar"/>
        </w:rPr>
        <w:t xml:space="preserve">          ["rho_sin", "eficacia_retrabajo", "cc_con_Bs_m2", "cu_sin", "cu_con", "r"]</w:t>
      </w:r>
      <w:r>
        <w:br/>
      </w:r>
      <w:r>
        <w:rPr>
          <w:rStyle w:val="VerbatimChar"/>
        </w:rPr>
        <w:t xml:space="preserve">    wr.writerow(cab)</w:t>
      </w:r>
      <w:r>
        <w:br/>
      </w:r>
      <w:r>
        <w:rPr>
          <w:rStyle w:val="VerbatimChar"/>
        </w:rPr>
        <w:t xml:space="preserve">    for i in range(N):</w:t>
      </w:r>
      <w:r>
        <w:br/>
      </w:r>
      <w:r>
        <w:rPr>
          <w:rStyle w:val="VerbatimChar"/>
        </w:rPr>
        <w:t xml:space="preserve">        wr.writerow([i + 1] + [f"{W_SIN[m][i]:.6f}" for m in MATS] +</w:t>
      </w:r>
      <w:r>
        <w:br/>
      </w:r>
      <w:r>
        <w:rPr>
          <w:rStyle w:val="VerbatimChar"/>
        </w:rPr>
        <w:t xml:space="preserve">                    [f"{E_SGC[m][i]:.6f}" for m in MATS] +</w:t>
      </w:r>
      <w:r>
        <w:br/>
      </w:r>
      <w:r>
        <w:rPr>
          <w:rStyle w:val="VerbatimChar"/>
        </w:rPr>
        <w:t xml:space="preserve">                    [f"{RHO_SIN[i]:.6f}", f"{E_RET[i]:.6f}", f"{COC_CON[i]:.4f}",</w:t>
      </w:r>
      <w:r>
        <w:br/>
      </w:r>
      <w:r>
        <w:rPr>
          <w:rStyle w:val="VerbatimChar"/>
        </w:rPr>
        <w:t xml:space="preserve">                     f"{CU_SIN[i]:.4f}", f"{CU_CON[i]:.4f}", f"{R[i]:.6f}"])</w:t>
      </w:r>
      <w:r>
        <w:br/>
      </w:r>
      <w:r>
        <w:br/>
      </w:r>
      <w:r>
        <w:rPr>
          <w:rStyle w:val="VerbatimChar"/>
        </w:rPr>
        <w:t xml:space="preserve"># ---------------------------- Figuras ---------------------------------------</w:t>
      </w:r>
      <w:r>
        <w:br/>
      </w:r>
      <w:r>
        <w:rPr>
          <w:rStyle w:val="VerbatimChar"/>
        </w:rPr>
        <w:t xml:space="preserve">plt.rcParams.update({"font.family": "DejaVu Sans", "font.size": 10,</w:t>
      </w:r>
      <w:r>
        <w:br/>
      </w:r>
      <w:r>
        <w:rPr>
          <w:rStyle w:val="VerbatimChar"/>
        </w:rPr>
        <w:t xml:space="preserve">                     "axes.spines.top": False, "axes.spines.right": False})</w:t>
      </w:r>
      <w:r>
        <w:br/>
      </w:r>
      <w:r>
        <w:rPr>
          <w:rStyle w:val="VerbatimChar"/>
        </w:rPr>
        <w:t xml:space="preserve">GRIS, AZUL, NAR = "#555555", "#2b6cb0", "#c05621"</w:t>
      </w:r>
      <w:r>
        <w:br/>
      </w:r>
      <w:r>
        <w:br/>
      </w:r>
      <w:r>
        <w:rPr>
          <w:rStyle w:val="VerbatimChar"/>
        </w:rPr>
        <w:t xml:space="preserve">from matplotlib.ticker import FuncFormatter  # noqa: E402</w:t>
      </w:r>
      <w:r>
        <w:br/>
      </w:r>
      <w:r>
        <w:br/>
      </w:r>
      <w:r>
        <w:rPr>
          <w:rStyle w:val="VerbatimChar"/>
        </w:rPr>
        <w:t xml:space="preserve">COMA = FuncFormatter(lambda v, _: (f"{v:,.2f}".rstrip("0").rstrip(".") if abs(v) &lt; 1e4 else f"{v:,.0f}")</w:t>
      </w:r>
      <w:r>
        <w:br/>
      </w:r>
      <w:r>
        <w:rPr>
          <w:rStyle w:val="VerbatimChar"/>
        </w:rPr>
        <w:t xml:space="preserve">                     .replace(",", "X").replace(".", ",").replace("X", "."))</w:t>
      </w:r>
      <w:r>
        <w:br/>
      </w:r>
      <w:r>
        <w:br/>
      </w:r>
      <w:r>
        <w:rPr>
          <w:rStyle w:val="VerbatimChar"/>
        </w:rPr>
        <w:t xml:space="preserve">def guardar(fig, nombre, ejes=("x", "y")):</w:t>
      </w:r>
      <w:r>
        <w:br/>
      </w:r>
      <w:r>
        <w:rPr>
          <w:rStyle w:val="VerbatimChar"/>
        </w:rPr>
        <w:t xml:space="preserve">    """Guarda la figura con coma decimal en los ejes numéricos indicados."""</w:t>
      </w:r>
      <w:r>
        <w:br/>
      </w:r>
      <w:r>
        <w:rPr>
          <w:rStyle w:val="VerbatimChar"/>
        </w:rPr>
        <w:t xml:space="preserve">    for ax in fig.axes:</w:t>
      </w:r>
      <w:r>
        <w:br/>
      </w:r>
      <w:r>
        <w:rPr>
          <w:rStyle w:val="VerbatimChar"/>
        </w:rPr>
        <w:t xml:space="preserve">        if "x" in ejes and ax.get_xscale() == "linear":</w:t>
      </w:r>
      <w:r>
        <w:br/>
      </w:r>
      <w:r>
        <w:rPr>
          <w:rStyle w:val="VerbatimChar"/>
        </w:rPr>
        <w:t xml:space="preserve">            ax.xaxis.set_major_formatter(COMA)</w:t>
      </w:r>
      <w:r>
        <w:br/>
      </w:r>
      <w:r>
        <w:rPr>
          <w:rStyle w:val="VerbatimChar"/>
        </w:rPr>
        <w:t xml:space="preserve">        if "y" in ejes and ax.get_yscale() == "linear":</w:t>
      </w:r>
      <w:r>
        <w:br/>
      </w:r>
      <w:r>
        <w:rPr>
          <w:rStyle w:val="VerbatimChar"/>
        </w:rPr>
        <w:t xml:space="preserve">            ax.yaxis.set_major_formatter(COMA)</w:t>
      </w:r>
      <w:r>
        <w:br/>
      </w:r>
      <w:r>
        <w:rPr>
          <w:rStyle w:val="VerbatimChar"/>
        </w:rPr>
        <w:t xml:space="preserve">    fig.tight_layout()</w:t>
      </w:r>
      <w:r>
        <w:br/>
      </w:r>
      <w:r>
        <w:rPr>
          <w:rStyle w:val="VerbatimChar"/>
        </w:rPr>
        <w:t xml:space="preserve">    fig.savefig(FIG / f"{nombre}.pdf")</w:t>
      </w:r>
      <w:r>
        <w:br/>
      </w:r>
      <w:r>
        <w:rPr>
          <w:rStyle w:val="VerbatimChar"/>
        </w:rPr>
        <w:t xml:space="preserve">    fig.savefig(FIG / f"{nombre}.png", dpi=200)</w:t>
      </w:r>
      <w:r>
        <w:br/>
      </w:r>
      <w:r>
        <w:rPr>
          <w:rStyle w:val="VerbatimChar"/>
        </w:rPr>
        <w:t xml:space="preserve">    plt.close(fig)</w:t>
      </w:r>
      <w:r>
        <w:br/>
      </w:r>
      <w:r>
        <w:br/>
      </w:r>
      <w:r>
        <w:rPr>
          <w:rStyle w:val="VerbatimChar"/>
        </w:rPr>
        <w:t xml:space="preserve"># Histograma de r</w:t>
      </w:r>
      <w:r>
        <w:br/>
      </w:r>
      <w:r>
        <w:rPr>
          <w:rStyle w:val="VerbatimChar"/>
        </w:rPr>
        <w:t xml:space="preserve">fig, ax = plt.subplots(figsize=(6.3, 3.4))</w:t>
      </w:r>
      <w:r>
        <w:br/>
      </w:r>
      <w:r>
        <w:rPr>
          <w:rStyle w:val="VerbatimChar"/>
        </w:rPr>
        <w:t xml:space="preserve">ax.hist(100 * R, bins=60, color=AZUL, alpha=0.85, edgecolor="white")</w:t>
      </w:r>
      <w:r>
        <w:br/>
      </w:r>
      <w:r>
        <w:rPr>
          <w:rStyle w:val="VerbatimChar"/>
        </w:rPr>
        <w:t xml:space="preserve">ax.axvline(100 * UMBRAL, color=NAR, ls="--", lw=1.6, label=f"Umbral de la hipótesis ({fmt(100*UMBRAL,0)} %)")</w:t>
      </w:r>
      <w:r>
        <w:br/>
      </w:r>
      <w:r>
        <w:rPr>
          <w:rStyle w:val="VerbatimChar"/>
        </w:rPr>
        <w:t xml:space="preserve">ax.axvline(100 * np.mean(R), color="black", lw=1.2, label=f"Media ({fmt(100*np.mean(R))} %)")</w:t>
      </w:r>
      <w:r>
        <w:br/>
      </w:r>
      <w:r>
        <w:rPr>
          <w:rStyle w:val="VerbatimChar"/>
        </w:rPr>
        <w:t xml:space="preserve">ax.set_xlabel("Reducción del costo unitario, r (%)")</w:t>
      </w:r>
      <w:r>
        <w:br/>
      </w:r>
      <w:r>
        <w:rPr>
          <w:rStyle w:val="VerbatimChar"/>
        </w:rPr>
        <w:t xml:space="preserve">ax.set_ylabel("Frecuencia (escenarios)")</w:t>
      </w:r>
      <w:r>
        <w:br/>
      </w:r>
      <w:r>
        <w:rPr>
          <w:rStyle w:val="VerbatimChar"/>
        </w:rPr>
        <w:t xml:space="preserve">ax.legend(frameon=False, fontsize=8)</w:t>
      </w:r>
      <w:r>
        <w:br/>
      </w:r>
      <w:r>
        <w:rPr>
          <w:rStyle w:val="VerbatimChar"/>
        </w:rPr>
        <w:t xml:space="preserve">guardar(fig, "fig_histograma_reduccion")</w:t>
      </w:r>
      <w:r>
        <w:br/>
      </w:r>
      <w:r>
        <w:br/>
      </w:r>
      <w:r>
        <w:rPr>
          <w:rStyle w:val="VerbatimChar"/>
        </w:rPr>
        <w:t xml:space="preserve"># Distribución acumulada de CU sin y con SGC</w:t>
      </w:r>
      <w:r>
        <w:br/>
      </w:r>
      <w:r>
        <w:rPr>
          <w:rStyle w:val="VerbatimChar"/>
        </w:rPr>
        <w:t xml:space="preserve">fig, ax = plt.subplots(figsize=(6.3, 3.4))</w:t>
      </w:r>
      <w:r>
        <w:br/>
      </w:r>
      <w:r>
        <w:rPr>
          <w:rStyle w:val="VerbatimChar"/>
        </w:rPr>
        <w:t xml:space="preserve">for datos, et, col in ((CU_SIN, "Sin SGC (control)", GRIS), (CU_CON, "Con SGC (tratamiento)", AZUL)):</w:t>
      </w:r>
      <w:r>
        <w:br/>
      </w:r>
      <w:r>
        <w:rPr>
          <w:rStyle w:val="VerbatimChar"/>
        </w:rPr>
        <w:t xml:space="preserve">    xs = np.sort(datos)</w:t>
      </w:r>
      <w:r>
        <w:br/>
      </w:r>
      <w:r>
        <w:rPr>
          <w:rStyle w:val="VerbatimChar"/>
        </w:rPr>
        <w:t xml:space="preserve">    ax.plot(xs, np.arange(1, N + 1) / N, color=col, lw=1.8, label=et)</w:t>
      </w:r>
      <w:r>
        <w:br/>
      </w:r>
      <w:r>
        <w:rPr>
          <w:rStyle w:val="VerbatimChar"/>
        </w:rPr>
        <w:t xml:space="preserve">ax.axvline(PU_LOSA, color=NAR, ls=":", lw=1.2, label="Precio contractual")</w:t>
      </w:r>
      <w:r>
        <w:br/>
      </w:r>
      <w:r>
        <w:rPr>
          <w:rStyle w:val="VerbatimChar"/>
        </w:rPr>
        <w:t xml:space="preserve">ax.set_xlabel("Costo unitario de ejecución (Bs/m²)")</w:t>
      </w:r>
      <w:r>
        <w:br/>
      </w:r>
      <w:r>
        <w:rPr>
          <w:rStyle w:val="VerbatimChar"/>
        </w:rPr>
        <w:t xml:space="preserve">ax.set_ylabel("Probabilidad acumulada")</w:t>
      </w:r>
      <w:r>
        <w:br/>
      </w:r>
      <w:r>
        <w:rPr>
          <w:rStyle w:val="VerbatimChar"/>
        </w:rPr>
        <w:t xml:space="preserve">ax.legend(frameon=False, fontsize=8)</w:t>
      </w:r>
      <w:r>
        <w:br/>
      </w:r>
      <w:r>
        <w:rPr>
          <w:rStyle w:val="VerbatimChar"/>
        </w:rPr>
        <w:t xml:space="preserve">guardar(fig, "fig_acumulada_costo_unitario")</w:t>
      </w:r>
      <w:r>
        <w:br/>
      </w:r>
      <w:r>
        <w:br/>
      </w:r>
      <w:r>
        <w:rPr>
          <w:rStyle w:val="VerbatimChar"/>
        </w:rPr>
        <w:t xml:space="preserve"># Tornado (un factor a la vez)</w:t>
      </w:r>
      <w:r>
        <w:br/>
      </w:r>
      <w:r>
        <w:rPr>
          <w:rStyle w:val="VerbatimChar"/>
        </w:rPr>
        <w:t xml:space="preserve">fig, ax = plt.subplots(figsize=(6.3, 0.42 * len(oat) + 1.4))</w:t>
      </w:r>
      <w:r>
        <w:br/>
      </w:r>
      <w:r>
        <w:rPr>
          <w:rStyle w:val="VerbatimChar"/>
        </w:rPr>
        <w:t xml:space="preserve">ys = np.arange(len(oat))[::-1]</w:t>
      </w:r>
      <w:r>
        <w:br/>
      </w:r>
      <w:r>
        <w:rPr>
          <w:rStyle w:val="VerbatimChar"/>
        </w:rPr>
        <w:t xml:space="preserve">for y, (f, a, b) in zip(ys, oat):</w:t>
      </w:r>
      <w:r>
        <w:br/>
      </w:r>
      <w:r>
        <w:rPr>
          <w:rStyle w:val="VerbatimChar"/>
        </w:rPr>
        <w:t xml:space="preserve">    lo, hi = min(a, b), max(a, b)</w:t>
      </w:r>
      <w:r>
        <w:br/>
      </w:r>
      <w:r>
        <w:rPr>
          <w:rStyle w:val="VerbatimChar"/>
        </w:rPr>
        <w:t xml:space="preserve">    ax.barh(y, 100 * (hi - lo), left=100 * lo, color=AZUL, alpha=0.8)</w:t>
      </w:r>
      <w:r>
        <w:br/>
      </w:r>
      <w:r>
        <w:rPr>
          <w:rStyle w:val="VerbatimChar"/>
        </w:rPr>
        <w:t xml:space="preserve">ax.axvline(100 * r_det, color="black", lw=1, label=f"Caso base con valores más probables ({fmt(100*r_det)} %)")</w:t>
      </w:r>
      <w:r>
        <w:br/>
      </w:r>
      <w:r>
        <w:rPr>
          <w:rStyle w:val="VerbatimChar"/>
        </w:rPr>
        <w:t xml:space="preserve">ax.axvline(100 * UMBRAL, color=NAR, ls="--", lw=1.2, label=f"Umbral de la hipótesis ({fmt(100*UMBRAL,0)} %)")</w:t>
      </w:r>
      <w:r>
        <w:br/>
      </w:r>
      <w:r>
        <w:rPr>
          <w:rStyle w:val="VerbatimChar"/>
        </w:rPr>
        <w:t xml:space="preserve">lo_all = min(min(a, b) for _, a, b in oat)</w:t>
      </w:r>
      <w:r>
        <w:br/>
      </w:r>
      <w:r>
        <w:rPr>
          <w:rStyle w:val="VerbatimChar"/>
        </w:rPr>
        <w:t xml:space="preserve">hi_all = max(max(a, b) for _, a, b in oat)</w:t>
      </w:r>
      <w:r>
        <w:br/>
      </w:r>
      <w:r>
        <w:rPr>
          <w:rStyle w:val="VerbatimChar"/>
        </w:rPr>
        <w:t xml:space="preserve">ax.set_xlim(100 * lo_all - 0.4, max(100 * hi_all, 100 * UMBRAL) + 0.4)</w:t>
      </w:r>
      <w:r>
        <w:br/>
      </w:r>
      <w:r>
        <w:rPr>
          <w:rStyle w:val="VerbatimChar"/>
        </w:rPr>
        <w:t xml:space="preserve">ax.legend(frameon=False, fontsize=8, loc="upper center", bbox_to_anchor=(0.45, -0.12), ncol=2)</w:t>
      </w:r>
      <w:r>
        <w:br/>
      </w:r>
      <w:r>
        <w:rPr>
          <w:rStyle w:val="VerbatimChar"/>
        </w:rPr>
        <w:t xml:space="preserve">ax.set_yticks(ys)</w:t>
      </w:r>
      <w:r>
        <w:br/>
      </w:r>
      <w:r>
        <w:rPr>
          <w:rStyle w:val="VerbatimChar"/>
        </w:rPr>
        <w:t xml:space="preserve">ax.set_yticklabels([t[0] for t in oat], fontsize=8)</w:t>
      </w:r>
      <w:r>
        <w:br/>
      </w:r>
      <w:r>
        <w:rPr>
          <w:rStyle w:val="VerbatimChar"/>
        </w:rPr>
        <w:t xml:space="preserve">ax.set_xlabel("Reducción del costo unitario, r (%)")</w:t>
      </w:r>
      <w:r>
        <w:br/>
      </w:r>
      <w:r>
        <w:rPr>
          <w:rStyle w:val="VerbatimChar"/>
        </w:rPr>
        <w:t xml:space="preserve">guardar(fig, "fig_tornado_sensibilidad", ejes=("x",))</w:t>
      </w:r>
      <w:r>
        <w:br/>
      </w:r>
      <w:r>
        <w:br/>
      </w:r>
      <w:r>
        <w:rPr>
          <w:rStyle w:val="VerbatimChar"/>
        </w:rPr>
        <w:t xml:space="preserve"># Convergencia</w:t>
      </w:r>
      <w:r>
        <w:br/>
      </w:r>
      <w:r>
        <w:rPr>
          <w:rStyle w:val="VerbatimChar"/>
        </w:rPr>
        <w:t xml:space="preserve">fig, ax = plt.subplots(figsize=(6.3, 3.0))</w:t>
      </w:r>
      <w:r>
        <w:br/>
      </w:r>
      <w:r>
        <w:rPr>
          <w:rStyle w:val="VerbatimChar"/>
        </w:rPr>
        <w:t xml:space="preserve">ax.plot(idx, 100 * media_acum, color=AZUL, lw=1.2)</w:t>
      </w:r>
      <w:r>
        <w:br/>
      </w:r>
      <w:r>
        <w:rPr>
          <w:rStyle w:val="VerbatimChar"/>
        </w:rPr>
        <w:t xml:space="preserve">ax.set_xscale("log")</w:t>
      </w:r>
      <w:r>
        <w:br/>
      </w:r>
      <w:r>
        <w:rPr>
          <w:rStyle w:val="VerbatimChar"/>
        </w:rPr>
        <w:t xml:space="preserve">ax.set_xlabel("Número de iteraciones (escala logarítmica)")</w:t>
      </w:r>
      <w:r>
        <w:br/>
      </w:r>
      <w:r>
        <w:rPr>
          <w:rStyle w:val="VerbatimChar"/>
        </w:rPr>
        <w:t xml:space="preserve">ax.set_ylabel("Media acumulada de r (%)")</w:t>
      </w:r>
      <w:r>
        <w:br/>
      </w:r>
      <w:r>
        <w:rPr>
          <w:rStyle w:val="VerbatimChar"/>
        </w:rPr>
        <w:t xml:space="preserve">guardar(fig, "fig_convergencia", ejes=("y",))</w:t>
      </w:r>
      <w:r>
        <w:br/>
      </w:r>
      <w:r>
        <w:br/>
      </w:r>
      <w:r>
        <w:rPr>
          <w:rStyle w:val="VerbatimChar"/>
        </w:rPr>
        <w:t xml:space="preserve"># Composición del costo de no calidad (determinista)</w:t>
      </w:r>
      <w:r>
        <w:br/>
      </w:r>
      <w:r>
        <w:rPr>
          <w:rStyle w:val="VerbatimChar"/>
        </w:rPr>
        <w:t xml:space="preserve">fig, ax = plt.subplots(figsize=(6.3, 3.4))</w:t>
      </w:r>
      <w:r>
        <w:br/>
      </w:r>
      <w:r>
        <w:rPr>
          <w:rStyle w:val="VerbatimChar"/>
        </w:rPr>
        <w:t xml:space="preserve">etqs = [P["materiales"][m]["nombre"] for m in MATS] + ["Retrabajos"]</w:t>
      </w:r>
      <w:r>
        <w:br/>
      </w:r>
      <w:r>
        <w:rPr>
          <w:rStyle w:val="VerbatimChar"/>
        </w:rPr>
        <w:t xml:space="preserve">sin_v = [costo_mat_teo[m] * w_sin_det[m] for m in MATS] + [retr_s]</w:t>
      </w:r>
      <w:r>
        <w:br/>
      </w:r>
      <w:r>
        <w:rPr>
          <w:rStyle w:val="VerbatimChar"/>
        </w:rPr>
        <w:t xml:space="preserve">con_v = [costo_mat_teo[m] * w_con_det[m] for m in MATS] + [retr_c]</w:t>
      </w:r>
      <w:r>
        <w:br/>
      </w:r>
      <w:r>
        <w:rPr>
          <w:rStyle w:val="VerbatimChar"/>
        </w:rPr>
        <w:t xml:space="preserve">x = np.arange(len(etqs))</w:t>
      </w:r>
      <w:r>
        <w:br/>
      </w:r>
      <w:r>
        <w:rPr>
          <w:rStyle w:val="VerbatimChar"/>
        </w:rPr>
        <w:t xml:space="preserve">ax.bar(x - 0.2, sin_v, 0.4, color=GRIS, label="Sin SGC")</w:t>
      </w:r>
      <w:r>
        <w:br/>
      </w:r>
      <w:r>
        <w:rPr>
          <w:rStyle w:val="VerbatimChar"/>
        </w:rPr>
        <w:t xml:space="preserve">ax.bar(x + 0.2, con_v, 0.4, color=AZUL, label="Con SGC")</w:t>
      </w:r>
      <w:r>
        <w:br/>
      </w:r>
      <w:r>
        <w:rPr>
          <w:rStyle w:val="VerbatimChar"/>
        </w:rPr>
        <w:t xml:space="preserve">ax.set_xticks(x)</w:t>
      </w:r>
      <w:r>
        <w:br/>
      </w:r>
      <w:r>
        <w:rPr>
          <w:rStyle w:val="VerbatimChar"/>
        </w:rPr>
        <w:t xml:space="preserve">ax.set_xticklabels(etqs, fontsize=8)</w:t>
      </w:r>
      <w:r>
        <w:br/>
      </w:r>
      <w:r>
        <w:rPr>
          <w:rStyle w:val="VerbatimChar"/>
        </w:rPr>
        <w:t xml:space="preserve">ax.set_ylabel("Costo de no calidad (Bs/m²)")</w:t>
      </w:r>
      <w:r>
        <w:br/>
      </w:r>
      <w:r>
        <w:rPr>
          <w:rStyle w:val="VerbatimChar"/>
        </w:rPr>
        <w:t xml:space="preserve">ax.legend(frameon=False, fontsize=8)</w:t>
      </w:r>
      <w:r>
        <w:br/>
      </w:r>
      <w:r>
        <w:rPr>
          <w:rStyle w:val="VerbatimChar"/>
        </w:rPr>
        <w:t xml:space="preserve">guardar(fig, "fig_cnc_por_componente", ejes=("y",))</w:t>
      </w:r>
      <w:r>
        <w:br/>
      </w:r>
      <w:r>
        <w:br/>
      </w:r>
      <w:r>
        <w:rPr>
          <w:rStyle w:val="VerbatimChar"/>
        </w:rPr>
        <w:t xml:space="preserve"># ---------------------------- Tablas LaTeX ----------------------------------</w:t>
      </w:r>
      <w:r>
        <w:br/>
      </w:r>
      <w:r>
        <w:rPr>
          <w:rStyle w:val="VerbatimChar"/>
        </w:rPr>
        <w:t xml:space="preserve">def tabla(nombre: str, contenido: str):</w:t>
      </w:r>
      <w:r>
        <w:br/>
      </w:r>
      <w:r>
        <w:rPr>
          <w:rStyle w:val="VerbatimChar"/>
        </w:rPr>
        <w:t xml:space="preserve">    (TEX / f"{nombre}.tex").write_text(contenido, encoding="utf-8")</w:t>
      </w:r>
      <w:r>
        <w:br/>
      </w:r>
      <w:r>
        <w:br/>
      </w:r>
      <w:r>
        <w:rPr>
          <w:rStyle w:val="VerbatimChar"/>
        </w:rPr>
        <w:t xml:space="preserve">mc = salida["monte_carlo"]</w:t>
      </w:r>
      <w:r>
        <w:br/>
      </w:r>
      <w:r>
        <w:rPr>
          <w:rStyle w:val="VerbatimChar"/>
        </w:rPr>
        <w:t xml:space="preserve">filas = [</w:t>
      </w:r>
      <w:r>
        <w:br/>
      </w:r>
      <w:r>
        <w:rPr>
          <w:rStyle w:val="VerbatimChar"/>
        </w:rPr>
        <w:t xml:space="preserve">    ("Costo unitario sin SGC (Bs/m\\textsuperscript{2})", mc["CU_sin"], 2, False),</w:t>
      </w:r>
      <w:r>
        <w:br/>
      </w:r>
      <w:r>
        <w:rPr>
          <w:rStyle w:val="VerbatimChar"/>
        </w:rPr>
        <w:t xml:space="preserve">    ("Costo unitario con SGC (Bs/m\\textsuperscript{2})", mc["CU_con"], 2, False),</w:t>
      </w:r>
      <w:r>
        <w:br/>
      </w:r>
      <w:r>
        <w:rPr>
          <w:rStyle w:val="VerbatimChar"/>
        </w:rPr>
        <w:t xml:space="preserve">    ("Reducción del costo unitario, $r$", mc["r"], 2, True),</w:t>
      </w:r>
      <w:r>
        <w:br/>
      </w:r>
      <w:r>
        <w:rPr>
          <w:rStyle w:val="VerbatimChar"/>
        </w:rPr>
        <w:t xml:space="preserve">    ("Costo de no calidad sin SGC (Bs/m\\textsuperscript{2})", mc["CNC_sin"], 2, False),</w:t>
      </w:r>
      <w:r>
        <w:br/>
      </w:r>
      <w:r>
        <w:rPr>
          <w:rStyle w:val="VerbatimChar"/>
        </w:rPr>
        <w:t xml:space="preserve">    ("Costo de no calidad con SGC (Bs/m\\textsuperscript{2})", mc["CNC_con"], 2, False),</w:t>
      </w:r>
      <w:r>
        <w:br/>
      </w:r>
      <w:r>
        <w:rPr>
          <w:rStyle w:val="VerbatimChar"/>
        </w:rPr>
        <w:t xml:space="preserve">    ("Costo de la calidad del SGC (Bs/m\\textsuperscript{2})", mc["CC_con"], 2, False),</w:t>
      </w:r>
      <w:r>
        <w:br/>
      </w:r>
      <w:r>
        <w:rPr>
          <w:rStyle w:val="VerbatimChar"/>
        </w:rPr>
        <w:t xml:space="preserve">    ("IDM ponderado sin SGC", mc["IDM_sin"], 2, True),</w:t>
      </w:r>
      <w:r>
        <w:br/>
      </w:r>
      <w:r>
        <w:rPr>
          <w:rStyle w:val="VerbatimChar"/>
        </w:rPr>
        <w:t xml:space="preserve">    ("IDM ponderado con SGC", mc["IDM_con"], 2, True),</w:t>
      </w:r>
      <w:r>
        <w:br/>
      </w:r>
      <w:r>
        <w:rPr>
          <w:rStyle w:val="VerbatimChar"/>
        </w:rPr>
        <w:t xml:space="preserve">    ("Ahorro en el saldo de 2.234,60~m\\textsuperscript{2} (Bs)", mc["ahorro_saldo_Bs"], 0, False),</w:t>
      </w:r>
      <w:r>
        <w:br/>
      </w:r>
      <w:r>
        <w:rPr>
          <w:rStyle w:val="VerbatimChar"/>
        </w:rPr>
        <w:t xml:space="preserve">]</w:t>
      </w:r>
      <w:r>
        <w:br/>
      </w:r>
      <w:r>
        <w:rPr>
          <w:rStyle w:val="VerbatimChar"/>
        </w:rPr>
        <w:t xml:space="preserve">cuerpo = "\n".join(</w:t>
      </w:r>
      <w:r>
        <w:br/>
      </w:r>
      <w:r>
        <w:rPr>
          <w:rStyle w:val="VerbatimChar"/>
        </w:rPr>
        <w:t xml:space="preserve">    f"{et} &amp; {(pct if es_pct else lambda v, d=dec: fmt(v, d))(s['media'])} &amp; "</w:t>
      </w:r>
      <w:r>
        <w:br/>
      </w:r>
      <w:r>
        <w:rPr>
          <w:rStyle w:val="VerbatimChar"/>
        </w:rPr>
        <w:t xml:space="preserve">    f"{(pct if es_pct else lambda v, d=dec: fmt(v, d))(s['desv_est'])} &amp; "</w:t>
      </w:r>
      <w:r>
        <w:br/>
      </w:r>
      <w:r>
        <w:rPr>
          <w:rStyle w:val="VerbatimChar"/>
        </w:rPr>
        <w:t xml:space="preserve">    f"{(pct if es_pct else lambda v, d=dec: fmt(v, d))(s['p05'])} &amp; "</w:t>
      </w:r>
      <w:r>
        <w:br/>
      </w:r>
      <w:r>
        <w:rPr>
          <w:rStyle w:val="VerbatimChar"/>
        </w:rPr>
        <w:t xml:space="preserve">    f"{(pct if es_pct else lambda v, d=dec: fmt(v, d))(s['p50'])} &amp; "</w:t>
      </w:r>
      <w:r>
        <w:br/>
      </w:r>
      <w:r>
        <w:rPr>
          <w:rStyle w:val="VerbatimChar"/>
        </w:rPr>
        <w:t xml:space="preserve">    f"{(pct if es_pct else lambda v, d=dec: fmt(v, d))(s['p95'])} \\\\"</w:t>
      </w:r>
      <w:r>
        <w:br/>
      </w:r>
      <w:r>
        <w:rPr>
          <w:rStyle w:val="VerbatimChar"/>
        </w:rPr>
        <w:t xml:space="preserve">    for et, s, dec, es_pct in filas)</w:t>
      </w:r>
      <w:r>
        <w:br/>
      </w:r>
      <w:r>
        <w:rPr>
          <w:rStyle w:val="VerbatimChar"/>
        </w:rPr>
        <w:t xml:space="preserve">tabla("tab_resultados_montecarlo",</w:t>
      </w:r>
      <w:r>
        <w:br/>
      </w:r>
      <w:r>
        <w:rPr>
          <w:rStyle w:val="VerbatimChar"/>
        </w:rPr>
        <w:t xml:space="preserve">      "\\begin{tabularx}{\\linewidth}{@{}Lrrrrr@{}}\n\\toprule\n"</w:t>
      </w:r>
      <w:r>
        <w:br/>
      </w:r>
      <w:r>
        <w:rPr>
          <w:rStyle w:val="VerbatimChar"/>
        </w:rPr>
        <w:t xml:space="preserve">      "\\textbf{Indicador} &amp; \\textbf{Media} &amp; \\textbf{Desv. est.} &amp; \\textbf{P5} &amp; \\textbf{P50} &amp; \\textbf{P95} \\\\\n"</w:t>
      </w:r>
      <w:r>
        <w:br/>
      </w:r>
      <w:r>
        <w:rPr>
          <w:rStyle w:val="VerbatimChar"/>
        </w:rPr>
        <w:t xml:space="preserve">      "\\midrule\n" + cuerpo + "\n\\bottomrule\n\\end{tabularx}\n")</w:t>
      </w:r>
      <w:r>
        <w:br/>
      </w:r>
      <w:r>
        <w:br/>
      </w:r>
      <w:r>
        <w:rPr>
          <w:rStyle w:val="VerbatimChar"/>
        </w:rPr>
        <w:t xml:space="preserve">ct = salida["contraste"]</w:t>
      </w:r>
      <w:r>
        <w:br/>
      </w:r>
      <w:r>
        <w:rPr>
          <w:rStyle w:val="VerbatimChar"/>
        </w:rPr>
        <w:t xml:space="preserve">tabla("tab_contraste_hipotesis",</w:t>
      </w:r>
      <w:r>
        <w:br/>
      </w:r>
      <w:r>
        <w:rPr>
          <w:rStyle w:val="VerbatimChar"/>
        </w:rPr>
        <w:t xml:space="preserve">      "\\begin{tabularx}{\\linewidth}{@{}P{2.2cm}LP{2.6cm}P{3.6cm}@{}}\n\\toprule\n"</w:t>
      </w:r>
      <w:r>
        <w:br/>
      </w:r>
      <w:r>
        <w:rPr>
          <w:rStyle w:val="VerbatimChar"/>
        </w:rPr>
        <w:t xml:space="preserve">      "\\textbf{Hipótesis} &amp; \\textbf{Criterio de aceptación} &amp; \\textbf{Probabilidad estimada} &amp; \\textbf{Decisión} \\\\\n\\midrule\n"</w:t>
      </w:r>
      <w:r>
        <w:br/>
      </w:r>
      <w:r>
        <w:rPr>
          <w:rStyle w:val="VerbatimChar"/>
        </w:rPr>
        <w:t xml:space="preserve">      f"General (HG) &amp; $P(r \\geq {fmt(100*UMBRAL,0)}~\\%) \\geq {fmt(CONF,2)}$ &amp; {fmt(p_hg,4)} &amp; {ct['HG']['decision']} \\\\\n"</w:t>
      </w:r>
      <w:r>
        <w:br/>
      </w:r>
      <w:r>
        <w:rPr>
          <w:rStyle w:val="VerbatimChar"/>
        </w:rPr>
        <w:t xml:space="preserve">      f"Específica 1 (HE1) &amp; $P(IDM_{{con}} &lt; IDM_{{sin}}) \\geq {fmt(CONF,2)}$ &amp; {fmt(p_he1,4)} &amp; {ct['HE1']['decision']} \\\\\n"</w:t>
      </w:r>
      <w:r>
        <w:br/>
      </w:r>
      <w:r>
        <w:rPr>
          <w:rStyle w:val="VerbatimChar"/>
        </w:rPr>
        <w:t xml:space="preserve">      f"Específica 2 (HE2) &amp; $P(CNC_{{con}} &lt; CNC_{{sin}}) \\geq {fmt(CONF,2)}$ &amp; {fmt(p_he2,4)} &amp; {ct['HE2']['decision']} \\\\\n"</w:t>
      </w:r>
      <w:r>
        <w:br/>
      </w:r>
      <w:r>
        <w:rPr>
          <w:rStyle w:val="VerbatimChar"/>
        </w:rPr>
        <w:t xml:space="preserve">      "\\bottomrule\n\\end{tabularx}\n")</w:t>
      </w:r>
      <w:r>
        <w:br/>
      </w:r>
      <w:r>
        <w:br/>
      </w:r>
      <w:r>
        <w:rPr>
          <w:rStyle w:val="VerbatimChar"/>
        </w:rPr>
        <w:t xml:space="preserve">filas_idm = "\n".join(</w:t>
      </w:r>
      <w:r>
        <w:br/>
      </w:r>
      <w:r>
        <w:rPr>
          <w:rStyle w:val="VerbatimChar"/>
        </w:rPr>
        <w:t xml:space="preserve">    f"{P['materiales'][m]['nombre']} &amp; {pct(w_sin_det[m])} &amp; {pct(e_det[m],0)} &amp; {pct(w_con_det[m])} &amp; "</w:t>
      </w:r>
      <w:r>
        <w:br/>
      </w:r>
      <w:r>
        <w:rPr>
          <w:rStyle w:val="VerbatimChar"/>
        </w:rPr>
        <w:t xml:space="preserve">    f"{pct(mc['IDM_material_sin'][m]['media'])} &amp; {pct(mc['IDM_material_con'][m]['media'])} \\\\"</w:t>
      </w:r>
      <w:r>
        <w:br/>
      </w:r>
      <w:r>
        <w:rPr>
          <w:rStyle w:val="VerbatimChar"/>
        </w:rPr>
        <w:t xml:space="preserve">    for m in MATS)</w:t>
      </w:r>
      <w:r>
        <w:br/>
      </w:r>
      <w:r>
        <w:rPr>
          <w:rStyle w:val="VerbatimChar"/>
        </w:rPr>
        <w:t xml:space="preserve">tabla("tab_idm_por_material",</w:t>
      </w:r>
      <w:r>
        <w:br/>
      </w:r>
      <w:r>
        <w:rPr>
          <w:rStyle w:val="VerbatimChar"/>
        </w:rPr>
        <w:t xml:space="preserve">      "\\begin{tabularx}{\\linewidth}{@{}Lrrrrr@{}}\n\\toprule\n"</w:t>
      </w:r>
      <w:r>
        <w:br/>
      </w:r>
      <w:r>
        <w:rPr>
          <w:rStyle w:val="VerbatimChar"/>
        </w:rPr>
        <w:t xml:space="preserve">      "\\textbf{Material} &amp; \\textbf{IDM sin SGC (moda)} &amp; \\textbf{Eficacia (moda)} &amp; \\textbf{IDM con SGC (moda)} &amp; "</w:t>
      </w:r>
      <w:r>
        <w:br/>
      </w:r>
      <w:r>
        <w:rPr>
          <w:rStyle w:val="VerbatimChar"/>
        </w:rPr>
        <w:t xml:space="preserve">      "\\textbf{IDM sin SGC (media MC)} &amp; \\textbf{IDM con SGC (media MC)} \\\\\n\\midrule\n"</w:t>
      </w:r>
      <w:r>
        <w:br/>
      </w:r>
      <w:r>
        <w:rPr>
          <w:rStyle w:val="VerbatimChar"/>
        </w:rPr>
        <w:t xml:space="preserve">      + filas_idm + "\n\\bottomrule\n\\end{tabularx}\n")</w:t>
      </w:r>
      <w:r>
        <w:br/>
      </w:r>
      <w:r>
        <w:br/>
      </w:r>
      <w:r>
        <w:rPr>
          <w:rStyle w:val="VerbatimChar"/>
        </w:rPr>
        <w:t xml:space="preserve"># ------------------- APU de referencia (Anexo I) ---------------------------</w:t>
      </w:r>
      <w:r>
        <w:br/>
      </w:r>
      <w:r>
        <w:rPr>
          <w:rStyle w:val="VerbatimChar"/>
        </w:rPr>
        <w:t xml:space="preserve">NOMBRE_GRUPO = {"materiales": "Materiales", "mano_obra": "Mano de obra", "equipo": "Equipo y herramientas"}</w:t>
      </w:r>
      <w:r>
        <w:br/>
      </w:r>
      <w:r>
        <w:br/>
      </w:r>
      <w:r>
        <w:rPr>
          <w:rStyle w:val="VerbatimChar"/>
        </w:rPr>
        <w:t xml:space="preserve">def tabla_apu(filas, tot, kappa, precio_contrato, unidad_item):</w:t>
      </w:r>
      <w:r>
        <w:br/>
      </w:r>
      <w:r>
        <w:rPr>
          <w:rStyle w:val="VerbatimChar"/>
        </w:rPr>
        <w:t xml:space="preserve">    lin = []</w:t>
      </w:r>
      <w:r>
        <w:br/>
      </w:r>
      <w:r>
        <w:rPr>
          <w:rStyle w:val="VerbatimChar"/>
        </w:rPr>
        <w:t xml:space="preserve">    for grupo in ("materiales", "mano_obra", "equipo"):</w:t>
      </w:r>
      <w:r>
        <w:br/>
      </w:r>
      <w:r>
        <w:rPr>
          <w:rStyle w:val="VerbatimChar"/>
        </w:rPr>
        <w:t xml:space="preserve">        lin.append(f"\\multicolumn{{6}}{{@{{}}l}}{{\\textbf{{{NOMBRE_GRUPO[grupo]}}}}} \\\\")</w:t>
      </w:r>
      <w:r>
        <w:br/>
      </w:r>
      <w:r>
        <w:rPr>
          <w:rStyle w:val="VerbatimChar"/>
        </w:rPr>
        <w:t xml:space="preserve">        for g, ins, un, cant, pb, parc, fte in filas:</w:t>
      </w:r>
      <w:r>
        <w:br/>
      </w:r>
      <w:r>
        <w:rPr>
          <w:rStyle w:val="VerbatimChar"/>
        </w:rPr>
        <w:t xml:space="preserve">            if g == grupo:</w:t>
      </w:r>
      <w:r>
        <w:br/>
      </w:r>
      <w:r>
        <w:rPr>
          <w:rStyle w:val="VerbatimChar"/>
        </w:rPr>
        <w:t xml:space="preserve">                lin.append(f"{tex(ins)} &amp; {tex(un)} &amp; {fmt(cant, 4)} &amp; {fmt(pb)} &amp; {fmt(parc)} &amp; {tex(fte)} \\\\")</w:t>
      </w:r>
      <w:r>
        <w:br/>
      </w:r>
      <w:r>
        <w:rPr>
          <w:rStyle w:val="VerbatimChar"/>
        </w:rPr>
        <w:t xml:space="preserve">    lin.append("\\midrule")</w:t>
      </w:r>
      <w:r>
        <w:br/>
      </w:r>
      <w:r>
        <w:rPr>
          <w:rStyle w:val="VerbatimChar"/>
        </w:rPr>
        <w:t xml:space="preserve">    lin.append(f"\\multicolumn{{4}}{{@{{}}l}}{{Subtotal materiales}} &amp; {fmt(tot['materiales'])} &amp; \\\\")</w:t>
      </w:r>
      <w:r>
        <w:br/>
      </w:r>
      <w:r>
        <w:rPr>
          <w:rStyle w:val="VerbatimChar"/>
        </w:rPr>
        <w:t xml:space="preserve">    lin.append(f"\\multicolumn{{4}}{{@{{}}l}}{{Mano de obra (sin cargas)}} &amp; {fmt(tot['mano_obra'])} &amp; \\\\")</w:t>
      </w:r>
      <w:r>
        <w:br/>
      </w:r>
      <w:r>
        <w:rPr>
          <w:rStyle w:val="VerbatimChar"/>
        </w:rPr>
        <w:t xml:space="preserve">    lin.append(f"\\multicolumn{{4}}{{@{{}}l}}{{Beneficios sociales ({fmt(100*INC['beneficios_sociales'],0)}~\\% de la mano de obra)}} &amp; {fmt(tot['beneficios_sociales'])} &amp; \\\\")</w:t>
      </w:r>
      <w:r>
        <w:br/>
      </w:r>
      <w:r>
        <w:rPr>
          <w:rStyle w:val="VerbatimChar"/>
        </w:rPr>
        <w:t xml:space="preserve">    lin.append(f"\\multicolumn{{4}}{{@{{}}l}}{{IVA sobre mano de obra ({fmt(100*INC['iva_mano_obra'])}~\\%)}} &amp; {fmt(tot['iva_mo'])} &amp; \\\\")</w:t>
      </w:r>
      <w:r>
        <w:br/>
      </w:r>
      <w:r>
        <w:rPr>
          <w:rStyle w:val="VerbatimChar"/>
        </w:rPr>
        <w:t xml:space="preserve">    lin.append(f"\\multicolumn{{4}}{{@{{}}l}}{{Equipo}} &amp; {fmt(tot['equipo'])} &amp; \\\\")</w:t>
      </w:r>
      <w:r>
        <w:br/>
      </w:r>
      <w:r>
        <w:rPr>
          <w:rStyle w:val="VerbatimChar"/>
        </w:rPr>
        <w:t xml:space="preserve">    lin.append(f"\\multicolumn{{4}}{{@{{}}l}}{{Herramientas menores ({fmt(100*INC['herramientas'],0)}~\\% de la mano de obra total)}} &amp; {fmt(tot['herramientas'])} &amp; \\\\")</w:t>
      </w:r>
      <w:r>
        <w:br/>
      </w:r>
      <w:r>
        <w:rPr>
          <w:rStyle w:val="VerbatimChar"/>
        </w:rPr>
        <w:t xml:space="preserve">    lin.append(f"\\multicolumn{{4}}{{@{{}}l}}{{\\textbf{{Costo directo}}}} &amp; \\textbf{{{fmt(tot['directo'])}}} &amp; \\\\")</w:t>
      </w:r>
      <w:r>
        <w:br/>
      </w:r>
      <w:r>
        <w:rPr>
          <w:rStyle w:val="VerbatimChar"/>
        </w:rPr>
        <w:t xml:space="preserve">    lin.append(f"\\multicolumn{{4}}{{@{{}}l}}{{Gastos generales ({fmt(100*INC['gastos_generales'],0)}~\\%), utilidad ({fmt(100*INC['utilidad'],0)}~\\%) e IT ({fmt(100*INC['it'])}~\\%): factor {fmt(F_IND,4)}}} &amp; {fmt(tot['precio_base'])} &amp; \\\\")</w:t>
      </w:r>
      <w:r>
        <w:br/>
      </w:r>
      <w:r>
        <w:rPr>
          <w:rStyle w:val="VerbatimChar"/>
        </w:rPr>
        <w:t xml:space="preserve">    lin.append(f"\\multicolumn{{4}}{{@{{}}l}}{{Precio unitario contractual ({unidad_item})}} &amp; {fmt(precio_contrato, 4)} &amp; \\\\")</w:t>
      </w:r>
      <w:r>
        <w:br/>
      </w:r>
      <w:r>
        <w:rPr>
          <w:rStyle w:val="VerbatimChar"/>
        </w:rPr>
        <w:t xml:space="preserve">    lin.append(f"\\multicolumn{{4}}{{@{{}}l}}{{\\textbf{{Factor de calibración $\\kappa$ = precio contractual / precio reconstruido}}}} &amp; \\textbf{{{fmt(kappa, 4)}}} &amp; \\\\")</w:t>
      </w:r>
      <w:r>
        <w:br/>
      </w:r>
      <w:r>
        <w:rPr>
          <w:rStyle w:val="VerbatimChar"/>
        </w:rPr>
        <w:t xml:space="preserve">    return ("\\begin{longtable}{@{}P{4.6cm}P{0.9cm}rrrP{4.2cm}@{}}\n\\toprule\n"</w:t>
      </w:r>
      <w:r>
        <w:br/>
      </w:r>
      <w:r>
        <w:rPr>
          <w:rStyle w:val="VerbatimChar"/>
        </w:rPr>
        <w:t xml:space="preserve">            "\\textbf{Insumo} &amp; \\textbf{Unid.} &amp; \\textbf{Cantidad} &amp; \\textbf{Precio base (Bs)} &amp; \\textbf{Parcial (Bs)} &amp; \\textbf{Fuente} \\\\\n\\midrule\n\\endhead\n"</w:t>
      </w:r>
      <w:r>
        <w:br/>
      </w:r>
      <w:r>
        <w:rPr>
          <w:rStyle w:val="VerbatimChar"/>
        </w:rPr>
        <w:t xml:space="preserve">            + "\n".join(lin) + "\n\\bottomrule\n\\end{longtable}\n")</w:t>
      </w:r>
      <w:r>
        <w:br/>
      </w:r>
      <w:r>
        <w:br/>
      </w:r>
      <w:r>
        <w:rPr>
          <w:rStyle w:val="VerbatimChar"/>
        </w:rPr>
        <w:t xml:space="preserve">tabla("tab_apu_item13", tabla_apu(FILAS13, TOT13, KAPPA13, PU13, "Bs/m\\textsuperscript{2}"))</w:t>
      </w:r>
      <w:r>
        <w:br/>
      </w:r>
      <w:r>
        <w:rPr>
          <w:rStyle w:val="VerbatimChar"/>
        </w:rPr>
        <w:t xml:space="preserve">tabla("tab_apu_acero", tabla_apu(FILASAC, TOTAC, KAPPAAC, PU_ACERO, "Bs/kg"))</w:t>
      </w:r>
      <w:r>
        <w:br/>
      </w:r>
      <w:r>
        <w:br/>
      </w:r>
      <w:r>
        <w:rPr>
          <w:rStyle w:val="VerbatimChar"/>
        </w:rPr>
        <w:t xml:space="preserve"># ------------------- Tabla de parámetros del modelo (Anexo L) ---------------</w:t>
      </w:r>
      <w:r>
        <w:br/>
      </w:r>
      <w:r>
        <w:rPr>
          <w:rStyle w:val="VerbatimChar"/>
        </w:rPr>
        <w:t xml:space="preserve">def fila_tri(etq, spec, es_pct=True, unidad=""):</w:t>
      </w:r>
      <w:r>
        <w:br/>
      </w:r>
      <w:r>
        <w:rPr>
          <w:rStyle w:val="VerbatimChar"/>
        </w:rPr>
        <w:t xml:space="preserve">    f = (lambda v: pct(v, 1)) if es_pct else (lambda v: fmt(v, 0))</w:t>
      </w:r>
      <w:r>
        <w:br/>
      </w:r>
      <w:r>
        <w:rPr>
          <w:rStyle w:val="VerbatimChar"/>
        </w:rPr>
        <w:t xml:space="preserve">    return (f"{etq} &amp; {f(float(spec['min']))} &amp; {f(float(spec['moda']))} &amp; {f(float(spec['max']))} &amp; "</w:t>
      </w:r>
      <w:r>
        <w:br/>
      </w:r>
      <w:r>
        <w:rPr>
          <w:rStyle w:val="VerbatimChar"/>
        </w:rPr>
        <w:t xml:space="preserve">            f"{tex(spec.get('fuente', ''))} \\\\")</w:t>
      </w:r>
      <w:r>
        <w:br/>
      </w:r>
      <w:r>
        <w:br/>
      </w:r>
      <w:r>
        <w:rPr>
          <w:rStyle w:val="VerbatimChar"/>
        </w:rPr>
        <w:t xml:space="preserve">lp = []</w:t>
      </w:r>
      <w:r>
        <w:br/>
      </w:r>
      <w:r>
        <w:rPr>
          <w:rStyle w:val="VerbatimChar"/>
        </w:rPr>
        <w:t xml:space="preserve">for m in MATS:</w:t>
      </w:r>
      <w:r>
        <w:br/>
      </w:r>
      <w:r>
        <w:rPr>
          <w:rStyle w:val="VerbatimChar"/>
        </w:rPr>
        <w:t xml:space="preserve">    nm = P["materiales"][m]["nombre"]</w:t>
      </w:r>
      <w:r>
        <w:br/>
      </w:r>
      <w:r>
        <w:rPr>
          <w:rStyle w:val="VerbatimChar"/>
        </w:rPr>
        <w:t xml:space="preserve">    lp.append(fila_tri(f"IDM sin SGC -- {nm}", P["materiales"][m]["idm_sin_sgc"]))</w:t>
      </w:r>
      <w:r>
        <w:br/>
      </w:r>
      <w:r>
        <w:rPr>
          <w:rStyle w:val="VerbatimChar"/>
        </w:rPr>
        <w:t xml:space="preserve">for m in MATS:</w:t>
      </w:r>
      <w:r>
        <w:br/>
      </w:r>
      <w:r>
        <w:rPr>
          <w:rStyle w:val="VerbatimChar"/>
        </w:rPr>
        <w:t xml:space="preserve">    nm = P["materiales"][m]["nombre"]</w:t>
      </w:r>
      <w:r>
        <w:br/>
      </w:r>
      <w:r>
        <w:rPr>
          <w:rStyle w:val="VerbatimChar"/>
        </w:rPr>
        <w:t xml:space="preserve">    lp.append(fila_tri(f"Eficacia del SGC -- {nm}", P["materiales"][m]["eficacia_sgc"]))</w:t>
      </w:r>
      <w:r>
        <w:br/>
      </w:r>
      <w:r>
        <w:rPr>
          <w:rStyle w:val="VerbatimChar"/>
        </w:rPr>
        <w:t xml:space="preserve">lp.append(fila_tri("Fracción de retrabajo sin SGC ($\\rho$)", P["retrabajo"]["fraccion_sin_sgc"]))</w:t>
      </w:r>
      <w:r>
        <w:br/>
      </w:r>
      <w:r>
        <w:rPr>
          <w:rStyle w:val="VerbatimChar"/>
        </w:rPr>
        <w:t xml:space="preserve">lp.append(fila_tri("Eficacia del SGC en retrabajos ($e_R$)", P["retrabajo"]["eficacia_sgc"]))</w:t>
      </w:r>
      <w:r>
        <w:br/>
      </w:r>
      <w:r>
        <w:rPr>
          <w:rStyle w:val="VerbatimChar"/>
        </w:rPr>
        <w:t xml:space="preserve">for c in P["costos_sgc"]["componentes"].values():</w:t>
      </w:r>
      <w:r>
        <w:br/>
      </w:r>
      <w:r>
        <w:rPr>
          <w:rStyle w:val="VerbatimChar"/>
        </w:rPr>
        <w:t xml:space="preserve">    lp.append(fila_tri(f"{tex(c['descripcion'])} (Bs)", c["Bs_total"], es_pct=False))</w:t>
      </w:r>
      <w:r>
        <w:br/>
      </w:r>
      <w:r>
        <w:rPr>
          <w:rStyle w:val="VerbatimChar"/>
        </w:rPr>
        <w:t xml:space="preserve">tabla("tab_parametros",</w:t>
      </w:r>
      <w:r>
        <w:br/>
      </w:r>
      <w:r>
        <w:rPr>
          <w:rStyle w:val="VerbatimChar"/>
        </w:rPr>
        <w:t xml:space="preserve">      "\\begin{longtable}{@{}P{4.3cm}rrrP{6.0cm}@{}}\n\\toprule\n"</w:t>
      </w:r>
      <w:r>
        <w:br/>
      </w:r>
      <w:r>
        <w:rPr>
          <w:rStyle w:val="VerbatimChar"/>
        </w:rPr>
        <w:t xml:space="preserve">      "\\textbf{Parámetro} &amp; \\textbf{Mín.} &amp; \\textbf{Moda} &amp; \\textbf{Máx.} &amp; \\textbf{Fuente o justificación} \\\\\n\\midrule\n\\endhead\n"</w:t>
      </w:r>
      <w:r>
        <w:br/>
      </w:r>
      <w:r>
        <w:rPr>
          <w:rStyle w:val="VerbatimChar"/>
        </w:rPr>
        <w:t xml:space="preserve">      + "\n".join(lp) + "\n\\bottomrule\n\\end{longtable}\n")</w:t>
      </w:r>
      <w:r>
        <w:br/>
      </w:r>
      <w:r>
        <w:br/>
      </w:r>
      <w:r>
        <w:rPr>
          <w:rStyle w:val="VerbatimChar"/>
        </w:rPr>
        <w:t xml:space="preserve"># ------------------- Macros con las cifras clave (para el texto) ------------</w:t>
      </w:r>
      <w:r>
        <w:br/>
      </w:r>
      <w:r>
        <w:rPr>
          <w:rStyle w:val="VerbatimChar"/>
        </w:rPr>
        <w:t xml:space="preserve">def macro(nombre: str, valor: str) -&gt; str:</w:t>
      </w:r>
      <w:r>
        <w:br/>
      </w:r>
      <w:r>
        <w:rPr>
          <w:rStyle w:val="VerbatimChar"/>
        </w:rPr>
        <w:t xml:space="preserve">    return f"\\newcommand{{\\{nombre}}}{{{valor}}}\n"</w:t>
      </w:r>
      <w:r>
        <w:br/>
      </w:r>
      <w:r>
        <w:br/>
      </w:r>
      <w:r>
        <w:rPr>
          <w:rStyle w:val="VerbatimChar"/>
        </w:rPr>
        <w:t xml:space="preserve">ce = salida["contraste"]</w:t>
      </w:r>
      <w:r>
        <w:br/>
      </w:r>
      <w:r>
        <w:rPr>
          <w:rStyle w:val="VerbatimChar"/>
        </w:rPr>
        <w:t xml:space="preserve">mac = [</w:t>
      </w:r>
      <w:r>
        <w:br/>
      </w:r>
      <w:r>
        <w:rPr>
          <w:rStyle w:val="VerbatimChar"/>
        </w:rPr>
        <w:t xml:space="preserve">    macro("MCiter", fmt(N, 0)), macro("MCsemilla", str(SIM["semilla"])),</w:t>
      </w:r>
      <w:r>
        <w:br/>
      </w:r>
      <w:r>
        <w:rPr>
          <w:rStyle w:val="VerbatimChar"/>
        </w:rPr>
        <w:t xml:space="preserve">    macro("MCumbral", fmt(100 * UMBRAL, 0) + r"~\%"), macro("MCconf", fmt(CONF, 2)),</w:t>
      </w:r>
      <w:r>
        <w:br/>
      </w:r>
      <w:r>
        <w:rPr>
          <w:rStyle w:val="VerbatimChar"/>
        </w:rPr>
        <w:t xml:space="preserve">    macro("PUlosa", fmt(PU_LOSA)), macro("PUitemTrece", fmt(PU13)),</w:t>
      </w:r>
      <w:r>
        <w:br/>
      </w:r>
      <w:r>
        <w:rPr>
          <w:rStyle w:val="VerbatimChar"/>
        </w:rPr>
        <w:t xml:space="preserve">    macro("PUaceroLosa", fmt(Q_ACERO_PAGO * PU_ACERO)), macro("CDteo", fmt(CD_TEO)),</w:t>
      </w:r>
      <w:r>
        <w:br/>
      </w:r>
      <w:r>
        <w:rPr>
          <w:rStyle w:val="VerbatimChar"/>
        </w:rPr>
        <w:t xml:space="preserve">    macro("CMteo", fmt(CM_TEO)),</w:t>
      </w:r>
      <w:r>
        <w:br/>
      </w:r>
      <w:r>
        <w:rPr>
          <w:rStyle w:val="VerbatimChar"/>
        </w:rPr>
        <w:t xml:space="preserve">    macro("CUsinDet", fmt(cu_s)), macro("CUconDet", fmt(cu_c)), macro("rDet", pct(r_det)),</w:t>
      </w:r>
      <w:r>
        <w:br/>
      </w:r>
      <w:r>
        <w:rPr>
          <w:rStyle w:val="VerbatimChar"/>
        </w:rPr>
        <w:t xml:space="preserve">    macro("CNCsinDet", fmt(cnc_s)), macro("CNCconDet", fmt(cnc_c)),</w:t>
      </w:r>
      <w:r>
        <w:br/>
      </w:r>
      <w:r>
        <w:rPr>
          <w:rStyle w:val="VerbatimChar"/>
        </w:rPr>
        <w:t xml:space="preserve">    macro("CNCsinDetPct", pct(cnc_s / cu_s)), macro("CNCconDetPct", pct(cnc_c / cu_c)),</w:t>
      </w:r>
      <w:r>
        <w:br/>
      </w:r>
      <w:r>
        <w:rPr>
          <w:rStyle w:val="VerbatimChar"/>
        </w:rPr>
        <w:t xml:space="preserve">    macro("CCconDet", fmt(coc_con_det)), macro("CCconDetPct", pct(coc_con_det / cu_c)),</w:t>
      </w:r>
      <w:r>
        <w:br/>
      </w:r>
      <w:r>
        <w:rPr>
          <w:rStyle w:val="VerbatimChar"/>
        </w:rPr>
        <w:t xml:space="preserve">    macro("IDMsinDet", pct(idm_s)), macro("IDMconDet", pct(idm_c)),</w:t>
      </w:r>
      <w:r>
        <w:br/>
      </w:r>
      <w:r>
        <w:rPr>
          <w:rStyle w:val="VerbatimChar"/>
        </w:rPr>
        <w:t xml:space="preserve">    macro("AhorroDet", fmt((cu_s - cu_c) * A_SALDO, 0)),</w:t>
      </w:r>
      <w:r>
        <w:br/>
      </w:r>
      <w:r>
        <w:rPr>
          <w:rStyle w:val="VerbatimChar"/>
        </w:rPr>
        <w:t xml:space="preserve">    macro("CUsinMedia", fmt(mc["CU_sin"]["media"])), macro("CUconMedia", fmt(mc["CU_con"]["media"])),</w:t>
      </w:r>
      <w:r>
        <w:br/>
      </w:r>
      <w:r>
        <w:rPr>
          <w:rStyle w:val="VerbatimChar"/>
        </w:rPr>
        <w:t xml:space="preserve">    macro("rMedia", pct(mc["r"]["media"])), macro("rDesv", pct(mc["r"]["desv_est"])),</w:t>
      </w:r>
      <w:r>
        <w:br/>
      </w:r>
      <w:r>
        <w:rPr>
          <w:rStyle w:val="VerbatimChar"/>
        </w:rPr>
        <w:t xml:space="preserve">    macro("rPcinco", pct(mc["r"]["p05"])), macro("rPcincuenta", pct(mc["r"]["p50"])),</w:t>
      </w:r>
      <w:r>
        <w:br/>
      </w:r>
      <w:r>
        <w:rPr>
          <w:rStyle w:val="VerbatimChar"/>
        </w:rPr>
        <w:t xml:space="preserve">    macro("rPnoventaycinco", pct(mc["r"]["p95"])),</w:t>
      </w:r>
      <w:r>
        <w:br/>
      </w:r>
      <w:r>
        <w:rPr>
          <w:rStyle w:val="VerbatimChar"/>
        </w:rPr>
        <w:t xml:space="preserve">    macro("CNCsinMedia", fmt(mc["CNC_sin"]["media"])), macro("CNCconMedia", fmt(mc["CNC_con"]["media"])),</w:t>
      </w:r>
      <w:r>
        <w:br/>
      </w:r>
      <w:r>
        <w:rPr>
          <w:rStyle w:val="VerbatimChar"/>
        </w:rPr>
        <w:t xml:space="preserve">    macro("CNCreduccionPct", pct(1 - mc["CNC_con"]["media"] / mc["CNC_sin"]["media"])),</w:t>
      </w:r>
      <w:r>
        <w:br/>
      </w:r>
      <w:r>
        <w:rPr>
          <w:rStyle w:val="VerbatimChar"/>
        </w:rPr>
        <w:t xml:space="preserve">    macro("CCconMedia", fmt(mc["CC_con"]["media"])),</w:t>
      </w:r>
      <w:r>
        <w:br/>
      </w:r>
      <w:r>
        <w:rPr>
          <w:rStyle w:val="VerbatimChar"/>
        </w:rPr>
        <w:t xml:space="preserve">    macro("IDMsinMedia", pct(mc["IDM_sin"]["media"])), macro("IDMconMedia", pct(mc["IDM_con"]["media"])),</w:t>
      </w:r>
      <w:r>
        <w:br/>
      </w:r>
      <w:r>
        <w:rPr>
          <w:rStyle w:val="VerbatimChar"/>
        </w:rPr>
        <w:t xml:space="preserve">    macro("AhorroMedia", fmt(mc["ahorro_saldo_Bs"]["media"], 0)),</w:t>
      </w:r>
      <w:r>
        <w:br/>
      </w:r>
      <w:r>
        <w:rPr>
          <w:rStyle w:val="VerbatimChar"/>
        </w:rPr>
        <w:t xml:space="preserve">    macro("AhorroPcinco", fmt(mc["ahorro_saldo_Bs"]["p05"], 0)),</w:t>
      </w:r>
      <w:r>
        <w:br/>
      </w:r>
      <w:r>
        <w:rPr>
          <w:rStyle w:val="VerbatimChar"/>
        </w:rPr>
        <w:t xml:space="preserve">    macro("AhorroPnoventaycinco", fmt(mc["ahorro_saldo_Bs"]["p95"], 0)),</w:t>
      </w:r>
      <w:r>
        <w:br/>
      </w:r>
      <w:r>
        <w:rPr>
          <w:rStyle w:val="VerbatimChar"/>
        </w:rPr>
        <w:t xml:space="preserve">    macro("PHG", fmt(p_hg, 4)), macro("PRpos", fmt(p_r_pos, 4)),</w:t>
      </w:r>
      <w:r>
        <w:br/>
      </w:r>
      <w:r>
        <w:rPr>
          <w:rStyle w:val="VerbatimChar"/>
        </w:rPr>
        <w:t xml:space="preserve">    macro("PHEuno", fmt(p_he1, 4)), macro("PHEdos", fmt(p_he2, 4)),</w:t>
      </w:r>
      <w:r>
        <w:br/>
      </w:r>
      <w:r>
        <w:rPr>
          <w:rStyle w:val="VerbatimChar"/>
        </w:rPr>
        <w:t xml:space="preserve">    macro("DecHG", ce["HG"]["decision"]), macro("DecHEuno", ce["HE1"]["decision"]),</w:t>
      </w:r>
      <w:r>
        <w:br/>
      </w:r>
      <w:r>
        <w:rPr>
          <w:rStyle w:val="VerbatimChar"/>
        </w:rPr>
        <w:t xml:space="preserve">    macro("DecHEdos", ce["HE2"]["decision"]),</w:t>
      </w:r>
      <w:r>
        <w:br/>
      </w:r>
      <w:r>
        <w:rPr>
          <w:rStyle w:val="VerbatimChar"/>
        </w:rPr>
        <w:t xml:space="preserve">    macro("SEr", fmt(100 * se_final, 4) + r"~\%"),</w:t>
      </w:r>
      <w:r>
        <w:br/>
      </w:r>
      <w:r>
        <w:rPr>
          <w:rStyle w:val="VerbatimChar"/>
        </w:rPr>
        <w:t xml:space="preserve">    macro("PiFalla", fmt(100 * PI_FALLA, 0) + r"~\%"),</w:t>
      </w:r>
      <w:r>
        <w:br/>
      </w:r>
      <w:r>
        <w:rPr>
          <w:rStyle w:val="VerbatimChar"/>
        </w:rPr>
        <w:t xml:space="preserve">    macro("rMediaFalla", pct(salida["sgc_no_aplicado"]["r"]["media"])),</w:t>
      </w:r>
      <w:r>
        <w:br/>
      </w:r>
      <w:r>
        <w:rPr>
          <w:rStyle w:val="VerbatimChar"/>
        </w:rPr>
        <w:t xml:space="preserve">    macro("PRposFalla", fmt(salida["sgc_no_aplicado"]["P(r&gt;0)"], 4)),</w:t>
      </w:r>
      <w:r>
        <w:br/>
      </w:r>
      <w:r>
        <w:rPr>
          <w:rStyle w:val="VerbatimChar"/>
        </w:rPr>
        <w:t xml:space="preserve">    macro("KequilibrioCero", pct(k_equilibrio, 1) if k_equilibrio is not None else "no alcanzable"),</w:t>
      </w:r>
      <w:r>
        <w:br/>
      </w:r>
      <w:r>
        <w:rPr>
          <w:rStyle w:val="VerbatimChar"/>
        </w:rPr>
        <w:t xml:space="preserve">    macro("KequilibrioUmbral", pct(k_umbral, 1) if k_umbral is not None else "no alcanzable"),</w:t>
      </w:r>
      <w:r>
        <w:br/>
      </w:r>
      <w:r>
        <w:rPr>
          <w:rStyle w:val="VerbatimChar"/>
        </w:rPr>
        <w:t xml:space="preserve">    macro("rMaxTeorico", pct(r_max_teorico)),</w:t>
      </w:r>
      <w:r>
        <w:br/>
      </w:r>
      <w:r>
        <w:rPr>
          <w:rStyle w:val="VerbatimChar"/>
        </w:rPr>
        <w:t xml:space="preserve">    macro("rMediaOcultos", pct(float(np.mean(R_H))) if R_H is not None else "--"),</w:t>
      </w:r>
      <w:r>
        <w:br/>
      </w:r>
      <w:r>
        <w:rPr>
          <w:rStyle w:val="VerbatimChar"/>
        </w:rPr>
        <w:t xml:space="preserve">    macro("rPcincoOcultos", pct(float(np.percentile(R_H, 5))) if R_H is not None else "--"),</w:t>
      </w:r>
      <w:r>
        <w:br/>
      </w:r>
      <w:r>
        <w:rPr>
          <w:rStyle w:val="VerbatimChar"/>
        </w:rPr>
        <w:t xml:space="preserve">    macro("PHGocultos", fmt(float(np.mean(R_H &gt;= UMBRAL)), 4) if R_H is not None else "--"),</w:t>
      </w:r>
      <w:r>
        <w:br/>
      </w:r>
      <w:r>
        <w:rPr>
          <w:rStyle w:val="VerbatimChar"/>
        </w:rPr>
        <w:t xml:space="preserve">    macro("KappaTrece", fmt(KAPPA13, 3)), macro("KappaAcero", fmt(KAPPAAC, 3)),</w:t>
      </w:r>
      <w:r>
        <w:br/>
      </w:r>
      <w:r>
        <w:rPr>
          <w:rStyle w:val="VerbatimChar"/>
        </w:rPr>
        <w:t xml:space="preserve">    macro("FactorInd", fmt(F_IND, 4)),</w:t>
      </w:r>
      <w:r>
        <w:br/>
      </w:r>
      <w:r>
        <w:rPr>
          <w:rStyle w:val="VerbatimChar"/>
        </w:rPr>
        <w:t xml:space="preserve">    macro("APUtreceBase", fmt(TOT13["precio_base"])), macro("APUaceroBase", fmt(TOTAC["precio_base"], 2)),</w:t>
      </w:r>
      <w:r>
        <w:br/>
      </w:r>
      <w:r>
        <w:rPr>
          <w:rStyle w:val="VerbatimChar"/>
        </w:rPr>
        <w:t xml:space="preserve">]</w:t>
      </w:r>
      <w:r>
        <w:br/>
      </w:r>
      <w:r>
        <w:rPr>
          <w:rStyle w:val="VerbatimChar"/>
        </w:rPr>
        <w:t xml:space="preserve">for m in MATS:</w:t>
      </w:r>
      <w:r>
        <w:br/>
      </w:r>
      <w:r>
        <w:rPr>
          <w:rStyle w:val="VerbatimChar"/>
        </w:rPr>
        <w:t xml:space="preserve">    nm = {"viguetas": "Vig", "eps": "Eps", "hormigon": "Hor", "acero": "Ace"}.get(m, m.capitalize())</w:t>
      </w:r>
      <w:r>
        <w:br/>
      </w:r>
      <w:r>
        <w:rPr>
          <w:rStyle w:val="VerbatimChar"/>
        </w:rPr>
        <w:t xml:space="preserve">    mac.append(macro(f"IDMsin{nm}", pct(w_sin_det[m])))</w:t>
      </w:r>
      <w:r>
        <w:br/>
      </w:r>
      <w:r>
        <w:rPr>
          <w:rStyle w:val="VerbatimChar"/>
        </w:rPr>
        <w:t xml:space="preserve">    mac.append(macro(f"IDMcon{nm}", pct(w_con_det[m])))</w:t>
      </w:r>
      <w:r>
        <w:br/>
      </w:r>
      <w:r>
        <w:rPr>
          <w:rStyle w:val="VerbatimChar"/>
        </w:rPr>
        <w:t xml:space="preserve">    mac.append(macro(f"Ef{nm}", pct(e_det[m], 0)))</w:t>
      </w:r>
      <w:r>
        <w:br/>
      </w:r>
      <w:r>
        <w:rPr>
          <w:rStyle w:val="VerbatimChar"/>
        </w:rPr>
        <w:t xml:space="preserve">    mac.append(macro(f"Precio{nm}", fmt(p[m])))</w:t>
      </w:r>
      <w:r>
        <w:br/>
      </w:r>
      <w:r>
        <w:rPr>
          <w:rStyle w:val="VerbatimChar"/>
        </w:rPr>
        <w:t xml:space="preserve">    mac.append(macro(f"Qteo{nm}", fmt(q[m], 4)))</w:t>
      </w:r>
      <w:r>
        <w:br/>
      </w:r>
      <w:r>
        <w:rPr>
          <w:rStyle w:val="VerbatimChar"/>
        </w:rPr>
        <w:t xml:space="preserve">    mac.append(macro(f"Costo{nm}", fmt(costo_mat_teo[m])))</w:t>
      </w:r>
      <w:r>
        <w:br/>
      </w:r>
      <w:r>
        <w:rPr>
          <w:rStyle w:val="VerbatimChar"/>
        </w:rPr>
        <w:t xml:space="preserve">(TEX / "valores_modelo.tex").write_text(</w:t>
      </w:r>
      <w:r>
        <w:br/>
      </w:r>
      <w:r>
        <w:rPr>
          <w:rStyle w:val="VerbatimChar"/>
        </w:rPr>
        <w:t xml:space="preserve">    "% Archivo generado por modelo_costos.py: no editar a mano.\n" + "".join(mac), encoding="utf-8")</w:t>
      </w:r>
      <w:r>
        <w:br/>
      </w:r>
      <w:r>
        <w:br/>
      </w:r>
      <w:r>
        <w:rPr>
          <w:rStyle w:val="VerbatimChar"/>
        </w:rPr>
        <w:t xml:space="preserve">print(json.dumps({"PU_losa": PU_LOSA, "CD_teo": CD_TEO, "r_det": r_det,</w:t>
      </w:r>
      <w:r>
        <w:br/>
      </w:r>
      <w:r>
        <w:rPr>
          <w:rStyle w:val="VerbatimChar"/>
        </w:rPr>
        <w:t xml:space="preserve">                  "r_media": float(np.mean(R)), "P(r&gt;=umbral)": p_hg, "P(r&gt;0)": p_r_pos,</w:t>
      </w:r>
      <w:r>
        <w:br/>
      </w:r>
      <w:r>
        <w:rPr>
          <w:rStyle w:val="VerbatimChar"/>
        </w:rPr>
        <w:t xml:space="preserve">                  "P_HE1": p_he1, "P_HE2": p_he2, "k_equilibrio": k_equilibrio,</w:t>
      </w:r>
      <w:r>
        <w:br/>
      </w:r>
      <w:r>
        <w:rPr>
          <w:rStyle w:val="VerbatimChar"/>
        </w:rPr>
        <w:t xml:space="preserve">                  "k_umbral": k_umbral, "r_max": r_max_teorico}, indent=2, ensure_ascii=False))</w:t>
      </w:r>
    </w:p>
    <w:sectPr>
      <w:headerReference r:id="rId9" w:type="default"/>
      <w:pgSz w:h="15840" w:w="12240"/>
      <w:pgMar w:bottom="1440" w:footer="720" w:gutter="0" w:header="720" w:left="1440" w:right="1440" w:top="1440"/>
      <w:pgNumType w:fmt="decima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ind w:firstLine="0"/>
      <w:jc w:val="right"/>
    </w:pPr>
    <w:r>
      <w:fldChar w:fldCharType="begin"/>
    </w:r>
    <w:r>
      <w:instrText xml:space="preserve"> PAGE </w:instrText>
    </w:r>
    <w:r>
      <w:fldChar w:fldCharType="separate"/>
    </w:r>
    <w:r>
      <w:t>1</w:t>
    </w:r>
    <w:r>
      <w:fldChar w:fldCharType="end"/>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updateFields w:val="true"/>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s-BO" w:val="es-ES"/>
      </w:rPr>
    </w:rPrDefault>
    <w:pPrDefault>
      <w:pPr>
        <w:spacing w:after="0"/>
      </w:pPr>
    </w:pPrDefault>
  </w:docDefaults>
  <w:latentStyles w:count="276" w:defLockedState="0" w:defQFormat="0" w:defSemiHidden="0" w:defUIPriority="0" w:defUnhideWhenUsed="0"/>
  <w:style w:default="1" w:styleId="Normal" w:type="paragraph">
    <w:name w:val="Normal"/>
    <w:qFormat/>
    <w:pPr>
      <w:widowControl/>
      <w:spacing w:after="0" w:before="0" w:line="480" w:lineRule="auto"/>
      <w:jc w:val="left"/>
    </w:pPr>
    <w:rPr>
      <w:rFonts w:ascii="Times New Roman" w:cs="Times New Roman" w:eastAsia="Times New Roman" w:hAnsi="Times New Roman"/>
      <w:color w:val="000000"/>
      <w:sz w:val="24"/>
    </w:rPr>
  </w:style>
  <w:style w:styleId="BodyText" w:type="paragraph">
    <w:name w:val="Body Text"/>
    <w:basedOn w:val="Normal"/>
    <w:link w:val="BodyTextChar"/>
    <w:pPr>
      <w:widowControl/>
      <w:spacing w:after="0" w:before="0" w:line="480" w:lineRule="auto"/>
      <w:ind w:firstLine="720"/>
      <w:jc w:val="left"/>
    </w:pPr>
    <w:qFormat/>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widowControl/>
      <w:spacing w:after="0" w:before="0" w:line="480" w:lineRule="auto"/>
      <w:ind w:firstLine="720"/>
      <w:jc w:val="left"/>
    </w:pPr>
    <w:rPr>
      <w:rFonts w:ascii="Times New Roman" w:cs="Times New Roman" w:eastAsia="Times New Roman" w:hAnsi="Times New Roman"/>
      <w:color w:val="000000"/>
      <w:sz w:val="24"/>
    </w:rPr>
  </w:style>
  <w:style w:customStyle="1" w:styleId="Compact" w:type="paragraph">
    <w:name w:val="Compact"/>
    <w:basedOn w:val="BodyText"/>
    <w:qFormat/>
    <w:pPr>
      <w:widowControl/>
      <w:spacing w:after="0" w:before="0" w:line="480" w:lineRule="auto"/>
      <w:ind w:firstLine="0"/>
      <w:jc w:val="left"/>
    </w:pPr>
    <w:rPr>
      <w:rFonts w:ascii="Times New Roman" w:cs="Times New Roman" w:eastAsia="Times New Roman" w:hAnsi="Times New Roman"/>
      <w:color w:val="000000"/>
      <w:sz w:val="24"/>
    </w:rPr>
  </w:style>
  <w:style w:styleId="Title" w:type="paragraph">
    <w:name w:val="Title"/>
    <w:basedOn w:val="Normal"/>
    <w:next w:val="BodyText"/>
    <w:qFormat/>
    <w:pPr>
      <w:keepNext/>
      <w:keepLines/>
      <w:widowControl/>
      <w:spacing w:after="0" w:before="0" w:line="480" w:lineRule="auto"/>
      <w:ind w:firstLine="0"/>
      <w:jc w:val="center"/>
    </w:pPr>
    <w:rPr>
      <w:rFonts w:ascii="Times New Roman" w:cs="Times New Roman" w:eastAsia="Times New Roman" w:hAnsi="Times New Roman"/>
      <w:b/>
      <w:bCs/>
      <w:i w:val="0"/>
      <w:color w:val="000000"/>
      <w:sz w:val="24"/>
      <w:szCs w:val="36"/>
    </w:rPr>
  </w:style>
  <w:style w:styleId="Subtitle" w:type="paragraph">
    <w:name w:val="Subtitle"/>
    <w:basedOn w:val="Title"/>
    <w:next w:val="BodyText"/>
    <w:qFormat/>
    <w:pPr>
      <w:keepNext/>
      <w:keepLines/>
      <w:widowControl/>
      <w:spacing w:after="0" w:before="0" w:line="480" w:lineRule="auto"/>
      <w:ind w:firstLine="0"/>
      <w:jc w:val="center"/>
    </w:pPr>
    <w:rPr>
      <w:rFonts w:ascii="Times New Roman" w:cs="Times New Roman" w:eastAsia="Times New Roman" w:hAnsi="Times New Roman"/>
      <w:b w:val="0"/>
      <w:i w:val="0"/>
      <w:color w:val="000000"/>
      <w:sz w:val="24"/>
      <w:szCs w:val="30"/>
    </w:rPr>
  </w:style>
  <w:style w:customStyle="1" w:styleId="Author" w:type="paragraph">
    <w:name w:val="Author"/>
    <w:next w:val="BodyText"/>
    <w:qFormat/>
    <w:pPr>
      <w:keepNext/>
      <w:keepLines/>
      <w:widowControl/>
      <w:spacing w:after="0" w:before="0" w:line="480" w:lineRule="auto"/>
      <w:ind w:firstLine="0"/>
      <w:jc w:val="center"/>
    </w:pPr>
    <w:rPr>
      <w:rFonts w:ascii="Times New Roman" w:cs="Times New Roman" w:eastAsia="Times New Roman" w:hAnsi="Times New Roman"/>
      <w:b w:val="0"/>
      <w:i w:val="0"/>
      <w:color w:val="000000"/>
      <w:sz w:val="24"/>
    </w:rPr>
  </w:style>
  <w:style w:styleId="Date" w:type="paragraph">
    <w:name w:val="Date"/>
    <w:next w:val="BodyText"/>
    <w:qFormat/>
    <w:pPr>
      <w:keepNext/>
      <w:keepLines/>
      <w:widowControl/>
      <w:spacing w:after="0" w:before="0" w:line="480" w:lineRule="auto"/>
      <w:ind w:firstLine="0"/>
      <w:jc w:val="center"/>
    </w:pPr>
    <w:rPr>
      <w:rFonts w:ascii="Times New Roman" w:cs="Times New Roman" w:eastAsia="Times New Roman" w:hAnsi="Times New Roman"/>
      <w:b w:val="0"/>
      <w:i w:val="0"/>
      <w:color w:val="000000"/>
      <w:sz w:val="24"/>
    </w:rPr>
  </w:style>
  <w:style w:customStyle="1" w:styleId="AbstractTitle" w:type="paragraph">
    <w:name w:val="Abstract Title"/>
    <w:basedOn w:val="Normal"/>
    <w:next w:val="Abstract"/>
    <w:qFormat/>
    <w:pPr>
      <w:keepNext/>
      <w:keepLines/>
      <w:ind w:firstLine="0"/>
      <w:jc w:val="center"/>
      <w:widowControl/>
      <w:spacing w:after="0" w:before="0" w:line="480" w:lineRule="auto"/>
    </w:pPr>
    <w:rPr>
      <w:color w:val="000000"/>
      <w:sz w:val="24"/>
      <w:szCs w:val="20"/>
      <w:rFonts w:ascii="Times New Roman" w:cs="Times New Roman" w:eastAsia="Times New Roman" w:hAnsi="Times New Roman"/>
      <w:b w:val="0"/>
      <w:i w:val="0"/>
    </w:rPr>
  </w:style>
  <w:style w:customStyle="1" w:styleId="Abstract" w:type="paragraph">
    <w:name w:val="Abstract"/>
    <w:basedOn w:val="Normal"/>
    <w:next w:val="BodyText"/>
    <w:qFormat/>
    <w:pPr>
      <w:keepNext/>
      <w:keepLines/>
      <w:widowControl/>
      <w:spacing w:after="0" w:before="0" w:line="480" w:lineRule="auto"/>
      <w:ind w:firstLine="0"/>
      <w:jc w:val="center"/>
    </w:pPr>
    <w:rPr>
      <w:rFonts w:ascii="Times New Roman" w:cs="Times New Roman" w:eastAsia="Times New Roman" w:hAnsi="Times New Roman"/>
      <w:b w:val="0"/>
      <w:i w:val="0"/>
      <w:color w:val="000000"/>
      <w:sz w:val="24"/>
      <w:szCs w:val="20"/>
    </w:rPr>
  </w:style>
  <w:style w:styleId="Bibliography" w:type="paragraph">
    <w:name w:val="Bibliography"/>
    <w:basedOn w:val="Normal"/>
    <w:next w:val="Bibliography"/>
    <w:qFormat/>
    <w:pPr>
      <w:widowControl/>
      <w:spacing w:after="0" w:before="0" w:line="480" w:lineRule="auto"/>
      <w:ind w:hanging="720" w:left="720"/>
      <w:jc w:val="left"/>
    </w:pPr>
    <w:rPr>
      <w:rFonts w:ascii="Times New Roman" w:cs="Times New Roman" w:eastAsia="Times New Roman" w:hAnsi="Times New Roman"/>
      <w:color w:val="000000"/>
      <w:sz w:val="24"/>
    </w:rPr>
  </w:style>
  <w:style w:styleId="Heading1" w:type="paragraph">
    <w:name w:val="Heading 1"/>
    <w:basedOn w:val="Normal"/>
    <w:next w:val="BodyText"/>
    <w:uiPriority w:val="9"/>
    <w:qFormat/>
    <w:pPr>
      <w:keepNext/>
      <w:keepLines/>
      <w:pageBreakBefore/>
      <w:widowControl/>
      <w:spacing w:after="0" w:before="0" w:line="480" w:lineRule="auto"/>
      <w:ind w:firstLine="0"/>
      <w:jc w:val="center"/>
      <w:outlineLvl w:val="0"/>
    </w:pPr>
    <w:rPr>
      <w:rFonts w:ascii="Times New Roman" w:cs="Times New Roman" w:eastAsia="Times New Roman" w:hAnsi="Times New Roman"/>
      <w:b/>
      <w:bCs/>
      <w:i w:val="0"/>
      <w:caps/>
      <w:color w:val="000000"/>
      <w:sz w:val="24"/>
      <w:szCs w:val="32"/>
    </w:rPr>
  </w:style>
  <w:style w:styleId="Heading2" w:type="paragraph">
    <w:name w:val="Heading 2"/>
    <w:basedOn w:val="Normal"/>
    <w:next w:val="BodyText"/>
    <w:uiPriority w:val="9"/>
    <w:unhideWhenUsed/>
    <w:qFormat/>
    <w:pPr>
      <w:keepNext/>
      <w:keepLines/>
      <w:pageBreakBefore w:val="0"/>
      <w:widowControl/>
      <w:spacing w:after="0" w:before="0" w:line="480" w:lineRule="auto"/>
      <w:ind w:firstLine="0"/>
      <w:jc w:val="left"/>
      <w:outlineLvl w:val="1"/>
    </w:pPr>
    <w:rPr>
      <w:rFonts w:ascii="Times New Roman" w:cs="Times New Roman" w:eastAsia="Times New Roman" w:hAnsi="Times New Roman"/>
      <w:b/>
      <w:bCs/>
      <w:i w:val="0"/>
      <w:caps w:val="0"/>
      <w:color w:val="000000"/>
      <w:sz w:val="24"/>
      <w:szCs w:val="28"/>
    </w:rPr>
  </w:style>
  <w:style w:styleId="Heading3" w:type="paragraph">
    <w:name w:val="Heading 3"/>
    <w:basedOn w:val="Normal"/>
    <w:next w:val="BodyText"/>
    <w:uiPriority w:val="9"/>
    <w:unhideWhenUsed/>
    <w:qFormat/>
    <w:pPr>
      <w:keepNext/>
      <w:keepLines/>
      <w:pageBreakBefore w:val="0"/>
      <w:widowControl/>
      <w:spacing w:after="0" w:before="0" w:line="480" w:lineRule="auto"/>
      <w:ind w:firstLine="0"/>
      <w:jc w:val="left"/>
      <w:outlineLvl w:val="2"/>
    </w:pPr>
    <w:rPr>
      <w:rFonts w:ascii="Times New Roman" w:cs="Times New Roman" w:eastAsia="Times New Roman" w:hAnsi="Times New Roman"/>
      <w:b/>
      <w:bCs/>
      <w:i/>
      <w:caps w:val="0"/>
      <w:color w:val="000000"/>
      <w:sz w:val="24"/>
      <w:szCs w:val="24"/>
    </w:rPr>
  </w:style>
  <w:style w:styleId="Heading4" w:type="paragraph">
    <w:name w:val="Heading 4"/>
    <w:basedOn w:val="Normal"/>
    <w:next w:val="BodyText"/>
    <w:uiPriority w:val="9"/>
    <w:unhideWhenUsed/>
    <w:qFormat/>
    <w:pPr>
      <w:keepNext/>
      <w:keepLines/>
      <w:pageBreakBefore w:val="0"/>
      <w:widowControl/>
      <w:spacing w:after="0" w:before="0" w:line="480" w:lineRule="auto"/>
      <w:ind w:firstLine="720" w:left="0"/>
      <w:jc w:val="left"/>
      <w:outlineLvl w:val="3"/>
    </w:pPr>
    <w:rPr>
      <w:rFonts w:ascii="Times New Roman" w:cs="Times New Roman" w:eastAsia="Times New Roman" w:hAnsi="Times New Roman"/>
      <w:i w:val="0"/>
      <w:b/>
      <w:bCs/>
      <w:caps w:val="0"/>
      <w:color w:val="000000"/>
      <w:sz w:val="24"/>
      <w:szCs w:val="24"/>
    </w:rPr>
  </w:style>
  <w:style w:styleId="Heading5" w:type="paragraph">
    <w:name w:val="Heading 5"/>
    <w:basedOn w:val="Normal"/>
    <w:next w:val="BodyText"/>
    <w:uiPriority w:val="9"/>
    <w:unhideWhenUsed/>
    <w:qFormat/>
    <w:pPr>
      <w:keepNext/>
      <w:keepLines/>
      <w:pageBreakBefore w:val="0"/>
      <w:widowControl/>
      <w:spacing w:after="0" w:before="0" w:line="480" w:lineRule="auto"/>
      <w:ind w:firstLine="720" w:left="0"/>
      <w:jc w:val="left"/>
      <w:outlineLvl w:val="4"/>
    </w:pPr>
    <w:rPr>
      <w:rFonts w:ascii="Times New Roman" w:cs="Times New Roman" w:eastAsia="Times New Roman" w:hAnsi="Times New Roman"/>
      <w:b/>
      <w:i/>
      <w:iCs/>
      <w:caps w:val="0"/>
      <w:color w:val="000000"/>
      <w:sz w:val="24"/>
      <w:szCs w:val="24"/>
    </w:rPr>
  </w:style>
  <w:style w:styleId="Heading6" w:type="paragraph">
    <w:name w:val="Heading 6"/>
    <w:basedOn w:val="Normal"/>
    <w:next w:val="BodyText"/>
    <w:uiPriority w:val="9"/>
    <w:unhideWhenUsed/>
    <w:qFormat/>
    <w:pPr>
      <w:keepNext/>
      <w:keepLines/>
      <w:pageBreakBefore w:val="0"/>
      <w:widowControl/>
      <w:spacing w:after="0" w:before="0" w:line="480" w:lineRule="auto"/>
      <w:ind w:firstLine="720" w:left="0"/>
      <w:jc w:val="left"/>
      <w:outlineLvl w:val="5"/>
    </w:pPr>
    <w:rPr>
      <w:rFonts w:ascii="Times New Roman" w:cs="Times New Roman" w:eastAsia="Times New Roman" w:hAnsi="Times New Roman"/>
      <w:b/>
      <w:i/>
      <w:caps w:val="0"/>
      <w:color w:val="000000"/>
      <w:sz w:val="24"/>
      <w:szCs w:val="24"/>
    </w:rPr>
  </w:style>
  <w:style w:styleId="Heading7" w:type="paragraph">
    <w:name w:val="Heading 7"/>
    <w:basedOn w:val="Normal"/>
    <w:next w:val="BodyText"/>
    <w:uiPriority w:val="9"/>
    <w:unhideWhenUsed/>
    <w:qFormat/>
    <w:pPr>
      <w:keepNext/>
      <w:keepLines/>
      <w:pageBreakBefore w:val="0"/>
      <w:widowControl/>
      <w:spacing w:after="0" w:before="0" w:line="480" w:lineRule="auto"/>
      <w:ind w:firstLine="720" w:left="0"/>
      <w:jc w:val="left"/>
      <w:outlineLvl w:val="6"/>
    </w:pPr>
    <w:rPr>
      <w:rFonts w:ascii="Times New Roman" w:cs="Times New Roman" w:eastAsia="Times New Roman" w:hAnsi="Times New Roman"/>
      <w:b/>
      <w:i/>
      <w:caps w:val="0"/>
      <w:color w:val="000000"/>
      <w:sz w:val="24"/>
      <w:szCs w:val="24"/>
    </w:rPr>
  </w:style>
  <w:style w:styleId="Heading8" w:type="paragraph">
    <w:name w:val="Heading 8"/>
    <w:basedOn w:val="Normal"/>
    <w:next w:val="BodyText"/>
    <w:uiPriority w:val="9"/>
    <w:unhideWhenUsed/>
    <w:qFormat/>
    <w:pPr>
      <w:keepNext/>
      <w:keepLines/>
      <w:pageBreakBefore w:val="0"/>
      <w:widowControl/>
      <w:spacing w:after="0" w:before="0" w:line="480" w:lineRule="auto"/>
      <w:ind w:firstLine="720" w:left="0"/>
      <w:jc w:val="left"/>
      <w:outlineLvl w:val="7"/>
    </w:pPr>
    <w:rPr>
      <w:rFonts w:ascii="Times New Roman" w:cs="Times New Roman" w:eastAsia="Times New Roman" w:hAnsi="Times New Roman"/>
      <w:b/>
      <w:i/>
      <w:caps w:val="0"/>
      <w:color w:val="000000"/>
      <w:sz w:val="24"/>
      <w:szCs w:val="24"/>
    </w:rPr>
  </w:style>
  <w:style w:styleId="Heading9" w:type="paragraph">
    <w:name w:val="Heading 9"/>
    <w:basedOn w:val="Normal"/>
    <w:next w:val="BodyText"/>
    <w:uiPriority w:val="9"/>
    <w:unhideWhenUsed/>
    <w:qFormat/>
    <w:pPr>
      <w:keepNext/>
      <w:keepLines/>
      <w:pageBreakBefore w:val="0"/>
      <w:widowControl/>
      <w:spacing w:after="0" w:before="0" w:line="480" w:lineRule="auto"/>
      <w:ind w:firstLine="720" w:left="0"/>
      <w:jc w:val="left"/>
      <w:outlineLvl w:val="8"/>
    </w:pPr>
    <w:rPr>
      <w:rFonts w:ascii="Times New Roman" w:cs="Times New Roman" w:eastAsia="Times New Roman" w:hAnsi="Times New Roman"/>
      <w:b/>
      <w:i/>
      <w:caps w:val="0"/>
      <w:color w:val="000000"/>
      <w:sz w:val="24"/>
      <w:szCs w:val="24"/>
    </w:rPr>
  </w:style>
  <w:style w:styleId="BlockText" w:type="paragraph">
    <w:name w:val="Block Text"/>
    <w:basedOn w:val="BodyText"/>
    <w:next w:val="BodyText"/>
    <w:uiPriority w:val="9"/>
    <w:unhideWhenUsed/>
    <w:qFormat/>
    <w:pPr>
      <w:widowControl/>
      <w:spacing w:after="0" w:before="0" w:line="480" w:lineRule="auto"/>
      <w:ind w:firstLine="0" w:left="720" w:right="480"/>
      <w:jc w:val="left"/>
    </w:pPr>
    <w:rPr>
      <w:rFonts w:ascii="Times New Roman" w:cs="Times New Roman" w:eastAsia="Times New Roman" w:hAnsi="Times New Roman"/>
      <w:i w:val="0"/>
      <w:color w:val="000000"/>
      <w:sz w:val="24"/>
    </w:rPr>
  </w:style>
  <w:style w:styleId="FootnoteText" w:type="paragraph">
    <w:name w:val="Footnote Text"/>
    <w:basedOn w:val="Normal"/>
    <w:next w:val="FootnoteText"/>
    <w:uiPriority w:val="9"/>
    <w:unhideWhenUsed/>
    <w:qFormat/>
    <w:pPr>
      <w:widowControl/>
      <w:spacing w:after="0" w:before="0" w:line="240" w:lineRule="auto"/>
      <w:ind w:firstLine="0"/>
      <w:jc w:val="left"/>
    </w:pPr>
    <w:rPr>
      <w:rFonts w:ascii="Times New Roman" w:cs="Times New Roman" w:eastAsia="Times New Roman" w:hAnsi="Times New Roman"/>
      <w:color w:val="000000"/>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widowControl/>
      <w:spacing w:after="0" w:before="0" w:line="480" w:lineRule="auto"/>
      <w:ind w:firstLine="0" w:left="0"/>
      <w:jc w:val="left"/>
    </w:pPr>
    <w:rPr>
      <w:rFonts w:ascii="Times New Roman" w:cs="Times New Roman" w:eastAsia="Times New Roman" w:hAnsi="Times New Roman"/>
      <w:b/>
      <w:color w:val="000000"/>
      <w:sz w:val="24"/>
    </w:rPr>
  </w:style>
  <w:style w:customStyle="1" w:styleId="Definition" w:type="paragraph">
    <w:name w:val="Definition"/>
    <w:basedOn w:val="Normal"/>
    <w:pPr>
      <w:widowControl/>
      <w:spacing w:after="0" w:before="0" w:line="480" w:lineRule="auto"/>
      <w:ind w:firstLine="0" w:left="720"/>
      <w:jc w:val="left"/>
    </w:pPr>
    <w:rPr>
      <w:rFonts w:ascii="Times New Roman" w:cs="Times New Roman" w:eastAsia="Times New Roman" w:hAnsi="Times New Roman"/>
      <w:b w:val="0"/>
      <w:color w:val="000000"/>
      <w:sz w:val="24"/>
    </w:rPr>
  </w:style>
  <w:style w:styleId="Caption" w:type="paragraph">
    <w:name w:val="Caption"/>
    <w:basedOn w:val="Normal"/>
    <w:link w:val="BodyTextChar"/>
    <w:pPr>
      <w:keepNext/>
      <w:widowControl/>
      <w:spacing w:after="0" w:before="240" w:line="480" w:lineRule="auto"/>
      <w:ind w:firstLine="0"/>
      <w:jc w:val="left"/>
    </w:pPr>
    <w:rPr>
      <w:rFonts w:ascii="Times New Roman" w:cs="Times New Roman" w:eastAsia="Times New Roman" w:hAnsi="Times New Roman"/>
      <w:b w:val="0"/>
      <w:i w:val="0"/>
      <w:color w:val="000000"/>
      <w:sz w:val="24"/>
    </w:rPr>
  </w:style>
  <w:style w:customStyle="1" w:styleId="TableCaption" w:type="paragraph">
    <w:name w:val="Table Caption"/>
    <w:basedOn w:val="Caption"/>
    <w:pPr>
      <w:keepNext/>
      <w:widowControl/>
      <w:spacing w:after="0" w:before="240" w:line="480" w:lineRule="auto"/>
      <w:ind w:firstLine="0"/>
      <w:jc w:val="left"/>
    </w:pPr>
    <w:rPr>
      <w:rFonts w:ascii="Times New Roman" w:cs="Times New Roman" w:eastAsia="Times New Roman" w:hAnsi="Times New Roman"/>
      <w:b w:val="0"/>
      <w:i w:val="0"/>
      <w:color w:val="000000"/>
      <w:sz w:val="24"/>
    </w:rPr>
  </w:style>
  <w:style w:customStyle="1" w:styleId="ImageCaption" w:type="paragraph">
    <w:name w:val="Image Caption"/>
    <w:basedOn w:val="Caption"/>
    <w:pPr>
      <w:keepNext/>
      <w:widowControl/>
      <w:spacing w:after="0" w:before="240" w:line="480" w:lineRule="auto"/>
      <w:ind w:firstLine="0"/>
      <w:jc w:val="left"/>
    </w:pPr>
    <w:rPr>
      <w:rFonts w:ascii="Times New Roman" w:cs="Times New Roman" w:eastAsia="Times New Roman" w:hAnsi="Times New Roman"/>
      <w:b w:val="0"/>
      <w:i w:val="0"/>
      <w:color w:val="000000"/>
      <w:sz w:val="24"/>
    </w:rPr>
  </w:style>
  <w:style w:customStyle="1" w:styleId="Figure" w:type="paragraph">
    <w:name w:val="Figure"/>
    <w:basedOn w:val="Normal"/>
    <w:pPr>
      <w:keepNext/>
      <w:widowControl/>
      <w:spacing w:after="0" w:before="0" w:line="240" w:lineRule="auto"/>
      <w:ind w:firstLine="0"/>
      <w:jc w:val="center"/>
    </w:pPr>
    <w:rPr>
      <w:rFonts w:ascii="Times New Roman" w:cs="Times New Roman" w:eastAsia="Times New Roman" w:hAnsi="Times New Roman"/>
      <w:color w:val="000000"/>
      <w:sz w:val="24"/>
    </w:rPr>
  </w:style>
  <w:style w:customStyle="1" w:styleId="CaptionedFigure" w:type="paragraph">
    <w:name w:val="Captioned Figure"/>
    <w:basedOn w:val="Figure"/>
    <w:pPr>
      <w:keepNext/>
      <w:widowControl/>
      <w:spacing w:after="0" w:before="0" w:line="240" w:lineRule="auto"/>
      <w:ind w:firstLine="0"/>
      <w:jc w:val="center"/>
    </w:pPr>
    <w:rPr>
      <w:rFonts w:ascii="Times New Roman" w:cs="Times New Roman" w:eastAsia="Times New Roman" w:hAnsi="Times New Roman"/>
      <w:color w:val="000000"/>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563C1"/>
    </w:rPr>
  </w:style>
  <w:style w:styleId="TOCHeading" w:type="paragraph">
    <w:name w:val="TOC Heading"/>
    <w:basedOn w:val="Normal"/>
    <w:next w:val="BodyText"/>
    <w:uiPriority w:val="39"/>
    <w:unhideWhenUsed/>
    <w:qFormat/>
    <w:pPr>
      <w:keepNext/>
      <w:pageBreakBefore/>
      <w:widowControl/>
      <w:spacing w:after="240" w:before="0" w:line="480" w:lineRule="auto"/>
      <w:ind w:firstLine="0"/>
      <w:jc w:val="center"/>
    </w:pPr>
    <w:rPr>
      <w:rFonts w:ascii="Times New Roman" w:cs="Times New Roman" w:eastAsia="Times New Roman" w:hAnsi="Times New Roman"/>
      <w:b/>
      <w:bCs w:val="0"/>
      <w:i w:val="0"/>
      <w:caps/>
      <w:color w:val="000000"/>
      <w:sz w:val="24"/>
    </w:rPr>
  </w:style>
  <w:style w:customStyle="1" w:styleId="NotaAPA" w:type="paragraph">
    <w:name w:val="Nota APA"/>
    <w:basedOn w:val="Normal"/>
    <w:pPr>
      <w:widowControl/>
      <w:spacing w:after="240" w:before="0" w:line="480" w:lineRule="auto"/>
      <w:ind w:firstLine="0"/>
      <w:jc w:val="left"/>
    </w:pPr>
    <w:rPr>
      <w:rFonts w:ascii="Times New Roman" w:cs="Times New Roman" w:eastAsia="Times New Roman" w:hAnsi="Times New Roman"/>
      <w:color w:val="000000"/>
      <w:sz w:val="24"/>
    </w:rPr>
  </w:style>
  <w:style w:customStyle="1" w:styleId="FiguraAPA" w:type="paragraph">
    <w:name w:val="Figura APA"/>
    <w:basedOn w:val="Normal"/>
    <w:pPr>
      <w:keepNext/>
      <w:widowControl/>
      <w:spacing w:after="60" w:before="60" w:line="240" w:lineRule="auto"/>
      <w:ind w:firstLine="0"/>
      <w:jc w:val="center"/>
    </w:pPr>
    <w:rPr>
      <w:rFonts w:ascii="Times New Roman" w:cs="Times New Roman" w:eastAsia="Times New Roman" w:hAnsi="Times New Roman"/>
      <w:color w:val="000000"/>
      <w:sz w:val="24"/>
    </w:rPr>
  </w:style>
  <w:style w:customStyle="1" w:styleId="EcuacionAPA" w:type="paragraph">
    <w:name w:val="Ecuacion APA"/>
    <w:basedOn w:val="Normal"/>
    <w:pPr>
      <w:widowControl/>
      <w:spacing w:after="120" w:before="120" w:line="240" w:lineRule="auto"/>
      <w:ind w:firstLine="0"/>
      <w:jc w:val="center"/>
    </w:pPr>
    <w:rPr>
      <w:rFonts w:ascii="Times New Roman" w:cs="Times New Roman" w:eastAsia="Times New Roman" w:hAnsi="Times New Roman"/>
      <w:color w:val="000000"/>
      <w:sz w:val="24"/>
    </w:rPr>
  </w:style>
  <w:style w:customStyle="1" w:styleId="CeldaAPA" w:type="paragraph">
    <w:name w:val="Celda APA"/>
    <w:basedOn w:val="Normal"/>
    <w:pPr>
      <w:widowControl/>
      <w:spacing w:after="20" w:before="20" w:line="240" w:lineRule="auto"/>
      <w:ind w:firstLine="0"/>
      <w:jc w:val="left"/>
    </w:pPr>
    <w:rPr>
      <w:rFonts w:ascii="Times New Roman" w:cs="Times New Roman" w:eastAsia="Times New Roman" w:hAnsi="Times New Roman"/>
      <w:color w:val="000000"/>
      <w:sz w:val="24"/>
    </w:rPr>
  </w:style>
  <w:style w:customStyle="1" w:styleId="Caratula" w:type="paragraph">
    <w:name w:val="Caratula"/>
    <w:basedOn w:val="Normal"/>
    <w:pPr>
      <w:widowControl/>
      <w:spacing w:after="0" w:before="0" w:line="480" w:lineRule="auto"/>
      <w:ind w:firstLine="0"/>
      <w:jc w:val="center"/>
    </w:pPr>
    <w:rPr>
      <w:rFonts w:ascii="Times New Roman" w:cs="Times New Roman" w:eastAsia="Times New Roman" w:hAnsi="Times New Roman"/>
      <w:color w:val="000000"/>
      <w:sz w:val="24"/>
    </w:rPr>
  </w:style>
  <w:style w:customStyle="1" w:styleId="Listaetiquetada" w:type="paragraph">
    <w:name w:val="Lista etiquetada"/>
    <w:basedOn w:val="Normal"/>
    <w:pPr>
      <w:widowControl/>
      <w:tabs>
        <w:tab w:pos="1440" w:val="left"/>
      </w:tabs>
      <w:spacing w:after="0" w:before="0" w:line="480" w:lineRule="auto"/>
      <w:ind w:hanging="720" w:left="1440"/>
      <w:jc w:val="left"/>
    </w:pPr>
    <w:rPr>
      <w:rFonts w:ascii="Times New Roman" w:cs="Times New Roman" w:eastAsia="Times New Roman" w:hAnsi="Times New Roman"/>
      <w:color w:val="000000"/>
      <w:sz w:val="24"/>
    </w:rPr>
  </w:style>
  <w:style w:customStyle="1" w:styleId="Recuadro" w:type="paragraph">
    <w:name w:val="Recuadro"/>
    <w:basedOn w:val="Normal"/>
    <w:pPr>
      <w:pBdr>
        <w:top w:color="808080" w:space="6" w:sz="6" w:val="single"/>
        <w:left w:color="808080" w:space="6" w:sz="6" w:val="single"/>
        <w:bottom w:color="808080" w:space="6" w:sz="6" w:val="single"/>
        <w:right w:color="808080" w:space="6" w:sz="6" w:val="single"/>
      </w:pBdr>
      <w:shd w:color="auto" w:fill="F2F2F2" w:val="clear"/>
      <w:widowControl/>
      <w:spacing w:after="80" w:before="80" w:line="276" w:lineRule="auto"/>
      <w:ind w:firstLine="0" w:left="227" w:right="227"/>
      <w:jc w:val="left"/>
    </w:pPr>
    <w:rPr>
      <w:rFonts w:ascii="Times New Roman" w:cs="Times New Roman" w:eastAsia="Times New Roman" w:hAnsi="Times New Roman"/>
      <w:color w:val="000000"/>
      <w:sz w:val="24"/>
    </w:rPr>
  </w:style>
  <w:style w:customStyle="1" w:styleId="SourceCode" w:type="paragraph">
    <w:name w:val="Source Code"/>
    <w:basedOn w:val="Normal"/>
    <w:pPr>
      <w:widowControl/>
      <w:spacing w:after="120" w:before="120" w:line="240" w:lineRule="auto"/>
      <w:ind w:firstLine="0"/>
      <w:jc w:val="left"/>
    </w:pPr>
    <w:rPr>
      <w:rFonts w:ascii="Courier New" w:cs="Courier New" w:eastAsia="Courier New" w:hAnsi="Courier New"/>
      <w:color w:val="000000"/>
      <w:sz w:val="18"/>
    </w:rPr>
  </w:style>
  <w:style w:customStyle="1" w:styleId="Pendiente" w:type="character">
    <w:name w:val="Pendiente"/>
    <w:rPr>
      <w:color w:val="B6321C"/>
    </w:rPr>
  </w:style>
  <w:style w:customStyle="1" w:styleId="toc1" w:type="paragraph">
    <w:name w:val="toc 1"/>
    <w:basedOn w:val="Normal"/>
    <w:pPr>
      <w:widowControl/>
      <w:tabs>
        <w:tab w:leader="dot" w:pos="9360" w:val="right"/>
      </w:tabs>
      <w:spacing w:after="40" w:before="120" w:line="240" w:lineRule="auto"/>
      <w:ind w:firstLine="0" w:left="0" w:right="567"/>
      <w:jc w:val="left"/>
    </w:pPr>
    <w:rPr>
      <w:rFonts w:ascii="Times New Roman" w:cs="Times New Roman" w:eastAsia="Times New Roman" w:hAnsi="Times New Roman"/>
      <w:b/>
      <w:i w:val="0"/>
      <w:color w:val="000000"/>
      <w:sz w:val="24"/>
    </w:rPr>
  </w:style>
  <w:style w:customStyle="1" w:styleId="toc2" w:type="paragraph">
    <w:name w:val="toc 2"/>
    <w:basedOn w:val="Normal"/>
    <w:pPr>
      <w:widowControl/>
      <w:tabs>
        <w:tab w:leader="dot" w:pos="9360" w:val="right"/>
      </w:tabs>
      <w:spacing w:after="40" w:before="40" w:line="240" w:lineRule="auto"/>
      <w:ind w:firstLine="0" w:left="340" w:right="567"/>
      <w:jc w:val="left"/>
    </w:pPr>
    <w:rPr>
      <w:rFonts w:ascii="Times New Roman" w:cs="Times New Roman" w:eastAsia="Times New Roman" w:hAnsi="Times New Roman"/>
      <w:b w:val="0"/>
      <w:i w:val="0"/>
      <w:color w:val="000000"/>
      <w:sz w:val="24"/>
    </w:rPr>
  </w:style>
  <w:style w:customStyle="1" w:styleId="toc3" w:type="paragraph">
    <w:name w:val="toc 3"/>
    <w:basedOn w:val="Normal"/>
    <w:pPr>
      <w:widowControl/>
      <w:tabs>
        <w:tab w:leader="dot" w:pos="9360" w:val="right"/>
      </w:tabs>
      <w:spacing w:after="40" w:before="40" w:line="240" w:lineRule="auto"/>
      <w:ind w:firstLine="0" w:left="794" w:right="567"/>
      <w:jc w:val="left"/>
    </w:pPr>
    <w:rPr>
      <w:rFonts w:ascii="Times New Roman" w:cs="Times New Roman" w:eastAsia="Times New Roman" w:hAnsi="Times New Roman"/>
      <w:b w:val="0"/>
      <w:i w:val="0"/>
      <w:color w:val="000000"/>
      <w:sz w:val="24"/>
    </w:rPr>
  </w:style>
  <w:style w:customStyle="1" w:styleId="tableoffigures" w:type="paragraph">
    <w:name w:val="table of figures"/>
    <w:basedOn w:val="Normal"/>
    <w:pPr>
      <w:widowControl/>
      <w:tabs>
        <w:tab w:leader="dot" w:pos="9360" w:val="right"/>
      </w:tabs>
      <w:spacing w:after="80" w:before="40" w:line="240" w:lineRule="auto"/>
      <w:ind w:hanging="1077" w:left="1077" w:right="567"/>
      <w:jc w:val="left"/>
    </w:pPr>
    <w:rPr>
      <w:rFonts w:ascii="Times New Roman" w:cs="Times New Roman" w:eastAsia="Times New Roman" w:hAnsi="Times New Roman"/>
      <w:b w:val="0"/>
      <w:i w:val="0"/>
      <w:color w:val="000000"/>
      <w:sz w:val="24"/>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32" Type="http://schemas.openxmlformats.org/officeDocument/2006/relationships/image" Target="media/rId132.png"/><Relationship Id="rId145" Type="http://schemas.openxmlformats.org/officeDocument/2006/relationships/image" Target="media/rId145.png"/><Relationship Id="rId125" Type="http://schemas.openxmlformats.org/officeDocument/2006/relationships/image" Target="media/rId125.png"/><Relationship Id="rId95" Type="http://schemas.openxmlformats.org/officeDocument/2006/relationships/image" Target="media/rId95.png"/><Relationship Id="rId92" Type="http://schemas.openxmlformats.org/officeDocument/2006/relationships/image" Target="media/rId92.png"/><Relationship Id="rId385" Type="http://schemas.openxmlformats.org/officeDocument/2006/relationships/image" Target="media/rId385.png"/><Relationship Id="rId352" Type="http://schemas.openxmlformats.org/officeDocument/2006/relationships/image" Target="media/rId352.png"/><Relationship Id="rId373" Type="http://schemas.openxmlformats.org/officeDocument/2006/relationships/image" Target="media/rId373.png"/><Relationship Id="rId345" Type="http://schemas.openxmlformats.org/officeDocument/2006/relationships/image" Target="media/rId345.png"/><Relationship Id="rId363" Type="http://schemas.openxmlformats.org/officeDocument/2006/relationships/image" Target="media/rId363.png"/><Relationship Id="rId380" Type="http://schemas.openxmlformats.org/officeDocument/2006/relationships/image" Target="media/rId380.png"/><Relationship Id="rId370" Type="http://schemas.openxmlformats.org/officeDocument/2006/relationships/image" Target="media/rId370.png"/><Relationship Id="rId339" Type="http://schemas.openxmlformats.org/officeDocument/2006/relationships/image" Target="media/rId339.png"/><Relationship Id="rId349" Type="http://schemas.openxmlformats.org/officeDocument/2006/relationships/image" Target="media/rId349.png"/><Relationship Id="rId342" Type="http://schemas.openxmlformats.org/officeDocument/2006/relationships/image" Target="media/rId342.png"/><Relationship Id="rId359" Type="http://schemas.openxmlformats.org/officeDocument/2006/relationships/image" Target="media/rId359.png"/><Relationship Id="rId376" Type="http://schemas.openxmlformats.org/officeDocument/2006/relationships/image" Target="media/rId376.png"/><Relationship Id="rId356" Type="http://schemas.openxmlformats.org/officeDocument/2006/relationships/image" Target="media/rId356.png"/><Relationship Id="rId118" Type="http://schemas.openxmlformats.org/officeDocument/2006/relationships/image" Target="media/rId118.png"/><Relationship Id="rId178" Type="http://schemas.openxmlformats.org/officeDocument/2006/relationships/image" Target="media/rId178.png"/><Relationship Id="rId162" Type="http://schemas.openxmlformats.org/officeDocument/2006/relationships/image" Target="media/rId162.png"/><Relationship Id="rId82" Type="http://schemas.openxmlformats.org/officeDocument/2006/relationships/image" Target="media/rId82.png"/><Relationship Id="rId154" Type="http://schemas.openxmlformats.org/officeDocument/2006/relationships/image" Target="media/rId154.png"/><Relationship Id="rId72" Type="http://schemas.openxmlformats.org/officeDocument/2006/relationships/image" Target="media/rId72.png"/><Relationship Id="rId148" Type="http://schemas.openxmlformats.org/officeDocument/2006/relationships/image" Target="media/rId148.png"/><Relationship Id="rId322" Type="http://schemas.openxmlformats.org/officeDocument/2006/relationships/hyperlink" Target="http://ddigital.umss.edu.bo/handle/123456789/49369" TargetMode="External"/><Relationship Id="rId310" Type="http://schemas.openxmlformats.org/officeDocument/2006/relationships/hyperlink" Target="http://hdl.handle.net/11396/3329" TargetMode="External"/><Relationship Id="rId211" Type="http://schemas.openxmlformats.org/officeDocument/2006/relationships/hyperlink" Target="http://hdl.handle.net/20.500.12404/185" TargetMode="External"/><Relationship Id="rId252" Type="http://schemas.openxmlformats.org/officeDocument/2006/relationships/hyperlink" Target="http://hdl.handle.net/20.500.12404/888" TargetMode="External"/><Relationship Id="rId240" Type="http://schemas.openxmlformats.org/officeDocument/2006/relationships/hyperlink" Target="http://www.gacetaoficialdebolivia.gob.bo/normas/verGratis_gob/280603" TargetMode="External"/><Relationship Id="rId242" Type="http://schemas.openxmlformats.org/officeDocument/2006/relationships/hyperlink" Target="http://www.gacetaoficialdebolivia.gob.bo/normas/verGratis_gob/281136" TargetMode="External"/><Relationship Id="rId268" Type="http://schemas.openxmlformats.org/officeDocument/2006/relationships/hyperlink" Target="https://doi.org/10.1007/s11135-022-01574-8" TargetMode="External"/><Relationship Id="rId248" Type="http://schemas.openxmlformats.org/officeDocument/2006/relationships/hyperlink" Target="https://doi.org/10.1061/(ASCE)CO.1943-7862.0001324" TargetMode="External"/><Relationship Id="rId295" Type="http://schemas.openxmlformats.org/officeDocument/2006/relationships/hyperlink" Target="https://doi.org/10.1590/1517-7076-RMAT-2024-0738" TargetMode="External"/><Relationship Id="rId300" Type="http://schemas.openxmlformats.org/officeDocument/2006/relationships/hyperlink" Target="https://doi.org/10.18041/1794-4953/avances.1.298" TargetMode="External"/><Relationship Id="rId256" Type="http://schemas.openxmlformats.org/officeDocument/2006/relationships/hyperlink" Target="https://doi.org/10.19083/tesis/652829" TargetMode="External"/><Relationship Id="rId314" Type="http://schemas.openxmlformats.org/officeDocument/2006/relationships/hyperlink" Target="https://doi.org/10.28991/cej-2020-03091535" TargetMode="External"/><Relationship Id="rId273" Type="http://schemas.openxmlformats.org/officeDocument/2006/relationships/hyperlink" Target="https://doi.org/10.3390/su11133638" TargetMode="External"/><Relationship Id="rId236" Type="http://schemas.openxmlformats.org/officeDocument/2006/relationships/hyperlink" Target="https://doi.org/10.3989/ic.07.004" TargetMode="External"/><Relationship Id="rId306" Type="http://schemas.openxmlformats.org/officeDocument/2006/relationships/hyperlink" Target="https://doi.org/10.4067/S0718-50732007000300006" TargetMode="External"/><Relationship Id="rId275" Type="http://schemas.openxmlformats.org/officeDocument/2006/relationships/hyperlink" Target="https://doi.org/10.4067/S0718-50732016000200004" TargetMode="External"/><Relationship Id="rId302" Type="http://schemas.openxmlformats.org/officeDocument/2006/relationships/hyperlink" Target="https://doi.org/10.5295/cdg.140507cd" TargetMode="External"/><Relationship Id="rId312" Type="http://schemas.openxmlformats.org/officeDocument/2006/relationships/hyperlink" Target="https://hdl.handle.net/20.500.12692/102458" TargetMode="External"/><Relationship Id="rId234" Type="http://schemas.openxmlformats.org/officeDocument/2006/relationships/hyperlink" Target="https://hdl.handle.net/20.500.12692/110765" TargetMode="External"/><Relationship Id="rId224" Type="http://schemas.openxmlformats.org/officeDocument/2006/relationships/hyperlink" Target="https://hdl.handle.net/20.500.12692/21410" TargetMode="External"/><Relationship Id="rId222" Type="http://schemas.openxmlformats.org/officeDocument/2006/relationships/hyperlink" Target="https://hdl.handle.net/20.500.12692/23107" TargetMode="External"/><Relationship Id="rId246" Type="http://schemas.openxmlformats.org/officeDocument/2006/relationships/hyperlink" Target="https://hdl.handle.net/20.500.12692/25852" TargetMode="External"/><Relationship Id="rId285" Type="http://schemas.openxmlformats.org/officeDocument/2006/relationships/hyperlink" Target="https://hdl.handle.net/20.500.12692/92836" TargetMode="External"/><Relationship Id="rId207" Type="http://schemas.openxmlformats.org/officeDocument/2006/relationships/hyperlink" Target="https://hdl.handle.net/20.500.12759/2055" TargetMode="External"/><Relationship Id="rId227" Type="http://schemas.openxmlformats.org/officeDocument/2006/relationships/hyperlink" Target="https://hdl.handle.net/20.500.12918/9553" TargetMode="External"/><Relationship Id="rId250" Type="http://schemas.openxmlformats.org/officeDocument/2006/relationships/hyperlink" Target="https://iglc.net/Papers/Details/69" TargetMode="External"/><Relationship Id="rId254" Type="http://schemas.openxmlformats.org/officeDocument/2006/relationships/hyperlink" Target="https://ojs-az.lib.uc.cl/index.php/ric/article/view/16739" TargetMode="External"/><Relationship Id="rId308" Type="http://schemas.openxmlformats.org/officeDocument/2006/relationships/hyperlink" Target="https://ojs-az.lib.uc.cl/index.php/ric/article/view/17303" TargetMode="External"/><Relationship Id="rId270" Type="http://schemas.openxmlformats.org/officeDocument/2006/relationships/hyperlink" Target="https://purl.stanford.edu/kh328xt3298" TargetMode="External"/><Relationship Id="rId279" Type="http://schemas.openxmlformats.org/officeDocument/2006/relationships/hyperlink" Target="https://repositorio.umsa.bo/handle/123456789/20744" TargetMode="External"/><Relationship Id="rId220" Type="http://schemas.openxmlformats.org/officeDocument/2006/relationships/hyperlink" Target="https://repositorio.umsa.bo/handle/123456789/21835" TargetMode="External"/><Relationship Id="rId293" Type="http://schemas.openxmlformats.org/officeDocument/2006/relationships/hyperlink" Target="https://repositorio.umsa.bo/handle/123456789/22080" TargetMode="External"/><Relationship Id="rId217" Type="http://schemas.openxmlformats.org/officeDocument/2006/relationships/hyperlink" Target="https://repositorio.umsa.bo/handle/123456789/34372" TargetMode="External"/><Relationship Id="rId297" Type="http://schemas.openxmlformats.org/officeDocument/2006/relationships/hyperlink" Target="https://repositorio.umsa.bo/handle/123456789/41024" TargetMode="External"/><Relationship Id="rId229" Type="http://schemas.openxmlformats.org/officeDocument/2006/relationships/hyperlink" Target="https://repositorio.umsa.bo/handle/123456789/41974" TargetMode="External"/><Relationship Id="rId277" Type="http://schemas.openxmlformats.org/officeDocument/2006/relationships/hyperlink" Target="https://repositorio.umsa.bo/handle/123456789/42372" TargetMode="External"/><Relationship Id="rId209" Type="http://schemas.openxmlformats.org/officeDocument/2006/relationships/hyperlink" Target="https://repositorio.umsa.bo/handle/123456789/7465" TargetMode="External"/><Relationship Id="rId231" Type="http://schemas.openxmlformats.org/officeDocument/2006/relationships/hyperlink" Target="https://www.concretec.com.bo" TargetMode="External"/><Relationship Id="rId262" Type="http://schemas.openxmlformats.org/officeDocument/2006/relationships/hyperlink" Target="https://www.ibnorca.org/tienda/catalogo/detalle-norma/nb-1225001-1:2017-nid=3347-12" TargetMode="External"/><Relationship Id="rId260" Type="http://schemas.openxmlformats.org/officeDocument/2006/relationships/hyperlink" Target="https://www.ibnorca.org/tienda/catalogo/detalle-norma/nb-997:2016-nid=2436-12" TargetMode="External"/><Relationship Id="rId264" Type="http://schemas.openxmlformats.org/officeDocument/2006/relationships/hyperlink" Target="https://www.ibnorca.org/tienda/catalogo/detalle-norma/nb/iso-9001:2026-nid=4204-1" TargetMode="External"/><Relationship Id="rId266" Type="http://schemas.openxmlformats.org/officeDocument/2006/relationships/hyperlink" Target="https://www.ine.gob.bo/index.php/estadisticas-economicas/construccion/costos-de-contruccion/" TargetMode="External"/><Relationship Id="rId291" Type="http://schemas.openxmlformats.org/officeDocument/2006/relationships/hyperlink" Target="https://www.iso.org/standard/88464.html" TargetMode="External"/><Relationship Id="rId289" Type="http://schemas.openxmlformats.org/officeDocument/2006/relationships/hyperlink" Target="https://www.iso.org/standard/88465.html" TargetMode="External"/><Relationship Id="rId204" Type="http://schemas.openxmlformats.org/officeDocument/2006/relationships/hyperlink" Target="https://www.redalyc.org/articulo.oa?id=87012672004" TargetMode="External"/></Relationships>
</file>

<file path=word/_rels/footnotes.xml.rels><?xml version='1.0' encoding='UTF-8' standalone='yes'?>
<Relationships xmlns="http://schemas.openxmlformats.org/package/2006/relationships"><Relationship Id="rId322" Type="http://schemas.openxmlformats.org/officeDocument/2006/relationships/hyperlink" Target="http://ddigital.umss.edu.bo/handle/123456789/49369" TargetMode="External"/><Relationship Id="rId310" Type="http://schemas.openxmlformats.org/officeDocument/2006/relationships/hyperlink" Target="http://hdl.handle.net/11396/3329" TargetMode="External"/><Relationship Id="rId211" Type="http://schemas.openxmlformats.org/officeDocument/2006/relationships/hyperlink" Target="http://hdl.handle.net/20.500.12404/185" TargetMode="External"/><Relationship Id="rId252" Type="http://schemas.openxmlformats.org/officeDocument/2006/relationships/hyperlink" Target="http://hdl.handle.net/20.500.12404/888" TargetMode="External"/><Relationship Id="rId240" Type="http://schemas.openxmlformats.org/officeDocument/2006/relationships/hyperlink" Target="http://www.gacetaoficialdebolivia.gob.bo/normas/verGratis_gob/280603" TargetMode="External"/><Relationship Id="rId242" Type="http://schemas.openxmlformats.org/officeDocument/2006/relationships/hyperlink" Target="http://www.gacetaoficialdebolivia.gob.bo/normas/verGratis_gob/281136" TargetMode="External"/><Relationship Id="rId268" Type="http://schemas.openxmlformats.org/officeDocument/2006/relationships/hyperlink" Target="https://doi.org/10.1007/s11135-022-01574-8" TargetMode="External"/><Relationship Id="rId248" Type="http://schemas.openxmlformats.org/officeDocument/2006/relationships/hyperlink" Target="https://doi.org/10.1061/(ASCE)CO.1943-7862.0001324" TargetMode="External"/><Relationship Id="rId295" Type="http://schemas.openxmlformats.org/officeDocument/2006/relationships/hyperlink" Target="https://doi.org/10.1590/1517-7076-RMAT-2024-0738" TargetMode="External"/><Relationship Id="rId300" Type="http://schemas.openxmlformats.org/officeDocument/2006/relationships/hyperlink" Target="https://doi.org/10.18041/1794-4953/avances.1.298" TargetMode="External"/><Relationship Id="rId256" Type="http://schemas.openxmlformats.org/officeDocument/2006/relationships/hyperlink" Target="https://doi.org/10.19083/tesis/652829" TargetMode="External"/><Relationship Id="rId314" Type="http://schemas.openxmlformats.org/officeDocument/2006/relationships/hyperlink" Target="https://doi.org/10.28991/cej-2020-03091535" TargetMode="External"/><Relationship Id="rId273" Type="http://schemas.openxmlformats.org/officeDocument/2006/relationships/hyperlink" Target="https://doi.org/10.3390/su11133638" TargetMode="External"/><Relationship Id="rId236" Type="http://schemas.openxmlformats.org/officeDocument/2006/relationships/hyperlink" Target="https://doi.org/10.3989/ic.07.004" TargetMode="External"/><Relationship Id="rId306" Type="http://schemas.openxmlformats.org/officeDocument/2006/relationships/hyperlink" Target="https://doi.org/10.4067/S0718-50732007000300006" TargetMode="External"/><Relationship Id="rId275" Type="http://schemas.openxmlformats.org/officeDocument/2006/relationships/hyperlink" Target="https://doi.org/10.4067/S0718-50732016000200004" TargetMode="External"/><Relationship Id="rId302" Type="http://schemas.openxmlformats.org/officeDocument/2006/relationships/hyperlink" Target="https://doi.org/10.5295/cdg.140507cd" TargetMode="External"/><Relationship Id="rId312" Type="http://schemas.openxmlformats.org/officeDocument/2006/relationships/hyperlink" Target="https://hdl.handle.net/20.500.12692/102458" TargetMode="External"/><Relationship Id="rId234" Type="http://schemas.openxmlformats.org/officeDocument/2006/relationships/hyperlink" Target="https://hdl.handle.net/20.500.12692/110765" TargetMode="External"/><Relationship Id="rId224" Type="http://schemas.openxmlformats.org/officeDocument/2006/relationships/hyperlink" Target="https://hdl.handle.net/20.500.12692/21410" TargetMode="External"/><Relationship Id="rId222" Type="http://schemas.openxmlformats.org/officeDocument/2006/relationships/hyperlink" Target="https://hdl.handle.net/20.500.12692/23107" TargetMode="External"/><Relationship Id="rId246" Type="http://schemas.openxmlformats.org/officeDocument/2006/relationships/hyperlink" Target="https://hdl.handle.net/20.500.12692/25852" TargetMode="External"/><Relationship Id="rId285" Type="http://schemas.openxmlformats.org/officeDocument/2006/relationships/hyperlink" Target="https://hdl.handle.net/20.500.12692/92836" TargetMode="External"/><Relationship Id="rId207" Type="http://schemas.openxmlformats.org/officeDocument/2006/relationships/hyperlink" Target="https://hdl.handle.net/20.500.12759/2055" TargetMode="External"/><Relationship Id="rId227" Type="http://schemas.openxmlformats.org/officeDocument/2006/relationships/hyperlink" Target="https://hdl.handle.net/20.500.12918/9553" TargetMode="External"/><Relationship Id="rId250" Type="http://schemas.openxmlformats.org/officeDocument/2006/relationships/hyperlink" Target="https://iglc.net/Papers/Details/69" TargetMode="External"/><Relationship Id="rId254" Type="http://schemas.openxmlformats.org/officeDocument/2006/relationships/hyperlink" Target="https://ojs-az.lib.uc.cl/index.php/ric/article/view/16739" TargetMode="External"/><Relationship Id="rId308" Type="http://schemas.openxmlformats.org/officeDocument/2006/relationships/hyperlink" Target="https://ojs-az.lib.uc.cl/index.php/ric/article/view/17303" TargetMode="External"/><Relationship Id="rId270" Type="http://schemas.openxmlformats.org/officeDocument/2006/relationships/hyperlink" Target="https://purl.stanford.edu/kh328xt3298" TargetMode="External"/><Relationship Id="rId279" Type="http://schemas.openxmlformats.org/officeDocument/2006/relationships/hyperlink" Target="https://repositorio.umsa.bo/handle/123456789/20744" TargetMode="External"/><Relationship Id="rId220" Type="http://schemas.openxmlformats.org/officeDocument/2006/relationships/hyperlink" Target="https://repositorio.umsa.bo/handle/123456789/21835" TargetMode="External"/><Relationship Id="rId293" Type="http://schemas.openxmlformats.org/officeDocument/2006/relationships/hyperlink" Target="https://repositorio.umsa.bo/handle/123456789/22080" TargetMode="External"/><Relationship Id="rId217" Type="http://schemas.openxmlformats.org/officeDocument/2006/relationships/hyperlink" Target="https://repositorio.umsa.bo/handle/123456789/34372" TargetMode="External"/><Relationship Id="rId297" Type="http://schemas.openxmlformats.org/officeDocument/2006/relationships/hyperlink" Target="https://repositorio.umsa.bo/handle/123456789/41024" TargetMode="External"/><Relationship Id="rId229" Type="http://schemas.openxmlformats.org/officeDocument/2006/relationships/hyperlink" Target="https://repositorio.umsa.bo/handle/123456789/41974" TargetMode="External"/><Relationship Id="rId277" Type="http://schemas.openxmlformats.org/officeDocument/2006/relationships/hyperlink" Target="https://repositorio.umsa.bo/handle/123456789/42372" TargetMode="External"/><Relationship Id="rId209" Type="http://schemas.openxmlformats.org/officeDocument/2006/relationships/hyperlink" Target="https://repositorio.umsa.bo/handle/123456789/7465" TargetMode="External"/><Relationship Id="rId231" Type="http://schemas.openxmlformats.org/officeDocument/2006/relationships/hyperlink" Target="https://www.concretec.com.bo" TargetMode="External"/><Relationship Id="rId262" Type="http://schemas.openxmlformats.org/officeDocument/2006/relationships/hyperlink" Target="https://www.ibnorca.org/tienda/catalogo/detalle-norma/nb-1225001-1:2017-nid=3347-12" TargetMode="External"/><Relationship Id="rId260" Type="http://schemas.openxmlformats.org/officeDocument/2006/relationships/hyperlink" Target="https://www.ibnorca.org/tienda/catalogo/detalle-norma/nb-997:2016-nid=2436-12" TargetMode="External"/><Relationship Id="rId264" Type="http://schemas.openxmlformats.org/officeDocument/2006/relationships/hyperlink" Target="https://www.ibnorca.org/tienda/catalogo/detalle-norma/nb/iso-9001:2026-nid=4204-1" TargetMode="External"/><Relationship Id="rId266" Type="http://schemas.openxmlformats.org/officeDocument/2006/relationships/hyperlink" Target="https://www.ine.gob.bo/index.php/estadisticas-economicas/construccion/costos-de-contruccion/" TargetMode="External"/><Relationship Id="rId291" Type="http://schemas.openxmlformats.org/officeDocument/2006/relationships/hyperlink" Target="https://www.iso.org/standard/88464.html" TargetMode="External"/><Relationship Id="rId289" Type="http://schemas.openxmlformats.org/officeDocument/2006/relationships/hyperlink" Target="https://www.iso.org/standard/88465.html" TargetMode="External"/><Relationship Id="rId204" Type="http://schemas.openxmlformats.org/officeDocument/2006/relationships/hyperlink" Target="https://www.redalyc.org/articulo.oa?id=870126720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DE UN SISTEMA DE GESTIÓN DE LA CALIDAD BASADO EN LA NORMA ISO 9001 PARA REDUCIR COSTOS MEDIANTE EL CONTROL DE MATERIALES EN LOSAS ALIVIANADAS CON VIGUETAS PRETENSADAS DEL EDIFICIO DE POSGRADO DE LA UNIVERSIDAD AUTÓNOMA TOMÁS FRÍAS, POTOSÍ</dc:title>
  <dc:creator/>
  <dc:language>es-BO</dc:language>
  <cp:keywords>gestión de la calidad; ISO 9001; control de materiales; losa alivianada</cp:keywords>
  <dcterms:created xsi:type="dcterms:W3CDTF">2026-10-30T06:25:44Z</dcterms:created>
  <dcterms:modified xsi:type="dcterms:W3CDTF">2026-10-30T06:25:44Z</dcterms:modified>
  <dc:subject>Tesis de grado - Ingeniería Civil - UATF</dc:subject>
  <dc:description>Generado con 07_Entregables/scripts/tesis_a_docx.py a partir de la fuente LaTeX.</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reviaturas-autores">
    <vt:lpwstr/>
  </property>
  <property fmtid="{D5CDD505-2E9C-101B-9397-08002B2CF9AE}" pid="3" name="bibliography">
    <vt:lpwstr>/home/user/TesisSGC/07_Entregables/scripts/_trabajo/bibliografia.bib</vt:lpwstr>
  </property>
  <property fmtid="{D5CDD505-2E9C-101B-9397-08002B2CF9AE}" pid="4" name="csl">
    <vt:lpwstr>/home/user/TesisSGC/07_Entregables/scripts/_trabajo/apa_es.csl</vt:lpwstr>
  </property>
  <property fmtid="{D5CDD505-2E9C-101B-9397-08002B2CF9AE}" pid="5" name="link-citations">
    <vt:lpwstr>False</vt:lpwstr>
  </property>
  <property fmtid="{D5CDD505-2E9C-101B-9397-08002B2CF9AE}" pid="6" name="suppress-bibliography">
    <vt:lpwstr>False</vt:lpwstr>
  </property>
</Properties>
</file>