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4861C" w14:textId="77777777" w:rsidR="0026325C" w:rsidRPr="0026325C" w:rsidRDefault="0026325C">
      <w:pPr>
        <w:rPr>
          <w:b/>
          <w:bCs/>
        </w:rPr>
      </w:pPr>
      <w:r w:rsidRPr="0026325C">
        <w:rPr>
          <w:b/>
          <w:bCs/>
        </w:rPr>
        <w:t xml:space="preserve">HORMIGONES </w:t>
      </w:r>
    </w:p>
    <w:p w14:paraId="1AEF83AF" w14:textId="7334635B" w:rsidR="0026325C" w:rsidRDefault="0026325C">
      <w:r>
        <w:t>Comprende la fabricación, transporte, colocación, compactación, protección y curado del hormigón simple o armado para las siguientes partes estructurales de una obra: a) zapatas, columnas, vigas, muros, losas, cáscaras y otros elementos, ajustándose estrictamente al trazado, alineación, elevaciones y dimensiones señaladas en los planos y/o instrucciones del Supervisor de Obra. Todas las estructuras de hormigón simple o armado, ya sea construcciones nuevas, reconstrucción, readaptación, modificación o ampliación deberán ser ejecutadas de acuerdo con las dosificaciones y resistencias establecidas en los planos y en estricta sujeción con las exigencias y requisitos establecidos en la Norma Boliviana del Hormigón Armado CBH-87.</w:t>
      </w:r>
    </w:p>
    <w:p w14:paraId="4FD5EB55" w14:textId="77777777" w:rsidR="0026325C" w:rsidRDefault="0026325C">
      <w:r w:rsidRPr="0026325C">
        <w:rPr>
          <w:b/>
          <w:bCs/>
        </w:rPr>
        <w:t>Materiales, herramientas y equipo</w:t>
      </w:r>
    </w:p>
    <w:p w14:paraId="501A360F" w14:textId="72A21A40" w:rsidR="0026325C" w:rsidRDefault="0026325C">
      <w:r w:rsidRPr="0026325C">
        <w:t xml:space="preserve"> Todos los materiales, herramientas y equipo a emplearse en la preparación y vaciado del hormigón serán proporcionados por el Contratista y utilizados por éste, previa aprobación del Supervisor de Obra y deberán cumplir con los requisitos establecidos en la Norma Boliviana del Hormigón Armado CBH-87.</w:t>
      </w:r>
    </w:p>
    <w:p w14:paraId="641B3611" w14:textId="77777777" w:rsidR="0026325C" w:rsidRDefault="0026325C">
      <w:r w:rsidRPr="0026325C">
        <w:rPr>
          <w:b/>
          <w:bCs/>
        </w:rPr>
        <w:t>Cemento.</w:t>
      </w:r>
      <w:r w:rsidRPr="0026325C">
        <w:t xml:space="preserve"> </w:t>
      </w:r>
    </w:p>
    <w:p w14:paraId="35100797" w14:textId="77777777" w:rsidR="0026325C" w:rsidRDefault="0026325C">
      <w:r w:rsidRPr="0026325C">
        <w:t xml:space="preserve">"Para la elaboración de los hormigones se debe hacer uso sólo de cementos que cumplan las exigencias de las NORMAS BOLIVIANAS referentes a cementos Pórtland (N.B. 2.1-001 hasta N.B. 2.1 - 014) y lo establecido en la N.B.011. En ningún caso se debe utilizar cementos desconocidos o que no lleven el sello de calidad otorgado por el organismo competente (IBNORCA). En los documentos de origen figurarán el tipo, la clase y categoría a que pertenece el cemento, así como la garantía del fabricante de que el cemento cumple las condiciones exigidas por las N. B. 2.1-001 hasta 2.1 – 014 y lo establecido en la N. B. 011. El fabricante proporcionará, si se lo solicita, copia de los resultados de análisis y ensayos correspondientes a la producción de la jornada a que pertenezca la partida servida." (N.B. CBH - 87) Se podrá utilizar cementos de tipo especial siempre que su empleo esté debidamente justificado y cumpla las características y calidad requeridas para el uso al que se destine y se lo emplee de acuerdo a normas internacionales y previamente autorizados y justificados por el Supervisor de Obra. El cemento deberá ser almacenado en condiciones que lo mantengan fuera de la intemperie y la humedad. El almacenamiento deberá organizarse en forma sistemática, de manera de evitar que ciertas bolsas se utilicen con mucho retraso y sufran un envejecimiento excesivo. En general no se deberán almacenar más de 10 bolsas una encima de la otra. Un cemento que por alguna razón haya fraguado parcialmente o contenga terrones, grumos, costras, etc. será rechazado automáticamente y retirado del lugar de la obra. </w:t>
      </w:r>
    </w:p>
    <w:p w14:paraId="6FAB8B95" w14:textId="77777777" w:rsidR="0026325C" w:rsidRDefault="0026325C">
      <w:r w:rsidRPr="0026325C">
        <w:rPr>
          <w:b/>
          <w:bCs/>
        </w:rPr>
        <w:t>Agregados.</w:t>
      </w:r>
      <w:r w:rsidRPr="0026325C">
        <w:t xml:space="preserve"> </w:t>
      </w:r>
    </w:p>
    <w:p w14:paraId="19A0FD98" w14:textId="77777777" w:rsidR="0026325C" w:rsidRDefault="0026325C">
      <w:r w:rsidRPr="0026325C">
        <w:lastRenderedPageBreak/>
        <w:t xml:space="preserve">Los áridos a emplearse en la fabricación de hormigones serán aquellas arenas y gravas obtenidas de yacimientos naturales, rocas trituradas y otros que resulte aconsejable, como consecuencia de estudios realizados en laboratorio. Los áridos para morteros y hormigones, deben cumplir en todo con las Normas Bolivianas N.B. 596-91, N.B. 597-91, N.B. 598-91, N.B. 608-91, N.B. 609-91, N.B. 610-91, N.B. 611-91, N.B. 612-91 las cuales han sido determinadas por el IBNORCA. La arena o árido fino será aquél que pase el tamiz de 5 </w:t>
      </w:r>
      <w:proofErr w:type="spellStart"/>
      <w:r w:rsidRPr="0026325C">
        <w:t>mm.</w:t>
      </w:r>
      <w:proofErr w:type="spellEnd"/>
      <w:r w:rsidRPr="0026325C">
        <w:t xml:space="preserve"> de malla y grava o árido grueso el que resulte retenido por dicho tamiz. El 90% en peso del árido grueso (grava) será de tamaño inferior a la menor de las dimensiones siguientes: </w:t>
      </w:r>
    </w:p>
    <w:p w14:paraId="77BE1C30" w14:textId="77777777" w:rsidR="0026325C" w:rsidRDefault="0026325C">
      <w:r w:rsidRPr="0026325C">
        <w:t xml:space="preserve">a) Los cinco sextos de la distancia horizontal libre entre armaduras independientes, si es que dichas aberturas tamizan el vertido del hormigón o de la distancia libre entre una armadura y el paramento más próximo. </w:t>
      </w:r>
    </w:p>
    <w:p w14:paraId="5B3E3FB2" w14:textId="77777777" w:rsidR="0026325C" w:rsidRDefault="0026325C">
      <w:r w:rsidRPr="0026325C">
        <w:t xml:space="preserve">b) La cuarta parte de la anchura, espesor o dimensión mínima de la pieza que se hormigona. </w:t>
      </w:r>
    </w:p>
    <w:p w14:paraId="7126BB7F" w14:textId="77777777" w:rsidR="0026325C" w:rsidRDefault="0026325C">
      <w:r w:rsidRPr="0026325C">
        <w:t xml:space="preserve">c) Un tercio de la anchura libre de los nervios de los entrepisos. </w:t>
      </w:r>
    </w:p>
    <w:p w14:paraId="6ECA579A" w14:textId="75F3EAC0" w:rsidR="0026325C" w:rsidRDefault="0026325C" w:rsidP="0026325C">
      <w:r w:rsidRPr="0026325C">
        <w:t xml:space="preserve">d) Un medio del espesor mínimo de la losa superior en los entrepisos. </w:t>
      </w:r>
    </w:p>
    <w:p w14:paraId="6EB35D7E" w14:textId="2926868D" w:rsidR="0026325C" w:rsidRDefault="0026325C" w:rsidP="0026325C">
      <w:r w:rsidRPr="0026325C">
        <w:drawing>
          <wp:inline distT="0" distB="0" distL="0" distR="0" wp14:anchorId="46049462" wp14:editId="38BD402E">
            <wp:extent cx="2067213" cy="352474"/>
            <wp:effectExtent l="0" t="0" r="9525" b="9525"/>
            <wp:docPr id="1456872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72355" name=""/>
                    <pic:cNvPicPr/>
                  </pic:nvPicPr>
                  <pic:blipFill>
                    <a:blip r:embed="rId4"/>
                    <a:stretch>
                      <a:fillRect/>
                    </a:stretch>
                  </pic:blipFill>
                  <pic:spPr>
                    <a:xfrm>
                      <a:off x="0" y="0"/>
                      <a:ext cx="2067213" cy="352474"/>
                    </a:xfrm>
                    <a:prstGeom prst="rect">
                      <a:avLst/>
                    </a:prstGeom>
                  </pic:spPr>
                </pic:pic>
              </a:graphicData>
            </a:graphic>
          </wp:inline>
        </w:drawing>
      </w:r>
    </w:p>
    <w:p w14:paraId="624290F3" w14:textId="0F2ADCB5" w:rsidR="0026325C" w:rsidRDefault="0026325C" w:rsidP="0026325C">
      <w:r w:rsidRPr="0026325C">
        <w:drawing>
          <wp:inline distT="0" distB="0" distL="0" distR="0" wp14:anchorId="7A61C718" wp14:editId="141FDE87">
            <wp:extent cx="1981477" cy="962159"/>
            <wp:effectExtent l="0" t="0" r="0" b="0"/>
            <wp:docPr id="2046177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77780" name=""/>
                    <pic:cNvPicPr/>
                  </pic:nvPicPr>
                  <pic:blipFill>
                    <a:blip r:embed="rId5"/>
                    <a:stretch>
                      <a:fillRect/>
                    </a:stretch>
                  </pic:blipFill>
                  <pic:spPr>
                    <a:xfrm>
                      <a:off x="0" y="0"/>
                      <a:ext cx="1981477" cy="962159"/>
                    </a:xfrm>
                    <a:prstGeom prst="rect">
                      <a:avLst/>
                    </a:prstGeom>
                  </pic:spPr>
                </pic:pic>
              </a:graphicData>
            </a:graphic>
          </wp:inline>
        </w:drawing>
      </w:r>
    </w:p>
    <w:p w14:paraId="3BED2A1D" w14:textId="3A0862FD" w:rsidR="0026325C" w:rsidRDefault="0026325C">
      <w:r w:rsidRPr="0026325C">
        <w:t xml:space="preserve">El agua a emplearse para la mezcla, curación u otras aplicaciones, será razonablemente limpia y libre de aceite, sales, ácidos, álcalis, azúcar, materia vegetal o cualquier otra sustancia perjudicial para la obra. No se permitirá el empleo de aguas estancadas procedentes de pequeñas lagunas o aquéllas que provengan de pantanos o desagües. Toda agua de calidad dudosa deberá ser sometida al análisis respectivo y autorizado por el Supervisor de obra antes de su empleo. La temperatura del agua para la preparación del hormigón deberá ser superior a 5°C. El agua para hormigones debe satisfacer en todo a lo descrito en las N.B. 587-91 y N. B. 588 - 91. </w:t>
      </w:r>
    </w:p>
    <w:p w14:paraId="7962F404" w14:textId="77777777" w:rsidR="0026325C" w:rsidRDefault="0026325C">
      <w:r w:rsidRPr="0026325C">
        <w:rPr>
          <w:b/>
          <w:bCs/>
        </w:rPr>
        <w:t>Aditivos</w:t>
      </w:r>
      <w:r w:rsidRPr="0026325C">
        <w:t xml:space="preserve">. </w:t>
      </w:r>
    </w:p>
    <w:p w14:paraId="7138E1B9" w14:textId="14757700" w:rsidR="0026325C" w:rsidRDefault="0026325C">
      <w:r w:rsidRPr="0026325C">
        <w:t xml:space="preserve">Existen en el mercado una variedad de aditivos destinados a conferir al hormigón distintas características en función al destino que se les dé. Entre los principales se encuentran los plastificantes, aceleradores y retardadores de fraguado, incorporadores de aire, expansores e impermeabilizantes. Se podrán emplear aditivos para modificar ciertas propiedades del hormigón, previa su justificación y aprobación expresa </w:t>
      </w:r>
      <w:r w:rsidRPr="0026325C">
        <w:lastRenderedPageBreak/>
        <w:t>efectuada por el Supervisor de Obra. Como el modo de empleo y la dosificación deben ser de estudio adecuado, debiendo asegurarse una repartición uniforme de aditivo, este trabajo deberá ser encomendado a personal calificado y preferentemente bajo las recomendaciones de los fabricantes de los aditivos.</w:t>
      </w:r>
    </w:p>
    <w:p w14:paraId="0D08F751" w14:textId="0AF31316" w:rsidR="00BC381A" w:rsidRDefault="00BC381A">
      <w:r w:rsidRPr="00BC381A">
        <w:t xml:space="preserve">En losas, la colocación se hará por franjas de ancho tal </w:t>
      </w:r>
      <w:proofErr w:type="gramStart"/>
      <w:r w:rsidRPr="00BC381A">
        <w:t>que</w:t>
      </w:r>
      <w:proofErr w:type="gramEnd"/>
      <w:r w:rsidRPr="00BC381A">
        <w:t xml:space="preserve"> al colocar el hormigón de la faja siguiente, en la faja anterior no se haya iniciado el fraguado.</w:t>
      </w:r>
    </w:p>
    <w:p w14:paraId="7601E2E1" w14:textId="77777777" w:rsidR="00BC381A" w:rsidRPr="00BC381A" w:rsidRDefault="00BC381A" w:rsidP="00BC381A">
      <w:pPr>
        <w:rPr>
          <w:b/>
          <w:bCs/>
          <w:u w:val="single"/>
        </w:rPr>
      </w:pPr>
      <w:r w:rsidRPr="00BC381A">
        <w:rPr>
          <w:b/>
          <w:bCs/>
          <w:u w:val="single"/>
        </w:rPr>
        <w:t xml:space="preserve">LOSA ALIVIANADA CON VIGUETAS PRETENSADAS Y PLASTOFORM H=25CM </w:t>
      </w:r>
    </w:p>
    <w:p w14:paraId="1B69D573" w14:textId="4169B94A" w:rsidR="00BC381A" w:rsidRDefault="00BC381A" w:rsidP="00BC381A">
      <w:pPr>
        <w:rPr>
          <w:b/>
          <w:bCs/>
        </w:rPr>
      </w:pPr>
      <w:r w:rsidRPr="00BC381A">
        <w:rPr>
          <w:b/>
          <w:bCs/>
        </w:rPr>
        <w:t>Definición.</w:t>
      </w:r>
    </w:p>
    <w:p w14:paraId="713FF9CF" w14:textId="07647E49" w:rsidR="00BC381A" w:rsidRDefault="00BC381A" w:rsidP="00BC381A">
      <w:r w:rsidRPr="00BC381A">
        <w:t xml:space="preserve">Este ítem se refiere a la construcción de losas alivianadas con viguetas pretensadas, las cuales son un producto de fabricación industrial, y como complemento </w:t>
      </w:r>
      <w:proofErr w:type="spellStart"/>
      <w:r w:rsidRPr="00BC381A">
        <w:t>plastoform</w:t>
      </w:r>
      <w:proofErr w:type="spellEnd"/>
      <w:r w:rsidRPr="00BC381A">
        <w:t xml:space="preserve"> de h=20 cm.; todo de acuerdo a los detalles señalados en los planos constructivos; incluye además nervios rigidizadores de losas, diafragmas y sus refuerzos de acero y hormigón; en donde se indique en los planos y/</w:t>
      </w:r>
      <w:proofErr w:type="spellStart"/>
      <w:r w:rsidRPr="00BC381A">
        <w:t>o</w:t>
      </w:r>
      <w:proofErr w:type="spellEnd"/>
      <w:r w:rsidRPr="00BC381A">
        <w:t xml:space="preserve"> otras instrucciones del Supervisor de Obra.</w:t>
      </w:r>
    </w:p>
    <w:p w14:paraId="655E3D6C" w14:textId="780970ED" w:rsidR="00BC381A" w:rsidRPr="00BC381A" w:rsidRDefault="00BC381A" w:rsidP="00BC381A">
      <w:pPr>
        <w:rPr>
          <w:b/>
          <w:bCs/>
        </w:rPr>
      </w:pPr>
      <w:r w:rsidRPr="00BC381A">
        <w:rPr>
          <w:b/>
          <w:bCs/>
        </w:rPr>
        <w:t>Materiales, herramientas y equipo.</w:t>
      </w:r>
    </w:p>
    <w:p w14:paraId="668CBBB7" w14:textId="3752FF15" w:rsidR="00BC381A" w:rsidRDefault="00BC381A" w:rsidP="00BC381A">
      <w:r w:rsidRPr="00BC381A">
        <w:t xml:space="preserve">Todos los materiales, herramientas y equipo a emplearse en la preparación y vaciado del hormigón serán proporcionados por el Contratista y utilizados por éste, previa aprobación del Supervisor de Obra y deberán cumplir con los requisitos establecidos en la Norma Boliviana del Hormigón Armado CBH-87. Así mismo deberán cumplir, en cuanto se refiere a la fabricación, transporte, colocación, compactación, protección, curado y otros, con las recomendaciones y requisitos indicados en dicha norma. Debe tomar en cuenta que el vaciado de los elementos debe ser monolítico en conjunto las vigas de hormigón. Las viguetas de hormigón pretensado de fabricación industrial deberán ser de características uniformes y de secciones adecuadas para resistir las cargas que actúan, de gran resistencia y durabilidad, con superficie superior rugosa y de forma de cuña invertida, para garantizar una perfecta adherencia con la carpeta de compresión, aspecto que deberá ser certificado por el fabricante y verificado por Supervisor de Obra. El hormigón de fabricación de las viguetas pretensadas debe corresponder al intervalo: 350 a 400 kg/cm2, con una tensión de rotura del acero de 18,000 kg/cm2. El producto deberá contar con certificación IBNORCA e ISO. Se utilizará complemento de </w:t>
      </w:r>
      <w:proofErr w:type="spellStart"/>
      <w:r w:rsidRPr="00BC381A">
        <w:t>Plastoform</w:t>
      </w:r>
      <w:proofErr w:type="spellEnd"/>
      <w:r w:rsidRPr="00BC381A">
        <w:t xml:space="preserve"> de 100x50x20 cm, Hormigón con la resistencia característica de 250 kg/cm2 con un contenido mínimo de cemento de 400 kg/m3, Puntales, Madera de Encofrado, Clavos, alambre, Fierro Corrugado (parrilla de compresión y refuerzo momentos negativos) Vibradores, Cualquier otro material necesario</w:t>
      </w:r>
      <w:r>
        <w:t>.</w:t>
      </w:r>
    </w:p>
    <w:p w14:paraId="4724680B" w14:textId="3022E07F" w:rsidR="00BC381A" w:rsidRDefault="00BC381A" w:rsidP="00BC381A">
      <w:pPr>
        <w:rPr>
          <w:b/>
          <w:bCs/>
        </w:rPr>
      </w:pPr>
      <w:r w:rsidRPr="00BC381A">
        <w:rPr>
          <w:b/>
          <w:bCs/>
        </w:rPr>
        <w:t>Procedimiento para la ejecución.</w:t>
      </w:r>
    </w:p>
    <w:p w14:paraId="39EE3C29" w14:textId="5FDAB935" w:rsidR="00BC381A" w:rsidRDefault="00BC381A" w:rsidP="00BC381A">
      <w:r w:rsidRPr="00BC381A">
        <w:rPr>
          <w:highlight w:val="yellow"/>
        </w:rPr>
        <w:t xml:space="preserve">Para la ejecución de este tipo de losas el Contratista deberá cumplir con los requisitos y procedimientos establecidos en la especificación en el capítulo de Hormigones y </w:t>
      </w:r>
      <w:r w:rsidRPr="00BC381A">
        <w:rPr>
          <w:highlight w:val="yellow"/>
        </w:rPr>
        <w:lastRenderedPageBreak/>
        <w:t>Aceros estructural La resistencia característica del hormigón a la edad de 28 días debe ser: 250 kg/cm2</w:t>
      </w:r>
    </w:p>
    <w:p w14:paraId="591779B3" w14:textId="77777777" w:rsidR="00BC381A" w:rsidRPr="00BC381A" w:rsidRDefault="00BC381A" w:rsidP="00BC381A"/>
    <w:sectPr w:rsidR="00BC381A" w:rsidRPr="00BC38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25C"/>
    <w:rsid w:val="000314C5"/>
    <w:rsid w:val="0026325C"/>
    <w:rsid w:val="005E70A3"/>
    <w:rsid w:val="00BC381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CC6B"/>
  <w15:chartTrackingRefBased/>
  <w15:docId w15:val="{46CDAC12-9DA3-4173-850B-D9EFF1EA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32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632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632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632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632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632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32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32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32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32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6325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632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632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632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632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32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32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325C"/>
    <w:rPr>
      <w:rFonts w:eastAsiaTheme="majorEastAsia" w:cstheme="majorBidi"/>
      <w:color w:val="272727" w:themeColor="text1" w:themeTint="D8"/>
    </w:rPr>
  </w:style>
  <w:style w:type="paragraph" w:styleId="Ttulo">
    <w:name w:val="Title"/>
    <w:basedOn w:val="Normal"/>
    <w:next w:val="Normal"/>
    <w:link w:val="TtuloCar"/>
    <w:uiPriority w:val="10"/>
    <w:qFormat/>
    <w:rsid w:val="00263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32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32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32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325C"/>
    <w:pPr>
      <w:spacing w:before="160"/>
      <w:jc w:val="center"/>
    </w:pPr>
    <w:rPr>
      <w:i/>
      <w:iCs/>
      <w:color w:val="404040" w:themeColor="text1" w:themeTint="BF"/>
    </w:rPr>
  </w:style>
  <w:style w:type="character" w:customStyle="1" w:styleId="CitaCar">
    <w:name w:val="Cita Car"/>
    <w:basedOn w:val="Fuentedeprrafopredeter"/>
    <w:link w:val="Cita"/>
    <w:uiPriority w:val="29"/>
    <w:rsid w:val="0026325C"/>
    <w:rPr>
      <w:i/>
      <w:iCs/>
      <w:color w:val="404040" w:themeColor="text1" w:themeTint="BF"/>
    </w:rPr>
  </w:style>
  <w:style w:type="paragraph" w:styleId="Prrafodelista">
    <w:name w:val="List Paragraph"/>
    <w:basedOn w:val="Normal"/>
    <w:uiPriority w:val="34"/>
    <w:qFormat/>
    <w:rsid w:val="0026325C"/>
    <w:pPr>
      <w:ind w:left="720"/>
      <w:contextualSpacing/>
    </w:pPr>
  </w:style>
  <w:style w:type="character" w:styleId="nfasisintenso">
    <w:name w:val="Intense Emphasis"/>
    <w:basedOn w:val="Fuentedeprrafopredeter"/>
    <w:uiPriority w:val="21"/>
    <w:qFormat/>
    <w:rsid w:val="0026325C"/>
    <w:rPr>
      <w:i/>
      <w:iCs/>
      <w:color w:val="2F5496" w:themeColor="accent1" w:themeShade="BF"/>
    </w:rPr>
  </w:style>
  <w:style w:type="paragraph" w:styleId="Citadestacada">
    <w:name w:val="Intense Quote"/>
    <w:basedOn w:val="Normal"/>
    <w:next w:val="Normal"/>
    <w:link w:val="CitadestacadaCar"/>
    <w:uiPriority w:val="30"/>
    <w:qFormat/>
    <w:rsid w:val="002632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6325C"/>
    <w:rPr>
      <w:i/>
      <w:iCs/>
      <w:color w:val="2F5496" w:themeColor="accent1" w:themeShade="BF"/>
    </w:rPr>
  </w:style>
  <w:style w:type="character" w:styleId="Referenciaintensa">
    <w:name w:val="Intense Reference"/>
    <w:basedOn w:val="Fuentedeprrafopredeter"/>
    <w:uiPriority w:val="32"/>
    <w:qFormat/>
    <w:rsid w:val="002632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1206</Words>
  <Characters>6639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yessi.darla@gmail.com</dc:creator>
  <cp:keywords/>
  <dc:description/>
  <cp:lastModifiedBy>yessi.darla@gmail.com</cp:lastModifiedBy>
  <cp:revision>1</cp:revision>
  <dcterms:created xsi:type="dcterms:W3CDTF">2026-09-23T18:07:00Z</dcterms:created>
  <dcterms:modified xsi:type="dcterms:W3CDTF">2026-10-25T02:35:00Z</dcterms:modified>
</cp:coreProperties>
</file>